
<file path=[Content_Types].xml><?xml version="1.0" encoding="utf-8"?>
<Types xmlns="http://schemas.openxmlformats.org/package/2006/content-types">
  <Default Extension="png" ContentType="image/png"/>
  <Default Extension="emf" ContentType="image/x-emf"/>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21464" w:rsidRDefault="00D40E04" w:rsidP="00BC0DD2">
      <w:pPr>
        <w:pStyle w:val="TofCHeading"/>
        <w:spacing w:after="120"/>
        <w:jc w:val="left"/>
        <w:outlineLvl w:val="9"/>
        <w:rPr>
          <w:rFonts w:asciiTheme="minorHAnsi" w:hAnsiTheme="minorHAnsi"/>
          <w:color w:val="1E6A9A" w:themeColor="text2"/>
          <w:szCs w:val="36"/>
        </w:rPr>
      </w:pPr>
      <w:bookmarkStart w:id="0" w:name="_Toc490322986"/>
      <w:bookmarkStart w:id="1" w:name="_Toc334600987"/>
      <w:bookmarkStart w:id="2" w:name="_Toc365440961"/>
      <w:bookmarkStart w:id="3" w:name="_Toc229739377"/>
      <w:bookmarkStart w:id="4" w:name="_Toc231197071"/>
      <w:bookmarkStart w:id="5" w:name="_GoBack"/>
      <w:bookmarkEnd w:id="5"/>
      <w:r>
        <w:rPr>
          <w:rFonts w:ascii="Calibri" w:hAnsi="Calibri" w:cs="OpenSans-Bold"/>
          <w:b w:val="0"/>
          <w:bCs w:val="0"/>
          <w:noProof/>
          <w:color w:val="3D484C"/>
          <w:sz w:val="80"/>
          <w:szCs w:val="80"/>
        </w:rPr>
        <w:drawing>
          <wp:anchor distT="0" distB="0" distL="114300" distR="114300" simplePos="0" relativeHeight="251711488" behindDoc="1" locked="0" layoutInCell="1" allowOverlap="1" wp14:anchorId="0B83221F" wp14:editId="40C0C0E6">
            <wp:simplePos x="0" y="0"/>
            <wp:positionH relativeFrom="page">
              <wp:posOffset>-5080</wp:posOffset>
            </wp:positionH>
            <wp:positionV relativeFrom="page">
              <wp:posOffset>5080</wp:posOffset>
            </wp:positionV>
            <wp:extent cx="7772400" cy="10058400"/>
            <wp:effectExtent l="0" t="0" r="0" b="0"/>
            <wp:wrapNone/>
            <wp:docPr id="2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jameshindle:Dropbox (TAF):CURRENT CLIENTS (2):  ISO_ISO New England: OPEN:ISO049 2015 Templates:Cover Backgrounds:ISO049-report-covers-d2.png"/>
                    <pic:cNvPicPr>
                      <a:picLocks noChangeAspect="1" noChangeArrowheads="1"/>
                    </pic:cNvPicPr>
                  </pic:nvPicPr>
                  <pic:blipFill>
                    <a:blip r:embed="rId10">
                      <a:extLst>
                        <a:ext uri="{28A0092B-C50C-407E-A947-70E740481C1C}">
                          <a14:useLocalDpi xmlns:a14="http://schemas.microsoft.com/office/drawing/2010/main" val="0"/>
                        </a:ext>
                      </a:extLst>
                    </a:blip>
                    <a:stretch>
                      <a:fillRect/>
                    </a:stretch>
                  </pic:blipFill>
                  <pic:spPr bwMode="auto">
                    <a:xfrm>
                      <a:off x="0" y="0"/>
                      <a:ext cx="7772400" cy="1005840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w15="http://schemas.microsoft.com/office/word/2012/wordml" xmlns:ma14="http://schemas.microsoft.com/office/mac/drawingml/2011/main"/>
                      </a:ext>
                    </a:extLst>
                  </pic:spPr>
                </pic:pic>
              </a:graphicData>
            </a:graphic>
          </wp:anchor>
        </w:drawing>
      </w:r>
      <w:bookmarkEnd w:id="0"/>
      <w:r w:rsidR="00223FFD">
        <w:rPr>
          <w:rFonts w:asciiTheme="minorHAnsi" w:hAnsiTheme="minorHAnsi"/>
          <w:color w:val="1E6A9A" w:themeColor="text2"/>
          <w:szCs w:val="36"/>
        </w:rPr>
        <w:t xml:space="preserve"> </w:t>
      </w:r>
      <w:permStart w:id="1749836819" w:edGrp="everyone"/>
      <w:permEnd w:id="1749836819"/>
    </w:p>
    <w:p w:rsidR="00282EC7" w:rsidRPr="00C51028" w:rsidRDefault="00282EC7" w:rsidP="00AF4BED">
      <w:pPr>
        <w:pStyle w:val="TofCHeading"/>
        <w:spacing w:after="120"/>
        <w:jc w:val="left"/>
        <w:outlineLvl w:val="9"/>
        <w:rPr>
          <w:rFonts w:asciiTheme="minorHAnsi" w:hAnsiTheme="minorHAnsi"/>
          <w:color w:val="1E6A9A" w:themeColor="text2"/>
          <w:szCs w:val="36"/>
        </w:rPr>
      </w:pPr>
      <w:bookmarkStart w:id="6" w:name="_Toc262722601"/>
      <w:bookmarkStart w:id="7" w:name="_Toc267323565"/>
      <w:bookmarkStart w:id="8" w:name="_Toc271552445"/>
      <w:bookmarkStart w:id="9" w:name="_Toc271632192"/>
      <w:bookmarkStart w:id="10" w:name="_Toc293243687"/>
      <w:bookmarkStart w:id="11" w:name="_Toc293929164"/>
      <w:bookmarkStart w:id="12" w:name="_Toc294097106"/>
      <w:bookmarkStart w:id="13" w:name="_Toc298257107"/>
      <w:bookmarkStart w:id="14" w:name="_Toc299027429"/>
      <w:bookmarkEnd w:id="1"/>
      <w:bookmarkEnd w:id="2"/>
    </w:p>
    <w:p w:rsidR="00B0316B" w:rsidRDefault="00B0316B" w:rsidP="00B0316B">
      <w:pPr>
        <w:pStyle w:val="TofCHeading"/>
        <w:spacing w:after="120"/>
        <w:jc w:val="left"/>
        <w:outlineLvl w:val="9"/>
        <w:rPr>
          <w:rFonts w:asciiTheme="minorHAnsi" w:hAnsiTheme="minorHAnsi"/>
          <w:color w:val="1E6A9A" w:themeColor="text2"/>
          <w:szCs w:val="36"/>
        </w:rPr>
      </w:pPr>
    </w:p>
    <w:p w:rsidR="00A35E2B" w:rsidRDefault="00A35E2B" w:rsidP="00B0316B">
      <w:pPr>
        <w:pStyle w:val="TofCHeading"/>
        <w:spacing w:after="120"/>
        <w:jc w:val="left"/>
        <w:outlineLvl w:val="9"/>
        <w:rPr>
          <w:rFonts w:asciiTheme="minorHAnsi" w:hAnsiTheme="minorHAnsi"/>
          <w:color w:val="1E6A9A" w:themeColor="text2"/>
          <w:szCs w:val="36"/>
        </w:rPr>
        <w:sectPr w:rsidR="00A35E2B" w:rsidSect="00AD71F0">
          <w:headerReference w:type="even" r:id="rId11"/>
          <w:headerReference w:type="default" r:id="rId12"/>
          <w:footerReference w:type="even" r:id="rId13"/>
          <w:footerReference w:type="default" r:id="rId14"/>
          <w:headerReference w:type="first" r:id="rId15"/>
          <w:footerReference w:type="first" r:id="rId16"/>
          <w:pgSz w:w="12240" w:h="15840"/>
          <w:pgMar w:top="1440" w:right="1440" w:bottom="1440" w:left="1800" w:header="720" w:footer="720" w:gutter="0"/>
          <w:pgNumType w:fmt="lowerRoman" w:start="1"/>
          <w:cols w:space="720"/>
          <w:docGrid w:linePitch="360"/>
        </w:sectPr>
      </w:pPr>
    </w:p>
    <w:p w:rsidR="00B0316B" w:rsidRDefault="00B0316B" w:rsidP="00B0316B">
      <w:pPr>
        <w:pStyle w:val="TofCHeading"/>
        <w:spacing w:after="120"/>
        <w:jc w:val="left"/>
        <w:outlineLvl w:val="9"/>
        <w:rPr>
          <w:rFonts w:asciiTheme="minorHAnsi" w:hAnsiTheme="minorHAnsi"/>
          <w:color w:val="1E6A9A" w:themeColor="text2"/>
          <w:szCs w:val="36"/>
        </w:rPr>
      </w:pPr>
    </w:p>
    <w:p w:rsidR="00F53B24" w:rsidRDefault="00D40E04" w:rsidP="00B0316B">
      <w:pPr>
        <w:pStyle w:val="TofCHeading"/>
        <w:spacing w:after="120"/>
        <w:jc w:val="left"/>
        <w:outlineLvl w:val="9"/>
        <w:rPr>
          <w:rFonts w:asciiTheme="minorHAnsi" w:hAnsiTheme="minorHAnsi"/>
          <w:color w:val="1E6A9A" w:themeColor="text2"/>
          <w:szCs w:val="36"/>
        </w:rPr>
      </w:pPr>
      <w:r>
        <w:rPr>
          <w:rFonts w:ascii="Calibri" w:hAnsi="Calibri" w:cs="OpenSans-Bold"/>
          <w:b w:val="0"/>
          <w:bCs w:val="0"/>
          <w:noProof/>
          <w:color w:val="3D484C"/>
          <w:sz w:val="80"/>
          <w:szCs w:val="80"/>
        </w:rPr>
        <mc:AlternateContent>
          <mc:Choice Requires="wps">
            <w:drawing>
              <wp:anchor distT="0" distB="0" distL="114300" distR="114300" simplePos="0" relativeHeight="251713536" behindDoc="0" locked="0" layoutInCell="1" allowOverlap="1" wp14:anchorId="3DB515E4" wp14:editId="6715999A">
                <wp:simplePos x="0" y="0"/>
                <wp:positionH relativeFrom="column">
                  <wp:posOffset>52705</wp:posOffset>
                </wp:positionH>
                <wp:positionV relativeFrom="paragraph">
                  <wp:posOffset>351790</wp:posOffset>
                </wp:positionV>
                <wp:extent cx="6163310" cy="2926080"/>
                <wp:effectExtent l="0" t="0" r="0" b="3810"/>
                <wp:wrapNone/>
                <wp:docPr id="28"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63310" cy="2926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46FE" w:rsidRDefault="006346FE" w:rsidP="00D40E04">
                            <w:pPr>
                              <w:spacing w:after="120" w:line="192" w:lineRule="auto"/>
                              <w:rPr>
                                <w:rFonts w:asciiTheme="minorHAnsi" w:hAnsiTheme="minorHAnsi" w:cs="Arial"/>
                                <w:b/>
                                <w:color w:val="62777F"/>
                                <w:sz w:val="80"/>
                                <w:szCs w:val="80"/>
                              </w:rPr>
                            </w:pPr>
                            <w:r>
                              <w:rPr>
                                <w:rFonts w:asciiTheme="minorHAnsi" w:hAnsiTheme="minorHAnsi" w:cs="Arial"/>
                                <w:b/>
                                <w:color w:val="62777F"/>
                                <w:sz w:val="56"/>
                                <w:szCs w:val="56"/>
                              </w:rPr>
                              <w:t xml:space="preserve">Public Meeting </w:t>
                            </w:r>
                            <w:r w:rsidRPr="005F45D9">
                              <w:rPr>
                                <w:rFonts w:asciiTheme="minorHAnsi" w:hAnsiTheme="minorHAnsi" w:cs="Arial"/>
                                <w:b/>
                                <w:color w:val="62777F"/>
                                <w:sz w:val="56"/>
                                <w:szCs w:val="56"/>
                              </w:rPr>
                              <w:t>Draft</w:t>
                            </w:r>
                          </w:p>
                          <w:p w:rsidR="006346FE" w:rsidRDefault="006346FE" w:rsidP="00D40E04">
                            <w:pPr>
                              <w:spacing w:after="120" w:line="192" w:lineRule="auto"/>
                              <w:rPr>
                                <w:rFonts w:asciiTheme="minorHAnsi" w:hAnsiTheme="minorHAnsi" w:cs="Arial"/>
                                <w:b/>
                                <w:color w:val="62777F"/>
                                <w:sz w:val="80"/>
                                <w:szCs w:val="80"/>
                              </w:rPr>
                            </w:pPr>
                            <w:r>
                              <w:rPr>
                                <w:rFonts w:asciiTheme="minorHAnsi" w:hAnsiTheme="minorHAnsi" w:cs="Arial"/>
                                <w:b/>
                                <w:color w:val="62777F"/>
                                <w:sz w:val="80"/>
                                <w:szCs w:val="80"/>
                              </w:rPr>
                              <w:t>2017</w:t>
                            </w:r>
                            <w:r w:rsidRPr="00904E0B">
                              <w:rPr>
                                <w:rFonts w:asciiTheme="minorHAnsi" w:hAnsiTheme="minorHAnsi" w:cs="Arial"/>
                                <w:b/>
                                <w:color w:val="62777F"/>
                                <w:sz w:val="80"/>
                                <w:szCs w:val="80"/>
                              </w:rPr>
                              <w:t xml:space="preserve"> Regional System Plan</w:t>
                            </w:r>
                          </w:p>
                          <w:p w:rsidR="006346FE" w:rsidRPr="00FE6411" w:rsidRDefault="006346FE" w:rsidP="00D40E04">
                            <w:pPr>
                              <w:spacing w:line="240" w:lineRule="auto"/>
                              <w:rPr>
                                <w:rFonts w:ascii="Calibri" w:eastAsia="Calibri" w:hAnsi="Calibri"/>
                                <w:color w:val="9B8F83"/>
                              </w:rPr>
                            </w:pPr>
                            <w:r w:rsidRPr="00FE6411">
                              <w:rPr>
                                <w:rFonts w:ascii="Calibri" w:eastAsia="Calibri" w:hAnsi="Calibri"/>
                                <w:color w:val="9B8F83"/>
                              </w:rPr>
                              <w:t>Released to the public for review. Do not quote or cite.</w:t>
                            </w:r>
                          </w:p>
                          <w:p w:rsidR="006346FE" w:rsidRPr="00111DBA" w:rsidRDefault="006346FE" w:rsidP="00D40E04">
                            <w:pPr>
                              <w:spacing w:after="0" w:line="240" w:lineRule="auto"/>
                              <w:rPr>
                                <w:rFonts w:ascii="Calibri" w:eastAsia="Calibri" w:hAnsi="Calibri"/>
                                <w:color w:val="9B8F83"/>
                              </w:rPr>
                            </w:pPr>
                            <w:r w:rsidRPr="00FE6411">
                              <w:rPr>
                                <w:rFonts w:ascii="Calibri" w:eastAsia="Calibri" w:hAnsi="Calibri"/>
                                <w:color w:val="9B8F83"/>
                              </w:rPr>
                              <w:t>The information contained in this document is subject to modification. ISO New England and its employees and agents are not responsible for any reliance of this document by any other user or for any errors, omissions, or conclusions contained herein.</w:t>
                            </w:r>
                          </w:p>
                          <w:p w:rsidR="006346FE" w:rsidRPr="004A255F" w:rsidRDefault="006346FE" w:rsidP="00D40E04">
                            <w:pPr>
                              <w:spacing w:after="0" w:line="240" w:lineRule="auto"/>
                              <w:rPr>
                                <w:rFonts w:ascii="Calibri" w:eastAsia="Calibri" w:hAnsi="Calibri"/>
                                <w:color w:val="9B8F83"/>
                              </w:rPr>
                            </w:pPr>
                          </w:p>
                          <w:p w:rsidR="006346FE" w:rsidRPr="005F45D9" w:rsidRDefault="006346FE" w:rsidP="00D40E04">
                            <w:pPr>
                              <w:spacing w:after="120" w:line="192" w:lineRule="auto"/>
                              <w:rPr>
                                <w:rFonts w:asciiTheme="minorHAnsi" w:hAnsiTheme="minorHAnsi" w:cs="Arial"/>
                                <w:b/>
                                <w:color w:val="62777F"/>
                                <w:sz w:val="56"/>
                                <w:szCs w:val="56"/>
                              </w:rPr>
                            </w:pPr>
                          </w:p>
                          <w:p w:rsidR="006346FE" w:rsidRPr="00716539" w:rsidRDefault="006346FE" w:rsidP="00D40E04">
                            <w:pPr>
                              <w:spacing w:after="0"/>
                              <w:rPr>
                                <w:color w:val="62777F"/>
                              </w:rPr>
                            </w:pPr>
                            <w:r w:rsidRPr="00904E0B">
                              <w:rPr>
                                <w:rFonts w:asciiTheme="minorHAnsi" w:hAnsiTheme="minorHAnsi" w:cs="OpenSans-Bold"/>
                                <w:b/>
                                <w:bCs/>
                                <w:color w:val="62777F"/>
                                <w:spacing w:val="-2"/>
                                <w:sz w:val="32"/>
                                <w:szCs w:val="32"/>
                              </w:rPr>
                              <w:t>© ISO New England Inc.</w:t>
                            </w:r>
                            <w:r w:rsidRPr="00904E0B">
                              <w:rPr>
                                <w:rFonts w:asciiTheme="minorHAnsi" w:hAnsiTheme="minorHAnsi" w:cs="OpenSans-Bold"/>
                                <w:b/>
                                <w:bCs/>
                                <w:color w:val="62777F"/>
                                <w:spacing w:val="-2"/>
                                <w:sz w:val="32"/>
                                <w:szCs w:val="32"/>
                              </w:rPr>
                              <w:br/>
                            </w:r>
                            <w:r w:rsidRPr="00B0316B">
                              <w:rPr>
                                <w:rFonts w:asciiTheme="minorHAnsi" w:hAnsiTheme="minorHAnsi" w:cs="OpenSans-Bold"/>
                                <w:b/>
                                <w:bCs/>
                                <w:color w:val="62777F"/>
                                <w:spacing w:val="-2"/>
                                <w:sz w:val="32"/>
                                <w:szCs w:val="32"/>
                              </w:rPr>
                              <w:t>System Planning</w:t>
                            </w:r>
                            <w:r w:rsidRPr="00B0316B">
                              <w:rPr>
                                <w:rFonts w:asciiTheme="minorHAnsi" w:hAnsiTheme="minorHAnsi" w:cs="OpenSans-Bold"/>
                                <w:b/>
                                <w:bCs/>
                                <w:color w:val="62777F"/>
                                <w:spacing w:val="-2"/>
                                <w:sz w:val="32"/>
                                <w:szCs w:val="32"/>
                              </w:rPr>
                              <w:br/>
                            </w:r>
                            <w:r w:rsidRPr="003A449D">
                              <w:rPr>
                                <w:rFonts w:asciiTheme="minorHAnsi" w:hAnsiTheme="minorHAnsi" w:cs="OpenSans-Bold"/>
                                <w:b/>
                                <w:bCs/>
                                <w:caps/>
                                <w:color w:val="62777F"/>
                                <w:sz w:val="24"/>
                                <w:szCs w:val="24"/>
                              </w:rPr>
                              <w:t xml:space="preserve">August </w:t>
                            </w:r>
                            <w:r>
                              <w:rPr>
                                <w:rFonts w:asciiTheme="minorHAnsi" w:hAnsiTheme="minorHAnsi" w:cs="OpenSans-Bold"/>
                                <w:b/>
                                <w:bCs/>
                                <w:caps/>
                                <w:color w:val="62777F"/>
                                <w:sz w:val="24"/>
                                <w:szCs w:val="24"/>
                              </w:rPr>
                              <w:t>29, 2017</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3" o:spid="_x0000_s1026" type="#_x0000_t202" style="position:absolute;margin-left:4.15pt;margin-top:27.7pt;width:485.3pt;height:230.4pt;z-index:2517135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sMQtgIAALsFAAAOAAAAZHJzL2Uyb0RvYy54bWysVNtunDAQfa/Uf7D8TrgsywIKGyXLUlVK&#10;L1LSD/CCWayCTW3vQhr13zs2e0vyUrXlAdme8ZnLOZ7rm7Fr0Z5KxQTPsH/lYUR5KSrGtxn+9lg4&#10;MUZKE16RVnCa4Seq8M3y/bvroU9pIBrRVlQiAOEqHfoMN1r3qeuqsqEdUVeipxyMtZAd0bCVW7eS&#10;ZAD0rnUDz4vcQciql6KkSsFpPhnx0uLXNS31l7pWVKM2w5Cbtn9p/xvzd5fXJN1K0jesPKRB/iKL&#10;jjAOQU9QOdEE7SR7A9WxUgolan1Vis4Vdc1KamuAanzvVTUPDemprQWao/pTm9T/gy0/779KxKoM&#10;B8AUJx1w9EhHje7EiGamPUOvUvB66MFPj3AMNNtSVX8vyu8KcbFqCN/SWynF0FBSQXq+ueleXJ1w&#10;lAHZDJ9EBWHITgsLNNayM72DbiBAB5qeTtSYVEo4jPxoNvPBVIItSILIiy15LkmP13up9AcqOmQW&#10;GZbAvYUn+3ulTTokPbqYaFwUrG0t/y1/cQCO0wkEh6vGZtKwdD4nXrKO13HohEG0dkIvz53bYhU6&#10;UeEv5vksX61y/5eJ64dpw6qKchPmKC0//DPqDiKfRHESlxItqwycSUnJ7WbVSrQnIO3CfrbpYDm7&#10;uS/TsE2AWl6V5AehdxckThHFCycswrmTLLzY8fzkLom8MAnz4mVJ94zTfy8JDRlO5sF8UtM56Ve1&#10;efZ7WxtJO6ZheLSsy3B8ciKp0eCaV5ZaTVg7rS9aYdI/twLoPhJtFWtEOslVj5sRUIyMN6J6Au1K&#10;AcoCFcLEg0Uj5E+MBpgeGVY/dkRSjNqPHPSf+GFoxo3dhPNFABt5adlcWggvASrDGqNpudLTiNr1&#10;km0biHR8cbfwZgpm1XzO6vDSYELYog7TzIygy731Os/c5W8AAAD//wMAUEsDBBQABgAIAAAAIQC6&#10;bDXH3gAAAAgBAAAPAAAAZHJzL2Rvd25yZXYueG1sTI/BTsMwEETvSPyDtUjcqNNA2zTEqSrUliNQ&#10;Is5uvCQR8dqK3TT8PcsJjrMzmnlbbCbbixGH0DlSMJ8lIJBqZzpqFFTv+7sMRIiajO4doYJvDLAp&#10;r68KnRt3oTccj7ERXEIh1wraGH0uZahbtDrMnEdi79MNVkeWQyPNoC9cbnuZJslSWt0RL7Ta41OL&#10;9dfxbBX46A+r5+Hldbvbj0n1cajSrtkpdXszbR9BRJziXxh+8RkdSmY6uTOZIHoF2T0HFSwWDyDY&#10;Xq+yNYgTH+bLFGRZyP8PlD8AAAD//wMAUEsBAi0AFAAGAAgAAAAhALaDOJL+AAAA4QEAABMAAAAA&#10;AAAAAAAAAAAAAAAAAFtDb250ZW50X1R5cGVzXS54bWxQSwECLQAUAAYACAAAACEAOP0h/9YAAACU&#10;AQAACwAAAAAAAAAAAAAAAAAvAQAAX3JlbHMvLnJlbHNQSwECLQAUAAYACAAAACEAMoLDELYCAAC7&#10;BQAADgAAAAAAAAAAAAAAAAAuAgAAZHJzL2Uyb0RvYy54bWxQSwECLQAUAAYACAAAACEAumw1x94A&#10;AAAIAQAADwAAAAAAAAAAAAAAAAAQBQAAZHJzL2Rvd25yZXYueG1sUEsFBgAAAAAEAAQA8wAAABsG&#10;AAAAAA==&#10;" filled="f" stroked="f">
                <v:textbox style="mso-fit-shape-to-text:t">
                  <w:txbxContent>
                    <w:p w:rsidR="006346FE" w:rsidRDefault="006346FE" w:rsidP="00D40E04">
                      <w:pPr>
                        <w:spacing w:after="120" w:line="192" w:lineRule="auto"/>
                        <w:rPr>
                          <w:rFonts w:asciiTheme="minorHAnsi" w:hAnsiTheme="minorHAnsi" w:cs="Arial"/>
                          <w:b/>
                          <w:color w:val="62777F"/>
                          <w:sz w:val="80"/>
                          <w:szCs w:val="80"/>
                        </w:rPr>
                      </w:pPr>
                      <w:r>
                        <w:rPr>
                          <w:rFonts w:asciiTheme="minorHAnsi" w:hAnsiTheme="minorHAnsi" w:cs="Arial"/>
                          <w:b/>
                          <w:color w:val="62777F"/>
                          <w:sz w:val="56"/>
                          <w:szCs w:val="56"/>
                        </w:rPr>
                        <w:t xml:space="preserve">Public Meeting </w:t>
                      </w:r>
                      <w:r w:rsidRPr="005F45D9">
                        <w:rPr>
                          <w:rFonts w:asciiTheme="minorHAnsi" w:hAnsiTheme="minorHAnsi" w:cs="Arial"/>
                          <w:b/>
                          <w:color w:val="62777F"/>
                          <w:sz w:val="56"/>
                          <w:szCs w:val="56"/>
                        </w:rPr>
                        <w:t>Draft</w:t>
                      </w:r>
                    </w:p>
                    <w:p w:rsidR="006346FE" w:rsidRDefault="006346FE" w:rsidP="00D40E04">
                      <w:pPr>
                        <w:spacing w:after="120" w:line="192" w:lineRule="auto"/>
                        <w:rPr>
                          <w:rFonts w:asciiTheme="minorHAnsi" w:hAnsiTheme="minorHAnsi" w:cs="Arial"/>
                          <w:b/>
                          <w:color w:val="62777F"/>
                          <w:sz w:val="80"/>
                          <w:szCs w:val="80"/>
                        </w:rPr>
                      </w:pPr>
                      <w:r>
                        <w:rPr>
                          <w:rFonts w:asciiTheme="minorHAnsi" w:hAnsiTheme="minorHAnsi" w:cs="Arial"/>
                          <w:b/>
                          <w:color w:val="62777F"/>
                          <w:sz w:val="80"/>
                          <w:szCs w:val="80"/>
                        </w:rPr>
                        <w:t>2017</w:t>
                      </w:r>
                      <w:r w:rsidRPr="00904E0B">
                        <w:rPr>
                          <w:rFonts w:asciiTheme="minorHAnsi" w:hAnsiTheme="minorHAnsi" w:cs="Arial"/>
                          <w:b/>
                          <w:color w:val="62777F"/>
                          <w:sz w:val="80"/>
                          <w:szCs w:val="80"/>
                        </w:rPr>
                        <w:t xml:space="preserve"> Regional System Plan</w:t>
                      </w:r>
                    </w:p>
                    <w:p w:rsidR="006346FE" w:rsidRPr="00FE6411" w:rsidRDefault="006346FE" w:rsidP="00D40E04">
                      <w:pPr>
                        <w:spacing w:line="240" w:lineRule="auto"/>
                        <w:rPr>
                          <w:rFonts w:ascii="Calibri" w:eastAsia="Calibri" w:hAnsi="Calibri"/>
                          <w:color w:val="9B8F83"/>
                        </w:rPr>
                      </w:pPr>
                      <w:proofErr w:type="gramStart"/>
                      <w:r w:rsidRPr="00FE6411">
                        <w:rPr>
                          <w:rFonts w:ascii="Calibri" w:eastAsia="Calibri" w:hAnsi="Calibri"/>
                          <w:color w:val="9B8F83"/>
                        </w:rPr>
                        <w:t>Released to the public for review.</w:t>
                      </w:r>
                      <w:proofErr w:type="gramEnd"/>
                      <w:r w:rsidRPr="00FE6411">
                        <w:rPr>
                          <w:rFonts w:ascii="Calibri" w:eastAsia="Calibri" w:hAnsi="Calibri"/>
                          <w:color w:val="9B8F83"/>
                        </w:rPr>
                        <w:t xml:space="preserve"> Do not quote or cite.</w:t>
                      </w:r>
                    </w:p>
                    <w:p w:rsidR="006346FE" w:rsidRPr="00111DBA" w:rsidRDefault="006346FE" w:rsidP="00D40E04">
                      <w:pPr>
                        <w:spacing w:after="0" w:line="240" w:lineRule="auto"/>
                        <w:rPr>
                          <w:rFonts w:ascii="Calibri" w:eastAsia="Calibri" w:hAnsi="Calibri"/>
                          <w:color w:val="9B8F83"/>
                        </w:rPr>
                      </w:pPr>
                      <w:r w:rsidRPr="00FE6411">
                        <w:rPr>
                          <w:rFonts w:ascii="Calibri" w:eastAsia="Calibri" w:hAnsi="Calibri"/>
                          <w:color w:val="9B8F83"/>
                        </w:rPr>
                        <w:t>The information contained in this document is subject to modification. ISO New England and its employees and agents are not responsible for any reliance of this document by any other user or for any errors, omissions, or conclusions contained herein.</w:t>
                      </w:r>
                    </w:p>
                    <w:p w:rsidR="006346FE" w:rsidRPr="004A255F" w:rsidRDefault="006346FE" w:rsidP="00D40E04">
                      <w:pPr>
                        <w:spacing w:after="0" w:line="240" w:lineRule="auto"/>
                        <w:rPr>
                          <w:rFonts w:ascii="Calibri" w:eastAsia="Calibri" w:hAnsi="Calibri"/>
                          <w:color w:val="9B8F83"/>
                        </w:rPr>
                      </w:pPr>
                    </w:p>
                    <w:p w:rsidR="006346FE" w:rsidRPr="005F45D9" w:rsidRDefault="006346FE" w:rsidP="00D40E04">
                      <w:pPr>
                        <w:spacing w:after="120" w:line="192" w:lineRule="auto"/>
                        <w:rPr>
                          <w:rFonts w:asciiTheme="minorHAnsi" w:hAnsiTheme="minorHAnsi" w:cs="Arial"/>
                          <w:b/>
                          <w:color w:val="62777F"/>
                          <w:sz w:val="56"/>
                          <w:szCs w:val="56"/>
                        </w:rPr>
                      </w:pPr>
                    </w:p>
                    <w:p w:rsidR="006346FE" w:rsidRPr="00716539" w:rsidRDefault="006346FE" w:rsidP="00D40E04">
                      <w:pPr>
                        <w:spacing w:after="0"/>
                        <w:rPr>
                          <w:color w:val="62777F"/>
                        </w:rPr>
                      </w:pPr>
                      <w:r w:rsidRPr="00904E0B">
                        <w:rPr>
                          <w:rFonts w:asciiTheme="minorHAnsi" w:hAnsiTheme="minorHAnsi" w:cs="OpenSans-Bold"/>
                          <w:b/>
                          <w:bCs/>
                          <w:color w:val="62777F"/>
                          <w:spacing w:val="-2"/>
                          <w:sz w:val="32"/>
                          <w:szCs w:val="32"/>
                        </w:rPr>
                        <w:t>© ISO New England Inc</w:t>
                      </w:r>
                      <w:proofErr w:type="gramStart"/>
                      <w:r w:rsidRPr="00904E0B">
                        <w:rPr>
                          <w:rFonts w:asciiTheme="minorHAnsi" w:hAnsiTheme="minorHAnsi" w:cs="OpenSans-Bold"/>
                          <w:b/>
                          <w:bCs/>
                          <w:color w:val="62777F"/>
                          <w:spacing w:val="-2"/>
                          <w:sz w:val="32"/>
                          <w:szCs w:val="32"/>
                        </w:rPr>
                        <w:t>.</w:t>
                      </w:r>
                      <w:proofErr w:type="gramEnd"/>
                      <w:r w:rsidRPr="00904E0B">
                        <w:rPr>
                          <w:rFonts w:asciiTheme="minorHAnsi" w:hAnsiTheme="minorHAnsi" w:cs="OpenSans-Bold"/>
                          <w:b/>
                          <w:bCs/>
                          <w:color w:val="62777F"/>
                          <w:spacing w:val="-2"/>
                          <w:sz w:val="32"/>
                          <w:szCs w:val="32"/>
                        </w:rPr>
                        <w:br/>
                      </w:r>
                      <w:r w:rsidRPr="00B0316B">
                        <w:rPr>
                          <w:rFonts w:asciiTheme="minorHAnsi" w:hAnsiTheme="minorHAnsi" w:cs="OpenSans-Bold"/>
                          <w:b/>
                          <w:bCs/>
                          <w:color w:val="62777F"/>
                          <w:spacing w:val="-2"/>
                          <w:sz w:val="32"/>
                          <w:szCs w:val="32"/>
                        </w:rPr>
                        <w:t>System Planning</w:t>
                      </w:r>
                      <w:r w:rsidRPr="00B0316B">
                        <w:rPr>
                          <w:rFonts w:asciiTheme="minorHAnsi" w:hAnsiTheme="minorHAnsi" w:cs="OpenSans-Bold"/>
                          <w:b/>
                          <w:bCs/>
                          <w:color w:val="62777F"/>
                          <w:spacing w:val="-2"/>
                          <w:sz w:val="32"/>
                          <w:szCs w:val="32"/>
                        </w:rPr>
                        <w:br/>
                      </w:r>
                      <w:r w:rsidRPr="003A449D">
                        <w:rPr>
                          <w:rFonts w:asciiTheme="minorHAnsi" w:hAnsiTheme="minorHAnsi" w:cs="OpenSans-Bold"/>
                          <w:b/>
                          <w:bCs/>
                          <w:caps/>
                          <w:color w:val="62777F"/>
                          <w:sz w:val="24"/>
                          <w:szCs w:val="24"/>
                        </w:rPr>
                        <w:t xml:space="preserve">August </w:t>
                      </w:r>
                      <w:r>
                        <w:rPr>
                          <w:rFonts w:asciiTheme="minorHAnsi" w:hAnsiTheme="minorHAnsi" w:cs="OpenSans-Bold"/>
                          <w:b/>
                          <w:bCs/>
                          <w:caps/>
                          <w:color w:val="62777F"/>
                          <w:sz w:val="24"/>
                          <w:szCs w:val="24"/>
                        </w:rPr>
                        <w:t>29, 2017</w:t>
                      </w:r>
                    </w:p>
                  </w:txbxContent>
                </v:textbox>
              </v:shape>
            </w:pict>
          </mc:Fallback>
        </mc:AlternateContent>
      </w:r>
      <w:r>
        <w:rPr>
          <w:rFonts w:ascii="Calibri" w:hAnsi="Calibri" w:cs="OpenSans-Bold"/>
          <w:b w:val="0"/>
          <w:bCs w:val="0"/>
          <w:noProof/>
          <w:color w:val="3D484C"/>
          <w:sz w:val="80"/>
          <w:szCs w:val="80"/>
        </w:rPr>
        <mc:AlternateContent>
          <mc:Choice Requires="wps">
            <w:drawing>
              <wp:anchor distT="0" distB="0" distL="114300" distR="114300" simplePos="0" relativeHeight="251715584" behindDoc="0" locked="0" layoutInCell="1" allowOverlap="1" wp14:anchorId="42B2979D" wp14:editId="586F46BD">
                <wp:simplePos x="0" y="0"/>
                <wp:positionH relativeFrom="column">
                  <wp:posOffset>-915035</wp:posOffset>
                </wp:positionH>
                <wp:positionV relativeFrom="paragraph">
                  <wp:posOffset>4832350</wp:posOffset>
                </wp:positionV>
                <wp:extent cx="7315200" cy="309880"/>
                <wp:effectExtent l="0" t="0" r="0" b="0"/>
                <wp:wrapSquare wrapText="bothSides"/>
                <wp:docPr id="29"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315200" cy="30988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w15="http://schemas.microsoft.com/office/word/2012/wordml"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6346FE" w:rsidRPr="00716539" w:rsidRDefault="006346FE" w:rsidP="009D1B23">
                            <w:pPr>
                              <w:widowControl w:val="0"/>
                              <w:suppressAutoHyphens/>
                              <w:autoSpaceDE w:val="0"/>
                              <w:autoSpaceDN w:val="0"/>
                              <w:adjustRightInd w:val="0"/>
                              <w:jc w:val="center"/>
                              <w:textAlignment w:val="center"/>
                              <w:rPr>
                                <w:rFonts w:ascii="Calibri" w:hAnsi="Calibri" w:cs="OpenSans-Bold"/>
                                <w:b/>
                                <w:bCs/>
                                <w:caps/>
                                <w:color w:val="62777F"/>
                                <w:sz w:val="14"/>
                                <w:szCs w:val="14"/>
                              </w:rPr>
                            </w:pPr>
                            <w:r w:rsidRPr="00716539">
                              <w:rPr>
                                <w:rFonts w:ascii="Calibri" w:hAnsi="Calibri" w:cs="OpenSans-Bold"/>
                                <w:b/>
                                <w:bCs/>
                                <w:caps/>
                                <w:color w:val="62777F"/>
                                <w:sz w:val="14"/>
                                <w:szCs w:val="14"/>
                              </w:rPr>
                              <w:t xml:space="preserve">ISO-NE </w:t>
                            </w:r>
                            <w:r>
                              <w:rPr>
                                <w:rFonts w:ascii="Calibri" w:hAnsi="Calibri" w:cs="OpenSans-Bold"/>
                                <w:b/>
                                <w:bCs/>
                                <w:caps/>
                                <w:color w:val="62777F"/>
                                <w:sz w:val="14"/>
                                <w:szCs w:val="14"/>
                              </w:rPr>
                              <w:t>public USE</w:t>
                            </w:r>
                          </w:p>
                          <w:p w:rsidR="006346FE" w:rsidRPr="004759C4" w:rsidRDefault="006346FE" w:rsidP="009D1B23">
                            <w:pPr>
                              <w:rPr>
                                <w:rFonts w:ascii="Calibri" w:hAnsi="Calibri"/>
                                <w:color w:val="787B7F"/>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29" o:spid="_x0000_s1027" type="#_x0000_t202" style="position:absolute;margin-left:-72.05pt;margin-top:380.5pt;width:8in;height:24.4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xYxuwIAAMUFAAAOAAAAZHJzL2Uyb0RvYy54bWysVFtv2jAUfp+0/2D5nSah0ELUUKVUTJNQ&#10;W62d+mwcu0RNfDzbQNi0/75jJwHW7aXTXhL7+Du371yurpu6IlthbAkqo8lZTIlQHIpSvWT069Ni&#10;MKHEOqYKVoESGd0LS69nHz9c7XQqhrCGqhCGoBFl053O6No5nUaR5WtRM3sGWih8lGBq5vBqXqLC&#10;sB1ar6toGMcX0Q5MoQ1wYS1Kb9tHOgv2pRTc3UtphSNVRjE2F74mfFf+G82uWPpimF6XvAuD/UMU&#10;NSsVOj2YumWOkY0p/zBVl9yABenOONQRSFlyEXLAbJL4TTaPa6ZFyAXJsfpAk/1/Zvnd9sGQssjo&#10;cEqJYjXW6Ek0jtxAQ1CE/Oy0TRH2qBHoGpRjnUOuVi+Bv1qERCeYVsEi2vPRSFP7P2ZKUBFLsD/Q&#10;7t1wFF6eJ2OsJSUc387j6WQS6hIdtbWx7pOAmvhDRg2WNUTAtkvrvH+W9hDvTMGirKpQ2kr9JkBg&#10;KxGhN1ptlmIkePRIH1Oo24/5+HKYX46ng4t8nAxGSTwZ5Hk8HNwu8jiPR4v5dHTz0/ODNnv9wEOb&#10;umfEun0lvNVKfRESWQ4MeEHobzGvDNky7EzGuVAu6awFtEdJzOI9ih0+5BHye49yywhqBM+g3EG5&#10;LhWYtuJ+LI9hF699yLLFd53Q5e0pcM2qCe0VkF6ygmKPnWSgnUWr+aLEqi6ZdQ/M4PBhI+BCcff4&#10;kRXsMgrdiZI1mO9/k3s8zgS+UrLDYc6o/bZhRlBSfVY4LdNkNPLTHy4jLCxezOnL6vRFbeo5YFUS&#10;XF2ah6PHu6o/SgP1M+6d3HvFJ6Y4+s6o649z164Y3Ftc5HkA4bxr5pbqUfN+gHzPPjXPzOiusR02&#10;0h30Y8/SN/3dYn19FOQbB7IMzX9kteMfd0Voy26v+WV0eg+o4/ad/QIAAP//AwBQSwMEFAAGAAgA&#10;AAAhAHl8XL7hAAAADQEAAA8AAABkcnMvZG93bnJldi54bWxMj9FKwzAUhu8F3yGcgXdbUhlbV5sO&#10;EYYi3lj3AFmTNaXNSWiStvr0Zld6eTgf///95XExA5nU6DuLHLINA6KwsbLDlsP567TOgfggUIrB&#10;ouLwrTwcq/u7UhTSzvippjq0JIWgLwQHHYIrKPWNVkb4jXUK0+9qRyNCOseWylHMKdwM9JGxHTWi&#10;w9SghVMvWjV9HQ2HU3x9M9MPje69bmbUro/nj57zh9Xy/AQkqCX8wXDTT+pQJaeLjSg9GTiss+02&#10;SyyH/S5Lq24IY/sDkAuHnB1yoFVJ/6+ofgEAAP//AwBQSwECLQAUAAYACAAAACEAtoM4kv4AAADh&#10;AQAAEwAAAAAAAAAAAAAAAAAAAAAAW0NvbnRlbnRfVHlwZXNdLnhtbFBLAQItABQABgAIAAAAIQA4&#10;/SH/1gAAAJQBAAALAAAAAAAAAAAAAAAAAC8BAABfcmVscy8ucmVsc1BLAQItABQABgAIAAAAIQDG&#10;qxYxuwIAAMUFAAAOAAAAAAAAAAAAAAAAAC4CAABkcnMvZTJvRG9jLnhtbFBLAQItABQABgAIAAAA&#10;IQB5fFy+4QAAAA0BAAAPAAAAAAAAAAAAAAAAABUFAABkcnMvZG93bnJldi54bWxQSwUGAAAAAAQA&#10;BADzAAAAIwYAAAAA&#10;" filled="f" stroked="f">
                <v:path arrowok="t"/>
                <v:textbox>
                  <w:txbxContent>
                    <w:p w:rsidR="006346FE" w:rsidRPr="00716539" w:rsidRDefault="006346FE" w:rsidP="009D1B23">
                      <w:pPr>
                        <w:widowControl w:val="0"/>
                        <w:suppressAutoHyphens/>
                        <w:autoSpaceDE w:val="0"/>
                        <w:autoSpaceDN w:val="0"/>
                        <w:adjustRightInd w:val="0"/>
                        <w:jc w:val="center"/>
                        <w:textAlignment w:val="center"/>
                        <w:rPr>
                          <w:rFonts w:ascii="Calibri" w:hAnsi="Calibri" w:cs="OpenSans-Bold"/>
                          <w:b/>
                          <w:bCs/>
                          <w:caps/>
                          <w:color w:val="62777F"/>
                          <w:sz w:val="14"/>
                          <w:szCs w:val="14"/>
                        </w:rPr>
                      </w:pPr>
                      <w:r w:rsidRPr="00716539">
                        <w:rPr>
                          <w:rFonts w:ascii="Calibri" w:hAnsi="Calibri" w:cs="OpenSans-Bold"/>
                          <w:b/>
                          <w:bCs/>
                          <w:caps/>
                          <w:color w:val="62777F"/>
                          <w:sz w:val="14"/>
                          <w:szCs w:val="14"/>
                        </w:rPr>
                        <w:t xml:space="preserve">ISO-NE </w:t>
                      </w:r>
                      <w:r>
                        <w:rPr>
                          <w:rFonts w:ascii="Calibri" w:hAnsi="Calibri" w:cs="OpenSans-Bold"/>
                          <w:b/>
                          <w:bCs/>
                          <w:caps/>
                          <w:color w:val="62777F"/>
                          <w:sz w:val="14"/>
                          <w:szCs w:val="14"/>
                        </w:rPr>
                        <w:t>public USE</w:t>
                      </w:r>
                    </w:p>
                    <w:p w:rsidR="006346FE" w:rsidRPr="004759C4" w:rsidRDefault="006346FE" w:rsidP="009D1B23">
                      <w:pPr>
                        <w:rPr>
                          <w:rFonts w:ascii="Calibri" w:hAnsi="Calibri"/>
                          <w:color w:val="787B7F"/>
                          <w:sz w:val="14"/>
                          <w:szCs w:val="14"/>
                        </w:rPr>
                      </w:pPr>
                    </w:p>
                  </w:txbxContent>
                </v:textbox>
                <w10:wrap type="square"/>
              </v:shape>
            </w:pict>
          </mc:Fallback>
        </mc:AlternateContent>
      </w:r>
    </w:p>
    <w:p w:rsidR="00F53B24" w:rsidRPr="00DA4E63" w:rsidRDefault="00F53B24" w:rsidP="00B0316B">
      <w:pPr>
        <w:pStyle w:val="TofCHeading"/>
        <w:spacing w:after="120"/>
        <w:jc w:val="left"/>
        <w:outlineLvl w:val="9"/>
        <w:rPr>
          <w:rFonts w:asciiTheme="minorHAnsi" w:hAnsiTheme="minorHAnsi"/>
          <w:b w:val="0"/>
          <w:color w:val="1E6A9A" w:themeColor="text2"/>
          <w:sz w:val="20"/>
          <w:szCs w:val="20"/>
        </w:rPr>
        <w:sectPr w:rsidR="00F53B24" w:rsidRPr="00DA4E63" w:rsidSect="00A35E2B">
          <w:type w:val="continuous"/>
          <w:pgSz w:w="12240" w:h="15840"/>
          <w:pgMar w:top="1440" w:right="1440" w:bottom="1440" w:left="1800" w:header="720" w:footer="720" w:gutter="0"/>
          <w:pgNumType w:fmt="lowerRoman" w:start="1"/>
          <w:cols w:space="720"/>
          <w:docGrid w:linePitch="360"/>
        </w:sectPr>
      </w:pPr>
    </w:p>
    <w:p w:rsidR="00945B03" w:rsidRDefault="00945B03" w:rsidP="00BC0DD2">
      <w:pPr>
        <w:pStyle w:val="TofCHeading"/>
        <w:spacing w:after="120"/>
        <w:jc w:val="left"/>
        <w:outlineLvl w:val="9"/>
        <w:rPr>
          <w:rFonts w:asciiTheme="minorHAnsi" w:hAnsiTheme="minorHAnsi"/>
          <w:color w:val="0C95D2"/>
          <w:szCs w:val="36"/>
        </w:rPr>
      </w:pPr>
    </w:p>
    <w:p w:rsidR="004C610F" w:rsidRDefault="004C610F">
      <w:pPr>
        <w:spacing w:after="120"/>
        <w:rPr>
          <w:rFonts w:asciiTheme="minorHAnsi" w:hAnsiTheme="minorHAnsi"/>
          <w:color w:val="0C95D2"/>
          <w:szCs w:val="36"/>
        </w:rPr>
        <w:sectPr w:rsidR="004C610F" w:rsidSect="001567F0">
          <w:headerReference w:type="default" r:id="rId17"/>
          <w:footerReference w:type="default" r:id="rId18"/>
          <w:pgSz w:w="12240" w:h="15840"/>
          <w:pgMar w:top="1440" w:right="1440" w:bottom="1440" w:left="1800" w:header="720" w:footer="720" w:gutter="0"/>
          <w:pgNumType w:fmt="lowerRoman"/>
          <w:cols w:space="720"/>
          <w:docGrid w:linePitch="360"/>
        </w:sectPr>
      </w:pPr>
    </w:p>
    <w:p w:rsidR="004C610F" w:rsidRDefault="004C610F">
      <w:pPr>
        <w:spacing w:after="120"/>
        <w:rPr>
          <w:rFonts w:asciiTheme="minorHAnsi" w:hAnsiTheme="minorHAnsi"/>
          <w:color w:val="0C95D2"/>
          <w:szCs w:val="36"/>
        </w:rPr>
        <w:sectPr w:rsidR="004C610F" w:rsidSect="004C610F">
          <w:type w:val="continuous"/>
          <w:pgSz w:w="12240" w:h="15840"/>
          <w:pgMar w:top="1440" w:right="1440" w:bottom="1440" w:left="1800" w:header="720" w:footer="720" w:gutter="0"/>
          <w:pgNumType w:fmt="lowerRoman"/>
          <w:cols w:space="720"/>
          <w:docGrid w:linePitch="360"/>
        </w:sectPr>
      </w:pPr>
    </w:p>
    <w:p w:rsidR="00850C02" w:rsidRPr="008C779F" w:rsidRDefault="00850C02" w:rsidP="00850C02">
      <w:pPr>
        <w:pStyle w:val="TofCHeading"/>
        <w:spacing w:after="120"/>
        <w:jc w:val="left"/>
        <w:rPr>
          <w:rFonts w:asciiTheme="minorHAnsi" w:hAnsiTheme="minorHAnsi"/>
          <w:color w:val="0C95D2"/>
          <w:sz w:val="20"/>
          <w:szCs w:val="20"/>
        </w:rPr>
      </w:pPr>
      <w:bookmarkStart w:id="15" w:name="_Toc490322987"/>
      <w:r w:rsidRPr="008C779F">
        <w:rPr>
          <w:rFonts w:asciiTheme="minorHAnsi" w:hAnsiTheme="minorHAnsi"/>
          <w:color w:val="0C95D2"/>
          <w:szCs w:val="36"/>
        </w:rPr>
        <w:lastRenderedPageBreak/>
        <w:t>Preface</w:t>
      </w:r>
      <w:bookmarkEnd w:id="15"/>
      <w:r w:rsidR="00884677">
        <w:rPr>
          <w:rFonts w:asciiTheme="minorHAnsi" w:hAnsiTheme="minorHAnsi"/>
          <w:color w:val="0C95D2"/>
          <w:szCs w:val="36"/>
        </w:rPr>
        <w:t xml:space="preserve"> </w:t>
      </w:r>
    </w:p>
    <w:p w:rsidR="005239A4" w:rsidRPr="003C4E05" w:rsidRDefault="005239A4" w:rsidP="005239A4">
      <w:r w:rsidRPr="001C3362">
        <w:t>ISO New England Inc. (ISO) is the not-for-profit corporation responsible for the reliable and economical</w:t>
      </w:r>
      <w:r w:rsidRPr="003C4E05">
        <w:t xml:space="preserve"> operation of New England’s electric power system. It also administers the region’s wholesale electricity markets and manages the comprehensive planning of the regional power system. The planning process includes the </w:t>
      </w:r>
      <w:r>
        <w:t xml:space="preserve">periodic </w:t>
      </w:r>
      <w:r w:rsidRPr="003C4E05">
        <w:t xml:space="preserve">preparation of a Regional System Plan (RSP) in accordance with the ISO’s </w:t>
      </w:r>
      <w:r w:rsidRPr="003C4E05">
        <w:rPr>
          <w:i/>
        </w:rPr>
        <w:t xml:space="preserve">Open Access Transmission Tariff </w:t>
      </w:r>
      <w:r w:rsidRPr="003C4E05">
        <w:t xml:space="preserve">(OATT) and other parts of the </w:t>
      </w:r>
      <w:r w:rsidRPr="003C4E05">
        <w:rPr>
          <w:i/>
          <w:iCs/>
        </w:rPr>
        <w:t xml:space="preserve">Transmission, Markets, and Services Tariff </w:t>
      </w:r>
      <w:r w:rsidRPr="003C4E05">
        <w:rPr>
          <w:iCs/>
        </w:rPr>
        <w:t>(the ISO tariff)</w:t>
      </w:r>
      <w:r w:rsidRPr="003C4E05">
        <w:t>, approved by the Federal Energy Regulatory Commissio</w:t>
      </w:r>
      <w:r>
        <w:t xml:space="preserve">n (FERC). Regional System Plans </w:t>
      </w:r>
      <w:r w:rsidRPr="003C4E05">
        <w:t>meet the tariff requirements</w:t>
      </w:r>
      <w:r>
        <w:t xml:space="preserve"> </w:t>
      </w:r>
      <w:r w:rsidRPr="003C4E05">
        <w:t xml:space="preserve">by </w:t>
      </w:r>
      <w:r>
        <w:t xml:space="preserve">summarizing planning activities that </w:t>
      </w:r>
      <w:r w:rsidRPr="003C4E05">
        <w:t>includ</w:t>
      </w:r>
      <w:r>
        <w:t>e</w:t>
      </w:r>
      <w:r w:rsidRPr="003C4E05">
        <w:t xml:space="preserve"> the following:</w:t>
      </w:r>
    </w:p>
    <w:p w:rsidR="005239A4" w:rsidRPr="0043615A" w:rsidRDefault="005239A4" w:rsidP="003E4436">
      <w:pPr>
        <w:numPr>
          <w:ilvl w:val="0"/>
          <w:numId w:val="21"/>
        </w:numPr>
        <w:spacing w:after="120"/>
        <w:rPr>
          <w:color w:val="000000"/>
        </w:rPr>
      </w:pPr>
      <w:r w:rsidRPr="0043615A">
        <w:rPr>
          <w:color w:val="000000"/>
        </w:rPr>
        <w:t>Forecasts of annual energy use and peak loads (i.e., the demand for electricity) for a 10-year planning horizon and the need for resources (i.e., capacity)</w:t>
      </w:r>
    </w:p>
    <w:p w:rsidR="005239A4" w:rsidRPr="0043615A" w:rsidRDefault="005239A4" w:rsidP="003E4436">
      <w:pPr>
        <w:numPr>
          <w:ilvl w:val="0"/>
          <w:numId w:val="21"/>
        </w:numPr>
        <w:spacing w:after="120"/>
        <w:rPr>
          <w:color w:val="000000"/>
        </w:rPr>
      </w:pPr>
      <w:r w:rsidRPr="0043615A">
        <w:rPr>
          <w:color w:val="000000"/>
        </w:rPr>
        <w:t xml:space="preserve">Information about the amounts, locations, and characteristics of market responses (e.g., </w:t>
      </w:r>
      <w:r w:rsidRPr="00B0316B">
        <w:rPr>
          <w:color w:val="000000"/>
        </w:rPr>
        <w:t>generation or demand resources or elective transmission upgrades) that can meet the</w:t>
      </w:r>
      <w:r w:rsidRPr="0043615A">
        <w:rPr>
          <w:color w:val="000000"/>
        </w:rPr>
        <w:t xml:space="preserve"> defined system needs—systemwide and in specific areas </w:t>
      </w:r>
    </w:p>
    <w:p w:rsidR="005239A4" w:rsidRPr="0043615A" w:rsidRDefault="005239A4" w:rsidP="003E4436">
      <w:pPr>
        <w:numPr>
          <w:ilvl w:val="0"/>
          <w:numId w:val="21"/>
        </w:numPr>
        <w:rPr>
          <w:color w:val="000000"/>
        </w:rPr>
      </w:pPr>
      <w:r w:rsidRPr="0043615A">
        <w:rPr>
          <w:color w:val="000000"/>
        </w:rPr>
        <w:t xml:space="preserve">Descriptions of transmission projects for the region that meet the identified needs, as summarized in an </w:t>
      </w:r>
      <w:r w:rsidRPr="0043615A">
        <w:rPr>
          <w:i/>
          <w:color w:val="000000"/>
        </w:rPr>
        <w:t>RSP Project List</w:t>
      </w:r>
      <w:r w:rsidRPr="0043615A">
        <w:rPr>
          <w:color w:val="000000"/>
        </w:rPr>
        <w:t>, which includes information on project status and cost estimates and is updated several times each year.</w:t>
      </w:r>
    </w:p>
    <w:p w:rsidR="005239A4" w:rsidRPr="003C4E05" w:rsidRDefault="005239A4" w:rsidP="005239A4">
      <w:r w:rsidRPr="003C4E05">
        <w:t>RSPs also must summarize the ISO’s coordination of its system plans with those of neighboring systems, the results of economic studies of the New England power system, and information that can be used for improving the design of the regional wholesale electricity markets. In addition to these requirements, RSPs identify other actions taken by the ISO, state officials, regional policymakers, participating transmission owners (PTOs), New England Power Pool (NEPOOL) members, market participants, and other stakeholders to meet or modify the needs of the system.</w:t>
      </w:r>
    </w:p>
    <w:p w:rsidR="005239A4" w:rsidRPr="003C4E05" w:rsidRDefault="005239A4" w:rsidP="005239A4">
      <w:r w:rsidRPr="003C4E05">
        <w:t xml:space="preserve">The regional system planning process in New England is open and transparent and reflects advisory input from regional stakeholders, particularly members of the Planning Advisory Committee (PAC), according to the requirements specified in the OATT. The PAC is open to all entities interested in regional system planning activities in New England. </w:t>
      </w:r>
      <w:r>
        <w:t xml:space="preserve">The ISO appreciates the robust input provided by stakeholders, which makes this report possible. </w:t>
      </w:r>
    </w:p>
    <w:p w:rsidR="005239A4" w:rsidRDefault="005239A4" w:rsidP="005239A4">
      <w:r w:rsidRPr="003C4E05">
        <w:t xml:space="preserve">The </w:t>
      </w:r>
      <w:r w:rsidRPr="003C4E05">
        <w:rPr>
          <w:i/>
        </w:rPr>
        <w:t>201</w:t>
      </w:r>
      <w:r>
        <w:rPr>
          <w:i/>
        </w:rPr>
        <w:t>7</w:t>
      </w:r>
      <w:r w:rsidRPr="003C4E05">
        <w:rPr>
          <w:i/>
        </w:rPr>
        <w:t xml:space="preserve"> Regional System Plan</w:t>
      </w:r>
      <w:r>
        <w:t xml:space="preserve"> (RSP17</w:t>
      </w:r>
      <w:r w:rsidRPr="003C4E05">
        <w:t>) and the regional system planning process identify the region’s electricity needs and plans for meeting these needs for 201</w:t>
      </w:r>
      <w:r>
        <w:t>7</w:t>
      </w:r>
      <w:r w:rsidRPr="003C4E05">
        <w:t xml:space="preserve"> through 202</w:t>
      </w:r>
      <w:r>
        <w:t>6</w:t>
      </w:r>
      <w:r w:rsidRPr="003C4E05">
        <w:t xml:space="preserve">. </w:t>
      </w:r>
      <w:r>
        <w:t>RSP17 updates the RSP15 report by discussing s</w:t>
      </w:r>
      <w:r w:rsidRPr="003C4E05">
        <w:t>tudy proposals, scopes of work, ass</w:t>
      </w:r>
      <w:r>
        <w:t xml:space="preserve">umptions, draft and final study </w:t>
      </w:r>
      <w:r w:rsidRPr="003C4E05">
        <w:t>results, and other materials</w:t>
      </w:r>
      <w:r>
        <w:t xml:space="preserve">. </w:t>
      </w:r>
      <w:r w:rsidRPr="003C4E05">
        <w:t>RSP1</w:t>
      </w:r>
      <w:r>
        <w:t>7</w:t>
      </w:r>
      <w:r w:rsidRPr="003C4E05">
        <w:t xml:space="preserve"> </w:t>
      </w:r>
      <w:r>
        <w:t xml:space="preserve">planning activities </w:t>
      </w:r>
      <w:r w:rsidRPr="003C4E05">
        <w:t xml:space="preserve">were </w:t>
      </w:r>
      <w:r>
        <w:t>reviewed</w:t>
      </w:r>
      <w:r w:rsidRPr="003C4E05">
        <w:t xml:space="preserve"> </w:t>
      </w:r>
      <w:r>
        <w:t>at</w:t>
      </w:r>
      <w:r w:rsidRPr="003C4E05">
        <w:t xml:space="preserve"> PAC meetings held from September 201</w:t>
      </w:r>
      <w:r>
        <w:t>5</w:t>
      </w:r>
      <w:r w:rsidRPr="003C4E05">
        <w:t xml:space="preserve"> </w:t>
      </w:r>
      <w:r w:rsidR="005D0C00">
        <w:t>through</w:t>
      </w:r>
      <w:r w:rsidR="005D0C00" w:rsidRPr="003C4E05">
        <w:t xml:space="preserve"> </w:t>
      </w:r>
      <w:r w:rsidRPr="003C4E05">
        <w:t>August 201</w:t>
      </w:r>
      <w:r>
        <w:t>7</w:t>
      </w:r>
      <w:r w:rsidRPr="003C4E05">
        <w:t xml:space="preserve">. The ISO also posted to its website PAC presentations, meeting minutes, reports, </w:t>
      </w:r>
      <w:r w:rsidR="005D0C00">
        <w:t>study base</w:t>
      </w:r>
      <w:r w:rsidR="002E26E4">
        <w:t xml:space="preserve"> </w:t>
      </w:r>
      <w:r w:rsidR="005D0C00">
        <w:t xml:space="preserve">cases, </w:t>
      </w:r>
      <w:r w:rsidRPr="003C4E05">
        <w:t>databases, and other materials for stakeholder review</w:t>
      </w:r>
      <w:r w:rsidR="005D0C00">
        <w:t xml:space="preserve"> and use</w:t>
      </w:r>
      <w:r w:rsidRPr="003C4E05">
        <w:t xml:space="preserve">. On August </w:t>
      </w:r>
      <w:r>
        <w:t>3</w:t>
      </w:r>
      <w:r w:rsidRPr="008E3117">
        <w:t>, 201</w:t>
      </w:r>
      <w:r>
        <w:t>7</w:t>
      </w:r>
      <w:r w:rsidRPr="003C4E05">
        <w:t>, the ISO and the PAC discussed stakeholder comments on an earlier draft of RSP1</w:t>
      </w:r>
      <w:r>
        <w:t>7</w:t>
      </w:r>
      <w:r w:rsidRPr="003C4E05">
        <w:t xml:space="preserve">, </w:t>
      </w:r>
      <w:r w:rsidR="00A26C8A" w:rsidRPr="00BC0DD2">
        <w:t>[</w:t>
      </w:r>
      <w:r w:rsidRPr="00BC0DD2">
        <w:t>and the ISO held a public meeting on September 14, 2017, to discuss RSP17 and other planning issues facing the New England region.</w:t>
      </w:r>
      <w:r w:rsidR="00EA77F6" w:rsidRPr="00BC0DD2">
        <w:t>]</w:t>
      </w:r>
      <w:r>
        <w:t xml:space="preserve"> </w:t>
      </w:r>
    </w:p>
    <w:p w:rsidR="005239A4" w:rsidRDefault="005239A4" w:rsidP="005239A4">
      <w:pPr>
        <w:rPr>
          <w:color w:val="211D1E"/>
        </w:rPr>
      </w:pPr>
      <w:r>
        <w:t>Through the planning process</w:t>
      </w:r>
      <w:r w:rsidR="009144C9">
        <w:t>,</w:t>
      </w:r>
      <w:r>
        <w:t xml:space="preserve"> the ISO demonstrates compliance with all planning criteria and regulatory requirements</w:t>
      </w:r>
      <w:r w:rsidRPr="00BC0DD2">
        <w:t>.</w:t>
      </w:r>
      <w:r w:rsidRPr="00BC0DD2">
        <w:rPr>
          <w:color w:val="211D1E"/>
        </w:rPr>
        <w:t xml:space="preserve"> [As required by the OATT Attachment K, the ISO New England Board of Directors has approved the </w:t>
      </w:r>
      <w:r w:rsidRPr="00BC0DD2">
        <w:rPr>
          <w:i/>
          <w:color w:val="211D1E"/>
        </w:rPr>
        <w:t>2017 Regional System Plan.</w:t>
      </w:r>
      <w:r w:rsidRPr="00BC0DD2">
        <w:rPr>
          <w:color w:val="211D1E"/>
        </w:rPr>
        <w:t>]</w:t>
      </w:r>
      <w:r>
        <w:rPr>
          <w:color w:val="211D1E"/>
        </w:rPr>
        <w:t xml:space="preserve"> </w:t>
      </w:r>
    </w:p>
    <w:p w:rsidR="00867811" w:rsidRDefault="00867811" w:rsidP="00D24A34">
      <w:pPr>
        <w:rPr>
          <w:color w:val="211D1E"/>
        </w:rPr>
        <w:sectPr w:rsidR="00867811" w:rsidSect="001567F0">
          <w:headerReference w:type="default" r:id="rId19"/>
          <w:footerReference w:type="default" r:id="rId20"/>
          <w:pgSz w:w="12240" w:h="15840"/>
          <w:pgMar w:top="1440" w:right="1440" w:bottom="1440" w:left="1800" w:header="720" w:footer="720" w:gutter="0"/>
          <w:pgNumType w:fmt="lowerRoman"/>
          <w:cols w:space="720"/>
          <w:docGrid w:linePitch="360"/>
        </w:sectPr>
      </w:pPr>
    </w:p>
    <w:p w:rsidR="00475411" w:rsidRPr="008D5E64" w:rsidRDefault="00475411" w:rsidP="00D24A34">
      <w:pPr>
        <w:rPr>
          <w:color w:val="211D1E"/>
        </w:rPr>
        <w:sectPr w:rsidR="00475411" w:rsidRPr="008D5E64" w:rsidSect="001567F0">
          <w:headerReference w:type="default" r:id="rId21"/>
          <w:footerReference w:type="default" r:id="rId22"/>
          <w:pgSz w:w="12240" w:h="15840"/>
          <w:pgMar w:top="1440" w:right="1440" w:bottom="1440" w:left="1800" w:header="720" w:footer="720" w:gutter="0"/>
          <w:pgNumType w:fmt="lowerRoman"/>
          <w:cols w:space="720"/>
          <w:docGrid w:linePitch="360"/>
        </w:sectPr>
      </w:pPr>
    </w:p>
    <w:p w:rsidR="00EF1A1F" w:rsidRPr="00EF1A1F" w:rsidRDefault="006229A8" w:rsidP="00D945E2">
      <w:pPr>
        <w:pStyle w:val="Heading1"/>
        <w:numPr>
          <w:ilvl w:val="0"/>
          <w:numId w:val="0"/>
        </w:numPr>
      </w:pPr>
      <w:bookmarkStart w:id="16" w:name="_Toc422904494"/>
      <w:bookmarkStart w:id="17" w:name="_Toc428516333"/>
      <w:bookmarkStart w:id="18" w:name="_Toc429063348"/>
      <w:bookmarkStart w:id="19" w:name="_Toc481676744"/>
      <w:bookmarkStart w:id="20" w:name="_Toc482013887"/>
      <w:bookmarkStart w:id="21" w:name="_Toc484101683"/>
      <w:bookmarkStart w:id="22" w:name="_Toc484355998"/>
      <w:bookmarkStart w:id="23" w:name="_Toc485656662"/>
      <w:bookmarkStart w:id="24" w:name="_Toc485803787"/>
      <w:bookmarkStart w:id="25" w:name="_Toc486321215"/>
      <w:bookmarkStart w:id="26" w:name="_Toc490322988"/>
      <w:r w:rsidRPr="00066D33">
        <w:lastRenderedPageBreak/>
        <w:t>Contents</w:t>
      </w:r>
      <w:bookmarkEnd w:id="6"/>
      <w:bookmarkEnd w:id="7"/>
      <w:bookmarkEnd w:id="8"/>
      <w:bookmarkEnd w:id="9"/>
      <w:bookmarkEnd w:id="10"/>
      <w:bookmarkEnd w:id="11"/>
      <w:bookmarkEnd w:id="12"/>
      <w:bookmarkEnd w:id="13"/>
      <w:bookmarkEnd w:id="14"/>
      <w:bookmarkEnd w:id="16"/>
      <w:bookmarkEnd w:id="17"/>
      <w:bookmarkEnd w:id="18"/>
      <w:bookmarkEnd w:id="19"/>
      <w:bookmarkEnd w:id="20"/>
      <w:bookmarkEnd w:id="21"/>
      <w:bookmarkEnd w:id="22"/>
      <w:bookmarkEnd w:id="23"/>
      <w:bookmarkEnd w:id="24"/>
      <w:bookmarkEnd w:id="25"/>
      <w:bookmarkEnd w:id="26"/>
    </w:p>
    <w:p w:rsidR="00066D33" w:rsidRDefault="00D945E2">
      <w:pPr>
        <w:pStyle w:val="TOC1"/>
        <w:rPr>
          <w:rFonts w:asciiTheme="minorHAnsi" w:eastAsiaTheme="minorEastAsia" w:hAnsiTheme="minorHAnsi" w:cstheme="minorBidi"/>
          <w:b w:val="0"/>
          <w:sz w:val="22"/>
          <w:szCs w:val="22"/>
        </w:rPr>
      </w:pPr>
      <w:r w:rsidRPr="00D945E2">
        <w:rPr>
          <w:rFonts w:eastAsia="Times New Roman"/>
        </w:rPr>
        <w:fldChar w:fldCharType="begin"/>
      </w:r>
      <w:r w:rsidRPr="00D945E2">
        <w:rPr>
          <w:rFonts w:eastAsia="Times New Roman"/>
        </w:rPr>
        <w:instrText xml:space="preserve"> TOC \o "1-3" \h \z \u </w:instrText>
      </w:r>
      <w:r w:rsidRPr="00D945E2">
        <w:rPr>
          <w:rFonts w:eastAsia="Times New Roman"/>
        </w:rPr>
        <w:fldChar w:fldCharType="separate"/>
      </w:r>
      <w:hyperlink w:anchor="_Toc490322987" w:history="1">
        <w:r w:rsidR="00066D33" w:rsidRPr="001E653C">
          <w:rPr>
            <w:rStyle w:val="Hyperlink"/>
          </w:rPr>
          <w:t>Preface</w:t>
        </w:r>
        <w:r w:rsidR="00066D33">
          <w:rPr>
            <w:webHidden/>
          </w:rPr>
          <w:tab/>
        </w:r>
        <w:r w:rsidR="00066D33">
          <w:rPr>
            <w:webHidden/>
          </w:rPr>
          <w:fldChar w:fldCharType="begin"/>
        </w:r>
        <w:r w:rsidR="00066D33">
          <w:rPr>
            <w:webHidden/>
          </w:rPr>
          <w:instrText xml:space="preserve"> PAGEREF _Toc490322987 \h </w:instrText>
        </w:r>
        <w:r w:rsidR="00066D33">
          <w:rPr>
            <w:webHidden/>
          </w:rPr>
        </w:r>
        <w:r w:rsidR="00066D33">
          <w:rPr>
            <w:webHidden/>
          </w:rPr>
          <w:fldChar w:fldCharType="separate"/>
        </w:r>
        <w:r w:rsidR="00B05C7E">
          <w:rPr>
            <w:webHidden/>
          </w:rPr>
          <w:t>iii</w:t>
        </w:r>
        <w:r w:rsidR="00066D33">
          <w:rPr>
            <w:webHidden/>
          </w:rPr>
          <w:fldChar w:fldCharType="end"/>
        </w:r>
      </w:hyperlink>
    </w:p>
    <w:p w:rsidR="00066D33" w:rsidRDefault="00CC063D">
      <w:pPr>
        <w:pStyle w:val="TOC1"/>
        <w:rPr>
          <w:rFonts w:asciiTheme="minorHAnsi" w:eastAsiaTheme="minorEastAsia" w:hAnsiTheme="minorHAnsi" w:cstheme="minorBidi"/>
          <w:b w:val="0"/>
          <w:sz w:val="22"/>
          <w:szCs w:val="22"/>
        </w:rPr>
      </w:pPr>
      <w:hyperlink w:anchor="_Toc490322989" w:history="1">
        <w:r w:rsidR="00066D33" w:rsidRPr="001E653C">
          <w:rPr>
            <w:rStyle w:val="Hyperlink"/>
          </w:rPr>
          <w:t>Figures</w:t>
        </w:r>
        <w:r w:rsidR="00066D33">
          <w:rPr>
            <w:webHidden/>
          </w:rPr>
          <w:tab/>
        </w:r>
        <w:r w:rsidR="00066D33">
          <w:rPr>
            <w:webHidden/>
          </w:rPr>
          <w:fldChar w:fldCharType="begin"/>
        </w:r>
        <w:r w:rsidR="00066D33">
          <w:rPr>
            <w:webHidden/>
          </w:rPr>
          <w:instrText xml:space="preserve"> PAGEREF _Toc490322989 \h </w:instrText>
        </w:r>
        <w:r w:rsidR="00066D33">
          <w:rPr>
            <w:webHidden/>
          </w:rPr>
        </w:r>
        <w:r w:rsidR="00066D33">
          <w:rPr>
            <w:webHidden/>
          </w:rPr>
          <w:fldChar w:fldCharType="separate"/>
        </w:r>
        <w:r w:rsidR="00B05C7E">
          <w:rPr>
            <w:webHidden/>
          </w:rPr>
          <w:t>ix</w:t>
        </w:r>
        <w:r w:rsidR="00066D33">
          <w:rPr>
            <w:webHidden/>
          </w:rPr>
          <w:fldChar w:fldCharType="end"/>
        </w:r>
      </w:hyperlink>
    </w:p>
    <w:p w:rsidR="00066D33" w:rsidRDefault="00CC063D">
      <w:pPr>
        <w:pStyle w:val="TOC1"/>
        <w:rPr>
          <w:rFonts w:asciiTheme="minorHAnsi" w:eastAsiaTheme="minorEastAsia" w:hAnsiTheme="minorHAnsi" w:cstheme="minorBidi"/>
          <w:b w:val="0"/>
          <w:sz w:val="22"/>
          <w:szCs w:val="22"/>
        </w:rPr>
      </w:pPr>
      <w:hyperlink w:anchor="_Toc490322990" w:history="1">
        <w:r w:rsidR="00066D33" w:rsidRPr="001E653C">
          <w:rPr>
            <w:rStyle w:val="Hyperlink"/>
          </w:rPr>
          <w:t>Tables</w:t>
        </w:r>
        <w:r w:rsidR="00066D33">
          <w:rPr>
            <w:webHidden/>
          </w:rPr>
          <w:tab/>
        </w:r>
        <w:r w:rsidR="00066D33">
          <w:rPr>
            <w:webHidden/>
          </w:rPr>
          <w:fldChar w:fldCharType="begin"/>
        </w:r>
        <w:r w:rsidR="00066D33">
          <w:rPr>
            <w:webHidden/>
          </w:rPr>
          <w:instrText xml:space="preserve"> PAGEREF _Toc490322990 \h </w:instrText>
        </w:r>
        <w:r w:rsidR="00066D33">
          <w:rPr>
            <w:webHidden/>
          </w:rPr>
        </w:r>
        <w:r w:rsidR="00066D33">
          <w:rPr>
            <w:webHidden/>
          </w:rPr>
          <w:fldChar w:fldCharType="separate"/>
        </w:r>
        <w:r w:rsidR="00B05C7E">
          <w:rPr>
            <w:webHidden/>
          </w:rPr>
          <w:t>xi</w:t>
        </w:r>
        <w:r w:rsidR="00066D33">
          <w:rPr>
            <w:webHidden/>
          </w:rPr>
          <w:fldChar w:fldCharType="end"/>
        </w:r>
      </w:hyperlink>
    </w:p>
    <w:p w:rsidR="00066D33" w:rsidRDefault="00CC063D">
      <w:pPr>
        <w:pStyle w:val="TOC1"/>
        <w:rPr>
          <w:rFonts w:asciiTheme="minorHAnsi" w:eastAsiaTheme="minorEastAsia" w:hAnsiTheme="minorHAnsi" w:cstheme="minorBidi"/>
          <w:b w:val="0"/>
          <w:sz w:val="22"/>
          <w:szCs w:val="22"/>
        </w:rPr>
      </w:pPr>
      <w:hyperlink w:anchor="_Toc490322991" w:history="1">
        <w:r w:rsidR="00066D33" w:rsidRPr="001E653C">
          <w:rPr>
            <w:rStyle w:val="Hyperlink"/>
          </w:rPr>
          <w:t>Section 1</w:t>
        </w:r>
        <w:r w:rsidR="00066D33">
          <w:rPr>
            <w:rStyle w:val="Hyperlink"/>
          </w:rPr>
          <w:br/>
        </w:r>
        <w:r w:rsidR="00066D33" w:rsidRPr="001E653C">
          <w:rPr>
            <w:rStyle w:val="Hyperlink"/>
          </w:rPr>
          <w:t>Executive Summary</w:t>
        </w:r>
        <w:r w:rsidR="00066D33">
          <w:rPr>
            <w:webHidden/>
          </w:rPr>
          <w:tab/>
        </w:r>
        <w:r w:rsidR="00066D33">
          <w:rPr>
            <w:webHidden/>
          </w:rPr>
          <w:fldChar w:fldCharType="begin"/>
        </w:r>
        <w:r w:rsidR="00066D33">
          <w:rPr>
            <w:webHidden/>
          </w:rPr>
          <w:instrText xml:space="preserve"> PAGEREF _Toc490322991 \h </w:instrText>
        </w:r>
        <w:r w:rsidR="00066D33">
          <w:rPr>
            <w:webHidden/>
          </w:rPr>
        </w:r>
        <w:r w:rsidR="00066D33">
          <w:rPr>
            <w:webHidden/>
          </w:rPr>
          <w:fldChar w:fldCharType="separate"/>
        </w:r>
        <w:r w:rsidR="00B05C7E">
          <w:rPr>
            <w:webHidden/>
          </w:rPr>
          <w:t>1</w:t>
        </w:r>
        <w:r w:rsidR="00066D33">
          <w:rPr>
            <w:webHidden/>
          </w:rPr>
          <w:fldChar w:fldCharType="end"/>
        </w:r>
      </w:hyperlink>
    </w:p>
    <w:p w:rsidR="00066D33" w:rsidRDefault="00CC063D">
      <w:pPr>
        <w:pStyle w:val="TOC2"/>
        <w:rPr>
          <w:rFonts w:asciiTheme="minorHAnsi" w:eastAsiaTheme="minorEastAsia" w:hAnsiTheme="minorHAnsi" w:cstheme="minorBidi"/>
          <w:bCs w:val="0"/>
          <w:iCs w:val="0"/>
          <w:sz w:val="22"/>
          <w:szCs w:val="22"/>
        </w:rPr>
      </w:pPr>
      <w:hyperlink w:anchor="_Toc490322992" w:history="1">
        <w:r w:rsidR="00066D33" w:rsidRPr="001E653C">
          <w:rPr>
            <w:rStyle w:val="Hyperlink"/>
          </w:rPr>
          <w:t>1.1 Highlights and Key Results of the Regional System Plan</w:t>
        </w:r>
        <w:r w:rsidR="00066D33">
          <w:rPr>
            <w:webHidden/>
          </w:rPr>
          <w:tab/>
        </w:r>
        <w:r w:rsidR="00066D33">
          <w:rPr>
            <w:webHidden/>
          </w:rPr>
          <w:fldChar w:fldCharType="begin"/>
        </w:r>
        <w:r w:rsidR="00066D33">
          <w:rPr>
            <w:webHidden/>
          </w:rPr>
          <w:instrText xml:space="preserve"> PAGEREF _Toc490322992 \h </w:instrText>
        </w:r>
        <w:r w:rsidR="00066D33">
          <w:rPr>
            <w:webHidden/>
          </w:rPr>
        </w:r>
        <w:r w:rsidR="00066D33">
          <w:rPr>
            <w:webHidden/>
          </w:rPr>
          <w:fldChar w:fldCharType="separate"/>
        </w:r>
        <w:r w:rsidR="00B05C7E">
          <w:rPr>
            <w:webHidden/>
          </w:rPr>
          <w:t>2</w:t>
        </w:r>
        <w:r w:rsidR="00066D33">
          <w:rPr>
            <w:webHidden/>
          </w:rPr>
          <w:fldChar w:fldCharType="end"/>
        </w:r>
      </w:hyperlink>
    </w:p>
    <w:p w:rsidR="00066D33" w:rsidRDefault="00CC063D">
      <w:pPr>
        <w:pStyle w:val="TOC3"/>
        <w:rPr>
          <w:rFonts w:asciiTheme="minorHAnsi" w:eastAsiaTheme="minorEastAsia" w:hAnsiTheme="minorHAnsi" w:cstheme="minorBidi"/>
          <w:sz w:val="22"/>
          <w:szCs w:val="22"/>
        </w:rPr>
      </w:pPr>
      <w:hyperlink w:anchor="_Toc490322993" w:history="1">
        <w:r w:rsidR="00066D33" w:rsidRPr="001E653C">
          <w:rPr>
            <w:rStyle w:val="Hyperlink"/>
          </w:rPr>
          <w:t>1.1.1 Forecasts of the Annual and Peak Use of Electric Energy, Energy Efficiency,</w:t>
        </w:r>
        <w:r w:rsidR="006E28D5">
          <w:rPr>
            <w:rStyle w:val="Hyperlink"/>
          </w:rPr>
          <w:br/>
        </w:r>
        <w:r w:rsidR="00066D33" w:rsidRPr="001E653C">
          <w:rPr>
            <w:rStyle w:val="Hyperlink"/>
          </w:rPr>
          <w:t>and Photovoltaic Capacity</w:t>
        </w:r>
        <w:r w:rsidR="006E28D5">
          <w:rPr>
            <w:rStyle w:val="Hyperlink"/>
          </w:rPr>
          <w:t xml:space="preserve"> </w:t>
        </w:r>
        <w:r w:rsidR="00066D33" w:rsidRPr="001E653C">
          <w:rPr>
            <w:rStyle w:val="Hyperlink"/>
          </w:rPr>
          <w:t>and Energy</w:t>
        </w:r>
        <w:r w:rsidR="00066D33">
          <w:rPr>
            <w:webHidden/>
          </w:rPr>
          <w:tab/>
        </w:r>
        <w:r w:rsidR="00066D33">
          <w:rPr>
            <w:webHidden/>
          </w:rPr>
          <w:fldChar w:fldCharType="begin"/>
        </w:r>
        <w:r w:rsidR="00066D33">
          <w:rPr>
            <w:webHidden/>
          </w:rPr>
          <w:instrText xml:space="preserve"> PAGEREF _Toc490322993 \h </w:instrText>
        </w:r>
        <w:r w:rsidR="00066D33">
          <w:rPr>
            <w:webHidden/>
          </w:rPr>
        </w:r>
        <w:r w:rsidR="00066D33">
          <w:rPr>
            <w:webHidden/>
          </w:rPr>
          <w:fldChar w:fldCharType="separate"/>
        </w:r>
        <w:r w:rsidR="00B05C7E">
          <w:rPr>
            <w:webHidden/>
          </w:rPr>
          <w:t>2</w:t>
        </w:r>
        <w:r w:rsidR="00066D33">
          <w:rPr>
            <w:webHidden/>
          </w:rPr>
          <w:fldChar w:fldCharType="end"/>
        </w:r>
      </w:hyperlink>
    </w:p>
    <w:p w:rsidR="00066D33" w:rsidRDefault="00CC063D">
      <w:pPr>
        <w:pStyle w:val="TOC3"/>
        <w:rPr>
          <w:rFonts w:asciiTheme="minorHAnsi" w:eastAsiaTheme="minorEastAsia" w:hAnsiTheme="minorHAnsi" w:cstheme="minorBidi"/>
          <w:sz w:val="22"/>
          <w:szCs w:val="22"/>
        </w:rPr>
      </w:pPr>
      <w:hyperlink w:anchor="_Toc490322994" w:history="1">
        <w:r w:rsidR="00066D33" w:rsidRPr="001E653C">
          <w:rPr>
            <w:rStyle w:val="Hyperlink"/>
          </w:rPr>
          <w:t>1.1.2 Projections of the Systemwide Need for Capacity and Operating Reserves</w:t>
        </w:r>
        <w:r w:rsidR="00066D33">
          <w:rPr>
            <w:webHidden/>
          </w:rPr>
          <w:tab/>
        </w:r>
        <w:r w:rsidR="00066D33">
          <w:rPr>
            <w:webHidden/>
          </w:rPr>
          <w:fldChar w:fldCharType="begin"/>
        </w:r>
        <w:r w:rsidR="00066D33">
          <w:rPr>
            <w:webHidden/>
          </w:rPr>
          <w:instrText xml:space="preserve"> PAGEREF _Toc490322994 \h </w:instrText>
        </w:r>
        <w:r w:rsidR="00066D33">
          <w:rPr>
            <w:webHidden/>
          </w:rPr>
        </w:r>
        <w:r w:rsidR="00066D33">
          <w:rPr>
            <w:webHidden/>
          </w:rPr>
          <w:fldChar w:fldCharType="separate"/>
        </w:r>
        <w:r w:rsidR="00B05C7E">
          <w:rPr>
            <w:webHidden/>
          </w:rPr>
          <w:t>3</w:t>
        </w:r>
        <w:r w:rsidR="00066D33">
          <w:rPr>
            <w:webHidden/>
          </w:rPr>
          <w:fldChar w:fldCharType="end"/>
        </w:r>
      </w:hyperlink>
    </w:p>
    <w:p w:rsidR="00066D33" w:rsidRDefault="00CC063D">
      <w:pPr>
        <w:pStyle w:val="TOC3"/>
        <w:rPr>
          <w:rFonts w:asciiTheme="minorHAnsi" w:eastAsiaTheme="minorEastAsia" w:hAnsiTheme="minorHAnsi" w:cstheme="minorBidi"/>
          <w:sz w:val="22"/>
          <w:szCs w:val="22"/>
        </w:rPr>
      </w:pPr>
      <w:hyperlink w:anchor="_Toc490322995" w:history="1">
        <w:r w:rsidR="00066D33" w:rsidRPr="001E653C">
          <w:rPr>
            <w:rStyle w:val="Hyperlink"/>
          </w:rPr>
          <w:t>1.1.3 Transmission System Needs, Solutions, and Cost Considerations</w:t>
        </w:r>
        <w:r w:rsidR="00066D33">
          <w:rPr>
            <w:webHidden/>
          </w:rPr>
          <w:tab/>
        </w:r>
        <w:r w:rsidR="00066D33">
          <w:rPr>
            <w:webHidden/>
          </w:rPr>
          <w:fldChar w:fldCharType="begin"/>
        </w:r>
        <w:r w:rsidR="00066D33">
          <w:rPr>
            <w:webHidden/>
          </w:rPr>
          <w:instrText xml:space="preserve"> PAGEREF _Toc490322995 \h </w:instrText>
        </w:r>
        <w:r w:rsidR="00066D33">
          <w:rPr>
            <w:webHidden/>
          </w:rPr>
        </w:r>
        <w:r w:rsidR="00066D33">
          <w:rPr>
            <w:webHidden/>
          </w:rPr>
          <w:fldChar w:fldCharType="separate"/>
        </w:r>
        <w:r w:rsidR="00B05C7E">
          <w:rPr>
            <w:webHidden/>
          </w:rPr>
          <w:t>5</w:t>
        </w:r>
        <w:r w:rsidR="00066D33">
          <w:rPr>
            <w:webHidden/>
          </w:rPr>
          <w:fldChar w:fldCharType="end"/>
        </w:r>
      </w:hyperlink>
    </w:p>
    <w:p w:rsidR="00066D33" w:rsidRDefault="00CC063D">
      <w:pPr>
        <w:pStyle w:val="TOC3"/>
        <w:rPr>
          <w:rFonts w:asciiTheme="minorHAnsi" w:eastAsiaTheme="minorEastAsia" w:hAnsiTheme="minorHAnsi" w:cstheme="minorBidi"/>
          <w:sz w:val="22"/>
          <w:szCs w:val="22"/>
        </w:rPr>
      </w:pPr>
      <w:hyperlink w:anchor="_Toc490322996" w:history="1">
        <w:r w:rsidR="00066D33" w:rsidRPr="001E653C">
          <w:rPr>
            <w:rStyle w:val="Hyperlink"/>
          </w:rPr>
          <w:t>1.1.4 Interregional Planning Requirements and Activities</w:t>
        </w:r>
        <w:r w:rsidR="00066D33">
          <w:rPr>
            <w:webHidden/>
          </w:rPr>
          <w:tab/>
        </w:r>
        <w:r w:rsidR="00066D33">
          <w:rPr>
            <w:webHidden/>
          </w:rPr>
          <w:fldChar w:fldCharType="begin"/>
        </w:r>
        <w:r w:rsidR="00066D33">
          <w:rPr>
            <w:webHidden/>
          </w:rPr>
          <w:instrText xml:space="preserve"> PAGEREF _Toc490322996 \h </w:instrText>
        </w:r>
        <w:r w:rsidR="00066D33">
          <w:rPr>
            <w:webHidden/>
          </w:rPr>
        </w:r>
        <w:r w:rsidR="00066D33">
          <w:rPr>
            <w:webHidden/>
          </w:rPr>
          <w:fldChar w:fldCharType="separate"/>
        </w:r>
        <w:r w:rsidR="00B05C7E">
          <w:rPr>
            <w:webHidden/>
          </w:rPr>
          <w:t>7</w:t>
        </w:r>
        <w:r w:rsidR="00066D33">
          <w:rPr>
            <w:webHidden/>
          </w:rPr>
          <w:fldChar w:fldCharType="end"/>
        </w:r>
      </w:hyperlink>
    </w:p>
    <w:p w:rsidR="00066D33" w:rsidRDefault="00CC063D">
      <w:pPr>
        <w:pStyle w:val="TOC3"/>
        <w:rPr>
          <w:rFonts w:asciiTheme="minorHAnsi" w:eastAsiaTheme="minorEastAsia" w:hAnsiTheme="minorHAnsi" w:cstheme="minorBidi"/>
          <w:sz w:val="22"/>
          <w:szCs w:val="22"/>
        </w:rPr>
      </w:pPr>
      <w:hyperlink w:anchor="_Toc490322997" w:history="1">
        <w:r w:rsidR="00066D33" w:rsidRPr="001E653C">
          <w:rPr>
            <w:rStyle w:val="Hyperlink"/>
          </w:rPr>
          <w:t>1.1.5 Fuel-Related Risks to System Reliability and Solutions</w:t>
        </w:r>
        <w:r w:rsidR="00066D33">
          <w:rPr>
            <w:webHidden/>
          </w:rPr>
          <w:tab/>
        </w:r>
        <w:r w:rsidR="00066D33">
          <w:rPr>
            <w:webHidden/>
          </w:rPr>
          <w:fldChar w:fldCharType="begin"/>
        </w:r>
        <w:r w:rsidR="00066D33">
          <w:rPr>
            <w:webHidden/>
          </w:rPr>
          <w:instrText xml:space="preserve"> PAGEREF _Toc490322997 \h </w:instrText>
        </w:r>
        <w:r w:rsidR="00066D33">
          <w:rPr>
            <w:webHidden/>
          </w:rPr>
        </w:r>
        <w:r w:rsidR="00066D33">
          <w:rPr>
            <w:webHidden/>
          </w:rPr>
          <w:fldChar w:fldCharType="separate"/>
        </w:r>
        <w:r w:rsidR="00B05C7E">
          <w:rPr>
            <w:webHidden/>
          </w:rPr>
          <w:t>7</w:t>
        </w:r>
        <w:r w:rsidR="00066D33">
          <w:rPr>
            <w:webHidden/>
          </w:rPr>
          <w:fldChar w:fldCharType="end"/>
        </w:r>
      </w:hyperlink>
    </w:p>
    <w:p w:rsidR="00066D33" w:rsidRDefault="00CC063D">
      <w:pPr>
        <w:pStyle w:val="TOC3"/>
        <w:rPr>
          <w:rFonts w:asciiTheme="minorHAnsi" w:eastAsiaTheme="minorEastAsia" w:hAnsiTheme="minorHAnsi" w:cstheme="minorBidi"/>
          <w:sz w:val="22"/>
          <w:szCs w:val="22"/>
        </w:rPr>
      </w:pPr>
      <w:hyperlink w:anchor="_Toc490322998" w:history="1">
        <w:r w:rsidR="00066D33" w:rsidRPr="001E653C">
          <w:rPr>
            <w:rStyle w:val="Hyperlink"/>
          </w:rPr>
          <w:t>1.1.6 Existing and Pending Environmental Regulations, Emissions Analyses, and Other Studies</w:t>
        </w:r>
        <w:r w:rsidR="00066D33">
          <w:rPr>
            <w:webHidden/>
          </w:rPr>
          <w:tab/>
        </w:r>
        <w:r w:rsidR="00066D33">
          <w:rPr>
            <w:webHidden/>
          </w:rPr>
          <w:fldChar w:fldCharType="begin"/>
        </w:r>
        <w:r w:rsidR="00066D33">
          <w:rPr>
            <w:webHidden/>
          </w:rPr>
          <w:instrText xml:space="preserve"> PAGEREF _Toc490322998 \h </w:instrText>
        </w:r>
        <w:r w:rsidR="00066D33">
          <w:rPr>
            <w:webHidden/>
          </w:rPr>
        </w:r>
        <w:r w:rsidR="00066D33">
          <w:rPr>
            <w:webHidden/>
          </w:rPr>
          <w:fldChar w:fldCharType="separate"/>
        </w:r>
        <w:r w:rsidR="00B05C7E">
          <w:rPr>
            <w:webHidden/>
          </w:rPr>
          <w:t>9</w:t>
        </w:r>
        <w:r w:rsidR="00066D33">
          <w:rPr>
            <w:webHidden/>
          </w:rPr>
          <w:fldChar w:fldCharType="end"/>
        </w:r>
      </w:hyperlink>
    </w:p>
    <w:p w:rsidR="00066D33" w:rsidRDefault="00CC063D">
      <w:pPr>
        <w:pStyle w:val="TOC3"/>
        <w:rPr>
          <w:rFonts w:asciiTheme="minorHAnsi" w:eastAsiaTheme="minorEastAsia" w:hAnsiTheme="minorHAnsi" w:cstheme="minorBidi"/>
          <w:sz w:val="22"/>
          <w:szCs w:val="22"/>
        </w:rPr>
      </w:pPr>
      <w:hyperlink w:anchor="_Toc490322999" w:history="1">
        <w:r w:rsidR="00066D33" w:rsidRPr="001E653C">
          <w:rPr>
            <w:rStyle w:val="Hyperlink"/>
          </w:rPr>
          <w:t>1.1.7 Integrating Renewable and Other Resources to Meet System Needs</w:t>
        </w:r>
        <w:r w:rsidR="00066D33">
          <w:rPr>
            <w:webHidden/>
          </w:rPr>
          <w:tab/>
        </w:r>
        <w:r w:rsidR="00066D33">
          <w:rPr>
            <w:webHidden/>
          </w:rPr>
          <w:fldChar w:fldCharType="begin"/>
        </w:r>
        <w:r w:rsidR="00066D33">
          <w:rPr>
            <w:webHidden/>
          </w:rPr>
          <w:instrText xml:space="preserve"> PAGEREF _Toc490322999 \h </w:instrText>
        </w:r>
        <w:r w:rsidR="00066D33">
          <w:rPr>
            <w:webHidden/>
          </w:rPr>
        </w:r>
        <w:r w:rsidR="00066D33">
          <w:rPr>
            <w:webHidden/>
          </w:rPr>
          <w:fldChar w:fldCharType="separate"/>
        </w:r>
        <w:r w:rsidR="00B05C7E">
          <w:rPr>
            <w:webHidden/>
          </w:rPr>
          <w:t>11</w:t>
        </w:r>
        <w:r w:rsidR="00066D33">
          <w:rPr>
            <w:webHidden/>
          </w:rPr>
          <w:fldChar w:fldCharType="end"/>
        </w:r>
      </w:hyperlink>
    </w:p>
    <w:p w:rsidR="00066D33" w:rsidRDefault="00CC063D">
      <w:pPr>
        <w:pStyle w:val="TOC3"/>
        <w:rPr>
          <w:rFonts w:asciiTheme="minorHAnsi" w:eastAsiaTheme="minorEastAsia" w:hAnsiTheme="minorHAnsi" w:cstheme="minorBidi"/>
          <w:sz w:val="22"/>
          <w:szCs w:val="22"/>
        </w:rPr>
      </w:pPr>
      <w:hyperlink w:anchor="_Toc490323000" w:history="1">
        <w:r w:rsidR="00066D33" w:rsidRPr="001E653C">
          <w:rPr>
            <w:rStyle w:val="Hyperlink"/>
          </w:rPr>
          <w:t>1.1.8 Multistate, ISO, and State Initiatives that Affect System Planning</w:t>
        </w:r>
        <w:r w:rsidR="00066D33">
          <w:rPr>
            <w:webHidden/>
          </w:rPr>
          <w:tab/>
        </w:r>
        <w:r w:rsidR="00066D33">
          <w:rPr>
            <w:webHidden/>
          </w:rPr>
          <w:fldChar w:fldCharType="begin"/>
        </w:r>
        <w:r w:rsidR="00066D33">
          <w:rPr>
            <w:webHidden/>
          </w:rPr>
          <w:instrText xml:space="preserve"> PAGEREF _Toc490323000 \h </w:instrText>
        </w:r>
        <w:r w:rsidR="00066D33">
          <w:rPr>
            <w:webHidden/>
          </w:rPr>
        </w:r>
        <w:r w:rsidR="00066D33">
          <w:rPr>
            <w:webHidden/>
          </w:rPr>
          <w:fldChar w:fldCharType="separate"/>
        </w:r>
        <w:r w:rsidR="00B05C7E">
          <w:rPr>
            <w:webHidden/>
          </w:rPr>
          <w:t>13</w:t>
        </w:r>
        <w:r w:rsidR="00066D33">
          <w:rPr>
            <w:webHidden/>
          </w:rPr>
          <w:fldChar w:fldCharType="end"/>
        </w:r>
      </w:hyperlink>
    </w:p>
    <w:p w:rsidR="00066D33" w:rsidRDefault="00CC063D">
      <w:pPr>
        <w:pStyle w:val="TOC2"/>
        <w:rPr>
          <w:rFonts w:asciiTheme="minorHAnsi" w:eastAsiaTheme="minorEastAsia" w:hAnsiTheme="minorHAnsi" w:cstheme="minorBidi"/>
          <w:bCs w:val="0"/>
          <w:iCs w:val="0"/>
          <w:sz w:val="22"/>
          <w:szCs w:val="22"/>
        </w:rPr>
      </w:pPr>
      <w:hyperlink w:anchor="_Toc490323001" w:history="1">
        <w:r w:rsidR="00066D33" w:rsidRPr="001E653C">
          <w:rPr>
            <w:rStyle w:val="Hyperlink"/>
          </w:rPr>
          <w:t>1.2 Key Findings and Conclusions</w:t>
        </w:r>
        <w:r w:rsidR="00066D33">
          <w:rPr>
            <w:webHidden/>
          </w:rPr>
          <w:tab/>
        </w:r>
        <w:r w:rsidR="00066D33">
          <w:rPr>
            <w:webHidden/>
          </w:rPr>
          <w:fldChar w:fldCharType="begin"/>
        </w:r>
        <w:r w:rsidR="00066D33">
          <w:rPr>
            <w:webHidden/>
          </w:rPr>
          <w:instrText xml:space="preserve"> PAGEREF _Toc490323001 \h </w:instrText>
        </w:r>
        <w:r w:rsidR="00066D33">
          <w:rPr>
            <w:webHidden/>
          </w:rPr>
        </w:r>
        <w:r w:rsidR="00066D33">
          <w:rPr>
            <w:webHidden/>
          </w:rPr>
          <w:fldChar w:fldCharType="separate"/>
        </w:r>
        <w:r w:rsidR="00B05C7E">
          <w:rPr>
            <w:webHidden/>
          </w:rPr>
          <w:t>14</w:t>
        </w:r>
        <w:r w:rsidR="00066D33">
          <w:rPr>
            <w:webHidden/>
          </w:rPr>
          <w:fldChar w:fldCharType="end"/>
        </w:r>
      </w:hyperlink>
    </w:p>
    <w:p w:rsidR="00066D33" w:rsidRDefault="00CC063D">
      <w:pPr>
        <w:pStyle w:val="TOC1"/>
        <w:rPr>
          <w:rFonts w:asciiTheme="minorHAnsi" w:eastAsiaTheme="minorEastAsia" w:hAnsiTheme="minorHAnsi" w:cstheme="minorBidi"/>
          <w:b w:val="0"/>
          <w:sz w:val="22"/>
          <w:szCs w:val="22"/>
        </w:rPr>
      </w:pPr>
      <w:hyperlink w:anchor="_Toc490323002" w:history="1">
        <w:r w:rsidR="00066D33" w:rsidRPr="001E653C">
          <w:rPr>
            <w:rStyle w:val="Hyperlink"/>
          </w:rPr>
          <w:t>Section 2</w:t>
        </w:r>
        <w:r w:rsidR="00066D33">
          <w:rPr>
            <w:rStyle w:val="Hyperlink"/>
          </w:rPr>
          <w:br/>
        </w:r>
        <w:r w:rsidR="00066D33" w:rsidRPr="001E653C">
          <w:rPr>
            <w:rStyle w:val="Hyperlink"/>
          </w:rPr>
          <w:t>Overview of RSP17, the Power System, and Regional System Planning</w:t>
        </w:r>
        <w:r w:rsidR="00066D33">
          <w:rPr>
            <w:webHidden/>
          </w:rPr>
          <w:tab/>
        </w:r>
        <w:r w:rsidR="00066D33">
          <w:rPr>
            <w:webHidden/>
          </w:rPr>
          <w:fldChar w:fldCharType="begin"/>
        </w:r>
        <w:r w:rsidR="00066D33">
          <w:rPr>
            <w:webHidden/>
          </w:rPr>
          <w:instrText xml:space="preserve"> PAGEREF _Toc490323002 \h </w:instrText>
        </w:r>
        <w:r w:rsidR="00066D33">
          <w:rPr>
            <w:webHidden/>
          </w:rPr>
        </w:r>
        <w:r w:rsidR="00066D33">
          <w:rPr>
            <w:webHidden/>
          </w:rPr>
          <w:fldChar w:fldCharType="separate"/>
        </w:r>
        <w:r w:rsidR="00B05C7E">
          <w:rPr>
            <w:webHidden/>
          </w:rPr>
          <w:t>16</w:t>
        </w:r>
        <w:r w:rsidR="00066D33">
          <w:rPr>
            <w:webHidden/>
          </w:rPr>
          <w:fldChar w:fldCharType="end"/>
        </w:r>
      </w:hyperlink>
    </w:p>
    <w:p w:rsidR="00066D33" w:rsidRDefault="00CC063D">
      <w:pPr>
        <w:pStyle w:val="TOC2"/>
        <w:rPr>
          <w:rFonts w:asciiTheme="minorHAnsi" w:eastAsiaTheme="minorEastAsia" w:hAnsiTheme="minorHAnsi" w:cstheme="minorBidi"/>
          <w:bCs w:val="0"/>
          <w:iCs w:val="0"/>
          <w:sz w:val="22"/>
          <w:szCs w:val="22"/>
        </w:rPr>
      </w:pPr>
      <w:hyperlink w:anchor="_Toc490323003" w:history="1">
        <w:r w:rsidR="00066D33" w:rsidRPr="001E653C">
          <w:rPr>
            <w:rStyle w:val="Hyperlink"/>
          </w:rPr>
          <w:t>2.1 Overview of the System Planning Process and RSP17</w:t>
        </w:r>
        <w:r w:rsidR="00066D33">
          <w:rPr>
            <w:webHidden/>
          </w:rPr>
          <w:tab/>
        </w:r>
        <w:r w:rsidR="00066D33">
          <w:rPr>
            <w:webHidden/>
          </w:rPr>
          <w:fldChar w:fldCharType="begin"/>
        </w:r>
        <w:r w:rsidR="00066D33">
          <w:rPr>
            <w:webHidden/>
          </w:rPr>
          <w:instrText xml:space="preserve"> PAGEREF _Toc490323003 \h </w:instrText>
        </w:r>
        <w:r w:rsidR="00066D33">
          <w:rPr>
            <w:webHidden/>
          </w:rPr>
        </w:r>
        <w:r w:rsidR="00066D33">
          <w:rPr>
            <w:webHidden/>
          </w:rPr>
          <w:fldChar w:fldCharType="separate"/>
        </w:r>
        <w:r w:rsidR="00B05C7E">
          <w:rPr>
            <w:webHidden/>
          </w:rPr>
          <w:t>16</w:t>
        </w:r>
        <w:r w:rsidR="00066D33">
          <w:rPr>
            <w:webHidden/>
          </w:rPr>
          <w:fldChar w:fldCharType="end"/>
        </w:r>
      </w:hyperlink>
    </w:p>
    <w:p w:rsidR="00066D33" w:rsidRDefault="00CC063D">
      <w:pPr>
        <w:pStyle w:val="TOC3"/>
        <w:rPr>
          <w:rFonts w:asciiTheme="minorHAnsi" w:eastAsiaTheme="minorEastAsia" w:hAnsiTheme="minorHAnsi" w:cstheme="minorBidi"/>
          <w:sz w:val="22"/>
          <w:szCs w:val="22"/>
        </w:rPr>
      </w:pPr>
      <w:hyperlink w:anchor="_Toc490323004" w:history="1">
        <w:r w:rsidR="00066D33" w:rsidRPr="001E653C">
          <w:rPr>
            <w:rStyle w:val="Hyperlink"/>
          </w:rPr>
          <w:t>2.1.1 Types of Transmission Upgrades</w:t>
        </w:r>
        <w:r w:rsidR="00066D33">
          <w:rPr>
            <w:webHidden/>
          </w:rPr>
          <w:tab/>
        </w:r>
        <w:r w:rsidR="00066D33">
          <w:rPr>
            <w:webHidden/>
          </w:rPr>
          <w:fldChar w:fldCharType="begin"/>
        </w:r>
        <w:r w:rsidR="00066D33">
          <w:rPr>
            <w:webHidden/>
          </w:rPr>
          <w:instrText xml:space="preserve"> PAGEREF _Toc490323004 \h </w:instrText>
        </w:r>
        <w:r w:rsidR="00066D33">
          <w:rPr>
            <w:webHidden/>
          </w:rPr>
        </w:r>
        <w:r w:rsidR="00066D33">
          <w:rPr>
            <w:webHidden/>
          </w:rPr>
          <w:fldChar w:fldCharType="separate"/>
        </w:r>
        <w:r w:rsidR="00B05C7E">
          <w:rPr>
            <w:webHidden/>
          </w:rPr>
          <w:t>17</w:t>
        </w:r>
        <w:r w:rsidR="00066D33">
          <w:rPr>
            <w:webHidden/>
          </w:rPr>
          <w:fldChar w:fldCharType="end"/>
        </w:r>
      </w:hyperlink>
    </w:p>
    <w:p w:rsidR="00066D33" w:rsidRDefault="00CC063D">
      <w:pPr>
        <w:pStyle w:val="TOC3"/>
        <w:rPr>
          <w:rFonts w:asciiTheme="minorHAnsi" w:eastAsiaTheme="minorEastAsia" w:hAnsiTheme="minorHAnsi" w:cstheme="minorBidi"/>
          <w:sz w:val="22"/>
          <w:szCs w:val="22"/>
        </w:rPr>
      </w:pPr>
      <w:hyperlink w:anchor="_Toc490323005" w:history="1">
        <w:r w:rsidR="00066D33" w:rsidRPr="001E653C">
          <w:rPr>
            <w:rStyle w:val="Hyperlink"/>
          </w:rPr>
          <w:t>2.1.2 Transmission Planning Guides</w:t>
        </w:r>
        <w:r w:rsidR="00066D33">
          <w:rPr>
            <w:webHidden/>
          </w:rPr>
          <w:tab/>
        </w:r>
        <w:r w:rsidR="00066D33">
          <w:rPr>
            <w:webHidden/>
          </w:rPr>
          <w:fldChar w:fldCharType="begin"/>
        </w:r>
        <w:r w:rsidR="00066D33">
          <w:rPr>
            <w:webHidden/>
          </w:rPr>
          <w:instrText xml:space="preserve"> PAGEREF _Toc490323005 \h </w:instrText>
        </w:r>
        <w:r w:rsidR="00066D33">
          <w:rPr>
            <w:webHidden/>
          </w:rPr>
        </w:r>
        <w:r w:rsidR="00066D33">
          <w:rPr>
            <w:webHidden/>
          </w:rPr>
          <w:fldChar w:fldCharType="separate"/>
        </w:r>
        <w:r w:rsidR="00B05C7E">
          <w:rPr>
            <w:webHidden/>
          </w:rPr>
          <w:t>19</w:t>
        </w:r>
        <w:r w:rsidR="00066D33">
          <w:rPr>
            <w:webHidden/>
          </w:rPr>
          <w:fldChar w:fldCharType="end"/>
        </w:r>
      </w:hyperlink>
    </w:p>
    <w:p w:rsidR="00066D33" w:rsidRDefault="00CC063D">
      <w:pPr>
        <w:pStyle w:val="TOC3"/>
        <w:rPr>
          <w:rFonts w:asciiTheme="minorHAnsi" w:eastAsiaTheme="minorEastAsia" w:hAnsiTheme="minorHAnsi" w:cstheme="minorBidi"/>
          <w:sz w:val="22"/>
          <w:szCs w:val="22"/>
        </w:rPr>
      </w:pPr>
      <w:hyperlink w:anchor="_Toc490323006" w:history="1">
        <w:r w:rsidR="00066D33" w:rsidRPr="001E653C">
          <w:rPr>
            <w:rStyle w:val="Hyperlink"/>
          </w:rPr>
          <w:t>2.1.3 Planning Studies Conducted for and Summarized in RSP17</w:t>
        </w:r>
        <w:r w:rsidR="00066D33">
          <w:rPr>
            <w:webHidden/>
          </w:rPr>
          <w:tab/>
        </w:r>
        <w:r w:rsidR="00066D33">
          <w:rPr>
            <w:webHidden/>
          </w:rPr>
          <w:fldChar w:fldCharType="begin"/>
        </w:r>
        <w:r w:rsidR="00066D33">
          <w:rPr>
            <w:webHidden/>
          </w:rPr>
          <w:instrText xml:space="preserve"> PAGEREF _Toc490323006 \h </w:instrText>
        </w:r>
        <w:r w:rsidR="00066D33">
          <w:rPr>
            <w:webHidden/>
          </w:rPr>
        </w:r>
        <w:r w:rsidR="00066D33">
          <w:rPr>
            <w:webHidden/>
          </w:rPr>
          <w:fldChar w:fldCharType="separate"/>
        </w:r>
        <w:r w:rsidR="00B05C7E">
          <w:rPr>
            <w:webHidden/>
          </w:rPr>
          <w:t>20</w:t>
        </w:r>
        <w:r w:rsidR="00066D33">
          <w:rPr>
            <w:webHidden/>
          </w:rPr>
          <w:fldChar w:fldCharType="end"/>
        </w:r>
      </w:hyperlink>
    </w:p>
    <w:p w:rsidR="00066D33" w:rsidRDefault="00CC063D">
      <w:pPr>
        <w:pStyle w:val="TOC3"/>
        <w:rPr>
          <w:rFonts w:asciiTheme="minorHAnsi" w:eastAsiaTheme="minorEastAsia" w:hAnsiTheme="minorHAnsi" w:cstheme="minorBidi"/>
          <w:sz w:val="22"/>
          <w:szCs w:val="22"/>
        </w:rPr>
      </w:pPr>
      <w:hyperlink w:anchor="_Toc490323007" w:history="1">
        <w:r w:rsidR="00066D33" w:rsidRPr="001E653C">
          <w:rPr>
            <w:rStyle w:val="Hyperlink"/>
          </w:rPr>
          <w:t>2.1.4 Accounting for Uncertainty</w:t>
        </w:r>
        <w:r w:rsidR="00066D33">
          <w:rPr>
            <w:webHidden/>
          </w:rPr>
          <w:tab/>
        </w:r>
        <w:r w:rsidR="00066D33">
          <w:rPr>
            <w:webHidden/>
          </w:rPr>
          <w:fldChar w:fldCharType="begin"/>
        </w:r>
        <w:r w:rsidR="00066D33">
          <w:rPr>
            <w:webHidden/>
          </w:rPr>
          <w:instrText xml:space="preserve"> PAGEREF _Toc490323007 \h </w:instrText>
        </w:r>
        <w:r w:rsidR="00066D33">
          <w:rPr>
            <w:webHidden/>
          </w:rPr>
        </w:r>
        <w:r w:rsidR="00066D33">
          <w:rPr>
            <w:webHidden/>
          </w:rPr>
          <w:fldChar w:fldCharType="separate"/>
        </w:r>
        <w:r w:rsidR="00B05C7E">
          <w:rPr>
            <w:webHidden/>
          </w:rPr>
          <w:t>21</w:t>
        </w:r>
        <w:r w:rsidR="00066D33">
          <w:rPr>
            <w:webHidden/>
          </w:rPr>
          <w:fldChar w:fldCharType="end"/>
        </w:r>
      </w:hyperlink>
    </w:p>
    <w:p w:rsidR="00066D33" w:rsidRDefault="00CC063D">
      <w:pPr>
        <w:pStyle w:val="TOC3"/>
        <w:rPr>
          <w:rFonts w:asciiTheme="minorHAnsi" w:eastAsiaTheme="minorEastAsia" w:hAnsiTheme="minorHAnsi" w:cstheme="minorBidi"/>
          <w:sz w:val="22"/>
          <w:szCs w:val="22"/>
        </w:rPr>
      </w:pPr>
      <w:hyperlink w:anchor="_Toc490323008" w:history="1">
        <w:r w:rsidR="00066D33" w:rsidRPr="001E653C">
          <w:rPr>
            <w:rStyle w:val="Hyperlink"/>
          </w:rPr>
          <w:t>2.1.5 Working with the Planning Advisory Committee and Other Committees</w:t>
        </w:r>
        <w:r w:rsidR="00066D33">
          <w:rPr>
            <w:webHidden/>
          </w:rPr>
          <w:tab/>
        </w:r>
        <w:r w:rsidR="00066D33">
          <w:rPr>
            <w:webHidden/>
          </w:rPr>
          <w:fldChar w:fldCharType="begin"/>
        </w:r>
        <w:r w:rsidR="00066D33">
          <w:rPr>
            <w:webHidden/>
          </w:rPr>
          <w:instrText xml:space="preserve"> PAGEREF _Toc490323008 \h </w:instrText>
        </w:r>
        <w:r w:rsidR="00066D33">
          <w:rPr>
            <w:webHidden/>
          </w:rPr>
        </w:r>
        <w:r w:rsidR="00066D33">
          <w:rPr>
            <w:webHidden/>
          </w:rPr>
          <w:fldChar w:fldCharType="separate"/>
        </w:r>
        <w:r w:rsidR="00B05C7E">
          <w:rPr>
            <w:webHidden/>
          </w:rPr>
          <w:t>22</w:t>
        </w:r>
        <w:r w:rsidR="00066D33">
          <w:rPr>
            <w:webHidden/>
          </w:rPr>
          <w:fldChar w:fldCharType="end"/>
        </w:r>
      </w:hyperlink>
    </w:p>
    <w:p w:rsidR="00066D33" w:rsidRDefault="00CC063D">
      <w:pPr>
        <w:pStyle w:val="TOC3"/>
        <w:rPr>
          <w:rFonts w:asciiTheme="minorHAnsi" w:eastAsiaTheme="minorEastAsia" w:hAnsiTheme="minorHAnsi" w:cstheme="minorBidi"/>
          <w:sz w:val="22"/>
          <w:szCs w:val="22"/>
        </w:rPr>
      </w:pPr>
      <w:hyperlink w:anchor="_Toc490323009" w:history="1">
        <w:r w:rsidR="00066D33" w:rsidRPr="001E653C">
          <w:rPr>
            <w:rStyle w:val="Hyperlink"/>
          </w:rPr>
          <w:t>2.1.6 Providing Information to Stakeholders</w:t>
        </w:r>
        <w:r w:rsidR="00066D33">
          <w:rPr>
            <w:webHidden/>
          </w:rPr>
          <w:tab/>
        </w:r>
        <w:r w:rsidR="00066D33">
          <w:rPr>
            <w:webHidden/>
          </w:rPr>
          <w:fldChar w:fldCharType="begin"/>
        </w:r>
        <w:r w:rsidR="00066D33">
          <w:rPr>
            <w:webHidden/>
          </w:rPr>
          <w:instrText xml:space="preserve"> PAGEREF _Toc490323009 \h </w:instrText>
        </w:r>
        <w:r w:rsidR="00066D33">
          <w:rPr>
            <w:webHidden/>
          </w:rPr>
        </w:r>
        <w:r w:rsidR="00066D33">
          <w:rPr>
            <w:webHidden/>
          </w:rPr>
          <w:fldChar w:fldCharType="separate"/>
        </w:r>
        <w:r w:rsidR="00B05C7E">
          <w:rPr>
            <w:webHidden/>
          </w:rPr>
          <w:t>23</w:t>
        </w:r>
        <w:r w:rsidR="00066D33">
          <w:rPr>
            <w:webHidden/>
          </w:rPr>
          <w:fldChar w:fldCharType="end"/>
        </w:r>
      </w:hyperlink>
    </w:p>
    <w:p w:rsidR="00066D33" w:rsidRDefault="00CC063D">
      <w:pPr>
        <w:pStyle w:val="TOC3"/>
        <w:rPr>
          <w:rFonts w:asciiTheme="minorHAnsi" w:eastAsiaTheme="minorEastAsia" w:hAnsiTheme="minorHAnsi" w:cstheme="minorBidi"/>
          <w:sz w:val="22"/>
          <w:szCs w:val="22"/>
        </w:rPr>
      </w:pPr>
      <w:hyperlink w:anchor="_Toc490323010" w:history="1">
        <w:r w:rsidR="00066D33" w:rsidRPr="001E653C">
          <w:rPr>
            <w:rStyle w:val="Hyperlink"/>
          </w:rPr>
          <w:t>2.1.7 Meeting All Requirements</w:t>
        </w:r>
        <w:r w:rsidR="00066D33">
          <w:rPr>
            <w:webHidden/>
          </w:rPr>
          <w:tab/>
        </w:r>
        <w:r w:rsidR="00066D33">
          <w:rPr>
            <w:webHidden/>
          </w:rPr>
          <w:fldChar w:fldCharType="begin"/>
        </w:r>
        <w:r w:rsidR="00066D33">
          <w:rPr>
            <w:webHidden/>
          </w:rPr>
          <w:instrText xml:space="preserve"> PAGEREF _Toc490323010 \h </w:instrText>
        </w:r>
        <w:r w:rsidR="00066D33">
          <w:rPr>
            <w:webHidden/>
          </w:rPr>
        </w:r>
        <w:r w:rsidR="00066D33">
          <w:rPr>
            <w:webHidden/>
          </w:rPr>
          <w:fldChar w:fldCharType="separate"/>
        </w:r>
        <w:r w:rsidR="00B05C7E">
          <w:rPr>
            <w:webHidden/>
          </w:rPr>
          <w:t>23</w:t>
        </w:r>
        <w:r w:rsidR="00066D33">
          <w:rPr>
            <w:webHidden/>
          </w:rPr>
          <w:fldChar w:fldCharType="end"/>
        </w:r>
      </w:hyperlink>
    </w:p>
    <w:p w:rsidR="00066D33" w:rsidRDefault="00CC063D">
      <w:pPr>
        <w:pStyle w:val="TOC2"/>
        <w:rPr>
          <w:rFonts w:asciiTheme="minorHAnsi" w:eastAsiaTheme="minorEastAsia" w:hAnsiTheme="minorHAnsi" w:cstheme="minorBidi"/>
          <w:bCs w:val="0"/>
          <w:iCs w:val="0"/>
          <w:sz w:val="22"/>
          <w:szCs w:val="22"/>
        </w:rPr>
      </w:pPr>
      <w:hyperlink w:anchor="_Toc490323011" w:history="1">
        <w:r w:rsidR="00066D33" w:rsidRPr="001E653C">
          <w:rPr>
            <w:rStyle w:val="Hyperlink"/>
          </w:rPr>
          <w:t>2.2 Overview of the New England Electric Power System</w:t>
        </w:r>
        <w:r w:rsidR="00066D33">
          <w:rPr>
            <w:webHidden/>
          </w:rPr>
          <w:tab/>
        </w:r>
        <w:r w:rsidR="00066D33">
          <w:rPr>
            <w:webHidden/>
          </w:rPr>
          <w:fldChar w:fldCharType="begin"/>
        </w:r>
        <w:r w:rsidR="00066D33">
          <w:rPr>
            <w:webHidden/>
          </w:rPr>
          <w:instrText xml:space="preserve"> PAGEREF _Toc490323011 \h </w:instrText>
        </w:r>
        <w:r w:rsidR="00066D33">
          <w:rPr>
            <w:webHidden/>
          </w:rPr>
        </w:r>
        <w:r w:rsidR="00066D33">
          <w:rPr>
            <w:webHidden/>
          </w:rPr>
          <w:fldChar w:fldCharType="separate"/>
        </w:r>
        <w:r w:rsidR="00B05C7E">
          <w:rPr>
            <w:webHidden/>
          </w:rPr>
          <w:t>24</w:t>
        </w:r>
        <w:r w:rsidR="00066D33">
          <w:rPr>
            <w:webHidden/>
          </w:rPr>
          <w:fldChar w:fldCharType="end"/>
        </w:r>
      </w:hyperlink>
    </w:p>
    <w:p w:rsidR="00066D33" w:rsidRDefault="00CC063D">
      <w:pPr>
        <w:pStyle w:val="TOC2"/>
        <w:rPr>
          <w:rFonts w:asciiTheme="minorHAnsi" w:eastAsiaTheme="minorEastAsia" w:hAnsiTheme="minorHAnsi" w:cstheme="minorBidi"/>
          <w:bCs w:val="0"/>
          <w:iCs w:val="0"/>
          <w:sz w:val="22"/>
          <w:szCs w:val="22"/>
        </w:rPr>
      </w:pPr>
      <w:hyperlink w:anchor="_Toc490323012" w:history="1">
        <w:r w:rsidR="00066D33" w:rsidRPr="001E653C">
          <w:rPr>
            <w:rStyle w:val="Hyperlink"/>
          </w:rPr>
          <w:t>2.3 Overview of the New England Wholesale Electricity Market Structure</w:t>
        </w:r>
        <w:r w:rsidR="00066D33">
          <w:rPr>
            <w:webHidden/>
          </w:rPr>
          <w:tab/>
        </w:r>
        <w:r w:rsidR="00066D33">
          <w:rPr>
            <w:webHidden/>
          </w:rPr>
          <w:fldChar w:fldCharType="begin"/>
        </w:r>
        <w:r w:rsidR="00066D33">
          <w:rPr>
            <w:webHidden/>
          </w:rPr>
          <w:instrText xml:space="preserve"> PAGEREF _Toc490323012 \h </w:instrText>
        </w:r>
        <w:r w:rsidR="00066D33">
          <w:rPr>
            <w:webHidden/>
          </w:rPr>
        </w:r>
        <w:r w:rsidR="00066D33">
          <w:rPr>
            <w:webHidden/>
          </w:rPr>
          <w:fldChar w:fldCharType="separate"/>
        </w:r>
        <w:r w:rsidR="00B05C7E">
          <w:rPr>
            <w:webHidden/>
          </w:rPr>
          <w:t>26</w:t>
        </w:r>
        <w:r w:rsidR="00066D33">
          <w:rPr>
            <w:webHidden/>
          </w:rPr>
          <w:fldChar w:fldCharType="end"/>
        </w:r>
      </w:hyperlink>
    </w:p>
    <w:p w:rsidR="00066D33" w:rsidRDefault="00CC063D">
      <w:pPr>
        <w:pStyle w:val="TOC2"/>
        <w:rPr>
          <w:rFonts w:asciiTheme="minorHAnsi" w:eastAsiaTheme="minorEastAsia" w:hAnsiTheme="minorHAnsi" w:cstheme="minorBidi"/>
          <w:bCs w:val="0"/>
          <w:iCs w:val="0"/>
          <w:sz w:val="22"/>
          <w:szCs w:val="22"/>
        </w:rPr>
      </w:pPr>
      <w:hyperlink w:anchor="_Toc490323013" w:history="1">
        <w:r w:rsidR="00066D33" w:rsidRPr="001E653C">
          <w:rPr>
            <w:rStyle w:val="Hyperlink"/>
          </w:rPr>
          <w:t>2.4 Overview of System Subdivisions Used for Analyzing and Planning the System</w:t>
        </w:r>
        <w:r w:rsidR="00066D33">
          <w:rPr>
            <w:webHidden/>
          </w:rPr>
          <w:tab/>
        </w:r>
        <w:r w:rsidR="00066D33">
          <w:rPr>
            <w:webHidden/>
          </w:rPr>
          <w:fldChar w:fldCharType="begin"/>
        </w:r>
        <w:r w:rsidR="00066D33">
          <w:rPr>
            <w:webHidden/>
          </w:rPr>
          <w:instrText xml:space="preserve"> PAGEREF _Toc490323013 \h </w:instrText>
        </w:r>
        <w:r w:rsidR="00066D33">
          <w:rPr>
            <w:webHidden/>
          </w:rPr>
        </w:r>
        <w:r w:rsidR="00066D33">
          <w:rPr>
            <w:webHidden/>
          </w:rPr>
          <w:fldChar w:fldCharType="separate"/>
        </w:r>
        <w:r w:rsidR="00B05C7E">
          <w:rPr>
            <w:webHidden/>
          </w:rPr>
          <w:t>27</w:t>
        </w:r>
        <w:r w:rsidR="00066D33">
          <w:rPr>
            <w:webHidden/>
          </w:rPr>
          <w:fldChar w:fldCharType="end"/>
        </w:r>
      </w:hyperlink>
    </w:p>
    <w:p w:rsidR="00066D33" w:rsidRDefault="00CC063D">
      <w:pPr>
        <w:pStyle w:val="TOC1"/>
        <w:rPr>
          <w:rFonts w:asciiTheme="minorHAnsi" w:eastAsiaTheme="minorEastAsia" w:hAnsiTheme="minorHAnsi" w:cstheme="minorBidi"/>
          <w:b w:val="0"/>
          <w:sz w:val="22"/>
          <w:szCs w:val="22"/>
        </w:rPr>
      </w:pPr>
      <w:hyperlink w:anchor="_Toc490323014" w:history="1">
        <w:r w:rsidR="00066D33" w:rsidRPr="001E653C">
          <w:rPr>
            <w:rStyle w:val="Hyperlink"/>
          </w:rPr>
          <w:t>Section 3</w:t>
        </w:r>
        <w:r w:rsidR="00066D33">
          <w:rPr>
            <w:rStyle w:val="Hyperlink"/>
          </w:rPr>
          <w:br/>
        </w:r>
        <w:r w:rsidR="00066D33" w:rsidRPr="001E653C">
          <w:rPr>
            <w:rStyle w:val="Hyperlink"/>
          </w:rPr>
          <w:t>Forecasts of New England’s Peak Demand, Annual Use of Electric Energy, Energy Efficiency,</w:t>
        </w:r>
        <w:r w:rsidR="00066D33">
          <w:rPr>
            <w:rStyle w:val="Hyperlink"/>
          </w:rPr>
          <w:br/>
        </w:r>
        <w:r w:rsidR="00066D33" w:rsidRPr="001E653C">
          <w:rPr>
            <w:rStyle w:val="Hyperlink"/>
          </w:rPr>
          <w:t>and Distributed Generation</w:t>
        </w:r>
        <w:r w:rsidR="00066D33">
          <w:rPr>
            <w:webHidden/>
          </w:rPr>
          <w:tab/>
        </w:r>
        <w:r w:rsidR="00066D33">
          <w:rPr>
            <w:webHidden/>
          </w:rPr>
          <w:fldChar w:fldCharType="begin"/>
        </w:r>
        <w:r w:rsidR="00066D33">
          <w:rPr>
            <w:webHidden/>
          </w:rPr>
          <w:instrText xml:space="preserve"> PAGEREF _Toc490323014 \h </w:instrText>
        </w:r>
        <w:r w:rsidR="00066D33">
          <w:rPr>
            <w:webHidden/>
          </w:rPr>
        </w:r>
        <w:r w:rsidR="00066D33">
          <w:rPr>
            <w:webHidden/>
          </w:rPr>
          <w:fldChar w:fldCharType="separate"/>
        </w:r>
        <w:r w:rsidR="00B05C7E">
          <w:rPr>
            <w:webHidden/>
          </w:rPr>
          <w:t>31</w:t>
        </w:r>
        <w:r w:rsidR="00066D33">
          <w:rPr>
            <w:webHidden/>
          </w:rPr>
          <w:fldChar w:fldCharType="end"/>
        </w:r>
      </w:hyperlink>
    </w:p>
    <w:p w:rsidR="00066D33" w:rsidRDefault="00CC063D">
      <w:pPr>
        <w:pStyle w:val="TOC2"/>
        <w:rPr>
          <w:rFonts w:asciiTheme="minorHAnsi" w:eastAsiaTheme="minorEastAsia" w:hAnsiTheme="minorHAnsi" w:cstheme="minorBidi"/>
          <w:bCs w:val="0"/>
          <w:iCs w:val="0"/>
          <w:sz w:val="22"/>
          <w:szCs w:val="22"/>
        </w:rPr>
      </w:pPr>
      <w:hyperlink w:anchor="_Toc490323015" w:history="1">
        <w:r w:rsidR="00066D33" w:rsidRPr="001E653C">
          <w:rPr>
            <w:rStyle w:val="Hyperlink"/>
          </w:rPr>
          <w:t>3.1 ISO New England Gross Demand Forecasts</w:t>
        </w:r>
        <w:r w:rsidR="00066D33">
          <w:rPr>
            <w:webHidden/>
          </w:rPr>
          <w:tab/>
        </w:r>
        <w:r w:rsidR="00066D33">
          <w:rPr>
            <w:webHidden/>
          </w:rPr>
          <w:fldChar w:fldCharType="begin"/>
        </w:r>
        <w:r w:rsidR="00066D33">
          <w:rPr>
            <w:webHidden/>
          </w:rPr>
          <w:instrText xml:space="preserve"> PAGEREF _Toc490323015 \h </w:instrText>
        </w:r>
        <w:r w:rsidR="00066D33">
          <w:rPr>
            <w:webHidden/>
          </w:rPr>
        </w:r>
        <w:r w:rsidR="00066D33">
          <w:rPr>
            <w:webHidden/>
          </w:rPr>
          <w:fldChar w:fldCharType="separate"/>
        </w:r>
        <w:r w:rsidR="00B05C7E">
          <w:rPr>
            <w:webHidden/>
          </w:rPr>
          <w:t>31</w:t>
        </w:r>
        <w:r w:rsidR="00066D33">
          <w:rPr>
            <w:webHidden/>
          </w:rPr>
          <w:fldChar w:fldCharType="end"/>
        </w:r>
      </w:hyperlink>
    </w:p>
    <w:p w:rsidR="00066D33" w:rsidRDefault="00CC063D">
      <w:pPr>
        <w:pStyle w:val="TOC2"/>
        <w:rPr>
          <w:rFonts w:asciiTheme="minorHAnsi" w:eastAsiaTheme="minorEastAsia" w:hAnsiTheme="minorHAnsi" w:cstheme="minorBidi"/>
          <w:bCs w:val="0"/>
          <w:iCs w:val="0"/>
          <w:sz w:val="22"/>
          <w:szCs w:val="22"/>
        </w:rPr>
      </w:pPr>
      <w:hyperlink w:anchor="_Toc490323016" w:history="1">
        <w:r w:rsidR="00066D33" w:rsidRPr="001E653C">
          <w:rPr>
            <w:rStyle w:val="Hyperlink"/>
          </w:rPr>
          <w:t>3.2 Energy-Efficiency Forecast for New England</w:t>
        </w:r>
        <w:r w:rsidR="00066D33">
          <w:rPr>
            <w:webHidden/>
          </w:rPr>
          <w:tab/>
        </w:r>
        <w:r w:rsidR="00066D33">
          <w:rPr>
            <w:webHidden/>
          </w:rPr>
          <w:fldChar w:fldCharType="begin"/>
        </w:r>
        <w:r w:rsidR="00066D33">
          <w:rPr>
            <w:webHidden/>
          </w:rPr>
          <w:instrText xml:space="preserve"> PAGEREF _Toc490323016 \h </w:instrText>
        </w:r>
        <w:r w:rsidR="00066D33">
          <w:rPr>
            <w:webHidden/>
          </w:rPr>
        </w:r>
        <w:r w:rsidR="00066D33">
          <w:rPr>
            <w:webHidden/>
          </w:rPr>
          <w:fldChar w:fldCharType="separate"/>
        </w:r>
        <w:r w:rsidR="00B05C7E">
          <w:rPr>
            <w:webHidden/>
          </w:rPr>
          <w:t>34</w:t>
        </w:r>
        <w:r w:rsidR="00066D33">
          <w:rPr>
            <w:webHidden/>
          </w:rPr>
          <w:fldChar w:fldCharType="end"/>
        </w:r>
      </w:hyperlink>
    </w:p>
    <w:p w:rsidR="00066D33" w:rsidRDefault="00CC063D">
      <w:pPr>
        <w:pStyle w:val="TOC2"/>
        <w:rPr>
          <w:rFonts w:asciiTheme="minorHAnsi" w:eastAsiaTheme="minorEastAsia" w:hAnsiTheme="minorHAnsi" w:cstheme="minorBidi"/>
          <w:bCs w:val="0"/>
          <w:iCs w:val="0"/>
          <w:sz w:val="22"/>
          <w:szCs w:val="22"/>
        </w:rPr>
      </w:pPr>
      <w:hyperlink w:anchor="_Toc490323017" w:history="1">
        <w:r w:rsidR="00066D33" w:rsidRPr="001E653C">
          <w:rPr>
            <w:rStyle w:val="Hyperlink"/>
          </w:rPr>
          <w:t>3.3 Distributed Generation Forecast for New England</w:t>
        </w:r>
        <w:r w:rsidR="00066D33">
          <w:rPr>
            <w:webHidden/>
          </w:rPr>
          <w:tab/>
        </w:r>
        <w:r w:rsidR="00066D33">
          <w:rPr>
            <w:webHidden/>
          </w:rPr>
          <w:fldChar w:fldCharType="begin"/>
        </w:r>
        <w:r w:rsidR="00066D33">
          <w:rPr>
            <w:webHidden/>
          </w:rPr>
          <w:instrText xml:space="preserve"> PAGEREF _Toc490323017 \h </w:instrText>
        </w:r>
        <w:r w:rsidR="00066D33">
          <w:rPr>
            <w:webHidden/>
          </w:rPr>
        </w:r>
        <w:r w:rsidR="00066D33">
          <w:rPr>
            <w:webHidden/>
          </w:rPr>
          <w:fldChar w:fldCharType="separate"/>
        </w:r>
        <w:r w:rsidR="00B05C7E">
          <w:rPr>
            <w:webHidden/>
          </w:rPr>
          <w:t>35</w:t>
        </w:r>
        <w:r w:rsidR="00066D33">
          <w:rPr>
            <w:webHidden/>
          </w:rPr>
          <w:fldChar w:fldCharType="end"/>
        </w:r>
      </w:hyperlink>
    </w:p>
    <w:p w:rsidR="00066D33" w:rsidRDefault="00CC063D">
      <w:pPr>
        <w:pStyle w:val="TOC3"/>
        <w:rPr>
          <w:rFonts w:asciiTheme="minorHAnsi" w:eastAsiaTheme="minorEastAsia" w:hAnsiTheme="minorHAnsi" w:cstheme="minorBidi"/>
          <w:sz w:val="22"/>
          <w:szCs w:val="22"/>
        </w:rPr>
      </w:pPr>
      <w:hyperlink w:anchor="_Toc490323018" w:history="1">
        <w:r w:rsidR="00066D33" w:rsidRPr="001E653C">
          <w:rPr>
            <w:rStyle w:val="Hyperlink"/>
          </w:rPr>
          <w:t>3.3.1 Distributed Generation Forecast Working Group</w:t>
        </w:r>
        <w:r w:rsidR="00066D33">
          <w:rPr>
            <w:webHidden/>
          </w:rPr>
          <w:tab/>
        </w:r>
        <w:r w:rsidR="00066D33">
          <w:rPr>
            <w:webHidden/>
          </w:rPr>
          <w:fldChar w:fldCharType="begin"/>
        </w:r>
        <w:r w:rsidR="00066D33">
          <w:rPr>
            <w:webHidden/>
          </w:rPr>
          <w:instrText xml:space="preserve"> PAGEREF _Toc490323018 \h </w:instrText>
        </w:r>
        <w:r w:rsidR="00066D33">
          <w:rPr>
            <w:webHidden/>
          </w:rPr>
        </w:r>
        <w:r w:rsidR="00066D33">
          <w:rPr>
            <w:webHidden/>
          </w:rPr>
          <w:fldChar w:fldCharType="separate"/>
        </w:r>
        <w:r w:rsidR="00B05C7E">
          <w:rPr>
            <w:webHidden/>
          </w:rPr>
          <w:t>35</w:t>
        </w:r>
        <w:r w:rsidR="00066D33">
          <w:rPr>
            <w:webHidden/>
          </w:rPr>
          <w:fldChar w:fldCharType="end"/>
        </w:r>
      </w:hyperlink>
    </w:p>
    <w:p w:rsidR="00066D33" w:rsidRDefault="00CC063D">
      <w:pPr>
        <w:pStyle w:val="TOC3"/>
        <w:rPr>
          <w:rFonts w:asciiTheme="minorHAnsi" w:eastAsiaTheme="minorEastAsia" w:hAnsiTheme="minorHAnsi" w:cstheme="minorBidi"/>
          <w:sz w:val="22"/>
          <w:szCs w:val="22"/>
        </w:rPr>
      </w:pPr>
      <w:hyperlink w:anchor="_Toc490323019" w:history="1">
        <w:r w:rsidR="00066D33" w:rsidRPr="001E653C">
          <w:rPr>
            <w:rStyle w:val="Hyperlink"/>
          </w:rPr>
          <w:t>3.3.2 PV Nameplate Capacity Forecast</w:t>
        </w:r>
        <w:r w:rsidR="00066D33">
          <w:rPr>
            <w:webHidden/>
          </w:rPr>
          <w:tab/>
        </w:r>
        <w:r w:rsidR="00066D33">
          <w:rPr>
            <w:webHidden/>
          </w:rPr>
          <w:fldChar w:fldCharType="begin"/>
        </w:r>
        <w:r w:rsidR="00066D33">
          <w:rPr>
            <w:webHidden/>
          </w:rPr>
          <w:instrText xml:space="preserve"> PAGEREF _Toc490323019 \h </w:instrText>
        </w:r>
        <w:r w:rsidR="00066D33">
          <w:rPr>
            <w:webHidden/>
          </w:rPr>
        </w:r>
        <w:r w:rsidR="00066D33">
          <w:rPr>
            <w:webHidden/>
          </w:rPr>
          <w:fldChar w:fldCharType="separate"/>
        </w:r>
        <w:r w:rsidR="00B05C7E">
          <w:rPr>
            <w:webHidden/>
          </w:rPr>
          <w:t>36</w:t>
        </w:r>
        <w:r w:rsidR="00066D33">
          <w:rPr>
            <w:webHidden/>
          </w:rPr>
          <w:fldChar w:fldCharType="end"/>
        </w:r>
      </w:hyperlink>
    </w:p>
    <w:p w:rsidR="00066D33" w:rsidRDefault="00CC063D">
      <w:pPr>
        <w:pStyle w:val="TOC3"/>
        <w:rPr>
          <w:rFonts w:asciiTheme="minorHAnsi" w:eastAsiaTheme="minorEastAsia" w:hAnsiTheme="minorHAnsi" w:cstheme="minorBidi"/>
          <w:sz w:val="22"/>
          <w:szCs w:val="22"/>
        </w:rPr>
      </w:pPr>
      <w:hyperlink w:anchor="_Toc490323020" w:history="1">
        <w:r w:rsidR="00066D33" w:rsidRPr="001E653C">
          <w:rPr>
            <w:rStyle w:val="Hyperlink"/>
          </w:rPr>
          <w:t>3.3.3 PV Energy Forecast</w:t>
        </w:r>
        <w:r w:rsidR="00066D33">
          <w:rPr>
            <w:webHidden/>
          </w:rPr>
          <w:tab/>
        </w:r>
        <w:r w:rsidR="00066D33">
          <w:rPr>
            <w:webHidden/>
          </w:rPr>
          <w:fldChar w:fldCharType="begin"/>
        </w:r>
        <w:r w:rsidR="00066D33">
          <w:rPr>
            <w:webHidden/>
          </w:rPr>
          <w:instrText xml:space="preserve"> PAGEREF _Toc490323020 \h </w:instrText>
        </w:r>
        <w:r w:rsidR="00066D33">
          <w:rPr>
            <w:webHidden/>
          </w:rPr>
        </w:r>
        <w:r w:rsidR="00066D33">
          <w:rPr>
            <w:webHidden/>
          </w:rPr>
          <w:fldChar w:fldCharType="separate"/>
        </w:r>
        <w:r w:rsidR="00B05C7E">
          <w:rPr>
            <w:webHidden/>
          </w:rPr>
          <w:t>38</w:t>
        </w:r>
        <w:r w:rsidR="00066D33">
          <w:rPr>
            <w:webHidden/>
          </w:rPr>
          <w:fldChar w:fldCharType="end"/>
        </w:r>
      </w:hyperlink>
    </w:p>
    <w:p w:rsidR="00066D33" w:rsidRDefault="00CC063D">
      <w:pPr>
        <w:pStyle w:val="TOC2"/>
        <w:rPr>
          <w:rFonts w:asciiTheme="minorHAnsi" w:eastAsiaTheme="minorEastAsia" w:hAnsiTheme="minorHAnsi" w:cstheme="minorBidi"/>
          <w:bCs w:val="0"/>
          <w:iCs w:val="0"/>
          <w:sz w:val="22"/>
          <w:szCs w:val="22"/>
        </w:rPr>
      </w:pPr>
      <w:hyperlink w:anchor="_Toc490323021" w:history="1">
        <w:r w:rsidR="00066D33" w:rsidRPr="001E653C">
          <w:rPr>
            <w:rStyle w:val="Hyperlink"/>
          </w:rPr>
          <w:t>3.4 The Net Demand Forecast</w:t>
        </w:r>
        <w:r w:rsidR="00066D33">
          <w:rPr>
            <w:webHidden/>
          </w:rPr>
          <w:tab/>
        </w:r>
        <w:r w:rsidR="00066D33">
          <w:rPr>
            <w:webHidden/>
          </w:rPr>
          <w:fldChar w:fldCharType="begin"/>
        </w:r>
        <w:r w:rsidR="00066D33">
          <w:rPr>
            <w:webHidden/>
          </w:rPr>
          <w:instrText xml:space="preserve"> PAGEREF _Toc490323021 \h </w:instrText>
        </w:r>
        <w:r w:rsidR="00066D33">
          <w:rPr>
            <w:webHidden/>
          </w:rPr>
        </w:r>
        <w:r w:rsidR="00066D33">
          <w:rPr>
            <w:webHidden/>
          </w:rPr>
          <w:fldChar w:fldCharType="separate"/>
        </w:r>
        <w:r w:rsidR="00B05C7E">
          <w:rPr>
            <w:webHidden/>
          </w:rPr>
          <w:t>38</w:t>
        </w:r>
        <w:r w:rsidR="00066D33">
          <w:rPr>
            <w:webHidden/>
          </w:rPr>
          <w:fldChar w:fldCharType="end"/>
        </w:r>
      </w:hyperlink>
    </w:p>
    <w:p w:rsidR="00066D33" w:rsidRDefault="00CC063D">
      <w:pPr>
        <w:pStyle w:val="TOC2"/>
        <w:rPr>
          <w:rFonts w:asciiTheme="minorHAnsi" w:eastAsiaTheme="minorEastAsia" w:hAnsiTheme="minorHAnsi" w:cstheme="minorBidi"/>
          <w:bCs w:val="0"/>
          <w:iCs w:val="0"/>
          <w:sz w:val="22"/>
          <w:szCs w:val="22"/>
        </w:rPr>
      </w:pPr>
      <w:hyperlink w:anchor="_Toc490323022" w:history="1">
        <w:r w:rsidR="00066D33" w:rsidRPr="001E653C">
          <w:rPr>
            <w:rStyle w:val="Hyperlink"/>
          </w:rPr>
          <w:t>3.5 Summary of Key Findings of the Demand, Energy-Efficiency, and PV Forecasts</w:t>
        </w:r>
        <w:r w:rsidR="00066D33">
          <w:rPr>
            <w:webHidden/>
          </w:rPr>
          <w:tab/>
        </w:r>
        <w:r w:rsidR="00066D33">
          <w:rPr>
            <w:webHidden/>
          </w:rPr>
          <w:fldChar w:fldCharType="begin"/>
        </w:r>
        <w:r w:rsidR="00066D33">
          <w:rPr>
            <w:webHidden/>
          </w:rPr>
          <w:instrText xml:space="preserve"> PAGEREF _Toc490323022 \h </w:instrText>
        </w:r>
        <w:r w:rsidR="00066D33">
          <w:rPr>
            <w:webHidden/>
          </w:rPr>
        </w:r>
        <w:r w:rsidR="00066D33">
          <w:rPr>
            <w:webHidden/>
          </w:rPr>
          <w:fldChar w:fldCharType="separate"/>
        </w:r>
        <w:r w:rsidR="00B05C7E">
          <w:rPr>
            <w:webHidden/>
          </w:rPr>
          <w:t>41</w:t>
        </w:r>
        <w:r w:rsidR="00066D33">
          <w:rPr>
            <w:webHidden/>
          </w:rPr>
          <w:fldChar w:fldCharType="end"/>
        </w:r>
      </w:hyperlink>
    </w:p>
    <w:p w:rsidR="00066D33" w:rsidRDefault="00CC063D">
      <w:pPr>
        <w:pStyle w:val="TOC1"/>
        <w:rPr>
          <w:rFonts w:asciiTheme="minorHAnsi" w:eastAsiaTheme="minorEastAsia" w:hAnsiTheme="minorHAnsi" w:cstheme="minorBidi"/>
          <w:b w:val="0"/>
          <w:sz w:val="22"/>
          <w:szCs w:val="22"/>
        </w:rPr>
      </w:pPr>
      <w:hyperlink w:anchor="_Toc490323023" w:history="1">
        <w:r w:rsidR="00066D33" w:rsidRPr="001E653C">
          <w:rPr>
            <w:rStyle w:val="Hyperlink"/>
          </w:rPr>
          <w:t>Section 4</w:t>
        </w:r>
        <w:r w:rsidR="00066D33">
          <w:rPr>
            <w:rStyle w:val="Hyperlink"/>
          </w:rPr>
          <w:br/>
        </w:r>
        <w:r w:rsidR="00066D33" w:rsidRPr="001E653C">
          <w:rPr>
            <w:rStyle w:val="Hyperlink"/>
          </w:rPr>
          <w:t>Resource Adequacy—Resources, Capacity, and Reserves</w:t>
        </w:r>
        <w:r w:rsidR="00066D33">
          <w:rPr>
            <w:webHidden/>
          </w:rPr>
          <w:tab/>
        </w:r>
        <w:r w:rsidR="00066D33">
          <w:rPr>
            <w:webHidden/>
          </w:rPr>
          <w:fldChar w:fldCharType="begin"/>
        </w:r>
        <w:r w:rsidR="00066D33">
          <w:rPr>
            <w:webHidden/>
          </w:rPr>
          <w:instrText xml:space="preserve"> PAGEREF _Toc490323023 \h </w:instrText>
        </w:r>
        <w:r w:rsidR="00066D33">
          <w:rPr>
            <w:webHidden/>
          </w:rPr>
        </w:r>
        <w:r w:rsidR="00066D33">
          <w:rPr>
            <w:webHidden/>
          </w:rPr>
          <w:fldChar w:fldCharType="separate"/>
        </w:r>
        <w:r w:rsidR="00B05C7E">
          <w:rPr>
            <w:webHidden/>
          </w:rPr>
          <w:t>43</w:t>
        </w:r>
        <w:r w:rsidR="00066D33">
          <w:rPr>
            <w:webHidden/>
          </w:rPr>
          <w:fldChar w:fldCharType="end"/>
        </w:r>
      </w:hyperlink>
    </w:p>
    <w:p w:rsidR="00066D33" w:rsidRDefault="00CC063D">
      <w:pPr>
        <w:pStyle w:val="TOC2"/>
        <w:rPr>
          <w:rFonts w:asciiTheme="minorHAnsi" w:eastAsiaTheme="minorEastAsia" w:hAnsiTheme="minorHAnsi" w:cstheme="minorBidi"/>
          <w:bCs w:val="0"/>
          <w:iCs w:val="0"/>
          <w:sz w:val="22"/>
          <w:szCs w:val="22"/>
        </w:rPr>
      </w:pPr>
      <w:hyperlink w:anchor="_Toc490323024" w:history="1">
        <w:r w:rsidR="00066D33" w:rsidRPr="001E653C">
          <w:rPr>
            <w:rStyle w:val="Hyperlink"/>
          </w:rPr>
          <w:t>4.1 Determining Systemwide and Local-Area Capacity Needs</w:t>
        </w:r>
        <w:r w:rsidR="00066D33">
          <w:rPr>
            <w:webHidden/>
          </w:rPr>
          <w:tab/>
        </w:r>
        <w:r w:rsidR="00066D33">
          <w:rPr>
            <w:webHidden/>
          </w:rPr>
          <w:fldChar w:fldCharType="begin"/>
        </w:r>
        <w:r w:rsidR="00066D33">
          <w:rPr>
            <w:webHidden/>
          </w:rPr>
          <w:instrText xml:space="preserve"> PAGEREF _Toc490323024 \h </w:instrText>
        </w:r>
        <w:r w:rsidR="00066D33">
          <w:rPr>
            <w:webHidden/>
          </w:rPr>
        </w:r>
        <w:r w:rsidR="00066D33">
          <w:rPr>
            <w:webHidden/>
          </w:rPr>
          <w:fldChar w:fldCharType="separate"/>
        </w:r>
        <w:r w:rsidR="00B05C7E">
          <w:rPr>
            <w:webHidden/>
          </w:rPr>
          <w:t>43</w:t>
        </w:r>
        <w:r w:rsidR="00066D33">
          <w:rPr>
            <w:webHidden/>
          </w:rPr>
          <w:fldChar w:fldCharType="end"/>
        </w:r>
      </w:hyperlink>
    </w:p>
    <w:p w:rsidR="00066D33" w:rsidRDefault="00CC063D">
      <w:pPr>
        <w:pStyle w:val="TOC3"/>
        <w:rPr>
          <w:rFonts w:asciiTheme="minorHAnsi" w:eastAsiaTheme="minorEastAsia" w:hAnsiTheme="minorHAnsi" w:cstheme="minorBidi"/>
          <w:sz w:val="22"/>
          <w:szCs w:val="22"/>
        </w:rPr>
      </w:pPr>
      <w:hyperlink w:anchor="_Toc490323025" w:history="1">
        <w:r w:rsidR="00066D33" w:rsidRPr="001E653C">
          <w:rPr>
            <w:rStyle w:val="Hyperlink"/>
          </w:rPr>
          <w:t>4.1.1 Systemwide Installed Capacity Requirements</w:t>
        </w:r>
        <w:r w:rsidR="00066D33">
          <w:rPr>
            <w:webHidden/>
          </w:rPr>
          <w:tab/>
        </w:r>
        <w:r w:rsidR="00066D33">
          <w:rPr>
            <w:webHidden/>
          </w:rPr>
          <w:fldChar w:fldCharType="begin"/>
        </w:r>
        <w:r w:rsidR="00066D33">
          <w:rPr>
            <w:webHidden/>
          </w:rPr>
          <w:instrText xml:space="preserve"> PAGEREF _Toc490323025 \h </w:instrText>
        </w:r>
        <w:r w:rsidR="00066D33">
          <w:rPr>
            <w:webHidden/>
          </w:rPr>
        </w:r>
        <w:r w:rsidR="00066D33">
          <w:rPr>
            <w:webHidden/>
          </w:rPr>
          <w:fldChar w:fldCharType="separate"/>
        </w:r>
        <w:r w:rsidR="00B05C7E">
          <w:rPr>
            <w:webHidden/>
          </w:rPr>
          <w:t>43</w:t>
        </w:r>
        <w:r w:rsidR="00066D33">
          <w:rPr>
            <w:webHidden/>
          </w:rPr>
          <w:fldChar w:fldCharType="end"/>
        </w:r>
      </w:hyperlink>
    </w:p>
    <w:p w:rsidR="00066D33" w:rsidRDefault="00CC063D">
      <w:pPr>
        <w:pStyle w:val="TOC3"/>
        <w:rPr>
          <w:rFonts w:asciiTheme="minorHAnsi" w:eastAsiaTheme="minorEastAsia" w:hAnsiTheme="minorHAnsi" w:cstheme="minorBidi"/>
          <w:sz w:val="22"/>
          <w:szCs w:val="22"/>
        </w:rPr>
      </w:pPr>
      <w:hyperlink w:anchor="_Toc490323026" w:history="1">
        <w:r w:rsidR="00066D33" w:rsidRPr="001E653C">
          <w:rPr>
            <w:rStyle w:val="Hyperlink"/>
          </w:rPr>
          <w:t>4.1.2 Local Resource Requirements and Limits</w:t>
        </w:r>
        <w:r w:rsidR="00066D33">
          <w:rPr>
            <w:webHidden/>
          </w:rPr>
          <w:tab/>
        </w:r>
        <w:r w:rsidR="00066D33">
          <w:rPr>
            <w:webHidden/>
          </w:rPr>
          <w:fldChar w:fldCharType="begin"/>
        </w:r>
        <w:r w:rsidR="00066D33">
          <w:rPr>
            <w:webHidden/>
          </w:rPr>
          <w:instrText xml:space="preserve"> PAGEREF _Toc490323026 \h </w:instrText>
        </w:r>
        <w:r w:rsidR="00066D33">
          <w:rPr>
            <w:webHidden/>
          </w:rPr>
        </w:r>
        <w:r w:rsidR="00066D33">
          <w:rPr>
            <w:webHidden/>
          </w:rPr>
          <w:fldChar w:fldCharType="separate"/>
        </w:r>
        <w:r w:rsidR="00B05C7E">
          <w:rPr>
            <w:webHidden/>
          </w:rPr>
          <w:t>45</w:t>
        </w:r>
        <w:r w:rsidR="00066D33">
          <w:rPr>
            <w:webHidden/>
          </w:rPr>
          <w:fldChar w:fldCharType="end"/>
        </w:r>
      </w:hyperlink>
    </w:p>
    <w:p w:rsidR="00066D33" w:rsidRDefault="00CC063D">
      <w:pPr>
        <w:pStyle w:val="TOC3"/>
        <w:rPr>
          <w:rFonts w:asciiTheme="minorHAnsi" w:eastAsiaTheme="minorEastAsia" w:hAnsiTheme="minorHAnsi" w:cstheme="minorBidi"/>
          <w:sz w:val="22"/>
          <w:szCs w:val="22"/>
        </w:rPr>
      </w:pPr>
      <w:hyperlink w:anchor="_Toc490323027" w:history="1">
        <w:r w:rsidR="00066D33" w:rsidRPr="001E653C">
          <w:rPr>
            <w:rStyle w:val="Hyperlink"/>
          </w:rPr>
          <w:t>4.1.3 Capacity Supply Obligations from the Forward Capacity Auctions</w:t>
        </w:r>
        <w:r w:rsidR="00066D33">
          <w:rPr>
            <w:webHidden/>
          </w:rPr>
          <w:tab/>
        </w:r>
        <w:r w:rsidR="00066D33">
          <w:rPr>
            <w:webHidden/>
          </w:rPr>
          <w:fldChar w:fldCharType="begin"/>
        </w:r>
        <w:r w:rsidR="00066D33">
          <w:rPr>
            <w:webHidden/>
          </w:rPr>
          <w:instrText xml:space="preserve"> PAGEREF _Toc490323027 \h </w:instrText>
        </w:r>
        <w:r w:rsidR="00066D33">
          <w:rPr>
            <w:webHidden/>
          </w:rPr>
        </w:r>
        <w:r w:rsidR="00066D33">
          <w:rPr>
            <w:webHidden/>
          </w:rPr>
          <w:fldChar w:fldCharType="separate"/>
        </w:r>
        <w:r w:rsidR="00B05C7E">
          <w:rPr>
            <w:webHidden/>
          </w:rPr>
          <w:t>47</w:t>
        </w:r>
        <w:r w:rsidR="00066D33">
          <w:rPr>
            <w:webHidden/>
          </w:rPr>
          <w:fldChar w:fldCharType="end"/>
        </w:r>
      </w:hyperlink>
    </w:p>
    <w:p w:rsidR="00066D33" w:rsidRDefault="00CC063D">
      <w:pPr>
        <w:pStyle w:val="TOC2"/>
        <w:rPr>
          <w:rFonts w:asciiTheme="minorHAnsi" w:eastAsiaTheme="minorEastAsia" w:hAnsiTheme="minorHAnsi" w:cstheme="minorBidi"/>
          <w:bCs w:val="0"/>
          <w:iCs w:val="0"/>
          <w:sz w:val="22"/>
          <w:szCs w:val="22"/>
        </w:rPr>
      </w:pPr>
      <w:hyperlink w:anchor="_Toc490323028" w:history="1">
        <w:r w:rsidR="00066D33" w:rsidRPr="001E653C">
          <w:rPr>
            <w:rStyle w:val="Hyperlink"/>
          </w:rPr>
          <w:t>4.2 Determining FCM Capacity Zones</w:t>
        </w:r>
        <w:r w:rsidR="00066D33">
          <w:rPr>
            <w:webHidden/>
          </w:rPr>
          <w:tab/>
        </w:r>
        <w:r w:rsidR="00066D33">
          <w:rPr>
            <w:webHidden/>
          </w:rPr>
          <w:fldChar w:fldCharType="begin"/>
        </w:r>
        <w:r w:rsidR="00066D33">
          <w:rPr>
            <w:webHidden/>
          </w:rPr>
          <w:instrText xml:space="preserve"> PAGEREF _Toc490323028 \h </w:instrText>
        </w:r>
        <w:r w:rsidR="00066D33">
          <w:rPr>
            <w:webHidden/>
          </w:rPr>
        </w:r>
        <w:r w:rsidR="00066D33">
          <w:rPr>
            <w:webHidden/>
          </w:rPr>
          <w:fldChar w:fldCharType="separate"/>
        </w:r>
        <w:r w:rsidR="00B05C7E">
          <w:rPr>
            <w:webHidden/>
          </w:rPr>
          <w:t>51</w:t>
        </w:r>
        <w:r w:rsidR="00066D33">
          <w:rPr>
            <w:webHidden/>
          </w:rPr>
          <w:fldChar w:fldCharType="end"/>
        </w:r>
      </w:hyperlink>
    </w:p>
    <w:p w:rsidR="00066D33" w:rsidRDefault="00CC063D">
      <w:pPr>
        <w:pStyle w:val="TOC2"/>
        <w:rPr>
          <w:rFonts w:asciiTheme="minorHAnsi" w:eastAsiaTheme="minorEastAsia" w:hAnsiTheme="minorHAnsi" w:cstheme="minorBidi"/>
          <w:bCs w:val="0"/>
          <w:iCs w:val="0"/>
          <w:sz w:val="22"/>
          <w:szCs w:val="22"/>
        </w:rPr>
      </w:pPr>
      <w:hyperlink w:anchor="_Toc490323029" w:history="1">
        <w:r w:rsidR="00066D33" w:rsidRPr="001E653C">
          <w:rPr>
            <w:rStyle w:val="Hyperlink"/>
            <w:rFonts w:eastAsia="Times New Roman"/>
          </w:rPr>
          <w:t>4.3 Analyzing Operable Capacity</w:t>
        </w:r>
        <w:r w:rsidR="00066D33">
          <w:rPr>
            <w:webHidden/>
          </w:rPr>
          <w:tab/>
        </w:r>
        <w:r w:rsidR="00066D33">
          <w:rPr>
            <w:webHidden/>
          </w:rPr>
          <w:fldChar w:fldCharType="begin"/>
        </w:r>
        <w:r w:rsidR="00066D33">
          <w:rPr>
            <w:webHidden/>
          </w:rPr>
          <w:instrText xml:space="preserve"> PAGEREF _Toc490323029 \h </w:instrText>
        </w:r>
        <w:r w:rsidR="00066D33">
          <w:rPr>
            <w:webHidden/>
          </w:rPr>
        </w:r>
        <w:r w:rsidR="00066D33">
          <w:rPr>
            <w:webHidden/>
          </w:rPr>
          <w:fldChar w:fldCharType="separate"/>
        </w:r>
        <w:r w:rsidR="00B05C7E">
          <w:rPr>
            <w:webHidden/>
          </w:rPr>
          <w:t>52</w:t>
        </w:r>
        <w:r w:rsidR="00066D33">
          <w:rPr>
            <w:webHidden/>
          </w:rPr>
          <w:fldChar w:fldCharType="end"/>
        </w:r>
      </w:hyperlink>
    </w:p>
    <w:p w:rsidR="00066D33" w:rsidRDefault="00CC063D">
      <w:pPr>
        <w:pStyle w:val="TOC2"/>
        <w:rPr>
          <w:rFonts w:asciiTheme="minorHAnsi" w:eastAsiaTheme="minorEastAsia" w:hAnsiTheme="minorHAnsi" w:cstheme="minorBidi"/>
          <w:bCs w:val="0"/>
          <w:iCs w:val="0"/>
          <w:sz w:val="22"/>
          <w:szCs w:val="22"/>
        </w:rPr>
      </w:pPr>
      <w:hyperlink w:anchor="_Toc490323030" w:history="1">
        <w:r w:rsidR="00066D33" w:rsidRPr="001E653C">
          <w:rPr>
            <w:rStyle w:val="Hyperlink"/>
          </w:rPr>
          <w:t>4.4 Determining Operating Reserves and Regulation</w:t>
        </w:r>
        <w:r w:rsidR="00066D33">
          <w:rPr>
            <w:webHidden/>
          </w:rPr>
          <w:tab/>
        </w:r>
        <w:r w:rsidR="00066D33">
          <w:rPr>
            <w:webHidden/>
          </w:rPr>
          <w:fldChar w:fldCharType="begin"/>
        </w:r>
        <w:r w:rsidR="00066D33">
          <w:rPr>
            <w:webHidden/>
          </w:rPr>
          <w:instrText xml:space="preserve"> PAGEREF _Toc490323030 \h </w:instrText>
        </w:r>
        <w:r w:rsidR="00066D33">
          <w:rPr>
            <w:webHidden/>
          </w:rPr>
        </w:r>
        <w:r w:rsidR="00066D33">
          <w:rPr>
            <w:webHidden/>
          </w:rPr>
          <w:fldChar w:fldCharType="separate"/>
        </w:r>
        <w:r w:rsidR="00B05C7E">
          <w:rPr>
            <w:webHidden/>
          </w:rPr>
          <w:t>53</w:t>
        </w:r>
        <w:r w:rsidR="00066D33">
          <w:rPr>
            <w:webHidden/>
          </w:rPr>
          <w:fldChar w:fldCharType="end"/>
        </w:r>
      </w:hyperlink>
    </w:p>
    <w:p w:rsidR="00066D33" w:rsidRDefault="00CC063D">
      <w:pPr>
        <w:pStyle w:val="TOC3"/>
        <w:rPr>
          <w:rFonts w:asciiTheme="minorHAnsi" w:eastAsiaTheme="minorEastAsia" w:hAnsiTheme="minorHAnsi" w:cstheme="minorBidi"/>
          <w:sz w:val="22"/>
          <w:szCs w:val="22"/>
        </w:rPr>
      </w:pPr>
      <w:hyperlink w:anchor="_Toc490323031" w:history="1">
        <w:r w:rsidR="00066D33" w:rsidRPr="001E653C">
          <w:rPr>
            <w:rStyle w:val="Hyperlink"/>
          </w:rPr>
          <w:t>4.4.1 Systemwide Operating-Reserve Requirements</w:t>
        </w:r>
        <w:r w:rsidR="00066D33">
          <w:rPr>
            <w:webHidden/>
          </w:rPr>
          <w:tab/>
        </w:r>
        <w:r w:rsidR="00066D33">
          <w:rPr>
            <w:webHidden/>
          </w:rPr>
          <w:fldChar w:fldCharType="begin"/>
        </w:r>
        <w:r w:rsidR="00066D33">
          <w:rPr>
            <w:webHidden/>
          </w:rPr>
          <w:instrText xml:space="preserve"> PAGEREF _Toc490323031 \h </w:instrText>
        </w:r>
        <w:r w:rsidR="00066D33">
          <w:rPr>
            <w:webHidden/>
          </w:rPr>
        </w:r>
        <w:r w:rsidR="00066D33">
          <w:rPr>
            <w:webHidden/>
          </w:rPr>
          <w:fldChar w:fldCharType="separate"/>
        </w:r>
        <w:r w:rsidR="00B05C7E">
          <w:rPr>
            <w:webHidden/>
          </w:rPr>
          <w:t>54</w:t>
        </w:r>
        <w:r w:rsidR="00066D33">
          <w:rPr>
            <w:webHidden/>
          </w:rPr>
          <w:fldChar w:fldCharType="end"/>
        </w:r>
      </w:hyperlink>
    </w:p>
    <w:p w:rsidR="00066D33" w:rsidRDefault="00CC063D">
      <w:pPr>
        <w:pStyle w:val="TOC3"/>
        <w:rPr>
          <w:rFonts w:asciiTheme="minorHAnsi" w:eastAsiaTheme="minorEastAsia" w:hAnsiTheme="minorHAnsi" w:cstheme="minorBidi"/>
          <w:sz w:val="22"/>
          <w:szCs w:val="22"/>
        </w:rPr>
      </w:pPr>
      <w:hyperlink w:anchor="_Toc490323032" w:history="1">
        <w:r w:rsidR="00066D33" w:rsidRPr="001E653C">
          <w:rPr>
            <w:rStyle w:val="Hyperlink"/>
          </w:rPr>
          <w:t>4.4.2 Locational Reserve Needs for Major Import Areas</w:t>
        </w:r>
        <w:r w:rsidR="00066D33">
          <w:rPr>
            <w:webHidden/>
          </w:rPr>
          <w:tab/>
        </w:r>
        <w:r w:rsidR="00066D33">
          <w:rPr>
            <w:webHidden/>
          </w:rPr>
          <w:fldChar w:fldCharType="begin"/>
        </w:r>
        <w:r w:rsidR="00066D33">
          <w:rPr>
            <w:webHidden/>
          </w:rPr>
          <w:instrText xml:space="preserve"> PAGEREF _Toc490323032 \h </w:instrText>
        </w:r>
        <w:r w:rsidR="00066D33">
          <w:rPr>
            <w:webHidden/>
          </w:rPr>
        </w:r>
        <w:r w:rsidR="00066D33">
          <w:rPr>
            <w:webHidden/>
          </w:rPr>
          <w:fldChar w:fldCharType="separate"/>
        </w:r>
        <w:r w:rsidR="00B05C7E">
          <w:rPr>
            <w:webHidden/>
          </w:rPr>
          <w:t>55</w:t>
        </w:r>
        <w:r w:rsidR="00066D33">
          <w:rPr>
            <w:webHidden/>
          </w:rPr>
          <w:fldChar w:fldCharType="end"/>
        </w:r>
      </w:hyperlink>
    </w:p>
    <w:p w:rsidR="00066D33" w:rsidRDefault="00CC063D">
      <w:pPr>
        <w:pStyle w:val="TOC2"/>
        <w:rPr>
          <w:rFonts w:asciiTheme="minorHAnsi" w:eastAsiaTheme="minorEastAsia" w:hAnsiTheme="minorHAnsi" w:cstheme="minorBidi"/>
          <w:bCs w:val="0"/>
          <w:iCs w:val="0"/>
          <w:sz w:val="22"/>
          <w:szCs w:val="22"/>
        </w:rPr>
      </w:pPr>
      <w:hyperlink w:anchor="_Toc490323033" w:history="1">
        <w:r w:rsidR="00066D33" w:rsidRPr="001E653C">
          <w:rPr>
            <w:rStyle w:val="Hyperlink"/>
          </w:rPr>
          <w:t>4.5 Existing and Future Resource Development in Areas of Need</w:t>
        </w:r>
        <w:r w:rsidR="00066D33">
          <w:rPr>
            <w:webHidden/>
          </w:rPr>
          <w:tab/>
        </w:r>
        <w:r w:rsidR="00066D33">
          <w:rPr>
            <w:webHidden/>
          </w:rPr>
          <w:fldChar w:fldCharType="begin"/>
        </w:r>
        <w:r w:rsidR="00066D33">
          <w:rPr>
            <w:webHidden/>
          </w:rPr>
          <w:instrText xml:space="preserve"> PAGEREF _Toc490323033 \h </w:instrText>
        </w:r>
        <w:r w:rsidR="00066D33">
          <w:rPr>
            <w:webHidden/>
          </w:rPr>
        </w:r>
        <w:r w:rsidR="00066D33">
          <w:rPr>
            <w:webHidden/>
          </w:rPr>
          <w:fldChar w:fldCharType="separate"/>
        </w:r>
        <w:r w:rsidR="00B05C7E">
          <w:rPr>
            <w:webHidden/>
          </w:rPr>
          <w:t>59</w:t>
        </w:r>
        <w:r w:rsidR="00066D33">
          <w:rPr>
            <w:webHidden/>
          </w:rPr>
          <w:fldChar w:fldCharType="end"/>
        </w:r>
      </w:hyperlink>
    </w:p>
    <w:p w:rsidR="00066D33" w:rsidRDefault="00CC063D">
      <w:pPr>
        <w:pStyle w:val="TOC3"/>
        <w:rPr>
          <w:rFonts w:asciiTheme="minorHAnsi" w:eastAsiaTheme="minorEastAsia" w:hAnsiTheme="minorHAnsi" w:cstheme="minorBidi"/>
          <w:sz w:val="22"/>
          <w:szCs w:val="22"/>
        </w:rPr>
      </w:pPr>
      <w:hyperlink w:anchor="_Toc490323034" w:history="1">
        <w:r w:rsidR="00066D33" w:rsidRPr="001E653C">
          <w:rPr>
            <w:rStyle w:val="Hyperlink"/>
          </w:rPr>
          <w:t>4.5.1 Existing Generating Capacity by Subarea, Load Zone, and State</w:t>
        </w:r>
        <w:r w:rsidR="00066D33">
          <w:rPr>
            <w:webHidden/>
          </w:rPr>
          <w:tab/>
        </w:r>
        <w:r w:rsidR="00066D33">
          <w:rPr>
            <w:webHidden/>
          </w:rPr>
          <w:fldChar w:fldCharType="begin"/>
        </w:r>
        <w:r w:rsidR="00066D33">
          <w:rPr>
            <w:webHidden/>
          </w:rPr>
          <w:instrText xml:space="preserve"> PAGEREF _Toc490323034 \h </w:instrText>
        </w:r>
        <w:r w:rsidR="00066D33">
          <w:rPr>
            <w:webHidden/>
          </w:rPr>
        </w:r>
        <w:r w:rsidR="00066D33">
          <w:rPr>
            <w:webHidden/>
          </w:rPr>
          <w:fldChar w:fldCharType="separate"/>
        </w:r>
        <w:r w:rsidR="00B05C7E">
          <w:rPr>
            <w:webHidden/>
          </w:rPr>
          <w:t>59</w:t>
        </w:r>
        <w:r w:rsidR="00066D33">
          <w:rPr>
            <w:webHidden/>
          </w:rPr>
          <w:fldChar w:fldCharType="end"/>
        </w:r>
      </w:hyperlink>
    </w:p>
    <w:p w:rsidR="00066D33" w:rsidRDefault="00CC063D">
      <w:pPr>
        <w:pStyle w:val="TOC3"/>
        <w:rPr>
          <w:rFonts w:asciiTheme="minorHAnsi" w:eastAsiaTheme="minorEastAsia" w:hAnsiTheme="minorHAnsi" w:cstheme="minorBidi"/>
          <w:sz w:val="22"/>
          <w:szCs w:val="22"/>
        </w:rPr>
      </w:pPr>
      <w:hyperlink w:anchor="_Toc490323035" w:history="1">
        <w:r w:rsidR="00066D33" w:rsidRPr="001E653C">
          <w:rPr>
            <w:rStyle w:val="Hyperlink"/>
          </w:rPr>
          <w:t>4.5.2 Summer Seasonal Claimed Capability of New England’s Generating Resources</w:t>
        </w:r>
        <w:r w:rsidR="00066D33">
          <w:rPr>
            <w:webHidden/>
          </w:rPr>
          <w:tab/>
        </w:r>
        <w:r w:rsidR="00066D33">
          <w:rPr>
            <w:webHidden/>
          </w:rPr>
          <w:fldChar w:fldCharType="begin"/>
        </w:r>
        <w:r w:rsidR="00066D33">
          <w:rPr>
            <w:webHidden/>
          </w:rPr>
          <w:instrText xml:space="preserve"> PAGEREF _Toc490323035 \h </w:instrText>
        </w:r>
        <w:r w:rsidR="00066D33">
          <w:rPr>
            <w:webHidden/>
          </w:rPr>
        </w:r>
        <w:r w:rsidR="00066D33">
          <w:rPr>
            <w:webHidden/>
          </w:rPr>
          <w:fldChar w:fldCharType="separate"/>
        </w:r>
        <w:r w:rsidR="00B05C7E">
          <w:rPr>
            <w:webHidden/>
          </w:rPr>
          <w:t>61</w:t>
        </w:r>
        <w:r w:rsidR="00066D33">
          <w:rPr>
            <w:webHidden/>
          </w:rPr>
          <w:fldChar w:fldCharType="end"/>
        </w:r>
      </w:hyperlink>
    </w:p>
    <w:p w:rsidR="00066D33" w:rsidRDefault="00CC063D">
      <w:pPr>
        <w:pStyle w:val="TOC3"/>
        <w:rPr>
          <w:rFonts w:asciiTheme="minorHAnsi" w:eastAsiaTheme="minorEastAsia" w:hAnsiTheme="minorHAnsi" w:cstheme="minorBidi"/>
          <w:sz w:val="22"/>
          <w:szCs w:val="22"/>
        </w:rPr>
      </w:pPr>
      <w:hyperlink w:anchor="_Toc490323036" w:history="1">
        <w:r w:rsidR="00066D33" w:rsidRPr="001E653C">
          <w:rPr>
            <w:rStyle w:val="Hyperlink"/>
          </w:rPr>
          <w:t>4.5.3 Generation Retirement and Additions in New England</w:t>
        </w:r>
        <w:r w:rsidR="00066D33">
          <w:rPr>
            <w:webHidden/>
          </w:rPr>
          <w:tab/>
        </w:r>
        <w:r w:rsidR="00066D33">
          <w:rPr>
            <w:webHidden/>
          </w:rPr>
          <w:fldChar w:fldCharType="begin"/>
        </w:r>
        <w:r w:rsidR="00066D33">
          <w:rPr>
            <w:webHidden/>
          </w:rPr>
          <w:instrText xml:space="preserve"> PAGEREF _Toc490323036 \h </w:instrText>
        </w:r>
        <w:r w:rsidR="00066D33">
          <w:rPr>
            <w:webHidden/>
          </w:rPr>
        </w:r>
        <w:r w:rsidR="00066D33">
          <w:rPr>
            <w:webHidden/>
          </w:rPr>
          <w:fldChar w:fldCharType="separate"/>
        </w:r>
        <w:r w:rsidR="00B05C7E">
          <w:rPr>
            <w:webHidden/>
          </w:rPr>
          <w:t>61</w:t>
        </w:r>
        <w:r w:rsidR="00066D33">
          <w:rPr>
            <w:webHidden/>
          </w:rPr>
          <w:fldChar w:fldCharType="end"/>
        </w:r>
      </w:hyperlink>
    </w:p>
    <w:p w:rsidR="00066D33" w:rsidRDefault="00CC063D">
      <w:pPr>
        <w:pStyle w:val="TOC3"/>
        <w:rPr>
          <w:rFonts w:asciiTheme="minorHAnsi" w:eastAsiaTheme="minorEastAsia" w:hAnsiTheme="minorHAnsi" w:cstheme="minorBidi"/>
          <w:sz w:val="22"/>
          <w:szCs w:val="22"/>
        </w:rPr>
      </w:pPr>
      <w:hyperlink w:anchor="_Toc490323037" w:history="1">
        <w:r w:rsidR="00066D33" w:rsidRPr="001E653C">
          <w:rPr>
            <w:rStyle w:val="Hyperlink"/>
          </w:rPr>
          <w:t>4.5.4 Generating Units in the ISO Interconnection Request Queue</w:t>
        </w:r>
        <w:r w:rsidR="00066D33">
          <w:rPr>
            <w:webHidden/>
          </w:rPr>
          <w:tab/>
        </w:r>
        <w:r w:rsidR="00066D33">
          <w:rPr>
            <w:webHidden/>
          </w:rPr>
          <w:fldChar w:fldCharType="begin"/>
        </w:r>
        <w:r w:rsidR="00066D33">
          <w:rPr>
            <w:webHidden/>
          </w:rPr>
          <w:instrText xml:space="preserve"> PAGEREF _Toc490323037 \h </w:instrText>
        </w:r>
        <w:r w:rsidR="00066D33">
          <w:rPr>
            <w:webHidden/>
          </w:rPr>
        </w:r>
        <w:r w:rsidR="00066D33">
          <w:rPr>
            <w:webHidden/>
          </w:rPr>
          <w:fldChar w:fldCharType="separate"/>
        </w:r>
        <w:r w:rsidR="00B05C7E">
          <w:rPr>
            <w:webHidden/>
          </w:rPr>
          <w:t>62</w:t>
        </w:r>
        <w:r w:rsidR="00066D33">
          <w:rPr>
            <w:webHidden/>
          </w:rPr>
          <w:fldChar w:fldCharType="end"/>
        </w:r>
      </w:hyperlink>
    </w:p>
    <w:p w:rsidR="00066D33" w:rsidRDefault="006346FE">
      <w:pPr>
        <w:pStyle w:val="TOC2"/>
        <w:rPr>
          <w:rFonts w:asciiTheme="minorHAnsi" w:eastAsiaTheme="minorEastAsia" w:hAnsiTheme="minorHAnsi" w:cstheme="minorBidi"/>
          <w:bCs w:val="0"/>
          <w:iCs w:val="0"/>
          <w:sz w:val="22"/>
          <w:szCs w:val="22"/>
        </w:rPr>
      </w:pPr>
      <w:r>
        <w:fldChar w:fldCharType="begin"/>
      </w:r>
      <w:r>
        <w:instrText xml:space="preserve"> HYPERLINK \l "_Toc490323038" </w:instrText>
      </w:r>
      <w:r>
        <w:fldChar w:fldCharType="separate"/>
      </w:r>
      <w:r w:rsidR="00066D33" w:rsidRPr="001E653C">
        <w:rPr>
          <w:rStyle w:val="Hyperlink"/>
        </w:rPr>
        <w:t>4.6 Summary</w:t>
      </w:r>
      <w:r w:rsidR="00066D33">
        <w:rPr>
          <w:webHidden/>
        </w:rPr>
        <w:tab/>
      </w:r>
      <w:r w:rsidR="00066D33">
        <w:rPr>
          <w:webHidden/>
        </w:rPr>
        <w:fldChar w:fldCharType="begin"/>
      </w:r>
      <w:r w:rsidR="00066D33">
        <w:rPr>
          <w:webHidden/>
        </w:rPr>
        <w:instrText xml:space="preserve"> PAGEREF _Toc490323038 \h </w:instrText>
      </w:r>
      <w:r w:rsidR="00066D33">
        <w:rPr>
          <w:webHidden/>
        </w:rPr>
      </w:r>
      <w:r w:rsidR="00066D33">
        <w:rPr>
          <w:webHidden/>
        </w:rPr>
        <w:fldChar w:fldCharType="separate"/>
      </w:r>
      <w:ins w:id="27" w:author="Author">
        <w:r w:rsidR="00B05C7E">
          <w:rPr>
            <w:webHidden/>
          </w:rPr>
          <w:t>64</w:t>
        </w:r>
      </w:ins>
      <w:del w:id="28" w:author="Author">
        <w:r w:rsidR="006E67FC" w:rsidDel="00B05C7E">
          <w:rPr>
            <w:webHidden/>
          </w:rPr>
          <w:delText>65</w:delText>
        </w:r>
      </w:del>
      <w:r w:rsidR="00066D33">
        <w:rPr>
          <w:webHidden/>
        </w:rPr>
        <w:fldChar w:fldCharType="end"/>
      </w:r>
      <w:r>
        <w:fldChar w:fldCharType="end"/>
      </w:r>
    </w:p>
    <w:p w:rsidR="00066D33" w:rsidRDefault="00CC063D">
      <w:pPr>
        <w:pStyle w:val="TOC1"/>
        <w:rPr>
          <w:rFonts w:asciiTheme="minorHAnsi" w:eastAsiaTheme="minorEastAsia" w:hAnsiTheme="minorHAnsi" w:cstheme="minorBidi"/>
          <w:b w:val="0"/>
          <w:sz w:val="22"/>
          <w:szCs w:val="22"/>
        </w:rPr>
      </w:pPr>
      <w:hyperlink w:anchor="_Toc490323039" w:history="1">
        <w:r w:rsidR="00066D33" w:rsidRPr="001E653C">
          <w:rPr>
            <w:rStyle w:val="Hyperlink"/>
          </w:rPr>
          <w:t>Section 5</w:t>
        </w:r>
        <w:r w:rsidR="00066D33">
          <w:rPr>
            <w:rStyle w:val="Hyperlink"/>
          </w:rPr>
          <w:br/>
        </w:r>
        <w:r w:rsidR="00066D33" w:rsidRPr="001E653C">
          <w:rPr>
            <w:rStyle w:val="Hyperlink"/>
          </w:rPr>
          <w:t>Transmission System Performance Needs Assessments and Upgrade Approvals</w:t>
        </w:r>
        <w:r w:rsidR="00066D33">
          <w:rPr>
            <w:webHidden/>
          </w:rPr>
          <w:tab/>
        </w:r>
        <w:r w:rsidR="00066D33">
          <w:rPr>
            <w:webHidden/>
          </w:rPr>
          <w:fldChar w:fldCharType="begin"/>
        </w:r>
        <w:r w:rsidR="00066D33">
          <w:rPr>
            <w:webHidden/>
          </w:rPr>
          <w:instrText xml:space="preserve"> PAGEREF _Toc490323039 \h </w:instrText>
        </w:r>
        <w:r w:rsidR="00066D33">
          <w:rPr>
            <w:webHidden/>
          </w:rPr>
        </w:r>
        <w:r w:rsidR="00066D33">
          <w:rPr>
            <w:webHidden/>
          </w:rPr>
          <w:fldChar w:fldCharType="separate"/>
        </w:r>
        <w:r w:rsidR="00B05C7E">
          <w:rPr>
            <w:webHidden/>
          </w:rPr>
          <w:t>67</w:t>
        </w:r>
        <w:r w:rsidR="00066D33">
          <w:rPr>
            <w:webHidden/>
          </w:rPr>
          <w:fldChar w:fldCharType="end"/>
        </w:r>
      </w:hyperlink>
    </w:p>
    <w:p w:rsidR="00066D33" w:rsidRDefault="00CC063D">
      <w:pPr>
        <w:pStyle w:val="TOC2"/>
        <w:rPr>
          <w:rFonts w:asciiTheme="minorHAnsi" w:eastAsiaTheme="minorEastAsia" w:hAnsiTheme="minorHAnsi" w:cstheme="minorBidi"/>
          <w:bCs w:val="0"/>
          <w:iCs w:val="0"/>
          <w:sz w:val="22"/>
          <w:szCs w:val="22"/>
        </w:rPr>
      </w:pPr>
      <w:hyperlink w:anchor="_Toc490323040" w:history="1">
        <w:r w:rsidR="00066D33" w:rsidRPr="001E653C">
          <w:rPr>
            <w:rStyle w:val="Hyperlink"/>
          </w:rPr>
          <w:t>5.1 The Need for Transmission Reliability</w:t>
        </w:r>
        <w:r w:rsidR="00066D33">
          <w:rPr>
            <w:webHidden/>
          </w:rPr>
          <w:tab/>
        </w:r>
        <w:r w:rsidR="00066D33">
          <w:rPr>
            <w:webHidden/>
          </w:rPr>
          <w:fldChar w:fldCharType="begin"/>
        </w:r>
        <w:r w:rsidR="00066D33">
          <w:rPr>
            <w:webHidden/>
          </w:rPr>
          <w:instrText xml:space="preserve"> PAGEREF _Toc490323040 \h </w:instrText>
        </w:r>
        <w:r w:rsidR="00066D33">
          <w:rPr>
            <w:webHidden/>
          </w:rPr>
        </w:r>
        <w:r w:rsidR="00066D33">
          <w:rPr>
            <w:webHidden/>
          </w:rPr>
          <w:fldChar w:fldCharType="separate"/>
        </w:r>
        <w:r w:rsidR="00B05C7E">
          <w:rPr>
            <w:webHidden/>
          </w:rPr>
          <w:t>67</w:t>
        </w:r>
        <w:r w:rsidR="00066D33">
          <w:rPr>
            <w:webHidden/>
          </w:rPr>
          <w:fldChar w:fldCharType="end"/>
        </w:r>
      </w:hyperlink>
    </w:p>
    <w:p w:rsidR="00066D33" w:rsidRDefault="00CC063D">
      <w:pPr>
        <w:pStyle w:val="TOC2"/>
        <w:rPr>
          <w:rFonts w:asciiTheme="minorHAnsi" w:eastAsiaTheme="minorEastAsia" w:hAnsiTheme="minorHAnsi" w:cstheme="minorBidi"/>
          <w:bCs w:val="0"/>
          <w:iCs w:val="0"/>
          <w:sz w:val="22"/>
          <w:szCs w:val="22"/>
        </w:rPr>
      </w:pPr>
      <w:hyperlink w:anchor="_Toc490323041" w:history="1">
        <w:r w:rsidR="00066D33" w:rsidRPr="001E653C">
          <w:rPr>
            <w:rStyle w:val="Hyperlink"/>
          </w:rPr>
          <w:t>5.2 Overview of New England’s Transmission System</w:t>
        </w:r>
        <w:r w:rsidR="00066D33">
          <w:rPr>
            <w:webHidden/>
          </w:rPr>
          <w:tab/>
        </w:r>
        <w:r w:rsidR="00066D33">
          <w:rPr>
            <w:webHidden/>
          </w:rPr>
          <w:fldChar w:fldCharType="begin"/>
        </w:r>
        <w:r w:rsidR="00066D33">
          <w:rPr>
            <w:webHidden/>
          </w:rPr>
          <w:instrText xml:space="preserve"> PAGEREF _Toc490323041 \h </w:instrText>
        </w:r>
        <w:r w:rsidR="00066D33">
          <w:rPr>
            <w:webHidden/>
          </w:rPr>
        </w:r>
        <w:r w:rsidR="00066D33">
          <w:rPr>
            <w:webHidden/>
          </w:rPr>
          <w:fldChar w:fldCharType="separate"/>
        </w:r>
        <w:r w:rsidR="00B05C7E">
          <w:rPr>
            <w:webHidden/>
          </w:rPr>
          <w:t>68</w:t>
        </w:r>
        <w:r w:rsidR="00066D33">
          <w:rPr>
            <w:webHidden/>
          </w:rPr>
          <w:fldChar w:fldCharType="end"/>
        </w:r>
      </w:hyperlink>
    </w:p>
    <w:p w:rsidR="00066D33" w:rsidRDefault="00CC063D">
      <w:pPr>
        <w:pStyle w:val="TOC2"/>
        <w:rPr>
          <w:rFonts w:asciiTheme="minorHAnsi" w:eastAsiaTheme="minorEastAsia" w:hAnsiTheme="minorHAnsi" w:cstheme="minorBidi"/>
          <w:bCs w:val="0"/>
          <w:iCs w:val="0"/>
          <w:sz w:val="22"/>
          <w:szCs w:val="22"/>
        </w:rPr>
      </w:pPr>
      <w:hyperlink w:anchor="_Toc490323042" w:history="1">
        <w:r w:rsidR="00066D33" w:rsidRPr="001E653C">
          <w:rPr>
            <w:rStyle w:val="Hyperlink"/>
          </w:rPr>
          <w:t>5.3 FERC Order No. 1000 Discussion</w:t>
        </w:r>
        <w:r w:rsidR="00066D33">
          <w:rPr>
            <w:webHidden/>
          </w:rPr>
          <w:tab/>
        </w:r>
        <w:r w:rsidR="00066D33">
          <w:rPr>
            <w:webHidden/>
          </w:rPr>
          <w:fldChar w:fldCharType="begin"/>
        </w:r>
        <w:r w:rsidR="00066D33">
          <w:rPr>
            <w:webHidden/>
          </w:rPr>
          <w:instrText xml:space="preserve"> PAGEREF _Toc490323042 \h </w:instrText>
        </w:r>
        <w:r w:rsidR="00066D33">
          <w:rPr>
            <w:webHidden/>
          </w:rPr>
        </w:r>
        <w:r w:rsidR="00066D33">
          <w:rPr>
            <w:webHidden/>
          </w:rPr>
          <w:fldChar w:fldCharType="separate"/>
        </w:r>
        <w:r w:rsidR="00B05C7E">
          <w:rPr>
            <w:webHidden/>
          </w:rPr>
          <w:t>68</w:t>
        </w:r>
        <w:r w:rsidR="00066D33">
          <w:rPr>
            <w:webHidden/>
          </w:rPr>
          <w:fldChar w:fldCharType="end"/>
        </w:r>
      </w:hyperlink>
    </w:p>
    <w:p w:rsidR="00066D33" w:rsidRDefault="00CC063D">
      <w:pPr>
        <w:pStyle w:val="TOC2"/>
        <w:rPr>
          <w:rFonts w:asciiTheme="minorHAnsi" w:eastAsiaTheme="minorEastAsia" w:hAnsiTheme="minorHAnsi" w:cstheme="minorBidi"/>
          <w:bCs w:val="0"/>
          <w:iCs w:val="0"/>
          <w:sz w:val="22"/>
          <w:szCs w:val="22"/>
        </w:rPr>
      </w:pPr>
      <w:hyperlink w:anchor="_Toc490323043" w:history="1">
        <w:r w:rsidR="00066D33" w:rsidRPr="001E653C">
          <w:rPr>
            <w:rStyle w:val="Hyperlink"/>
          </w:rPr>
          <w:t>5.4 Completed Major Projects</w:t>
        </w:r>
        <w:r w:rsidR="00066D33">
          <w:rPr>
            <w:webHidden/>
          </w:rPr>
          <w:tab/>
        </w:r>
        <w:r w:rsidR="00066D33">
          <w:rPr>
            <w:webHidden/>
          </w:rPr>
          <w:fldChar w:fldCharType="begin"/>
        </w:r>
        <w:r w:rsidR="00066D33">
          <w:rPr>
            <w:webHidden/>
          </w:rPr>
          <w:instrText xml:space="preserve"> PAGEREF _Toc490323043 \h </w:instrText>
        </w:r>
        <w:r w:rsidR="00066D33">
          <w:rPr>
            <w:webHidden/>
          </w:rPr>
        </w:r>
        <w:r w:rsidR="00066D33">
          <w:rPr>
            <w:webHidden/>
          </w:rPr>
          <w:fldChar w:fldCharType="separate"/>
        </w:r>
        <w:r w:rsidR="00B05C7E">
          <w:rPr>
            <w:webHidden/>
          </w:rPr>
          <w:t>70</w:t>
        </w:r>
        <w:r w:rsidR="00066D33">
          <w:rPr>
            <w:webHidden/>
          </w:rPr>
          <w:fldChar w:fldCharType="end"/>
        </w:r>
      </w:hyperlink>
    </w:p>
    <w:p w:rsidR="00066D33" w:rsidRDefault="00CC063D">
      <w:pPr>
        <w:pStyle w:val="TOC2"/>
        <w:rPr>
          <w:rFonts w:asciiTheme="minorHAnsi" w:eastAsiaTheme="minorEastAsia" w:hAnsiTheme="minorHAnsi" w:cstheme="minorBidi"/>
          <w:bCs w:val="0"/>
          <w:iCs w:val="0"/>
          <w:sz w:val="22"/>
          <w:szCs w:val="22"/>
        </w:rPr>
      </w:pPr>
      <w:hyperlink w:anchor="_Toc490323044" w:history="1">
        <w:r w:rsidR="00066D33" w:rsidRPr="001E653C">
          <w:rPr>
            <w:rStyle w:val="Hyperlink"/>
          </w:rPr>
          <w:t>5.5 Key Study Area Update</w:t>
        </w:r>
        <w:r w:rsidR="00066D33">
          <w:rPr>
            <w:webHidden/>
          </w:rPr>
          <w:tab/>
        </w:r>
        <w:r w:rsidR="00066D33">
          <w:rPr>
            <w:webHidden/>
          </w:rPr>
          <w:fldChar w:fldCharType="begin"/>
        </w:r>
        <w:r w:rsidR="00066D33">
          <w:rPr>
            <w:webHidden/>
          </w:rPr>
          <w:instrText xml:space="preserve"> PAGEREF _Toc490323044 \h </w:instrText>
        </w:r>
        <w:r w:rsidR="00066D33">
          <w:rPr>
            <w:webHidden/>
          </w:rPr>
        </w:r>
        <w:r w:rsidR="00066D33">
          <w:rPr>
            <w:webHidden/>
          </w:rPr>
          <w:fldChar w:fldCharType="separate"/>
        </w:r>
        <w:r w:rsidR="00B05C7E">
          <w:rPr>
            <w:webHidden/>
          </w:rPr>
          <w:t>70</w:t>
        </w:r>
        <w:r w:rsidR="00066D33">
          <w:rPr>
            <w:webHidden/>
          </w:rPr>
          <w:fldChar w:fldCharType="end"/>
        </w:r>
      </w:hyperlink>
    </w:p>
    <w:p w:rsidR="00066D33" w:rsidRDefault="00CC063D">
      <w:pPr>
        <w:pStyle w:val="TOC3"/>
        <w:rPr>
          <w:rFonts w:asciiTheme="minorHAnsi" w:eastAsiaTheme="minorEastAsia" w:hAnsiTheme="minorHAnsi" w:cstheme="minorBidi"/>
          <w:sz w:val="22"/>
          <w:szCs w:val="22"/>
        </w:rPr>
      </w:pPr>
      <w:hyperlink w:anchor="_Toc490323045" w:history="1">
        <w:r w:rsidR="00066D33" w:rsidRPr="001E653C">
          <w:rPr>
            <w:rStyle w:val="Hyperlink"/>
          </w:rPr>
          <w:t>5.5.1 Southwest Connecticut Key Study Area</w:t>
        </w:r>
        <w:r w:rsidR="00066D33">
          <w:rPr>
            <w:webHidden/>
          </w:rPr>
          <w:tab/>
        </w:r>
        <w:r w:rsidR="00066D33">
          <w:rPr>
            <w:webHidden/>
          </w:rPr>
          <w:fldChar w:fldCharType="begin"/>
        </w:r>
        <w:r w:rsidR="00066D33">
          <w:rPr>
            <w:webHidden/>
          </w:rPr>
          <w:instrText xml:space="preserve"> PAGEREF _Toc490323045 \h </w:instrText>
        </w:r>
        <w:r w:rsidR="00066D33">
          <w:rPr>
            <w:webHidden/>
          </w:rPr>
        </w:r>
        <w:r w:rsidR="00066D33">
          <w:rPr>
            <w:webHidden/>
          </w:rPr>
          <w:fldChar w:fldCharType="separate"/>
        </w:r>
        <w:r w:rsidR="00B05C7E">
          <w:rPr>
            <w:webHidden/>
          </w:rPr>
          <w:t>71</w:t>
        </w:r>
        <w:r w:rsidR="00066D33">
          <w:rPr>
            <w:webHidden/>
          </w:rPr>
          <w:fldChar w:fldCharType="end"/>
        </w:r>
      </w:hyperlink>
    </w:p>
    <w:p w:rsidR="00066D33" w:rsidRDefault="00CC063D">
      <w:pPr>
        <w:pStyle w:val="TOC3"/>
        <w:rPr>
          <w:rFonts w:asciiTheme="minorHAnsi" w:eastAsiaTheme="minorEastAsia" w:hAnsiTheme="minorHAnsi" w:cstheme="minorBidi"/>
          <w:sz w:val="22"/>
          <w:szCs w:val="22"/>
        </w:rPr>
      </w:pPr>
      <w:hyperlink w:anchor="_Toc490323046" w:history="1">
        <w:r w:rsidR="00066D33" w:rsidRPr="001E653C">
          <w:rPr>
            <w:rStyle w:val="Hyperlink"/>
          </w:rPr>
          <w:t>5.5.2 Greater Hartford Central Connecticut Key Study Area</w:t>
        </w:r>
        <w:r w:rsidR="00066D33">
          <w:rPr>
            <w:webHidden/>
          </w:rPr>
          <w:tab/>
        </w:r>
        <w:r w:rsidR="00066D33">
          <w:rPr>
            <w:webHidden/>
          </w:rPr>
          <w:fldChar w:fldCharType="begin"/>
        </w:r>
        <w:r w:rsidR="00066D33">
          <w:rPr>
            <w:webHidden/>
          </w:rPr>
          <w:instrText xml:space="preserve"> PAGEREF _Toc490323046 \h </w:instrText>
        </w:r>
        <w:r w:rsidR="00066D33">
          <w:rPr>
            <w:webHidden/>
          </w:rPr>
        </w:r>
        <w:r w:rsidR="00066D33">
          <w:rPr>
            <w:webHidden/>
          </w:rPr>
          <w:fldChar w:fldCharType="separate"/>
        </w:r>
        <w:r w:rsidR="00B05C7E">
          <w:rPr>
            <w:webHidden/>
          </w:rPr>
          <w:t>73</w:t>
        </w:r>
        <w:r w:rsidR="00066D33">
          <w:rPr>
            <w:webHidden/>
          </w:rPr>
          <w:fldChar w:fldCharType="end"/>
        </w:r>
      </w:hyperlink>
    </w:p>
    <w:p w:rsidR="00066D33" w:rsidRDefault="00CC063D">
      <w:pPr>
        <w:pStyle w:val="TOC3"/>
        <w:rPr>
          <w:rFonts w:asciiTheme="minorHAnsi" w:eastAsiaTheme="minorEastAsia" w:hAnsiTheme="minorHAnsi" w:cstheme="minorBidi"/>
          <w:sz w:val="22"/>
          <w:szCs w:val="22"/>
        </w:rPr>
      </w:pPr>
      <w:hyperlink w:anchor="_Toc490323047" w:history="1">
        <w:r w:rsidR="00066D33" w:rsidRPr="001E653C">
          <w:rPr>
            <w:rStyle w:val="Hyperlink"/>
          </w:rPr>
          <w:t>5.5.3 Pittsfield and Greenfield Key Study Area</w:t>
        </w:r>
        <w:r w:rsidR="00066D33">
          <w:rPr>
            <w:webHidden/>
          </w:rPr>
          <w:tab/>
        </w:r>
        <w:r w:rsidR="00066D33">
          <w:rPr>
            <w:webHidden/>
          </w:rPr>
          <w:fldChar w:fldCharType="begin"/>
        </w:r>
        <w:r w:rsidR="00066D33">
          <w:rPr>
            <w:webHidden/>
          </w:rPr>
          <w:instrText xml:space="preserve"> PAGEREF _Toc490323047 \h </w:instrText>
        </w:r>
        <w:r w:rsidR="00066D33">
          <w:rPr>
            <w:webHidden/>
          </w:rPr>
        </w:r>
        <w:r w:rsidR="00066D33">
          <w:rPr>
            <w:webHidden/>
          </w:rPr>
          <w:fldChar w:fldCharType="separate"/>
        </w:r>
        <w:r w:rsidR="00B05C7E">
          <w:rPr>
            <w:webHidden/>
          </w:rPr>
          <w:t>73</w:t>
        </w:r>
        <w:r w:rsidR="00066D33">
          <w:rPr>
            <w:webHidden/>
          </w:rPr>
          <w:fldChar w:fldCharType="end"/>
        </w:r>
      </w:hyperlink>
    </w:p>
    <w:p w:rsidR="00066D33" w:rsidRDefault="00CC063D">
      <w:pPr>
        <w:pStyle w:val="TOC3"/>
        <w:rPr>
          <w:rFonts w:asciiTheme="minorHAnsi" w:eastAsiaTheme="minorEastAsia" w:hAnsiTheme="minorHAnsi" w:cstheme="minorBidi"/>
          <w:sz w:val="22"/>
          <w:szCs w:val="22"/>
        </w:rPr>
      </w:pPr>
      <w:hyperlink w:anchor="_Toc490323048" w:history="1">
        <w:r w:rsidR="00066D33" w:rsidRPr="001E653C">
          <w:rPr>
            <w:rStyle w:val="Hyperlink"/>
          </w:rPr>
          <w:t>5.5.4 Greater Boston Key Study Area</w:t>
        </w:r>
        <w:r w:rsidR="00066D33">
          <w:rPr>
            <w:webHidden/>
          </w:rPr>
          <w:tab/>
        </w:r>
        <w:r w:rsidR="00066D33">
          <w:rPr>
            <w:webHidden/>
          </w:rPr>
          <w:fldChar w:fldCharType="begin"/>
        </w:r>
        <w:r w:rsidR="00066D33">
          <w:rPr>
            <w:webHidden/>
          </w:rPr>
          <w:instrText xml:space="preserve"> PAGEREF _Toc490323048 \h </w:instrText>
        </w:r>
        <w:r w:rsidR="00066D33">
          <w:rPr>
            <w:webHidden/>
          </w:rPr>
        </w:r>
        <w:r w:rsidR="00066D33">
          <w:rPr>
            <w:webHidden/>
          </w:rPr>
          <w:fldChar w:fldCharType="separate"/>
        </w:r>
        <w:r w:rsidR="00B05C7E">
          <w:rPr>
            <w:webHidden/>
          </w:rPr>
          <w:t>74</w:t>
        </w:r>
        <w:r w:rsidR="00066D33">
          <w:rPr>
            <w:webHidden/>
          </w:rPr>
          <w:fldChar w:fldCharType="end"/>
        </w:r>
      </w:hyperlink>
    </w:p>
    <w:p w:rsidR="00066D33" w:rsidRDefault="00CC063D">
      <w:pPr>
        <w:pStyle w:val="TOC3"/>
        <w:rPr>
          <w:rFonts w:asciiTheme="minorHAnsi" w:eastAsiaTheme="minorEastAsia" w:hAnsiTheme="minorHAnsi" w:cstheme="minorBidi"/>
          <w:sz w:val="22"/>
          <w:szCs w:val="22"/>
        </w:rPr>
      </w:pPr>
      <w:hyperlink w:anchor="_Toc490323049" w:history="1">
        <w:r w:rsidR="00066D33" w:rsidRPr="001E653C">
          <w:rPr>
            <w:rStyle w:val="Hyperlink"/>
          </w:rPr>
          <w:t>5.5.5 Southeastern Massachusetts and Rhode Island Key Study Area</w:t>
        </w:r>
        <w:r w:rsidR="00066D33">
          <w:rPr>
            <w:webHidden/>
          </w:rPr>
          <w:tab/>
        </w:r>
        <w:r w:rsidR="00066D33">
          <w:rPr>
            <w:webHidden/>
          </w:rPr>
          <w:fldChar w:fldCharType="begin"/>
        </w:r>
        <w:r w:rsidR="00066D33">
          <w:rPr>
            <w:webHidden/>
          </w:rPr>
          <w:instrText xml:space="preserve"> PAGEREF _Toc490323049 \h </w:instrText>
        </w:r>
        <w:r w:rsidR="00066D33">
          <w:rPr>
            <w:webHidden/>
          </w:rPr>
        </w:r>
        <w:r w:rsidR="00066D33">
          <w:rPr>
            <w:webHidden/>
          </w:rPr>
          <w:fldChar w:fldCharType="separate"/>
        </w:r>
        <w:r w:rsidR="00B05C7E">
          <w:rPr>
            <w:webHidden/>
          </w:rPr>
          <w:t>75</w:t>
        </w:r>
        <w:r w:rsidR="00066D33">
          <w:rPr>
            <w:webHidden/>
          </w:rPr>
          <w:fldChar w:fldCharType="end"/>
        </w:r>
      </w:hyperlink>
    </w:p>
    <w:p w:rsidR="00066D33" w:rsidRDefault="00CC063D">
      <w:pPr>
        <w:pStyle w:val="TOC3"/>
        <w:rPr>
          <w:rFonts w:asciiTheme="minorHAnsi" w:eastAsiaTheme="minorEastAsia" w:hAnsiTheme="minorHAnsi" w:cstheme="minorBidi"/>
          <w:sz w:val="22"/>
          <w:szCs w:val="22"/>
        </w:rPr>
      </w:pPr>
      <w:hyperlink w:anchor="_Toc490323050" w:history="1">
        <w:r w:rsidR="00066D33" w:rsidRPr="001E653C">
          <w:rPr>
            <w:rStyle w:val="Hyperlink"/>
          </w:rPr>
          <w:t>5.5.6 Maine Key Study Area</w:t>
        </w:r>
        <w:r w:rsidR="00066D33">
          <w:rPr>
            <w:webHidden/>
          </w:rPr>
          <w:tab/>
        </w:r>
        <w:r w:rsidR="00066D33">
          <w:rPr>
            <w:webHidden/>
          </w:rPr>
          <w:fldChar w:fldCharType="begin"/>
        </w:r>
        <w:r w:rsidR="00066D33">
          <w:rPr>
            <w:webHidden/>
          </w:rPr>
          <w:instrText xml:space="preserve"> PAGEREF _Toc490323050 \h </w:instrText>
        </w:r>
        <w:r w:rsidR="00066D33">
          <w:rPr>
            <w:webHidden/>
          </w:rPr>
        </w:r>
        <w:r w:rsidR="00066D33">
          <w:rPr>
            <w:webHidden/>
          </w:rPr>
          <w:fldChar w:fldCharType="separate"/>
        </w:r>
        <w:r w:rsidR="00B05C7E">
          <w:rPr>
            <w:webHidden/>
          </w:rPr>
          <w:t>76</w:t>
        </w:r>
        <w:r w:rsidR="00066D33">
          <w:rPr>
            <w:webHidden/>
          </w:rPr>
          <w:fldChar w:fldCharType="end"/>
        </w:r>
      </w:hyperlink>
    </w:p>
    <w:p w:rsidR="00066D33" w:rsidRDefault="00CC063D">
      <w:pPr>
        <w:pStyle w:val="TOC3"/>
        <w:rPr>
          <w:rFonts w:asciiTheme="minorHAnsi" w:eastAsiaTheme="minorEastAsia" w:hAnsiTheme="minorHAnsi" w:cstheme="minorBidi"/>
          <w:sz w:val="22"/>
          <w:szCs w:val="22"/>
        </w:rPr>
      </w:pPr>
      <w:hyperlink w:anchor="_Toc490323051" w:history="1">
        <w:r w:rsidR="00066D33" w:rsidRPr="001E653C">
          <w:rPr>
            <w:rStyle w:val="Hyperlink"/>
          </w:rPr>
          <w:t>5.5.7 New Hampshire and Vermont Key Study Area</w:t>
        </w:r>
        <w:r w:rsidR="00066D33">
          <w:rPr>
            <w:webHidden/>
          </w:rPr>
          <w:tab/>
        </w:r>
        <w:r w:rsidR="00066D33">
          <w:rPr>
            <w:webHidden/>
          </w:rPr>
          <w:fldChar w:fldCharType="begin"/>
        </w:r>
        <w:r w:rsidR="00066D33">
          <w:rPr>
            <w:webHidden/>
          </w:rPr>
          <w:instrText xml:space="preserve"> PAGEREF _Toc490323051 \h </w:instrText>
        </w:r>
        <w:r w:rsidR="00066D33">
          <w:rPr>
            <w:webHidden/>
          </w:rPr>
        </w:r>
        <w:r w:rsidR="00066D33">
          <w:rPr>
            <w:webHidden/>
          </w:rPr>
          <w:fldChar w:fldCharType="separate"/>
        </w:r>
        <w:r w:rsidR="00B05C7E">
          <w:rPr>
            <w:webHidden/>
          </w:rPr>
          <w:t>77</w:t>
        </w:r>
        <w:r w:rsidR="00066D33">
          <w:rPr>
            <w:webHidden/>
          </w:rPr>
          <w:fldChar w:fldCharType="end"/>
        </w:r>
      </w:hyperlink>
    </w:p>
    <w:p w:rsidR="00066D33" w:rsidRDefault="00CC063D">
      <w:pPr>
        <w:pStyle w:val="TOC3"/>
        <w:rPr>
          <w:rFonts w:asciiTheme="minorHAnsi" w:eastAsiaTheme="minorEastAsia" w:hAnsiTheme="minorHAnsi" w:cstheme="minorBidi"/>
          <w:sz w:val="22"/>
          <w:szCs w:val="22"/>
        </w:rPr>
      </w:pPr>
      <w:hyperlink w:anchor="_Toc490323052" w:history="1">
        <w:r w:rsidR="00066D33" w:rsidRPr="001E653C">
          <w:rPr>
            <w:rStyle w:val="Hyperlink"/>
          </w:rPr>
          <w:t>5.5.8 Eastern Connecticut Key Study Area</w:t>
        </w:r>
        <w:r w:rsidR="00066D33">
          <w:rPr>
            <w:webHidden/>
          </w:rPr>
          <w:tab/>
        </w:r>
        <w:r w:rsidR="00066D33">
          <w:rPr>
            <w:webHidden/>
          </w:rPr>
          <w:fldChar w:fldCharType="begin"/>
        </w:r>
        <w:r w:rsidR="00066D33">
          <w:rPr>
            <w:webHidden/>
          </w:rPr>
          <w:instrText xml:space="preserve"> PAGEREF _Toc490323052 \h </w:instrText>
        </w:r>
        <w:r w:rsidR="00066D33">
          <w:rPr>
            <w:webHidden/>
          </w:rPr>
        </w:r>
        <w:r w:rsidR="00066D33">
          <w:rPr>
            <w:webHidden/>
          </w:rPr>
          <w:fldChar w:fldCharType="separate"/>
        </w:r>
        <w:r w:rsidR="00B05C7E">
          <w:rPr>
            <w:webHidden/>
          </w:rPr>
          <w:t>79</w:t>
        </w:r>
        <w:r w:rsidR="00066D33">
          <w:rPr>
            <w:webHidden/>
          </w:rPr>
          <w:fldChar w:fldCharType="end"/>
        </w:r>
      </w:hyperlink>
    </w:p>
    <w:p w:rsidR="00066D33" w:rsidRDefault="00CC063D">
      <w:pPr>
        <w:pStyle w:val="TOC2"/>
        <w:rPr>
          <w:rFonts w:asciiTheme="minorHAnsi" w:eastAsiaTheme="minorEastAsia" w:hAnsiTheme="minorHAnsi" w:cstheme="minorBidi"/>
          <w:bCs w:val="0"/>
          <w:iCs w:val="0"/>
          <w:sz w:val="22"/>
          <w:szCs w:val="22"/>
        </w:rPr>
      </w:pPr>
      <w:hyperlink w:anchor="_Toc490323053" w:history="1">
        <w:r w:rsidR="00066D33" w:rsidRPr="00066D33">
          <w:rPr>
            <w:rStyle w:val="Hyperlink"/>
            <w:rFonts w:ascii="Calibri" w:hAnsi="Calibri"/>
          </w:rPr>
          <w:t>5.6 General Need for Future Transmission</w:t>
        </w:r>
        <w:r w:rsidR="00066D33">
          <w:rPr>
            <w:webHidden/>
          </w:rPr>
          <w:tab/>
        </w:r>
        <w:r w:rsidR="00066D33">
          <w:rPr>
            <w:webHidden/>
          </w:rPr>
          <w:fldChar w:fldCharType="begin"/>
        </w:r>
        <w:r w:rsidR="00066D33">
          <w:rPr>
            <w:webHidden/>
          </w:rPr>
          <w:instrText xml:space="preserve"> PAGEREF _Toc490323053 \h </w:instrText>
        </w:r>
        <w:r w:rsidR="00066D33">
          <w:rPr>
            <w:webHidden/>
          </w:rPr>
        </w:r>
        <w:r w:rsidR="00066D33">
          <w:rPr>
            <w:webHidden/>
          </w:rPr>
          <w:fldChar w:fldCharType="separate"/>
        </w:r>
        <w:r w:rsidR="00B05C7E">
          <w:rPr>
            <w:webHidden/>
          </w:rPr>
          <w:t>79</w:t>
        </w:r>
        <w:r w:rsidR="00066D33">
          <w:rPr>
            <w:webHidden/>
          </w:rPr>
          <w:fldChar w:fldCharType="end"/>
        </w:r>
      </w:hyperlink>
    </w:p>
    <w:p w:rsidR="00066D33" w:rsidRDefault="00CC063D">
      <w:pPr>
        <w:pStyle w:val="TOC2"/>
        <w:rPr>
          <w:rFonts w:asciiTheme="minorHAnsi" w:eastAsiaTheme="minorEastAsia" w:hAnsiTheme="minorHAnsi" w:cstheme="minorBidi"/>
          <w:bCs w:val="0"/>
          <w:iCs w:val="0"/>
          <w:sz w:val="22"/>
          <w:szCs w:val="22"/>
        </w:rPr>
      </w:pPr>
      <w:hyperlink w:anchor="_Toc490323054" w:history="1">
        <w:r w:rsidR="00066D33" w:rsidRPr="001E653C">
          <w:rPr>
            <w:rStyle w:val="Hyperlink"/>
          </w:rPr>
          <w:t>5.7 New England Asset Management</w:t>
        </w:r>
        <w:r w:rsidR="00066D33">
          <w:rPr>
            <w:webHidden/>
          </w:rPr>
          <w:tab/>
        </w:r>
        <w:r w:rsidR="00066D33">
          <w:rPr>
            <w:webHidden/>
          </w:rPr>
          <w:fldChar w:fldCharType="begin"/>
        </w:r>
        <w:r w:rsidR="00066D33">
          <w:rPr>
            <w:webHidden/>
          </w:rPr>
          <w:instrText xml:space="preserve"> PAGEREF _Toc490323054 \h </w:instrText>
        </w:r>
        <w:r w:rsidR="00066D33">
          <w:rPr>
            <w:webHidden/>
          </w:rPr>
        </w:r>
        <w:r w:rsidR="00066D33">
          <w:rPr>
            <w:webHidden/>
          </w:rPr>
          <w:fldChar w:fldCharType="separate"/>
        </w:r>
        <w:r w:rsidR="00B05C7E">
          <w:rPr>
            <w:webHidden/>
          </w:rPr>
          <w:t>80</w:t>
        </w:r>
        <w:r w:rsidR="00066D33">
          <w:rPr>
            <w:webHidden/>
          </w:rPr>
          <w:fldChar w:fldCharType="end"/>
        </w:r>
      </w:hyperlink>
    </w:p>
    <w:p w:rsidR="00066D33" w:rsidRDefault="00CC063D">
      <w:pPr>
        <w:pStyle w:val="TOC2"/>
        <w:rPr>
          <w:rFonts w:asciiTheme="minorHAnsi" w:eastAsiaTheme="minorEastAsia" w:hAnsiTheme="minorHAnsi" w:cstheme="minorBidi"/>
          <w:bCs w:val="0"/>
          <w:iCs w:val="0"/>
          <w:sz w:val="22"/>
          <w:szCs w:val="22"/>
        </w:rPr>
      </w:pPr>
      <w:hyperlink w:anchor="_Toc490323055" w:history="1">
        <w:r w:rsidR="00066D33" w:rsidRPr="001E653C">
          <w:rPr>
            <w:rStyle w:val="Hyperlink"/>
          </w:rPr>
          <w:t>5.8 Local System Plan</w:t>
        </w:r>
        <w:r w:rsidR="00066D33">
          <w:rPr>
            <w:webHidden/>
          </w:rPr>
          <w:tab/>
        </w:r>
        <w:r w:rsidR="00066D33">
          <w:rPr>
            <w:webHidden/>
          </w:rPr>
          <w:fldChar w:fldCharType="begin"/>
        </w:r>
        <w:r w:rsidR="00066D33">
          <w:rPr>
            <w:webHidden/>
          </w:rPr>
          <w:instrText xml:space="preserve"> PAGEREF _Toc490323055 \h </w:instrText>
        </w:r>
        <w:r w:rsidR="00066D33">
          <w:rPr>
            <w:webHidden/>
          </w:rPr>
        </w:r>
        <w:r w:rsidR="00066D33">
          <w:rPr>
            <w:webHidden/>
          </w:rPr>
          <w:fldChar w:fldCharType="separate"/>
        </w:r>
        <w:r w:rsidR="00B05C7E">
          <w:rPr>
            <w:webHidden/>
          </w:rPr>
          <w:t>80</w:t>
        </w:r>
        <w:r w:rsidR="00066D33">
          <w:rPr>
            <w:webHidden/>
          </w:rPr>
          <w:fldChar w:fldCharType="end"/>
        </w:r>
      </w:hyperlink>
    </w:p>
    <w:p w:rsidR="00066D33" w:rsidRDefault="00CC063D">
      <w:pPr>
        <w:pStyle w:val="TOC2"/>
        <w:rPr>
          <w:rFonts w:asciiTheme="minorHAnsi" w:eastAsiaTheme="minorEastAsia" w:hAnsiTheme="minorHAnsi" w:cstheme="minorBidi"/>
          <w:bCs w:val="0"/>
          <w:iCs w:val="0"/>
          <w:sz w:val="22"/>
          <w:szCs w:val="22"/>
        </w:rPr>
      </w:pPr>
      <w:hyperlink w:anchor="_Toc490323056" w:history="1">
        <w:r w:rsidR="00066D33" w:rsidRPr="001E653C">
          <w:rPr>
            <w:rStyle w:val="Hyperlink"/>
          </w:rPr>
          <w:t>5.9 RSP Project List and Projected Transmission Project Costs</w:t>
        </w:r>
        <w:r w:rsidR="00066D33">
          <w:rPr>
            <w:webHidden/>
          </w:rPr>
          <w:tab/>
        </w:r>
        <w:r w:rsidR="00066D33">
          <w:rPr>
            <w:webHidden/>
          </w:rPr>
          <w:fldChar w:fldCharType="begin"/>
        </w:r>
        <w:r w:rsidR="00066D33">
          <w:rPr>
            <w:webHidden/>
          </w:rPr>
          <w:instrText xml:space="preserve"> PAGEREF _Toc490323056 \h </w:instrText>
        </w:r>
        <w:r w:rsidR="00066D33">
          <w:rPr>
            <w:webHidden/>
          </w:rPr>
        </w:r>
        <w:r w:rsidR="00066D33">
          <w:rPr>
            <w:webHidden/>
          </w:rPr>
          <w:fldChar w:fldCharType="separate"/>
        </w:r>
        <w:r w:rsidR="00B05C7E">
          <w:rPr>
            <w:webHidden/>
          </w:rPr>
          <w:t>80</w:t>
        </w:r>
        <w:r w:rsidR="00066D33">
          <w:rPr>
            <w:webHidden/>
          </w:rPr>
          <w:fldChar w:fldCharType="end"/>
        </w:r>
      </w:hyperlink>
    </w:p>
    <w:p w:rsidR="00066D33" w:rsidRDefault="00CC063D">
      <w:pPr>
        <w:pStyle w:val="TOC3"/>
        <w:rPr>
          <w:rFonts w:asciiTheme="minorHAnsi" w:eastAsiaTheme="minorEastAsia" w:hAnsiTheme="minorHAnsi" w:cstheme="minorBidi"/>
          <w:sz w:val="22"/>
          <w:szCs w:val="22"/>
        </w:rPr>
      </w:pPr>
      <w:hyperlink w:anchor="_Toc490323057" w:history="1">
        <w:r w:rsidR="00066D33" w:rsidRPr="001E653C">
          <w:rPr>
            <w:rStyle w:val="Hyperlink"/>
          </w:rPr>
          <w:t>5.9.1 Reliability Transmission Upgrades</w:t>
        </w:r>
        <w:r w:rsidR="00066D33">
          <w:rPr>
            <w:webHidden/>
          </w:rPr>
          <w:tab/>
        </w:r>
        <w:r w:rsidR="00066D33">
          <w:rPr>
            <w:webHidden/>
          </w:rPr>
          <w:fldChar w:fldCharType="begin"/>
        </w:r>
        <w:r w:rsidR="00066D33">
          <w:rPr>
            <w:webHidden/>
          </w:rPr>
          <w:instrText xml:space="preserve"> PAGEREF _Toc490323057 \h </w:instrText>
        </w:r>
        <w:r w:rsidR="00066D33">
          <w:rPr>
            <w:webHidden/>
          </w:rPr>
        </w:r>
        <w:r w:rsidR="00066D33">
          <w:rPr>
            <w:webHidden/>
          </w:rPr>
          <w:fldChar w:fldCharType="separate"/>
        </w:r>
        <w:r w:rsidR="00B05C7E">
          <w:rPr>
            <w:webHidden/>
          </w:rPr>
          <w:t>81</w:t>
        </w:r>
        <w:r w:rsidR="00066D33">
          <w:rPr>
            <w:webHidden/>
          </w:rPr>
          <w:fldChar w:fldCharType="end"/>
        </w:r>
      </w:hyperlink>
    </w:p>
    <w:p w:rsidR="00066D33" w:rsidRDefault="00CC063D">
      <w:pPr>
        <w:pStyle w:val="TOC3"/>
        <w:rPr>
          <w:rFonts w:asciiTheme="minorHAnsi" w:eastAsiaTheme="minorEastAsia" w:hAnsiTheme="minorHAnsi" w:cstheme="minorBidi"/>
          <w:sz w:val="22"/>
          <w:szCs w:val="22"/>
        </w:rPr>
      </w:pPr>
      <w:hyperlink w:anchor="_Toc490323058" w:history="1">
        <w:r w:rsidR="00066D33" w:rsidRPr="001E653C">
          <w:rPr>
            <w:rStyle w:val="Hyperlink"/>
          </w:rPr>
          <w:t>5.9.2 Lack of Need for Market-Efficiency-Related Transmission Upgrades</w:t>
        </w:r>
        <w:r w:rsidR="00066D33">
          <w:rPr>
            <w:webHidden/>
          </w:rPr>
          <w:tab/>
        </w:r>
        <w:r w:rsidR="00066D33">
          <w:rPr>
            <w:webHidden/>
          </w:rPr>
          <w:fldChar w:fldCharType="begin"/>
        </w:r>
        <w:r w:rsidR="00066D33">
          <w:rPr>
            <w:webHidden/>
          </w:rPr>
          <w:instrText xml:space="preserve"> PAGEREF _Toc490323058 \h </w:instrText>
        </w:r>
        <w:r w:rsidR="00066D33">
          <w:rPr>
            <w:webHidden/>
          </w:rPr>
        </w:r>
        <w:r w:rsidR="00066D33">
          <w:rPr>
            <w:webHidden/>
          </w:rPr>
          <w:fldChar w:fldCharType="separate"/>
        </w:r>
        <w:r w:rsidR="00B05C7E">
          <w:rPr>
            <w:webHidden/>
          </w:rPr>
          <w:t>83</w:t>
        </w:r>
        <w:r w:rsidR="00066D33">
          <w:rPr>
            <w:webHidden/>
          </w:rPr>
          <w:fldChar w:fldCharType="end"/>
        </w:r>
      </w:hyperlink>
    </w:p>
    <w:p w:rsidR="00066D33" w:rsidRDefault="00CC063D">
      <w:pPr>
        <w:pStyle w:val="TOC3"/>
        <w:rPr>
          <w:rFonts w:asciiTheme="minorHAnsi" w:eastAsiaTheme="minorEastAsia" w:hAnsiTheme="minorHAnsi" w:cstheme="minorBidi"/>
          <w:sz w:val="22"/>
          <w:szCs w:val="22"/>
        </w:rPr>
      </w:pPr>
      <w:hyperlink w:anchor="_Toc490323059" w:history="1">
        <w:r w:rsidR="00066D33" w:rsidRPr="001E653C">
          <w:rPr>
            <w:rStyle w:val="Hyperlink"/>
          </w:rPr>
          <w:t>5.9.3 Required Generator-Interconnection-Related Upgrades</w:t>
        </w:r>
        <w:r w:rsidR="00066D33">
          <w:rPr>
            <w:webHidden/>
          </w:rPr>
          <w:tab/>
        </w:r>
        <w:r w:rsidR="00066D33">
          <w:rPr>
            <w:webHidden/>
          </w:rPr>
          <w:fldChar w:fldCharType="begin"/>
        </w:r>
        <w:r w:rsidR="00066D33">
          <w:rPr>
            <w:webHidden/>
          </w:rPr>
          <w:instrText xml:space="preserve"> PAGEREF _Toc490323059 \h </w:instrText>
        </w:r>
        <w:r w:rsidR="00066D33">
          <w:rPr>
            <w:webHidden/>
          </w:rPr>
        </w:r>
        <w:r w:rsidR="00066D33">
          <w:rPr>
            <w:webHidden/>
          </w:rPr>
          <w:fldChar w:fldCharType="separate"/>
        </w:r>
        <w:r w:rsidR="00B05C7E">
          <w:rPr>
            <w:webHidden/>
          </w:rPr>
          <w:t>87</w:t>
        </w:r>
        <w:r w:rsidR="00066D33">
          <w:rPr>
            <w:webHidden/>
          </w:rPr>
          <w:fldChar w:fldCharType="end"/>
        </w:r>
      </w:hyperlink>
    </w:p>
    <w:p w:rsidR="00066D33" w:rsidRDefault="00CC063D">
      <w:pPr>
        <w:pStyle w:val="TOC3"/>
        <w:rPr>
          <w:rFonts w:asciiTheme="minorHAnsi" w:eastAsiaTheme="minorEastAsia" w:hAnsiTheme="minorHAnsi" w:cstheme="minorBidi"/>
          <w:sz w:val="22"/>
          <w:szCs w:val="22"/>
        </w:rPr>
      </w:pPr>
      <w:hyperlink w:anchor="_Toc490323060" w:history="1">
        <w:r w:rsidR="00066D33" w:rsidRPr="001E653C">
          <w:rPr>
            <w:rStyle w:val="Hyperlink"/>
          </w:rPr>
          <w:t>5.9.4 Elective Transmission Upgrades</w:t>
        </w:r>
        <w:r w:rsidR="00066D33">
          <w:rPr>
            <w:webHidden/>
          </w:rPr>
          <w:tab/>
        </w:r>
        <w:r w:rsidR="00066D33">
          <w:rPr>
            <w:webHidden/>
          </w:rPr>
          <w:fldChar w:fldCharType="begin"/>
        </w:r>
        <w:r w:rsidR="00066D33">
          <w:rPr>
            <w:webHidden/>
          </w:rPr>
          <w:instrText xml:space="preserve"> PAGEREF _Toc490323060 \h </w:instrText>
        </w:r>
        <w:r w:rsidR="00066D33">
          <w:rPr>
            <w:webHidden/>
          </w:rPr>
        </w:r>
        <w:r w:rsidR="00066D33">
          <w:rPr>
            <w:webHidden/>
          </w:rPr>
          <w:fldChar w:fldCharType="separate"/>
        </w:r>
        <w:r w:rsidR="00B05C7E">
          <w:rPr>
            <w:webHidden/>
          </w:rPr>
          <w:t>87</w:t>
        </w:r>
        <w:r w:rsidR="00066D33">
          <w:rPr>
            <w:webHidden/>
          </w:rPr>
          <w:fldChar w:fldCharType="end"/>
        </w:r>
      </w:hyperlink>
    </w:p>
    <w:p w:rsidR="00066D33" w:rsidRDefault="00CC063D">
      <w:pPr>
        <w:pStyle w:val="TOC2"/>
        <w:rPr>
          <w:rFonts w:asciiTheme="minorHAnsi" w:eastAsiaTheme="minorEastAsia" w:hAnsiTheme="minorHAnsi" w:cstheme="minorBidi"/>
          <w:bCs w:val="0"/>
          <w:iCs w:val="0"/>
          <w:sz w:val="22"/>
          <w:szCs w:val="22"/>
        </w:rPr>
      </w:pPr>
      <w:hyperlink w:anchor="_Toc490323061" w:history="1">
        <w:r w:rsidR="00066D33" w:rsidRPr="001E653C">
          <w:rPr>
            <w:rStyle w:val="Hyperlink"/>
          </w:rPr>
          <w:t>5.10 Summary</w:t>
        </w:r>
        <w:r w:rsidR="00066D33">
          <w:rPr>
            <w:webHidden/>
          </w:rPr>
          <w:tab/>
        </w:r>
        <w:r w:rsidR="00066D33">
          <w:rPr>
            <w:webHidden/>
          </w:rPr>
          <w:fldChar w:fldCharType="begin"/>
        </w:r>
        <w:r w:rsidR="00066D33">
          <w:rPr>
            <w:webHidden/>
          </w:rPr>
          <w:instrText xml:space="preserve"> PAGEREF _Toc490323061 \h </w:instrText>
        </w:r>
        <w:r w:rsidR="00066D33">
          <w:rPr>
            <w:webHidden/>
          </w:rPr>
        </w:r>
        <w:r w:rsidR="00066D33">
          <w:rPr>
            <w:webHidden/>
          </w:rPr>
          <w:fldChar w:fldCharType="separate"/>
        </w:r>
        <w:r w:rsidR="00B05C7E">
          <w:rPr>
            <w:webHidden/>
          </w:rPr>
          <w:t>88</w:t>
        </w:r>
        <w:r w:rsidR="00066D33">
          <w:rPr>
            <w:webHidden/>
          </w:rPr>
          <w:fldChar w:fldCharType="end"/>
        </w:r>
      </w:hyperlink>
    </w:p>
    <w:p w:rsidR="00066D33" w:rsidRDefault="00CC063D">
      <w:pPr>
        <w:pStyle w:val="TOC1"/>
        <w:rPr>
          <w:rFonts w:asciiTheme="minorHAnsi" w:eastAsiaTheme="minorEastAsia" w:hAnsiTheme="minorHAnsi" w:cstheme="minorBidi"/>
          <w:b w:val="0"/>
          <w:sz w:val="22"/>
          <w:szCs w:val="22"/>
        </w:rPr>
      </w:pPr>
      <w:hyperlink w:anchor="_Toc490323062" w:history="1">
        <w:r w:rsidR="00066D33" w:rsidRPr="001E653C">
          <w:rPr>
            <w:rStyle w:val="Hyperlink"/>
          </w:rPr>
          <w:t>Section 6</w:t>
        </w:r>
        <w:r w:rsidR="00066D33">
          <w:rPr>
            <w:rStyle w:val="Hyperlink"/>
          </w:rPr>
          <w:br/>
        </w:r>
        <w:r w:rsidR="00066D33" w:rsidRPr="001E653C">
          <w:rPr>
            <w:rStyle w:val="Hyperlink"/>
          </w:rPr>
          <w:t>Interregional Coordination</w:t>
        </w:r>
        <w:r w:rsidR="00066D33">
          <w:rPr>
            <w:webHidden/>
          </w:rPr>
          <w:tab/>
        </w:r>
        <w:r w:rsidR="00066D33">
          <w:rPr>
            <w:webHidden/>
          </w:rPr>
          <w:fldChar w:fldCharType="begin"/>
        </w:r>
        <w:r w:rsidR="00066D33">
          <w:rPr>
            <w:webHidden/>
          </w:rPr>
          <w:instrText xml:space="preserve"> PAGEREF _Toc490323062 \h </w:instrText>
        </w:r>
        <w:r w:rsidR="00066D33">
          <w:rPr>
            <w:webHidden/>
          </w:rPr>
        </w:r>
        <w:r w:rsidR="00066D33">
          <w:rPr>
            <w:webHidden/>
          </w:rPr>
          <w:fldChar w:fldCharType="separate"/>
        </w:r>
        <w:r w:rsidR="00B05C7E">
          <w:rPr>
            <w:webHidden/>
          </w:rPr>
          <w:t>89</w:t>
        </w:r>
        <w:r w:rsidR="00066D33">
          <w:rPr>
            <w:webHidden/>
          </w:rPr>
          <w:fldChar w:fldCharType="end"/>
        </w:r>
      </w:hyperlink>
    </w:p>
    <w:p w:rsidR="00066D33" w:rsidRDefault="00CC063D">
      <w:pPr>
        <w:pStyle w:val="TOC2"/>
        <w:rPr>
          <w:rFonts w:asciiTheme="minorHAnsi" w:eastAsiaTheme="minorEastAsia" w:hAnsiTheme="minorHAnsi" w:cstheme="minorBidi"/>
          <w:bCs w:val="0"/>
          <w:iCs w:val="0"/>
          <w:sz w:val="22"/>
          <w:szCs w:val="22"/>
        </w:rPr>
      </w:pPr>
      <w:hyperlink w:anchor="_Toc490323063" w:history="1">
        <w:r w:rsidR="00066D33" w:rsidRPr="001E653C">
          <w:rPr>
            <w:rStyle w:val="Hyperlink"/>
          </w:rPr>
          <w:t>6.1 Eastern Interconnection Planning Collaborative Studies</w:t>
        </w:r>
        <w:r w:rsidR="00066D33">
          <w:rPr>
            <w:webHidden/>
          </w:rPr>
          <w:tab/>
        </w:r>
        <w:r w:rsidR="00066D33">
          <w:rPr>
            <w:webHidden/>
          </w:rPr>
          <w:fldChar w:fldCharType="begin"/>
        </w:r>
        <w:r w:rsidR="00066D33">
          <w:rPr>
            <w:webHidden/>
          </w:rPr>
          <w:instrText xml:space="preserve"> PAGEREF _Toc490323063 \h </w:instrText>
        </w:r>
        <w:r w:rsidR="00066D33">
          <w:rPr>
            <w:webHidden/>
          </w:rPr>
        </w:r>
        <w:r w:rsidR="00066D33">
          <w:rPr>
            <w:webHidden/>
          </w:rPr>
          <w:fldChar w:fldCharType="separate"/>
        </w:r>
        <w:r w:rsidR="00B05C7E">
          <w:rPr>
            <w:webHidden/>
          </w:rPr>
          <w:t>89</w:t>
        </w:r>
        <w:r w:rsidR="00066D33">
          <w:rPr>
            <w:webHidden/>
          </w:rPr>
          <w:fldChar w:fldCharType="end"/>
        </w:r>
      </w:hyperlink>
    </w:p>
    <w:p w:rsidR="00066D33" w:rsidRDefault="00CC063D">
      <w:pPr>
        <w:pStyle w:val="TOC2"/>
        <w:rPr>
          <w:rFonts w:asciiTheme="minorHAnsi" w:eastAsiaTheme="minorEastAsia" w:hAnsiTheme="minorHAnsi" w:cstheme="minorBidi"/>
          <w:bCs w:val="0"/>
          <w:iCs w:val="0"/>
          <w:sz w:val="22"/>
          <w:szCs w:val="22"/>
        </w:rPr>
      </w:pPr>
      <w:hyperlink w:anchor="_Toc490323064" w:history="1">
        <w:r w:rsidR="00066D33" w:rsidRPr="001E653C">
          <w:rPr>
            <w:rStyle w:val="Hyperlink"/>
          </w:rPr>
          <w:t>6.2 Electric Reliability Organization Overview</w:t>
        </w:r>
        <w:r w:rsidR="00066D33">
          <w:rPr>
            <w:webHidden/>
          </w:rPr>
          <w:tab/>
        </w:r>
        <w:r w:rsidR="00066D33">
          <w:rPr>
            <w:webHidden/>
          </w:rPr>
          <w:fldChar w:fldCharType="begin"/>
        </w:r>
        <w:r w:rsidR="00066D33">
          <w:rPr>
            <w:webHidden/>
          </w:rPr>
          <w:instrText xml:space="preserve"> PAGEREF _Toc490323064 \h </w:instrText>
        </w:r>
        <w:r w:rsidR="00066D33">
          <w:rPr>
            <w:webHidden/>
          </w:rPr>
        </w:r>
        <w:r w:rsidR="00066D33">
          <w:rPr>
            <w:webHidden/>
          </w:rPr>
          <w:fldChar w:fldCharType="separate"/>
        </w:r>
        <w:r w:rsidR="00B05C7E">
          <w:rPr>
            <w:webHidden/>
          </w:rPr>
          <w:t>90</w:t>
        </w:r>
        <w:r w:rsidR="00066D33">
          <w:rPr>
            <w:webHidden/>
          </w:rPr>
          <w:fldChar w:fldCharType="end"/>
        </w:r>
      </w:hyperlink>
    </w:p>
    <w:p w:rsidR="00066D33" w:rsidRDefault="00CC063D">
      <w:pPr>
        <w:pStyle w:val="TOC2"/>
        <w:rPr>
          <w:rFonts w:asciiTheme="minorHAnsi" w:eastAsiaTheme="minorEastAsia" w:hAnsiTheme="minorHAnsi" w:cstheme="minorBidi"/>
          <w:bCs w:val="0"/>
          <w:iCs w:val="0"/>
          <w:sz w:val="22"/>
          <w:szCs w:val="22"/>
        </w:rPr>
      </w:pPr>
      <w:hyperlink w:anchor="_Toc490323065" w:history="1">
        <w:r w:rsidR="00066D33" w:rsidRPr="001E653C">
          <w:rPr>
            <w:rStyle w:val="Hyperlink"/>
          </w:rPr>
          <w:t>6.3 IRC Activities</w:t>
        </w:r>
        <w:r w:rsidR="00066D33">
          <w:rPr>
            <w:webHidden/>
          </w:rPr>
          <w:tab/>
        </w:r>
        <w:r w:rsidR="00066D33">
          <w:rPr>
            <w:webHidden/>
          </w:rPr>
          <w:fldChar w:fldCharType="begin"/>
        </w:r>
        <w:r w:rsidR="00066D33">
          <w:rPr>
            <w:webHidden/>
          </w:rPr>
          <w:instrText xml:space="preserve"> PAGEREF _Toc490323065 \h </w:instrText>
        </w:r>
        <w:r w:rsidR="00066D33">
          <w:rPr>
            <w:webHidden/>
          </w:rPr>
        </w:r>
        <w:r w:rsidR="00066D33">
          <w:rPr>
            <w:webHidden/>
          </w:rPr>
          <w:fldChar w:fldCharType="separate"/>
        </w:r>
        <w:r w:rsidR="00B05C7E">
          <w:rPr>
            <w:webHidden/>
          </w:rPr>
          <w:t>92</w:t>
        </w:r>
        <w:r w:rsidR="00066D33">
          <w:rPr>
            <w:webHidden/>
          </w:rPr>
          <w:fldChar w:fldCharType="end"/>
        </w:r>
      </w:hyperlink>
    </w:p>
    <w:p w:rsidR="00066D33" w:rsidRDefault="00CC063D">
      <w:pPr>
        <w:pStyle w:val="TOC2"/>
        <w:rPr>
          <w:rFonts w:asciiTheme="minorHAnsi" w:eastAsiaTheme="minorEastAsia" w:hAnsiTheme="minorHAnsi" w:cstheme="minorBidi"/>
          <w:bCs w:val="0"/>
          <w:iCs w:val="0"/>
          <w:sz w:val="22"/>
          <w:szCs w:val="22"/>
        </w:rPr>
      </w:pPr>
      <w:hyperlink w:anchor="_Toc490323066" w:history="1">
        <w:r w:rsidR="00066D33" w:rsidRPr="001E653C">
          <w:rPr>
            <w:rStyle w:val="Hyperlink"/>
          </w:rPr>
          <w:t>6.4 Northeast Power Coordinating Council Studies and Activities</w:t>
        </w:r>
        <w:r w:rsidR="00066D33">
          <w:rPr>
            <w:webHidden/>
          </w:rPr>
          <w:tab/>
        </w:r>
        <w:r w:rsidR="00066D33">
          <w:rPr>
            <w:webHidden/>
          </w:rPr>
          <w:fldChar w:fldCharType="begin"/>
        </w:r>
        <w:r w:rsidR="00066D33">
          <w:rPr>
            <w:webHidden/>
          </w:rPr>
          <w:instrText xml:space="preserve"> PAGEREF _Toc490323066 \h </w:instrText>
        </w:r>
        <w:r w:rsidR="00066D33">
          <w:rPr>
            <w:webHidden/>
          </w:rPr>
        </w:r>
        <w:r w:rsidR="00066D33">
          <w:rPr>
            <w:webHidden/>
          </w:rPr>
          <w:fldChar w:fldCharType="separate"/>
        </w:r>
        <w:r w:rsidR="00B05C7E">
          <w:rPr>
            <w:webHidden/>
          </w:rPr>
          <w:t>93</w:t>
        </w:r>
        <w:r w:rsidR="00066D33">
          <w:rPr>
            <w:webHidden/>
          </w:rPr>
          <w:fldChar w:fldCharType="end"/>
        </w:r>
      </w:hyperlink>
    </w:p>
    <w:p w:rsidR="00066D33" w:rsidRDefault="00CC063D">
      <w:pPr>
        <w:pStyle w:val="TOC2"/>
        <w:rPr>
          <w:rFonts w:asciiTheme="minorHAnsi" w:eastAsiaTheme="minorEastAsia" w:hAnsiTheme="minorHAnsi" w:cstheme="minorBidi"/>
          <w:bCs w:val="0"/>
          <w:iCs w:val="0"/>
          <w:sz w:val="22"/>
          <w:szCs w:val="22"/>
        </w:rPr>
      </w:pPr>
      <w:hyperlink w:anchor="_Toc490323067" w:history="1">
        <w:r w:rsidR="00066D33" w:rsidRPr="001E653C">
          <w:rPr>
            <w:rStyle w:val="Hyperlink"/>
          </w:rPr>
          <w:t>6.5 Northeastern ISO/RTO Planning Coordination Protocol</w:t>
        </w:r>
        <w:r w:rsidR="00066D33">
          <w:rPr>
            <w:webHidden/>
          </w:rPr>
          <w:tab/>
        </w:r>
        <w:r w:rsidR="00066D33">
          <w:rPr>
            <w:webHidden/>
          </w:rPr>
          <w:fldChar w:fldCharType="begin"/>
        </w:r>
        <w:r w:rsidR="00066D33">
          <w:rPr>
            <w:webHidden/>
          </w:rPr>
          <w:instrText xml:space="preserve"> PAGEREF _Toc490323067 \h </w:instrText>
        </w:r>
        <w:r w:rsidR="00066D33">
          <w:rPr>
            <w:webHidden/>
          </w:rPr>
        </w:r>
        <w:r w:rsidR="00066D33">
          <w:rPr>
            <w:webHidden/>
          </w:rPr>
          <w:fldChar w:fldCharType="separate"/>
        </w:r>
        <w:r w:rsidR="00B05C7E">
          <w:rPr>
            <w:webHidden/>
          </w:rPr>
          <w:t>93</w:t>
        </w:r>
        <w:r w:rsidR="00066D33">
          <w:rPr>
            <w:webHidden/>
          </w:rPr>
          <w:fldChar w:fldCharType="end"/>
        </w:r>
      </w:hyperlink>
    </w:p>
    <w:p w:rsidR="00066D33" w:rsidRDefault="00CC063D">
      <w:pPr>
        <w:pStyle w:val="TOC2"/>
        <w:rPr>
          <w:rFonts w:asciiTheme="minorHAnsi" w:eastAsiaTheme="minorEastAsia" w:hAnsiTheme="minorHAnsi" w:cstheme="minorBidi"/>
          <w:bCs w:val="0"/>
          <w:iCs w:val="0"/>
          <w:sz w:val="22"/>
          <w:szCs w:val="22"/>
        </w:rPr>
      </w:pPr>
      <w:hyperlink w:anchor="_Toc490323068" w:history="1">
        <w:r w:rsidR="00066D33" w:rsidRPr="001E653C">
          <w:rPr>
            <w:rStyle w:val="Hyperlink"/>
          </w:rPr>
          <w:t>6.6 Interregional Transfers</w:t>
        </w:r>
        <w:r w:rsidR="00066D33">
          <w:rPr>
            <w:webHidden/>
          </w:rPr>
          <w:tab/>
        </w:r>
        <w:r w:rsidR="00066D33">
          <w:rPr>
            <w:webHidden/>
          </w:rPr>
          <w:fldChar w:fldCharType="begin"/>
        </w:r>
        <w:r w:rsidR="00066D33">
          <w:rPr>
            <w:webHidden/>
          </w:rPr>
          <w:instrText xml:space="preserve"> PAGEREF _Toc490323068 \h </w:instrText>
        </w:r>
        <w:r w:rsidR="00066D33">
          <w:rPr>
            <w:webHidden/>
          </w:rPr>
        </w:r>
        <w:r w:rsidR="00066D33">
          <w:rPr>
            <w:webHidden/>
          </w:rPr>
          <w:fldChar w:fldCharType="separate"/>
        </w:r>
        <w:r w:rsidR="00B05C7E">
          <w:rPr>
            <w:webHidden/>
          </w:rPr>
          <w:t>94</w:t>
        </w:r>
        <w:r w:rsidR="00066D33">
          <w:rPr>
            <w:webHidden/>
          </w:rPr>
          <w:fldChar w:fldCharType="end"/>
        </w:r>
      </w:hyperlink>
    </w:p>
    <w:p w:rsidR="00066D33" w:rsidRDefault="00CC063D">
      <w:pPr>
        <w:pStyle w:val="TOC2"/>
        <w:rPr>
          <w:rFonts w:asciiTheme="minorHAnsi" w:eastAsiaTheme="minorEastAsia" w:hAnsiTheme="minorHAnsi" w:cstheme="minorBidi"/>
          <w:bCs w:val="0"/>
          <w:iCs w:val="0"/>
          <w:sz w:val="22"/>
          <w:szCs w:val="22"/>
        </w:rPr>
      </w:pPr>
      <w:hyperlink w:anchor="_Toc490323069" w:history="1">
        <w:r w:rsidR="00066D33" w:rsidRPr="001E653C">
          <w:rPr>
            <w:rStyle w:val="Hyperlink"/>
          </w:rPr>
          <w:t>6.7 Summary</w:t>
        </w:r>
        <w:r w:rsidR="00066D33">
          <w:rPr>
            <w:webHidden/>
          </w:rPr>
          <w:tab/>
        </w:r>
        <w:r w:rsidR="00066D33">
          <w:rPr>
            <w:webHidden/>
          </w:rPr>
          <w:fldChar w:fldCharType="begin"/>
        </w:r>
        <w:r w:rsidR="00066D33">
          <w:rPr>
            <w:webHidden/>
          </w:rPr>
          <w:instrText xml:space="preserve"> PAGEREF _Toc490323069 \h </w:instrText>
        </w:r>
        <w:r w:rsidR="00066D33">
          <w:rPr>
            <w:webHidden/>
          </w:rPr>
        </w:r>
        <w:r w:rsidR="00066D33">
          <w:rPr>
            <w:webHidden/>
          </w:rPr>
          <w:fldChar w:fldCharType="separate"/>
        </w:r>
        <w:r w:rsidR="00B05C7E">
          <w:rPr>
            <w:webHidden/>
          </w:rPr>
          <w:t>96</w:t>
        </w:r>
        <w:r w:rsidR="00066D33">
          <w:rPr>
            <w:webHidden/>
          </w:rPr>
          <w:fldChar w:fldCharType="end"/>
        </w:r>
      </w:hyperlink>
    </w:p>
    <w:p w:rsidR="00066D33" w:rsidRDefault="00CC063D">
      <w:pPr>
        <w:pStyle w:val="TOC1"/>
        <w:rPr>
          <w:rFonts w:asciiTheme="minorHAnsi" w:eastAsiaTheme="minorEastAsia" w:hAnsiTheme="minorHAnsi" w:cstheme="minorBidi"/>
          <w:b w:val="0"/>
          <w:sz w:val="22"/>
          <w:szCs w:val="22"/>
        </w:rPr>
      </w:pPr>
      <w:hyperlink w:anchor="_Toc490323070" w:history="1">
        <w:r w:rsidR="00066D33" w:rsidRPr="001E653C">
          <w:rPr>
            <w:rStyle w:val="Hyperlink"/>
          </w:rPr>
          <w:t>Section 7</w:t>
        </w:r>
        <w:r w:rsidR="00066D33">
          <w:rPr>
            <w:rStyle w:val="Hyperlink"/>
          </w:rPr>
          <w:br/>
        </w:r>
        <w:r w:rsidR="00066D33" w:rsidRPr="001E653C">
          <w:rPr>
            <w:rStyle w:val="Hyperlink"/>
          </w:rPr>
          <w:t>Fuel-Security Risks to System Reliability and Solutions</w:t>
        </w:r>
        <w:r w:rsidR="00066D33">
          <w:rPr>
            <w:webHidden/>
          </w:rPr>
          <w:tab/>
        </w:r>
        <w:r w:rsidR="00066D33">
          <w:rPr>
            <w:webHidden/>
          </w:rPr>
          <w:fldChar w:fldCharType="begin"/>
        </w:r>
        <w:r w:rsidR="00066D33">
          <w:rPr>
            <w:webHidden/>
          </w:rPr>
          <w:instrText xml:space="preserve"> PAGEREF _Toc490323070 \h </w:instrText>
        </w:r>
        <w:r w:rsidR="00066D33">
          <w:rPr>
            <w:webHidden/>
          </w:rPr>
        </w:r>
        <w:r w:rsidR="00066D33">
          <w:rPr>
            <w:webHidden/>
          </w:rPr>
          <w:fldChar w:fldCharType="separate"/>
        </w:r>
        <w:r w:rsidR="00B05C7E">
          <w:rPr>
            <w:webHidden/>
          </w:rPr>
          <w:t>97</w:t>
        </w:r>
        <w:r w:rsidR="00066D33">
          <w:rPr>
            <w:webHidden/>
          </w:rPr>
          <w:fldChar w:fldCharType="end"/>
        </w:r>
      </w:hyperlink>
    </w:p>
    <w:p w:rsidR="00066D33" w:rsidRDefault="00CC063D">
      <w:pPr>
        <w:pStyle w:val="TOC2"/>
        <w:rPr>
          <w:rFonts w:asciiTheme="minorHAnsi" w:eastAsiaTheme="minorEastAsia" w:hAnsiTheme="minorHAnsi" w:cstheme="minorBidi"/>
          <w:bCs w:val="0"/>
          <w:iCs w:val="0"/>
          <w:sz w:val="22"/>
          <w:szCs w:val="22"/>
        </w:rPr>
      </w:pPr>
      <w:hyperlink w:anchor="_Toc490323071" w:history="1">
        <w:r w:rsidR="00066D33" w:rsidRPr="001E653C">
          <w:rPr>
            <w:rStyle w:val="Hyperlink"/>
            <w:rFonts w:eastAsia="Times New Roman"/>
          </w:rPr>
          <w:t>7.1 Capacity and Electric Energy Production in the Region by Fuel Type</w:t>
        </w:r>
        <w:r w:rsidR="00066D33">
          <w:rPr>
            <w:webHidden/>
          </w:rPr>
          <w:tab/>
        </w:r>
        <w:r w:rsidR="00066D33">
          <w:rPr>
            <w:webHidden/>
          </w:rPr>
          <w:fldChar w:fldCharType="begin"/>
        </w:r>
        <w:r w:rsidR="00066D33">
          <w:rPr>
            <w:webHidden/>
          </w:rPr>
          <w:instrText xml:space="preserve"> PAGEREF _Toc490323071 \h </w:instrText>
        </w:r>
        <w:r w:rsidR="00066D33">
          <w:rPr>
            <w:webHidden/>
          </w:rPr>
        </w:r>
        <w:r w:rsidR="00066D33">
          <w:rPr>
            <w:webHidden/>
          </w:rPr>
          <w:fldChar w:fldCharType="separate"/>
        </w:r>
        <w:r w:rsidR="00B05C7E">
          <w:rPr>
            <w:webHidden/>
          </w:rPr>
          <w:t>97</w:t>
        </w:r>
        <w:r w:rsidR="00066D33">
          <w:rPr>
            <w:webHidden/>
          </w:rPr>
          <w:fldChar w:fldCharType="end"/>
        </w:r>
      </w:hyperlink>
    </w:p>
    <w:p w:rsidR="00066D33" w:rsidRDefault="00CC063D">
      <w:pPr>
        <w:pStyle w:val="TOC2"/>
        <w:rPr>
          <w:rFonts w:asciiTheme="minorHAnsi" w:eastAsiaTheme="minorEastAsia" w:hAnsiTheme="minorHAnsi" w:cstheme="minorBidi"/>
          <w:bCs w:val="0"/>
          <w:iCs w:val="0"/>
          <w:sz w:val="22"/>
          <w:szCs w:val="22"/>
        </w:rPr>
      </w:pPr>
      <w:hyperlink w:anchor="_Toc490323072" w:history="1">
        <w:r w:rsidR="00066D33" w:rsidRPr="001E653C">
          <w:rPr>
            <w:rStyle w:val="Hyperlink"/>
            <w:rFonts w:eastAsia="Times New Roman"/>
          </w:rPr>
          <w:t>7.2 Natural Gas Infrastructure</w:t>
        </w:r>
        <w:r w:rsidR="00066D33">
          <w:rPr>
            <w:webHidden/>
          </w:rPr>
          <w:tab/>
        </w:r>
        <w:r w:rsidR="00066D33">
          <w:rPr>
            <w:webHidden/>
          </w:rPr>
          <w:fldChar w:fldCharType="begin"/>
        </w:r>
        <w:r w:rsidR="00066D33">
          <w:rPr>
            <w:webHidden/>
          </w:rPr>
          <w:instrText xml:space="preserve"> PAGEREF _Toc490323072 \h </w:instrText>
        </w:r>
        <w:r w:rsidR="00066D33">
          <w:rPr>
            <w:webHidden/>
          </w:rPr>
        </w:r>
        <w:r w:rsidR="00066D33">
          <w:rPr>
            <w:webHidden/>
          </w:rPr>
          <w:fldChar w:fldCharType="separate"/>
        </w:r>
        <w:r w:rsidR="00B05C7E">
          <w:rPr>
            <w:webHidden/>
          </w:rPr>
          <w:t>99</w:t>
        </w:r>
        <w:r w:rsidR="00066D33">
          <w:rPr>
            <w:webHidden/>
          </w:rPr>
          <w:fldChar w:fldCharType="end"/>
        </w:r>
      </w:hyperlink>
    </w:p>
    <w:p w:rsidR="00066D33" w:rsidRDefault="00CC063D">
      <w:pPr>
        <w:pStyle w:val="TOC2"/>
        <w:rPr>
          <w:rFonts w:asciiTheme="minorHAnsi" w:eastAsiaTheme="minorEastAsia" w:hAnsiTheme="minorHAnsi" w:cstheme="minorBidi"/>
          <w:bCs w:val="0"/>
          <w:iCs w:val="0"/>
          <w:sz w:val="22"/>
          <w:szCs w:val="22"/>
        </w:rPr>
      </w:pPr>
      <w:hyperlink w:anchor="_Toc490323073" w:history="1">
        <w:r w:rsidR="00066D33" w:rsidRPr="001E653C">
          <w:rPr>
            <w:rStyle w:val="Hyperlink"/>
            <w:rFonts w:eastAsia="Times New Roman"/>
          </w:rPr>
          <w:t>7.3 Natural Gas and Oil Fuel Security and Risks to System Reliability</w:t>
        </w:r>
        <w:r w:rsidR="00066D33">
          <w:rPr>
            <w:webHidden/>
          </w:rPr>
          <w:tab/>
        </w:r>
        <w:r w:rsidR="00066D33">
          <w:rPr>
            <w:webHidden/>
          </w:rPr>
          <w:fldChar w:fldCharType="begin"/>
        </w:r>
        <w:r w:rsidR="00066D33">
          <w:rPr>
            <w:webHidden/>
          </w:rPr>
          <w:instrText xml:space="preserve"> PAGEREF _Toc490323073 \h </w:instrText>
        </w:r>
        <w:r w:rsidR="00066D33">
          <w:rPr>
            <w:webHidden/>
          </w:rPr>
        </w:r>
        <w:r w:rsidR="00066D33">
          <w:rPr>
            <w:webHidden/>
          </w:rPr>
          <w:fldChar w:fldCharType="separate"/>
        </w:r>
        <w:r w:rsidR="00B05C7E">
          <w:rPr>
            <w:webHidden/>
          </w:rPr>
          <w:t>102</w:t>
        </w:r>
        <w:r w:rsidR="00066D33">
          <w:rPr>
            <w:webHidden/>
          </w:rPr>
          <w:fldChar w:fldCharType="end"/>
        </w:r>
      </w:hyperlink>
    </w:p>
    <w:p w:rsidR="00066D33" w:rsidRDefault="00CC063D">
      <w:pPr>
        <w:pStyle w:val="TOC3"/>
        <w:rPr>
          <w:rFonts w:asciiTheme="minorHAnsi" w:eastAsiaTheme="minorEastAsia" w:hAnsiTheme="minorHAnsi" w:cstheme="minorBidi"/>
          <w:sz w:val="22"/>
          <w:szCs w:val="22"/>
        </w:rPr>
      </w:pPr>
      <w:hyperlink w:anchor="_Toc490323074" w:history="1">
        <w:r w:rsidR="00066D33" w:rsidRPr="001E653C">
          <w:rPr>
            <w:rStyle w:val="Hyperlink"/>
          </w:rPr>
          <w:t>7.3.1 Fuel-Security Risks</w:t>
        </w:r>
        <w:r w:rsidR="00066D33">
          <w:rPr>
            <w:webHidden/>
          </w:rPr>
          <w:tab/>
        </w:r>
        <w:r w:rsidR="00066D33">
          <w:rPr>
            <w:webHidden/>
          </w:rPr>
          <w:fldChar w:fldCharType="begin"/>
        </w:r>
        <w:r w:rsidR="00066D33">
          <w:rPr>
            <w:webHidden/>
          </w:rPr>
          <w:instrText xml:space="preserve"> PAGEREF _Toc490323074 \h </w:instrText>
        </w:r>
        <w:r w:rsidR="00066D33">
          <w:rPr>
            <w:webHidden/>
          </w:rPr>
        </w:r>
        <w:r w:rsidR="00066D33">
          <w:rPr>
            <w:webHidden/>
          </w:rPr>
          <w:fldChar w:fldCharType="separate"/>
        </w:r>
        <w:r w:rsidR="00B05C7E">
          <w:rPr>
            <w:webHidden/>
          </w:rPr>
          <w:t>102</w:t>
        </w:r>
        <w:r w:rsidR="00066D33">
          <w:rPr>
            <w:webHidden/>
          </w:rPr>
          <w:fldChar w:fldCharType="end"/>
        </w:r>
      </w:hyperlink>
    </w:p>
    <w:p w:rsidR="00066D33" w:rsidRDefault="00CC063D">
      <w:pPr>
        <w:pStyle w:val="TOC3"/>
        <w:rPr>
          <w:rFonts w:asciiTheme="minorHAnsi" w:eastAsiaTheme="minorEastAsia" w:hAnsiTheme="minorHAnsi" w:cstheme="minorBidi"/>
          <w:sz w:val="22"/>
          <w:szCs w:val="22"/>
        </w:rPr>
      </w:pPr>
      <w:hyperlink w:anchor="_Toc490323075" w:history="1">
        <w:r w:rsidR="00066D33" w:rsidRPr="001E653C">
          <w:rPr>
            <w:rStyle w:val="Hyperlink"/>
          </w:rPr>
          <w:t>7.3.2 Natural Gas Price Volatility</w:t>
        </w:r>
        <w:r w:rsidR="00066D33">
          <w:rPr>
            <w:webHidden/>
          </w:rPr>
          <w:tab/>
        </w:r>
        <w:r w:rsidR="00066D33">
          <w:rPr>
            <w:webHidden/>
          </w:rPr>
          <w:fldChar w:fldCharType="begin"/>
        </w:r>
        <w:r w:rsidR="00066D33">
          <w:rPr>
            <w:webHidden/>
          </w:rPr>
          <w:instrText xml:space="preserve"> PAGEREF _Toc490323075 \h </w:instrText>
        </w:r>
        <w:r w:rsidR="00066D33">
          <w:rPr>
            <w:webHidden/>
          </w:rPr>
        </w:r>
        <w:r w:rsidR="00066D33">
          <w:rPr>
            <w:webHidden/>
          </w:rPr>
          <w:fldChar w:fldCharType="separate"/>
        </w:r>
        <w:r w:rsidR="00B05C7E">
          <w:rPr>
            <w:webHidden/>
          </w:rPr>
          <w:t>102</w:t>
        </w:r>
        <w:r w:rsidR="00066D33">
          <w:rPr>
            <w:webHidden/>
          </w:rPr>
          <w:fldChar w:fldCharType="end"/>
        </w:r>
      </w:hyperlink>
    </w:p>
    <w:p w:rsidR="00066D33" w:rsidRDefault="00CC063D">
      <w:pPr>
        <w:pStyle w:val="TOC2"/>
        <w:rPr>
          <w:rFonts w:asciiTheme="minorHAnsi" w:eastAsiaTheme="minorEastAsia" w:hAnsiTheme="minorHAnsi" w:cstheme="minorBidi"/>
          <w:bCs w:val="0"/>
          <w:iCs w:val="0"/>
          <w:sz w:val="22"/>
          <w:szCs w:val="22"/>
        </w:rPr>
      </w:pPr>
      <w:hyperlink w:anchor="_Toc490323076" w:history="1">
        <w:r w:rsidR="00066D33" w:rsidRPr="001E653C">
          <w:rPr>
            <w:rStyle w:val="Hyperlink"/>
            <w:rFonts w:eastAsia="Times New Roman"/>
          </w:rPr>
          <w:t>7.4 Addressing Fuel-Security and Cost Risks</w:t>
        </w:r>
        <w:r w:rsidR="00066D33">
          <w:rPr>
            <w:webHidden/>
          </w:rPr>
          <w:tab/>
        </w:r>
        <w:r w:rsidR="00066D33">
          <w:rPr>
            <w:webHidden/>
          </w:rPr>
          <w:fldChar w:fldCharType="begin"/>
        </w:r>
        <w:r w:rsidR="00066D33">
          <w:rPr>
            <w:webHidden/>
          </w:rPr>
          <w:instrText xml:space="preserve"> PAGEREF _Toc490323076 \h </w:instrText>
        </w:r>
        <w:r w:rsidR="00066D33">
          <w:rPr>
            <w:webHidden/>
          </w:rPr>
        </w:r>
        <w:r w:rsidR="00066D33">
          <w:rPr>
            <w:webHidden/>
          </w:rPr>
          <w:fldChar w:fldCharType="separate"/>
        </w:r>
        <w:r w:rsidR="00B05C7E">
          <w:rPr>
            <w:webHidden/>
          </w:rPr>
          <w:t>105</w:t>
        </w:r>
        <w:r w:rsidR="00066D33">
          <w:rPr>
            <w:webHidden/>
          </w:rPr>
          <w:fldChar w:fldCharType="end"/>
        </w:r>
      </w:hyperlink>
    </w:p>
    <w:p w:rsidR="00066D33" w:rsidRDefault="00CC063D">
      <w:pPr>
        <w:pStyle w:val="TOC3"/>
        <w:rPr>
          <w:rFonts w:asciiTheme="minorHAnsi" w:eastAsiaTheme="minorEastAsia" w:hAnsiTheme="minorHAnsi" w:cstheme="minorBidi"/>
          <w:sz w:val="22"/>
          <w:szCs w:val="22"/>
        </w:rPr>
      </w:pPr>
      <w:hyperlink w:anchor="_Toc490323077" w:history="1">
        <w:r w:rsidR="00066D33" w:rsidRPr="001E653C">
          <w:rPr>
            <w:rStyle w:val="Hyperlink"/>
          </w:rPr>
          <w:t>7.4.1 Electric Power System and Natural Gas Sector Coordination</w:t>
        </w:r>
        <w:r w:rsidR="00066D33">
          <w:rPr>
            <w:webHidden/>
          </w:rPr>
          <w:tab/>
        </w:r>
        <w:r w:rsidR="00066D33">
          <w:rPr>
            <w:webHidden/>
          </w:rPr>
          <w:fldChar w:fldCharType="begin"/>
        </w:r>
        <w:r w:rsidR="00066D33">
          <w:rPr>
            <w:webHidden/>
          </w:rPr>
          <w:instrText xml:space="preserve"> PAGEREF _Toc490323077 \h </w:instrText>
        </w:r>
        <w:r w:rsidR="00066D33">
          <w:rPr>
            <w:webHidden/>
          </w:rPr>
        </w:r>
        <w:r w:rsidR="00066D33">
          <w:rPr>
            <w:webHidden/>
          </w:rPr>
          <w:fldChar w:fldCharType="separate"/>
        </w:r>
        <w:r w:rsidR="00B05C7E">
          <w:rPr>
            <w:webHidden/>
          </w:rPr>
          <w:t>105</w:t>
        </w:r>
        <w:r w:rsidR="00066D33">
          <w:rPr>
            <w:webHidden/>
          </w:rPr>
          <w:fldChar w:fldCharType="end"/>
        </w:r>
      </w:hyperlink>
    </w:p>
    <w:p w:rsidR="00066D33" w:rsidRDefault="00CC063D">
      <w:pPr>
        <w:pStyle w:val="TOC3"/>
        <w:rPr>
          <w:rFonts w:asciiTheme="minorHAnsi" w:eastAsiaTheme="minorEastAsia" w:hAnsiTheme="minorHAnsi" w:cstheme="minorBidi"/>
          <w:sz w:val="22"/>
          <w:szCs w:val="22"/>
        </w:rPr>
      </w:pPr>
      <w:hyperlink w:anchor="_Toc490323078" w:history="1">
        <w:r w:rsidR="00066D33" w:rsidRPr="001E653C">
          <w:rPr>
            <w:rStyle w:val="Hyperlink"/>
          </w:rPr>
          <w:t>7.4.2 Fuel Security—Use of Oil, LNG, Compressed Natural Gas, and Efficiency Measures</w:t>
        </w:r>
        <w:r w:rsidR="00066D33">
          <w:rPr>
            <w:webHidden/>
          </w:rPr>
          <w:tab/>
        </w:r>
        <w:r w:rsidR="00066D33">
          <w:rPr>
            <w:webHidden/>
          </w:rPr>
          <w:fldChar w:fldCharType="begin"/>
        </w:r>
        <w:r w:rsidR="00066D33">
          <w:rPr>
            <w:webHidden/>
          </w:rPr>
          <w:instrText xml:space="preserve"> PAGEREF _Toc490323078 \h </w:instrText>
        </w:r>
        <w:r w:rsidR="00066D33">
          <w:rPr>
            <w:webHidden/>
          </w:rPr>
        </w:r>
        <w:r w:rsidR="00066D33">
          <w:rPr>
            <w:webHidden/>
          </w:rPr>
          <w:fldChar w:fldCharType="separate"/>
        </w:r>
        <w:r w:rsidR="00B05C7E">
          <w:rPr>
            <w:webHidden/>
          </w:rPr>
          <w:t>106</w:t>
        </w:r>
        <w:r w:rsidR="00066D33">
          <w:rPr>
            <w:webHidden/>
          </w:rPr>
          <w:fldChar w:fldCharType="end"/>
        </w:r>
      </w:hyperlink>
    </w:p>
    <w:p w:rsidR="00066D33" w:rsidRDefault="00CC063D">
      <w:pPr>
        <w:pStyle w:val="TOC3"/>
        <w:rPr>
          <w:rFonts w:asciiTheme="minorHAnsi" w:eastAsiaTheme="minorEastAsia" w:hAnsiTheme="minorHAnsi" w:cstheme="minorBidi"/>
          <w:sz w:val="22"/>
          <w:szCs w:val="22"/>
        </w:rPr>
      </w:pPr>
      <w:hyperlink w:anchor="_Toc490323079" w:history="1">
        <w:r w:rsidR="00066D33" w:rsidRPr="001E653C">
          <w:rPr>
            <w:rStyle w:val="Hyperlink"/>
          </w:rPr>
          <w:t>7.4.3 Fuel-Security Analyses</w:t>
        </w:r>
        <w:r w:rsidR="00066D33">
          <w:rPr>
            <w:webHidden/>
          </w:rPr>
          <w:tab/>
        </w:r>
        <w:r w:rsidR="00066D33">
          <w:rPr>
            <w:webHidden/>
          </w:rPr>
          <w:fldChar w:fldCharType="begin"/>
        </w:r>
        <w:r w:rsidR="00066D33">
          <w:rPr>
            <w:webHidden/>
          </w:rPr>
          <w:instrText xml:space="preserve"> PAGEREF _Toc490323079 \h </w:instrText>
        </w:r>
        <w:r w:rsidR="00066D33">
          <w:rPr>
            <w:webHidden/>
          </w:rPr>
        </w:r>
        <w:r w:rsidR="00066D33">
          <w:rPr>
            <w:webHidden/>
          </w:rPr>
          <w:fldChar w:fldCharType="separate"/>
        </w:r>
        <w:r w:rsidR="00B05C7E">
          <w:rPr>
            <w:webHidden/>
          </w:rPr>
          <w:t>107</w:t>
        </w:r>
        <w:r w:rsidR="00066D33">
          <w:rPr>
            <w:webHidden/>
          </w:rPr>
          <w:fldChar w:fldCharType="end"/>
        </w:r>
      </w:hyperlink>
    </w:p>
    <w:p w:rsidR="00066D33" w:rsidRDefault="00CC063D">
      <w:pPr>
        <w:pStyle w:val="TOC3"/>
        <w:rPr>
          <w:rFonts w:asciiTheme="minorHAnsi" w:eastAsiaTheme="minorEastAsia" w:hAnsiTheme="minorHAnsi" w:cstheme="minorBidi"/>
          <w:sz w:val="22"/>
          <w:szCs w:val="22"/>
        </w:rPr>
      </w:pPr>
      <w:hyperlink w:anchor="_Toc490323080" w:history="1">
        <w:r w:rsidR="00066D33" w:rsidRPr="001E653C">
          <w:rPr>
            <w:rStyle w:val="Hyperlink"/>
          </w:rPr>
          <w:t>7.4.4 Pipeline Improvements</w:t>
        </w:r>
        <w:r w:rsidR="00066D33">
          <w:rPr>
            <w:webHidden/>
          </w:rPr>
          <w:tab/>
        </w:r>
        <w:r w:rsidR="00066D33">
          <w:rPr>
            <w:webHidden/>
          </w:rPr>
          <w:fldChar w:fldCharType="begin"/>
        </w:r>
        <w:r w:rsidR="00066D33">
          <w:rPr>
            <w:webHidden/>
          </w:rPr>
          <w:instrText xml:space="preserve"> PAGEREF _Toc490323080 \h </w:instrText>
        </w:r>
        <w:r w:rsidR="00066D33">
          <w:rPr>
            <w:webHidden/>
          </w:rPr>
        </w:r>
        <w:r w:rsidR="00066D33">
          <w:rPr>
            <w:webHidden/>
          </w:rPr>
          <w:fldChar w:fldCharType="separate"/>
        </w:r>
        <w:r w:rsidR="00B05C7E">
          <w:rPr>
            <w:webHidden/>
          </w:rPr>
          <w:t>108</w:t>
        </w:r>
        <w:r w:rsidR="00066D33">
          <w:rPr>
            <w:webHidden/>
          </w:rPr>
          <w:fldChar w:fldCharType="end"/>
        </w:r>
      </w:hyperlink>
    </w:p>
    <w:p w:rsidR="00066D33" w:rsidRDefault="00CC063D">
      <w:pPr>
        <w:pStyle w:val="TOC2"/>
        <w:rPr>
          <w:rFonts w:asciiTheme="minorHAnsi" w:eastAsiaTheme="minorEastAsia" w:hAnsiTheme="minorHAnsi" w:cstheme="minorBidi"/>
          <w:bCs w:val="0"/>
          <w:iCs w:val="0"/>
          <w:sz w:val="22"/>
          <w:szCs w:val="22"/>
        </w:rPr>
      </w:pPr>
      <w:hyperlink w:anchor="_Toc490323081" w:history="1">
        <w:r w:rsidR="00066D33" w:rsidRPr="001E653C">
          <w:rPr>
            <w:rStyle w:val="Hyperlink"/>
            <w:rFonts w:eastAsia="Times New Roman"/>
          </w:rPr>
          <w:t>7.5 Summary</w:t>
        </w:r>
        <w:r w:rsidR="00066D33">
          <w:rPr>
            <w:webHidden/>
          </w:rPr>
          <w:tab/>
        </w:r>
        <w:r w:rsidR="00066D33">
          <w:rPr>
            <w:webHidden/>
          </w:rPr>
          <w:fldChar w:fldCharType="begin"/>
        </w:r>
        <w:r w:rsidR="00066D33">
          <w:rPr>
            <w:webHidden/>
          </w:rPr>
          <w:instrText xml:space="preserve"> PAGEREF _Toc490323081 \h </w:instrText>
        </w:r>
        <w:r w:rsidR="00066D33">
          <w:rPr>
            <w:webHidden/>
          </w:rPr>
        </w:r>
        <w:r w:rsidR="00066D33">
          <w:rPr>
            <w:webHidden/>
          </w:rPr>
          <w:fldChar w:fldCharType="separate"/>
        </w:r>
        <w:r w:rsidR="00B05C7E">
          <w:rPr>
            <w:webHidden/>
          </w:rPr>
          <w:t>110</w:t>
        </w:r>
        <w:r w:rsidR="00066D33">
          <w:rPr>
            <w:webHidden/>
          </w:rPr>
          <w:fldChar w:fldCharType="end"/>
        </w:r>
      </w:hyperlink>
    </w:p>
    <w:p w:rsidR="00066D33" w:rsidRDefault="00CC063D">
      <w:pPr>
        <w:pStyle w:val="TOC1"/>
        <w:rPr>
          <w:rFonts w:asciiTheme="minorHAnsi" w:eastAsiaTheme="minorEastAsia" w:hAnsiTheme="minorHAnsi" w:cstheme="minorBidi"/>
          <w:b w:val="0"/>
          <w:sz w:val="22"/>
          <w:szCs w:val="22"/>
        </w:rPr>
      </w:pPr>
      <w:hyperlink w:anchor="_Toc490323082" w:history="1">
        <w:r w:rsidR="00066D33" w:rsidRPr="001E653C">
          <w:rPr>
            <w:rStyle w:val="Hyperlink"/>
          </w:rPr>
          <w:t>Section 8</w:t>
        </w:r>
        <w:r w:rsidR="00066D33">
          <w:rPr>
            <w:rStyle w:val="Hyperlink"/>
          </w:rPr>
          <w:br/>
        </w:r>
        <w:r w:rsidR="00066D33" w:rsidRPr="001E653C">
          <w:rPr>
            <w:rStyle w:val="Hyperlink"/>
          </w:rPr>
          <w:t>Impacts of Environmental Regulations and Siting Requirements on Generators and the Power System</w:t>
        </w:r>
        <w:r w:rsidR="00066D33">
          <w:rPr>
            <w:webHidden/>
          </w:rPr>
          <w:tab/>
        </w:r>
        <w:r w:rsidR="00066D33">
          <w:rPr>
            <w:webHidden/>
          </w:rPr>
          <w:fldChar w:fldCharType="begin"/>
        </w:r>
        <w:r w:rsidR="00066D33">
          <w:rPr>
            <w:webHidden/>
          </w:rPr>
          <w:instrText xml:space="preserve"> PAGEREF _Toc490323082 \h </w:instrText>
        </w:r>
        <w:r w:rsidR="00066D33">
          <w:rPr>
            <w:webHidden/>
          </w:rPr>
        </w:r>
        <w:r w:rsidR="00066D33">
          <w:rPr>
            <w:webHidden/>
          </w:rPr>
          <w:fldChar w:fldCharType="separate"/>
        </w:r>
        <w:r w:rsidR="00B05C7E">
          <w:rPr>
            <w:webHidden/>
          </w:rPr>
          <w:t>111</w:t>
        </w:r>
        <w:r w:rsidR="00066D33">
          <w:rPr>
            <w:webHidden/>
          </w:rPr>
          <w:fldChar w:fldCharType="end"/>
        </w:r>
      </w:hyperlink>
    </w:p>
    <w:p w:rsidR="00066D33" w:rsidRDefault="00CC063D">
      <w:pPr>
        <w:pStyle w:val="TOC2"/>
        <w:rPr>
          <w:rFonts w:asciiTheme="minorHAnsi" w:eastAsiaTheme="minorEastAsia" w:hAnsiTheme="minorHAnsi" w:cstheme="minorBidi"/>
          <w:bCs w:val="0"/>
          <w:iCs w:val="0"/>
          <w:sz w:val="22"/>
          <w:szCs w:val="22"/>
        </w:rPr>
      </w:pPr>
      <w:hyperlink w:anchor="_Toc490323083" w:history="1">
        <w:r w:rsidR="00066D33" w:rsidRPr="001E653C">
          <w:rPr>
            <w:rStyle w:val="Hyperlink"/>
            <w:rFonts w:eastAsia="Times New Roman"/>
          </w:rPr>
          <w:t>8.1 Federal, Regional, and State Environmental Regulations Affecting Generators</w:t>
        </w:r>
        <w:r w:rsidR="00066D33">
          <w:rPr>
            <w:webHidden/>
          </w:rPr>
          <w:tab/>
        </w:r>
        <w:r w:rsidR="00066D33">
          <w:rPr>
            <w:webHidden/>
          </w:rPr>
          <w:fldChar w:fldCharType="begin"/>
        </w:r>
        <w:r w:rsidR="00066D33">
          <w:rPr>
            <w:webHidden/>
          </w:rPr>
          <w:instrText xml:space="preserve"> PAGEREF _Toc490323083 \h </w:instrText>
        </w:r>
        <w:r w:rsidR="00066D33">
          <w:rPr>
            <w:webHidden/>
          </w:rPr>
        </w:r>
        <w:r w:rsidR="00066D33">
          <w:rPr>
            <w:webHidden/>
          </w:rPr>
          <w:fldChar w:fldCharType="separate"/>
        </w:r>
        <w:r w:rsidR="00B05C7E">
          <w:rPr>
            <w:webHidden/>
          </w:rPr>
          <w:t>111</w:t>
        </w:r>
        <w:r w:rsidR="00066D33">
          <w:rPr>
            <w:webHidden/>
          </w:rPr>
          <w:fldChar w:fldCharType="end"/>
        </w:r>
      </w:hyperlink>
    </w:p>
    <w:p w:rsidR="00066D33" w:rsidRDefault="00CC063D">
      <w:pPr>
        <w:pStyle w:val="TOC3"/>
        <w:rPr>
          <w:rFonts w:asciiTheme="minorHAnsi" w:eastAsiaTheme="minorEastAsia" w:hAnsiTheme="minorHAnsi" w:cstheme="minorBidi"/>
          <w:sz w:val="22"/>
          <w:szCs w:val="22"/>
        </w:rPr>
      </w:pPr>
      <w:hyperlink w:anchor="_Toc490323084" w:history="1">
        <w:r w:rsidR="00066D33" w:rsidRPr="001E653C">
          <w:rPr>
            <w:rStyle w:val="Hyperlink"/>
          </w:rPr>
          <w:t>8.1.1 Emerging Impacts of Clean Water Act Regulations on the Region’s Generators</w:t>
        </w:r>
        <w:r w:rsidR="00066D33">
          <w:rPr>
            <w:webHidden/>
          </w:rPr>
          <w:tab/>
        </w:r>
        <w:r w:rsidR="00066D33">
          <w:rPr>
            <w:webHidden/>
          </w:rPr>
          <w:fldChar w:fldCharType="begin"/>
        </w:r>
        <w:r w:rsidR="00066D33">
          <w:rPr>
            <w:webHidden/>
          </w:rPr>
          <w:instrText xml:space="preserve"> PAGEREF _Toc490323084 \h </w:instrText>
        </w:r>
        <w:r w:rsidR="00066D33">
          <w:rPr>
            <w:webHidden/>
          </w:rPr>
        </w:r>
        <w:r w:rsidR="00066D33">
          <w:rPr>
            <w:webHidden/>
          </w:rPr>
          <w:fldChar w:fldCharType="separate"/>
        </w:r>
        <w:r w:rsidR="00B05C7E">
          <w:rPr>
            <w:webHidden/>
          </w:rPr>
          <w:t>112</w:t>
        </w:r>
        <w:r w:rsidR="00066D33">
          <w:rPr>
            <w:webHidden/>
          </w:rPr>
          <w:fldChar w:fldCharType="end"/>
        </w:r>
      </w:hyperlink>
    </w:p>
    <w:p w:rsidR="00066D33" w:rsidRDefault="00CC063D">
      <w:pPr>
        <w:pStyle w:val="TOC3"/>
        <w:rPr>
          <w:rFonts w:asciiTheme="minorHAnsi" w:eastAsiaTheme="minorEastAsia" w:hAnsiTheme="minorHAnsi" w:cstheme="minorBidi"/>
          <w:sz w:val="22"/>
          <w:szCs w:val="22"/>
        </w:rPr>
      </w:pPr>
      <w:hyperlink w:anchor="_Toc490323085" w:history="1">
        <w:r w:rsidR="00066D33" w:rsidRPr="001E653C">
          <w:rPr>
            <w:rStyle w:val="Hyperlink"/>
          </w:rPr>
          <w:t>8.1.2 Clean Air Act Requirements and Regional and Federal Greenhouse Gas Regulations</w:t>
        </w:r>
        <w:r w:rsidR="00066D33">
          <w:rPr>
            <w:webHidden/>
          </w:rPr>
          <w:tab/>
        </w:r>
        <w:r w:rsidR="00066D33">
          <w:rPr>
            <w:webHidden/>
          </w:rPr>
          <w:fldChar w:fldCharType="begin"/>
        </w:r>
        <w:r w:rsidR="00066D33">
          <w:rPr>
            <w:webHidden/>
          </w:rPr>
          <w:instrText xml:space="preserve"> PAGEREF _Toc490323085 \h </w:instrText>
        </w:r>
        <w:r w:rsidR="00066D33">
          <w:rPr>
            <w:webHidden/>
          </w:rPr>
        </w:r>
        <w:r w:rsidR="00066D33">
          <w:rPr>
            <w:webHidden/>
          </w:rPr>
          <w:fldChar w:fldCharType="separate"/>
        </w:r>
        <w:r w:rsidR="00B05C7E">
          <w:rPr>
            <w:webHidden/>
          </w:rPr>
          <w:t>113</w:t>
        </w:r>
        <w:r w:rsidR="00066D33">
          <w:rPr>
            <w:webHidden/>
          </w:rPr>
          <w:fldChar w:fldCharType="end"/>
        </w:r>
      </w:hyperlink>
    </w:p>
    <w:p w:rsidR="00066D33" w:rsidRDefault="00CC063D">
      <w:pPr>
        <w:pStyle w:val="TOC3"/>
        <w:rPr>
          <w:rFonts w:asciiTheme="minorHAnsi" w:eastAsiaTheme="minorEastAsia" w:hAnsiTheme="minorHAnsi" w:cstheme="minorBidi"/>
          <w:sz w:val="22"/>
          <w:szCs w:val="22"/>
        </w:rPr>
      </w:pPr>
      <w:hyperlink w:anchor="_Toc490323086" w:history="1">
        <w:r w:rsidR="00066D33" w:rsidRPr="001E653C">
          <w:rPr>
            <w:rStyle w:val="Hyperlink"/>
          </w:rPr>
          <w:t>8.1.3 Cost of Compliance with Environmental Regulations</w:t>
        </w:r>
        <w:r w:rsidR="00066D33">
          <w:rPr>
            <w:webHidden/>
          </w:rPr>
          <w:tab/>
        </w:r>
        <w:r w:rsidR="00066D33">
          <w:rPr>
            <w:webHidden/>
          </w:rPr>
          <w:fldChar w:fldCharType="begin"/>
        </w:r>
        <w:r w:rsidR="00066D33">
          <w:rPr>
            <w:webHidden/>
          </w:rPr>
          <w:instrText xml:space="preserve"> PAGEREF _Toc490323086 \h </w:instrText>
        </w:r>
        <w:r w:rsidR="00066D33">
          <w:rPr>
            <w:webHidden/>
          </w:rPr>
        </w:r>
        <w:r w:rsidR="00066D33">
          <w:rPr>
            <w:webHidden/>
          </w:rPr>
          <w:fldChar w:fldCharType="separate"/>
        </w:r>
        <w:r w:rsidR="00B05C7E">
          <w:rPr>
            <w:webHidden/>
          </w:rPr>
          <w:t>119</w:t>
        </w:r>
        <w:r w:rsidR="00066D33">
          <w:rPr>
            <w:webHidden/>
          </w:rPr>
          <w:fldChar w:fldCharType="end"/>
        </w:r>
      </w:hyperlink>
    </w:p>
    <w:p w:rsidR="00066D33" w:rsidRDefault="00CC063D">
      <w:pPr>
        <w:pStyle w:val="TOC2"/>
        <w:rPr>
          <w:rFonts w:asciiTheme="minorHAnsi" w:eastAsiaTheme="minorEastAsia" w:hAnsiTheme="minorHAnsi" w:cstheme="minorBidi"/>
          <w:bCs w:val="0"/>
          <w:iCs w:val="0"/>
          <w:sz w:val="22"/>
          <w:szCs w:val="22"/>
        </w:rPr>
      </w:pPr>
      <w:hyperlink w:anchor="_Toc490323087" w:history="1">
        <w:r w:rsidR="00066D33" w:rsidRPr="001E653C">
          <w:rPr>
            <w:rStyle w:val="Hyperlink"/>
            <w:rFonts w:eastAsia="Times New Roman"/>
          </w:rPr>
          <w:t>8.2 Update of Regional Nuclear Generation Licensing Renewals</w:t>
        </w:r>
        <w:r w:rsidR="00066D33">
          <w:rPr>
            <w:webHidden/>
          </w:rPr>
          <w:tab/>
        </w:r>
        <w:r w:rsidR="00066D33">
          <w:rPr>
            <w:webHidden/>
          </w:rPr>
          <w:fldChar w:fldCharType="begin"/>
        </w:r>
        <w:r w:rsidR="00066D33">
          <w:rPr>
            <w:webHidden/>
          </w:rPr>
          <w:instrText xml:space="preserve"> PAGEREF _Toc490323087 \h </w:instrText>
        </w:r>
        <w:r w:rsidR="00066D33">
          <w:rPr>
            <w:webHidden/>
          </w:rPr>
        </w:r>
        <w:r w:rsidR="00066D33">
          <w:rPr>
            <w:webHidden/>
          </w:rPr>
          <w:fldChar w:fldCharType="separate"/>
        </w:r>
        <w:r w:rsidR="00B05C7E">
          <w:rPr>
            <w:webHidden/>
          </w:rPr>
          <w:t>120</w:t>
        </w:r>
        <w:r w:rsidR="00066D33">
          <w:rPr>
            <w:webHidden/>
          </w:rPr>
          <w:fldChar w:fldCharType="end"/>
        </w:r>
      </w:hyperlink>
    </w:p>
    <w:p w:rsidR="00066D33" w:rsidRDefault="00CC063D">
      <w:pPr>
        <w:pStyle w:val="TOC2"/>
        <w:rPr>
          <w:rFonts w:asciiTheme="minorHAnsi" w:eastAsiaTheme="minorEastAsia" w:hAnsiTheme="minorHAnsi" w:cstheme="minorBidi"/>
          <w:bCs w:val="0"/>
          <w:iCs w:val="0"/>
          <w:sz w:val="22"/>
          <w:szCs w:val="22"/>
        </w:rPr>
      </w:pPr>
      <w:hyperlink w:anchor="_Toc490323088" w:history="1">
        <w:r w:rsidR="00066D33" w:rsidRPr="001E653C">
          <w:rPr>
            <w:rStyle w:val="Hyperlink"/>
            <w:rFonts w:eastAsia="Times New Roman"/>
          </w:rPr>
          <w:t>8.3 Update on Hydroelectric Generation Relicensing</w:t>
        </w:r>
        <w:r w:rsidR="00066D33">
          <w:rPr>
            <w:webHidden/>
          </w:rPr>
          <w:tab/>
        </w:r>
        <w:r w:rsidR="00066D33">
          <w:rPr>
            <w:webHidden/>
          </w:rPr>
          <w:fldChar w:fldCharType="begin"/>
        </w:r>
        <w:r w:rsidR="00066D33">
          <w:rPr>
            <w:webHidden/>
          </w:rPr>
          <w:instrText xml:space="preserve"> PAGEREF _Toc490323088 \h </w:instrText>
        </w:r>
        <w:r w:rsidR="00066D33">
          <w:rPr>
            <w:webHidden/>
          </w:rPr>
        </w:r>
        <w:r w:rsidR="00066D33">
          <w:rPr>
            <w:webHidden/>
          </w:rPr>
          <w:fldChar w:fldCharType="separate"/>
        </w:r>
        <w:r w:rsidR="00B05C7E">
          <w:rPr>
            <w:webHidden/>
          </w:rPr>
          <w:t>120</w:t>
        </w:r>
        <w:r w:rsidR="00066D33">
          <w:rPr>
            <w:webHidden/>
          </w:rPr>
          <w:fldChar w:fldCharType="end"/>
        </w:r>
      </w:hyperlink>
    </w:p>
    <w:p w:rsidR="00066D33" w:rsidRDefault="00CC063D">
      <w:pPr>
        <w:pStyle w:val="TOC2"/>
        <w:rPr>
          <w:rFonts w:asciiTheme="minorHAnsi" w:eastAsiaTheme="minorEastAsia" w:hAnsiTheme="minorHAnsi" w:cstheme="minorBidi"/>
          <w:bCs w:val="0"/>
          <w:iCs w:val="0"/>
          <w:sz w:val="22"/>
          <w:szCs w:val="22"/>
        </w:rPr>
      </w:pPr>
      <w:hyperlink w:anchor="_Toc490323089" w:history="1">
        <w:r w:rsidR="00066D33" w:rsidRPr="001E653C">
          <w:rPr>
            <w:rStyle w:val="Hyperlink"/>
            <w:rFonts w:eastAsia="Times New Roman"/>
          </w:rPr>
          <w:t>8.4 Conclusions</w:t>
        </w:r>
        <w:r w:rsidR="00066D33">
          <w:rPr>
            <w:webHidden/>
          </w:rPr>
          <w:tab/>
        </w:r>
        <w:r w:rsidR="00066D33">
          <w:rPr>
            <w:webHidden/>
          </w:rPr>
          <w:fldChar w:fldCharType="begin"/>
        </w:r>
        <w:r w:rsidR="00066D33">
          <w:rPr>
            <w:webHidden/>
          </w:rPr>
          <w:instrText xml:space="preserve"> PAGEREF _Toc490323089 \h </w:instrText>
        </w:r>
        <w:r w:rsidR="00066D33">
          <w:rPr>
            <w:webHidden/>
          </w:rPr>
        </w:r>
        <w:r w:rsidR="00066D33">
          <w:rPr>
            <w:webHidden/>
          </w:rPr>
          <w:fldChar w:fldCharType="separate"/>
        </w:r>
        <w:r w:rsidR="00B05C7E">
          <w:rPr>
            <w:webHidden/>
          </w:rPr>
          <w:t>121</w:t>
        </w:r>
        <w:r w:rsidR="00066D33">
          <w:rPr>
            <w:webHidden/>
          </w:rPr>
          <w:fldChar w:fldCharType="end"/>
        </w:r>
      </w:hyperlink>
    </w:p>
    <w:p w:rsidR="00066D33" w:rsidRDefault="00CC063D">
      <w:pPr>
        <w:pStyle w:val="TOC1"/>
        <w:rPr>
          <w:rFonts w:asciiTheme="minorHAnsi" w:eastAsiaTheme="minorEastAsia" w:hAnsiTheme="minorHAnsi" w:cstheme="minorBidi"/>
          <w:b w:val="0"/>
          <w:sz w:val="22"/>
          <w:szCs w:val="22"/>
        </w:rPr>
      </w:pPr>
      <w:hyperlink w:anchor="_Toc490323090" w:history="1">
        <w:r w:rsidR="00066D33" w:rsidRPr="001E653C">
          <w:rPr>
            <w:rStyle w:val="Hyperlink"/>
          </w:rPr>
          <w:t>Section 9</w:t>
        </w:r>
        <w:r w:rsidR="00066D33">
          <w:rPr>
            <w:rStyle w:val="Hyperlink"/>
          </w:rPr>
          <w:br/>
        </w:r>
        <w:r w:rsidR="00066D33" w:rsidRPr="001E653C">
          <w:rPr>
            <w:rStyle w:val="Hyperlink"/>
          </w:rPr>
          <w:t>Integration of Variable Energy Resources</w:t>
        </w:r>
        <w:r w:rsidR="00066D33">
          <w:rPr>
            <w:webHidden/>
          </w:rPr>
          <w:tab/>
        </w:r>
        <w:r w:rsidR="00066D33">
          <w:rPr>
            <w:webHidden/>
          </w:rPr>
          <w:fldChar w:fldCharType="begin"/>
        </w:r>
        <w:r w:rsidR="00066D33">
          <w:rPr>
            <w:webHidden/>
          </w:rPr>
          <w:instrText xml:space="preserve"> PAGEREF _Toc490323090 \h </w:instrText>
        </w:r>
        <w:r w:rsidR="00066D33">
          <w:rPr>
            <w:webHidden/>
          </w:rPr>
        </w:r>
        <w:r w:rsidR="00066D33">
          <w:rPr>
            <w:webHidden/>
          </w:rPr>
          <w:fldChar w:fldCharType="separate"/>
        </w:r>
        <w:r w:rsidR="00B05C7E">
          <w:rPr>
            <w:webHidden/>
          </w:rPr>
          <w:t>122</w:t>
        </w:r>
        <w:r w:rsidR="00066D33">
          <w:rPr>
            <w:webHidden/>
          </w:rPr>
          <w:fldChar w:fldCharType="end"/>
        </w:r>
      </w:hyperlink>
    </w:p>
    <w:p w:rsidR="00066D33" w:rsidRDefault="00CC063D">
      <w:pPr>
        <w:pStyle w:val="TOC2"/>
        <w:rPr>
          <w:rFonts w:asciiTheme="minorHAnsi" w:eastAsiaTheme="minorEastAsia" w:hAnsiTheme="minorHAnsi" w:cstheme="minorBidi"/>
          <w:bCs w:val="0"/>
          <w:iCs w:val="0"/>
          <w:sz w:val="22"/>
          <w:szCs w:val="22"/>
        </w:rPr>
      </w:pPr>
      <w:hyperlink w:anchor="_Toc490323091" w:history="1">
        <w:r w:rsidR="00066D33" w:rsidRPr="001E653C">
          <w:rPr>
            <w:rStyle w:val="Hyperlink"/>
            <w:rFonts w:eastAsia="Times New Roman"/>
          </w:rPr>
          <w:t xml:space="preserve">9.1 </w:t>
        </w:r>
        <w:r w:rsidR="000144E4" w:rsidRPr="000144E4">
          <w:rPr>
            <w:rStyle w:val="Hyperlink"/>
            <w:rFonts w:eastAsia="Times New Roman"/>
          </w:rPr>
          <w:t xml:space="preserve"> Industry Recommendations for Facilitating the Integration of Wind and Solar Resources</w:t>
        </w:r>
        <w:r w:rsidR="00066D33">
          <w:rPr>
            <w:webHidden/>
          </w:rPr>
          <w:tab/>
        </w:r>
        <w:r w:rsidR="00066D33">
          <w:rPr>
            <w:webHidden/>
          </w:rPr>
          <w:fldChar w:fldCharType="begin"/>
        </w:r>
        <w:r w:rsidR="00066D33">
          <w:rPr>
            <w:webHidden/>
          </w:rPr>
          <w:instrText xml:space="preserve"> PAGEREF _Toc490323091 \h </w:instrText>
        </w:r>
        <w:r w:rsidR="00066D33">
          <w:rPr>
            <w:webHidden/>
          </w:rPr>
        </w:r>
        <w:r w:rsidR="00066D33">
          <w:rPr>
            <w:webHidden/>
          </w:rPr>
          <w:fldChar w:fldCharType="separate"/>
        </w:r>
        <w:r w:rsidR="00B05C7E">
          <w:rPr>
            <w:webHidden/>
          </w:rPr>
          <w:t>122</w:t>
        </w:r>
        <w:r w:rsidR="00066D33">
          <w:rPr>
            <w:webHidden/>
          </w:rPr>
          <w:fldChar w:fldCharType="end"/>
        </w:r>
      </w:hyperlink>
    </w:p>
    <w:p w:rsidR="00066D33" w:rsidRDefault="00CC063D">
      <w:pPr>
        <w:pStyle w:val="TOC2"/>
        <w:rPr>
          <w:rFonts w:asciiTheme="minorHAnsi" w:eastAsiaTheme="minorEastAsia" w:hAnsiTheme="minorHAnsi" w:cstheme="minorBidi"/>
          <w:bCs w:val="0"/>
          <w:iCs w:val="0"/>
          <w:sz w:val="22"/>
          <w:szCs w:val="22"/>
        </w:rPr>
      </w:pPr>
      <w:hyperlink w:anchor="_Toc490323092" w:history="1">
        <w:r w:rsidR="00066D33" w:rsidRPr="001E653C">
          <w:rPr>
            <w:rStyle w:val="Hyperlink"/>
            <w:rFonts w:eastAsia="Times New Roman"/>
          </w:rPr>
          <w:t>9.2 Integration of Wind Resources</w:t>
        </w:r>
        <w:r w:rsidR="00066D33">
          <w:rPr>
            <w:webHidden/>
          </w:rPr>
          <w:tab/>
        </w:r>
        <w:r w:rsidR="00066D33">
          <w:rPr>
            <w:webHidden/>
          </w:rPr>
          <w:fldChar w:fldCharType="begin"/>
        </w:r>
        <w:r w:rsidR="00066D33">
          <w:rPr>
            <w:webHidden/>
          </w:rPr>
          <w:instrText xml:space="preserve"> PAGEREF _Toc490323092 \h </w:instrText>
        </w:r>
        <w:r w:rsidR="00066D33">
          <w:rPr>
            <w:webHidden/>
          </w:rPr>
        </w:r>
        <w:r w:rsidR="00066D33">
          <w:rPr>
            <w:webHidden/>
          </w:rPr>
          <w:fldChar w:fldCharType="separate"/>
        </w:r>
        <w:r w:rsidR="00B05C7E">
          <w:rPr>
            <w:webHidden/>
          </w:rPr>
          <w:t>123</w:t>
        </w:r>
        <w:r w:rsidR="00066D33">
          <w:rPr>
            <w:webHidden/>
          </w:rPr>
          <w:fldChar w:fldCharType="end"/>
        </w:r>
      </w:hyperlink>
    </w:p>
    <w:p w:rsidR="00066D33" w:rsidRDefault="00CC063D">
      <w:pPr>
        <w:pStyle w:val="TOC3"/>
        <w:rPr>
          <w:rFonts w:asciiTheme="minorHAnsi" w:eastAsiaTheme="minorEastAsia" w:hAnsiTheme="minorHAnsi" w:cstheme="minorBidi"/>
          <w:sz w:val="22"/>
          <w:szCs w:val="22"/>
        </w:rPr>
      </w:pPr>
      <w:hyperlink w:anchor="_Toc490323093" w:history="1">
        <w:r w:rsidR="00066D33" w:rsidRPr="001E653C">
          <w:rPr>
            <w:rStyle w:val="Hyperlink"/>
          </w:rPr>
          <w:t>9.2.1 Wind Forecasting and Dispatch</w:t>
        </w:r>
        <w:r w:rsidR="00066D33">
          <w:rPr>
            <w:webHidden/>
          </w:rPr>
          <w:tab/>
        </w:r>
        <w:r w:rsidR="00066D33">
          <w:rPr>
            <w:webHidden/>
          </w:rPr>
          <w:fldChar w:fldCharType="begin"/>
        </w:r>
        <w:r w:rsidR="00066D33">
          <w:rPr>
            <w:webHidden/>
          </w:rPr>
          <w:instrText xml:space="preserve"> PAGEREF _Toc490323093 \h </w:instrText>
        </w:r>
        <w:r w:rsidR="00066D33">
          <w:rPr>
            <w:webHidden/>
          </w:rPr>
        </w:r>
        <w:r w:rsidR="00066D33">
          <w:rPr>
            <w:webHidden/>
          </w:rPr>
          <w:fldChar w:fldCharType="separate"/>
        </w:r>
        <w:r w:rsidR="00B05C7E">
          <w:rPr>
            <w:webHidden/>
          </w:rPr>
          <w:t>123</w:t>
        </w:r>
        <w:r w:rsidR="00066D33">
          <w:rPr>
            <w:webHidden/>
          </w:rPr>
          <w:fldChar w:fldCharType="end"/>
        </w:r>
      </w:hyperlink>
    </w:p>
    <w:p w:rsidR="00066D33" w:rsidRDefault="00CC063D">
      <w:pPr>
        <w:pStyle w:val="TOC3"/>
        <w:rPr>
          <w:rFonts w:asciiTheme="minorHAnsi" w:eastAsiaTheme="minorEastAsia" w:hAnsiTheme="minorHAnsi" w:cstheme="minorBidi"/>
          <w:sz w:val="22"/>
          <w:szCs w:val="22"/>
        </w:rPr>
      </w:pPr>
      <w:hyperlink w:anchor="_Toc490323094" w:history="1">
        <w:r w:rsidR="00066D33" w:rsidRPr="001E653C">
          <w:rPr>
            <w:rStyle w:val="Hyperlink"/>
          </w:rPr>
          <w:t>9.2.2 Strategic Transmission Analysis—Wind Integration Study</w:t>
        </w:r>
        <w:r w:rsidR="00066D33">
          <w:rPr>
            <w:webHidden/>
          </w:rPr>
          <w:tab/>
        </w:r>
        <w:r w:rsidR="00066D33">
          <w:rPr>
            <w:webHidden/>
          </w:rPr>
          <w:fldChar w:fldCharType="begin"/>
        </w:r>
        <w:r w:rsidR="00066D33">
          <w:rPr>
            <w:webHidden/>
          </w:rPr>
          <w:instrText xml:space="preserve"> PAGEREF _Toc490323094 \h </w:instrText>
        </w:r>
        <w:r w:rsidR="00066D33">
          <w:rPr>
            <w:webHidden/>
          </w:rPr>
        </w:r>
        <w:r w:rsidR="00066D33">
          <w:rPr>
            <w:webHidden/>
          </w:rPr>
          <w:fldChar w:fldCharType="separate"/>
        </w:r>
        <w:r w:rsidR="00B05C7E">
          <w:rPr>
            <w:webHidden/>
          </w:rPr>
          <w:t>124</w:t>
        </w:r>
        <w:r w:rsidR="00066D33">
          <w:rPr>
            <w:webHidden/>
          </w:rPr>
          <w:fldChar w:fldCharType="end"/>
        </w:r>
      </w:hyperlink>
    </w:p>
    <w:p w:rsidR="00066D33" w:rsidRDefault="00CC063D">
      <w:pPr>
        <w:pStyle w:val="TOC2"/>
        <w:rPr>
          <w:rFonts w:asciiTheme="minorHAnsi" w:eastAsiaTheme="minorEastAsia" w:hAnsiTheme="minorHAnsi" w:cstheme="minorBidi"/>
          <w:bCs w:val="0"/>
          <w:iCs w:val="0"/>
          <w:sz w:val="22"/>
          <w:szCs w:val="22"/>
        </w:rPr>
      </w:pPr>
      <w:hyperlink w:anchor="_Toc490323095" w:history="1">
        <w:r w:rsidR="00066D33" w:rsidRPr="001E653C">
          <w:rPr>
            <w:rStyle w:val="Hyperlink"/>
            <w:rFonts w:eastAsia="Times New Roman"/>
          </w:rPr>
          <w:t>9.3 Large-Scale Adoption of Photovoltaic Resources and Other Distributed Generation Resources</w:t>
        </w:r>
        <w:r w:rsidR="00066D33">
          <w:rPr>
            <w:webHidden/>
          </w:rPr>
          <w:tab/>
        </w:r>
        <w:r w:rsidR="00066D33">
          <w:rPr>
            <w:webHidden/>
          </w:rPr>
          <w:fldChar w:fldCharType="begin"/>
        </w:r>
        <w:r w:rsidR="00066D33">
          <w:rPr>
            <w:webHidden/>
          </w:rPr>
          <w:instrText xml:space="preserve"> PAGEREF _Toc490323095 \h </w:instrText>
        </w:r>
        <w:r w:rsidR="00066D33">
          <w:rPr>
            <w:webHidden/>
          </w:rPr>
        </w:r>
        <w:r w:rsidR="00066D33">
          <w:rPr>
            <w:webHidden/>
          </w:rPr>
          <w:fldChar w:fldCharType="separate"/>
        </w:r>
        <w:r w:rsidR="00B05C7E">
          <w:rPr>
            <w:webHidden/>
          </w:rPr>
          <w:t>125</w:t>
        </w:r>
        <w:r w:rsidR="00066D33">
          <w:rPr>
            <w:webHidden/>
          </w:rPr>
          <w:fldChar w:fldCharType="end"/>
        </w:r>
      </w:hyperlink>
    </w:p>
    <w:p w:rsidR="00066D33" w:rsidRDefault="00CC063D">
      <w:pPr>
        <w:pStyle w:val="TOC3"/>
        <w:rPr>
          <w:rFonts w:asciiTheme="minorHAnsi" w:eastAsiaTheme="minorEastAsia" w:hAnsiTheme="minorHAnsi" w:cstheme="minorBidi"/>
          <w:sz w:val="22"/>
          <w:szCs w:val="22"/>
        </w:rPr>
      </w:pPr>
      <w:hyperlink w:anchor="_Toc490323096" w:history="1">
        <w:r w:rsidR="00066D33" w:rsidRPr="001E653C">
          <w:rPr>
            <w:rStyle w:val="Hyperlink"/>
          </w:rPr>
          <w:t>9.3.1 Operational Solar Forecasting</w:t>
        </w:r>
        <w:r w:rsidR="00066D33">
          <w:rPr>
            <w:webHidden/>
          </w:rPr>
          <w:tab/>
        </w:r>
        <w:r w:rsidR="00066D33">
          <w:rPr>
            <w:webHidden/>
          </w:rPr>
          <w:fldChar w:fldCharType="begin"/>
        </w:r>
        <w:r w:rsidR="00066D33">
          <w:rPr>
            <w:webHidden/>
          </w:rPr>
          <w:instrText xml:space="preserve"> PAGEREF _Toc490323096 \h </w:instrText>
        </w:r>
        <w:r w:rsidR="00066D33">
          <w:rPr>
            <w:webHidden/>
          </w:rPr>
        </w:r>
        <w:r w:rsidR="00066D33">
          <w:rPr>
            <w:webHidden/>
          </w:rPr>
          <w:fldChar w:fldCharType="separate"/>
        </w:r>
        <w:r w:rsidR="00B05C7E">
          <w:rPr>
            <w:webHidden/>
          </w:rPr>
          <w:t>125</w:t>
        </w:r>
        <w:r w:rsidR="00066D33">
          <w:rPr>
            <w:webHidden/>
          </w:rPr>
          <w:fldChar w:fldCharType="end"/>
        </w:r>
      </w:hyperlink>
    </w:p>
    <w:p w:rsidR="00066D33" w:rsidRDefault="00CC063D">
      <w:pPr>
        <w:pStyle w:val="TOC3"/>
        <w:rPr>
          <w:rFonts w:asciiTheme="minorHAnsi" w:eastAsiaTheme="minorEastAsia" w:hAnsiTheme="minorHAnsi" w:cstheme="minorBidi"/>
          <w:sz w:val="22"/>
          <w:szCs w:val="22"/>
        </w:rPr>
      </w:pPr>
      <w:hyperlink w:anchor="_Toc490323097" w:history="1">
        <w:r w:rsidR="00066D33" w:rsidRPr="001E653C">
          <w:rPr>
            <w:rStyle w:val="Hyperlink"/>
          </w:rPr>
          <w:t>9.3.2 Potential Reliability Impacts of PV</w:t>
        </w:r>
        <w:r w:rsidR="00066D33">
          <w:rPr>
            <w:webHidden/>
          </w:rPr>
          <w:tab/>
        </w:r>
        <w:r w:rsidR="00066D33">
          <w:rPr>
            <w:webHidden/>
          </w:rPr>
          <w:fldChar w:fldCharType="begin"/>
        </w:r>
        <w:r w:rsidR="00066D33">
          <w:rPr>
            <w:webHidden/>
          </w:rPr>
          <w:instrText xml:space="preserve"> PAGEREF _Toc490323097 \h </w:instrText>
        </w:r>
        <w:r w:rsidR="00066D33">
          <w:rPr>
            <w:webHidden/>
          </w:rPr>
        </w:r>
        <w:r w:rsidR="00066D33">
          <w:rPr>
            <w:webHidden/>
          </w:rPr>
          <w:fldChar w:fldCharType="separate"/>
        </w:r>
        <w:r w:rsidR="00B05C7E">
          <w:rPr>
            <w:webHidden/>
          </w:rPr>
          <w:t>126</w:t>
        </w:r>
        <w:r w:rsidR="00066D33">
          <w:rPr>
            <w:webHidden/>
          </w:rPr>
          <w:fldChar w:fldCharType="end"/>
        </w:r>
      </w:hyperlink>
    </w:p>
    <w:p w:rsidR="00066D33" w:rsidRDefault="00CC063D">
      <w:pPr>
        <w:pStyle w:val="TOC3"/>
        <w:rPr>
          <w:rFonts w:asciiTheme="minorHAnsi" w:eastAsiaTheme="minorEastAsia" w:hAnsiTheme="minorHAnsi" w:cstheme="minorBidi"/>
          <w:sz w:val="22"/>
          <w:szCs w:val="22"/>
        </w:rPr>
      </w:pPr>
      <w:hyperlink w:anchor="_Toc490323098" w:history="1">
        <w:r w:rsidR="00066D33" w:rsidRPr="001E653C">
          <w:rPr>
            <w:rStyle w:val="Hyperlink"/>
          </w:rPr>
          <w:t>9.3.3 Modeling of Hourly Load Reduction of Behind-the-Meter Photovoltaics</w:t>
        </w:r>
        <w:r w:rsidR="006E28D5">
          <w:rPr>
            <w:rStyle w:val="Hyperlink"/>
          </w:rPr>
          <w:br/>
        </w:r>
        <w:r w:rsidR="00066D33" w:rsidRPr="001E653C">
          <w:rPr>
            <w:rStyle w:val="Hyperlink"/>
          </w:rPr>
          <w:t>to Establish the Net Installed Capacity Requirement</w:t>
        </w:r>
        <w:r w:rsidR="00066D33">
          <w:rPr>
            <w:webHidden/>
          </w:rPr>
          <w:tab/>
        </w:r>
        <w:r w:rsidR="00066D33">
          <w:rPr>
            <w:webHidden/>
          </w:rPr>
          <w:fldChar w:fldCharType="begin"/>
        </w:r>
        <w:r w:rsidR="00066D33">
          <w:rPr>
            <w:webHidden/>
          </w:rPr>
          <w:instrText xml:space="preserve"> PAGEREF _Toc490323098 \h </w:instrText>
        </w:r>
        <w:r w:rsidR="00066D33">
          <w:rPr>
            <w:webHidden/>
          </w:rPr>
        </w:r>
        <w:r w:rsidR="00066D33">
          <w:rPr>
            <w:webHidden/>
          </w:rPr>
          <w:fldChar w:fldCharType="separate"/>
        </w:r>
        <w:r w:rsidR="00B05C7E">
          <w:rPr>
            <w:webHidden/>
          </w:rPr>
          <w:t>127</w:t>
        </w:r>
        <w:r w:rsidR="00066D33">
          <w:rPr>
            <w:webHidden/>
          </w:rPr>
          <w:fldChar w:fldCharType="end"/>
        </w:r>
      </w:hyperlink>
    </w:p>
    <w:p w:rsidR="00066D33" w:rsidRDefault="00CC063D">
      <w:pPr>
        <w:pStyle w:val="TOC3"/>
        <w:rPr>
          <w:rFonts w:asciiTheme="minorHAnsi" w:eastAsiaTheme="minorEastAsia" w:hAnsiTheme="minorHAnsi" w:cstheme="minorBidi"/>
          <w:sz w:val="22"/>
          <w:szCs w:val="22"/>
        </w:rPr>
      </w:pPr>
      <w:hyperlink w:anchor="_Toc490323099" w:history="1">
        <w:r w:rsidR="00066D33" w:rsidRPr="001E653C">
          <w:rPr>
            <w:rStyle w:val="Hyperlink"/>
          </w:rPr>
          <w:t>9.3.4 Other Challenges of Integrating PV and Other Types of Distributed Energy Resources</w:t>
        </w:r>
        <w:r w:rsidR="00066D33">
          <w:rPr>
            <w:webHidden/>
          </w:rPr>
          <w:tab/>
        </w:r>
        <w:r w:rsidR="00066D33">
          <w:rPr>
            <w:webHidden/>
          </w:rPr>
          <w:fldChar w:fldCharType="begin"/>
        </w:r>
        <w:r w:rsidR="00066D33">
          <w:rPr>
            <w:webHidden/>
          </w:rPr>
          <w:instrText xml:space="preserve"> PAGEREF _Toc490323099 \h </w:instrText>
        </w:r>
        <w:r w:rsidR="00066D33">
          <w:rPr>
            <w:webHidden/>
          </w:rPr>
        </w:r>
        <w:r w:rsidR="00066D33">
          <w:rPr>
            <w:webHidden/>
          </w:rPr>
          <w:fldChar w:fldCharType="separate"/>
        </w:r>
        <w:r w:rsidR="00B05C7E">
          <w:rPr>
            <w:webHidden/>
          </w:rPr>
          <w:t>127</w:t>
        </w:r>
        <w:r w:rsidR="00066D33">
          <w:rPr>
            <w:webHidden/>
          </w:rPr>
          <w:fldChar w:fldCharType="end"/>
        </w:r>
      </w:hyperlink>
    </w:p>
    <w:p w:rsidR="00066D33" w:rsidRDefault="00CC063D">
      <w:pPr>
        <w:pStyle w:val="TOC3"/>
        <w:rPr>
          <w:rFonts w:asciiTheme="minorHAnsi" w:eastAsiaTheme="minorEastAsia" w:hAnsiTheme="minorHAnsi" w:cstheme="minorBidi"/>
          <w:sz w:val="22"/>
          <w:szCs w:val="22"/>
        </w:rPr>
      </w:pPr>
      <w:hyperlink w:anchor="_Toc490323100" w:history="1">
        <w:r w:rsidR="00066D33" w:rsidRPr="001E653C">
          <w:rPr>
            <w:rStyle w:val="Hyperlink"/>
          </w:rPr>
          <w:t>9.3.5 Energy-Storage Resources</w:t>
        </w:r>
        <w:r w:rsidR="00066D33">
          <w:rPr>
            <w:webHidden/>
          </w:rPr>
          <w:tab/>
        </w:r>
        <w:r w:rsidR="00066D33">
          <w:rPr>
            <w:webHidden/>
          </w:rPr>
          <w:fldChar w:fldCharType="begin"/>
        </w:r>
        <w:r w:rsidR="00066D33">
          <w:rPr>
            <w:webHidden/>
          </w:rPr>
          <w:instrText xml:space="preserve"> PAGEREF _Toc490323100 \h </w:instrText>
        </w:r>
        <w:r w:rsidR="00066D33">
          <w:rPr>
            <w:webHidden/>
          </w:rPr>
        </w:r>
        <w:r w:rsidR="00066D33">
          <w:rPr>
            <w:webHidden/>
          </w:rPr>
          <w:fldChar w:fldCharType="separate"/>
        </w:r>
        <w:r w:rsidR="00B05C7E">
          <w:rPr>
            <w:webHidden/>
          </w:rPr>
          <w:t>128</w:t>
        </w:r>
        <w:r w:rsidR="00066D33">
          <w:rPr>
            <w:webHidden/>
          </w:rPr>
          <w:fldChar w:fldCharType="end"/>
        </w:r>
      </w:hyperlink>
    </w:p>
    <w:p w:rsidR="00066D33" w:rsidRDefault="00CC063D">
      <w:pPr>
        <w:pStyle w:val="TOC2"/>
        <w:rPr>
          <w:rFonts w:asciiTheme="minorHAnsi" w:eastAsiaTheme="minorEastAsia" w:hAnsiTheme="minorHAnsi" w:cstheme="minorBidi"/>
          <w:bCs w:val="0"/>
          <w:iCs w:val="0"/>
          <w:sz w:val="22"/>
          <w:szCs w:val="22"/>
        </w:rPr>
      </w:pPr>
      <w:hyperlink w:anchor="_Toc490323101" w:history="1">
        <w:r w:rsidR="00066D33" w:rsidRPr="001E653C">
          <w:rPr>
            <w:rStyle w:val="Hyperlink"/>
            <w:rFonts w:eastAsia="Times New Roman"/>
          </w:rPr>
          <w:t>9.4 Economic Performance of the System and Other Studies</w:t>
        </w:r>
        <w:r w:rsidR="00066D33">
          <w:rPr>
            <w:webHidden/>
          </w:rPr>
          <w:tab/>
        </w:r>
        <w:r w:rsidR="00066D33">
          <w:rPr>
            <w:webHidden/>
          </w:rPr>
          <w:fldChar w:fldCharType="begin"/>
        </w:r>
        <w:r w:rsidR="00066D33">
          <w:rPr>
            <w:webHidden/>
          </w:rPr>
          <w:instrText xml:space="preserve"> PAGEREF _Toc490323101 \h </w:instrText>
        </w:r>
        <w:r w:rsidR="00066D33">
          <w:rPr>
            <w:webHidden/>
          </w:rPr>
        </w:r>
        <w:r w:rsidR="00066D33">
          <w:rPr>
            <w:webHidden/>
          </w:rPr>
          <w:fldChar w:fldCharType="separate"/>
        </w:r>
        <w:r w:rsidR="00B05C7E">
          <w:rPr>
            <w:webHidden/>
          </w:rPr>
          <w:t>128</w:t>
        </w:r>
        <w:r w:rsidR="00066D33">
          <w:rPr>
            <w:webHidden/>
          </w:rPr>
          <w:fldChar w:fldCharType="end"/>
        </w:r>
      </w:hyperlink>
    </w:p>
    <w:p w:rsidR="00066D33" w:rsidRDefault="00CC063D">
      <w:pPr>
        <w:pStyle w:val="TOC3"/>
        <w:rPr>
          <w:rFonts w:asciiTheme="minorHAnsi" w:eastAsiaTheme="minorEastAsia" w:hAnsiTheme="minorHAnsi" w:cstheme="minorBidi"/>
          <w:sz w:val="22"/>
          <w:szCs w:val="22"/>
        </w:rPr>
      </w:pPr>
      <w:hyperlink w:anchor="_Toc490323102" w:history="1">
        <w:r w:rsidR="00066D33" w:rsidRPr="001E653C">
          <w:rPr>
            <w:rStyle w:val="Hyperlink"/>
          </w:rPr>
          <w:t>9.4.1 2015 Economic Studies</w:t>
        </w:r>
        <w:r w:rsidR="00066D33">
          <w:rPr>
            <w:webHidden/>
          </w:rPr>
          <w:tab/>
        </w:r>
        <w:r w:rsidR="00066D33">
          <w:rPr>
            <w:webHidden/>
          </w:rPr>
          <w:fldChar w:fldCharType="begin"/>
        </w:r>
        <w:r w:rsidR="00066D33">
          <w:rPr>
            <w:webHidden/>
          </w:rPr>
          <w:instrText xml:space="preserve"> PAGEREF _Toc490323102 \h </w:instrText>
        </w:r>
        <w:r w:rsidR="00066D33">
          <w:rPr>
            <w:webHidden/>
          </w:rPr>
        </w:r>
        <w:r w:rsidR="00066D33">
          <w:rPr>
            <w:webHidden/>
          </w:rPr>
          <w:fldChar w:fldCharType="separate"/>
        </w:r>
        <w:r w:rsidR="00B05C7E">
          <w:rPr>
            <w:webHidden/>
          </w:rPr>
          <w:t>128</w:t>
        </w:r>
        <w:r w:rsidR="00066D33">
          <w:rPr>
            <w:webHidden/>
          </w:rPr>
          <w:fldChar w:fldCharType="end"/>
        </w:r>
      </w:hyperlink>
    </w:p>
    <w:p w:rsidR="00066D33" w:rsidRDefault="00CC063D">
      <w:pPr>
        <w:pStyle w:val="TOC3"/>
        <w:rPr>
          <w:rFonts w:asciiTheme="minorHAnsi" w:eastAsiaTheme="minorEastAsia" w:hAnsiTheme="minorHAnsi" w:cstheme="minorBidi"/>
          <w:sz w:val="22"/>
          <w:szCs w:val="22"/>
        </w:rPr>
      </w:pPr>
      <w:hyperlink w:anchor="_Toc490323103" w:history="1">
        <w:r w:rsidR="00066D33" w:rsidRPr="001E653C">
          <w:rPr>
            <w:rStyle w:val="Hyperlink"/>
          </w:rPr>
          <w:t>9.4.2 2016 Economic Study—Phase I</w:t>
        </w:r>
        <w:r w:rsidR="00066D33">
          <w:rPr>
            <w:webHidden/>
          </w:rPr>
          <w:tab/>
        </w:r>
        <w:r w:rsidR="00066D33">
          <w:rPr>
            <w:webHidden/>
          </w:rPr>
          <w:fldChar w:fldCharType="begin"/>
        </w:r>
        <w:r w:rsidR="00066D33">
          <w:rPr>
            <w:webHidden/>
          </w:rPr>
          <w:instrText xml:space="preserve"> PAGEREF _Toc490323103 \h </w:instrText>
        </w:r>
        <w:r w:rsidR="00066D33">
          <w:rPr>
            <w:webHidden/>
          </w:rPr>
        </w:r>
        <w:r w:rsidR="00066D33">
          <w:rPr>
            <w:webHidden/>
          </w:rPr>
          <w:fldChar w:fldCharType="separate"/>
        </w:r>
        <w:r w:rsidR="00B05C7E">
          <w:rPr>
            <w:webHidden/>
          </w:rPr>
          <w:t>129</w:t>
        </w:r>
        <w:r w:rsidR="00066D33">
          <w:rPr>
            <w:webHidden/>
          </w:rPr>
          <w:fldChar w:fldCharType="end"/>
        </w:r>
      </w:hyperlink>
    </w:p>
    <w:p w:rsidR="00066D33" w:rsidRDefault="00CC063D">
      <w:pPr>
        <w:pStyle w:val="TOC3"/>
        <w:rPr>
          <w:rFonts w:asciiTheme="minorHAnsi" w:eastAsiaTheme="minorEastAsia" w:hAnsiTheme="minorHAnsi" w:cstheme="minorBidi"/>
          <w:sz w:val="22"/>
          <w:szCs w:val="22"/>
        </w:rPr>
      </w:pPr>
      <w:hyperlink w:anchor="_Toc490323104" w:history="1">
        <w:r w:rsidR="00066D33" w:rsidRPr="001E653C">
          <w:rPr>
            <w:rStyle w:val="Hyperlink"/>
          </w:rPr>
          <w:t>9.4.3 2016 Economic Study—Phase II</w:t>
        </w:r>
        <w:r w:rsidR="00066D33">
          <w:rPr>
            <w:webHidden/>
          </w:rPr>
          <w:tab/>
        </w:r>
        <w:r w:rsidR="00066D33">
          <w:rPr>
            <w:webHidden/>
          </w:rPr>
          <w:fldChar w:fldCharType="begin"/>
        </w:r>
        <w:r w:rsidR="00066D33">
          <w:rPr>
            <w:webHidden/>
          </w:rPr>
          <w:instrText xml:space="preserve"> PAGEREF _Toc490323104 \h </w:instrText>
        </w:r>
        <w:r w:rsidR="00066D33">
          <w:rPr>
            <w:webHidden/>
          </w:rPr>
        </w:r>
        <w:r w:rsidR="00066D33">
          <w:rPr>
            <w:webHidden/>
          </w:rPr>
          <w:fldChar w:fldCharType="separate"/>
        </w:r>
        <w:r w:rsidR="00B05C7E">
          <w:rPr>
            <w:webHidden/>
          </w:rPr>
          <w:t>131</w:t>
        </w:r>
        <w:r w:rsidR="00066D33">
          <w:rPr>
            <w:webHidden/>
          </w:rPr>
          <w:fldChar w:fldCharType="end"/>
        </w:r>
      </w:hyperlink>
    </w:p>
    <w:p w:rsidR="00066D33" w:rsidRDefault="00CC063D">
      <w:pPr>
        <w:pStyle w:val="TOC3"/>
        <w:rPr>
          <w:rFonts w:asciiTheme="minorHAnsi" w:eastAsiaTheme="minorEastAsia" w:hAnsiTheme="minorHAnsi" w:cstheme="minorBidi"/>
          <w:sz w:val="22"/>
          <w:szCs w:val="22"/>
        </w:rPr>
      </w:pPr>
      <w:hyperlink w:anchor="_Toc490323105" w:history="1">
        <w:r w:rsidR="00066D33" w:rsidRPr="001E653C">
          <w:rPr>
            <w:rStyle w:val="Hyperlink"/>
          </w:rPr>
          <w:t>9.4.4 2017 Economic Study</w:t>
        </w:r>
        <w:r w:rsidR="00066D33">
          <w:rPr>
            <w:webHidden/>
          </w:rPr>
          <w:tab/>
        </w:r>
        <w:r w:rsidR="00066D33">
          <w:rPr>
            <w:webHidden/>
          </w:rPr>
          <w:fldChar w:fldCharType="begin"/>
        </w:r>
        <w:r w:rsidR="00066D33">
          <w:rPr>
            <w:webHidden/>
          </w:rPr>
          <w:instrText xml:space="preserve"> PAGEREF _Toc490323105 \h </w:instrText>
        </w:r>
        <w:r w:rsidR="00066D33">
          <w:rPr>
            <w:webHidden/>
          </w:rPr>
        </w:r>
        <w:r w:rsidR="00066D33">
          <w:rPr>
            <w:webHidden/>
          </w:rPr>
          <w:fldChar w:fldCharType="separate"/>
        </w:r>
        <w:r w:rsidR="00B05C7E">
          <w:rPr>
            <w:webHidden/>
          </w:rPr>
          <w:t>133</w:t>
        </w:r>
        <w:r w:rsidR="00066D33">
          <w:rPr>
            <w:webHidden/>
          </w:rPr>
          <w:fldChar w:fldCharType="end"/>
        </w:r>
      </w:hyperlink>
    </w:p>
    <w:p w:rsidR="00066D33" w:rsidRDefault="00CC063D">
      <w:pPr>
        <w:pStyle w:val="TOC2"/>
        <w:rPr>
          <w:rFonts w:asciiTheme="minorHAnsi" w:eastAsiaTheme="minorEastAsia" w:hAnsiTheme="minorHAnsi" w:cstheme="minorBidi"/>
          <w:bCs w:val="0"/>
          <w:iCs w:val="0"/>
          <w:sz w:val="22"/>
          <w:szCs w:val="22"/>
        </w:rPr>
      </w:pPr>
      <w:hyperlink w:anchor="_Toc490323106" w:history="1">
        <w:r w:rsidR="00066D33" w:rsidRPr="001E653C">
          <w:rPr>
            <w:rStyle w:val="Hyperlink"/>
            <w:rFonts w:eastAsia="Times New Roman"/>
          </w:rPr>
          <w:t>9.5 Summary</w:t>
        </w:r>
        <w:r w:rsidR="00066D33">
          <w:rPr>
            <w:webHidden/>
          </w:rPr>
          <w:tab/>
        </w:r>
        <w:r w:rsidR="00066D33">
          <w:rPr>
            <w:webHidden/>
          </w:rPr>
          <w:fldChar w:fldCharType="begin"/>
        </w:r>
        <w:r w:rsidR="00066D33">
          <w:rPr>
            <w:webHidden/>
          </w:rPr>
          <w:instrText xml:space="preserve"> PAGEREF _Toc490323106 \h </w:instrText>
        </w:r>
        <w:r w:rsidR="00066D33">
          <w:rPr>
            <w:webHidden/>
          </w:rPr>
        </w:r>
        <w:r w:rsidR="00066D33">
          <w:rPr>
            <w:webHidden/>
          </w:rPr>
          <w:fldChar w:fldCharType="separate"/>
        </w:r>
        <w:r w:rsidR="00B05C7E">
          <w:rPr>
            <w:webHidden/>
          </w:rPr>
          <w:t>133</w:t>
        </w:r>
        <w:r w:rsidR="00066D33">
          <w:rPr>
            <w:webHidden/>
          </w:rPr>
          <w:fldChar w:fldCharType="end"/>
        </w:r>
      </w:hyperlink>
    </w:p>
    <w:p w:rsidR="00066D33" w:rsidRDefault="00CC063D">
      <w:pPr>
        <w:pStyle w:val="TOC1"/>
        <w:rPr>
          <w:rFonts w:asciiTheme="minorHAnsi" w:eastAsiaTheme="minorEastAsia" w:hAnsiTheme="minorHAnsi" w:cstheme="minorBidi"/>
          <w:b w:val="0"/>
          <w:sz w:val="22"/>
          <w:szCs w:val="22"/>
        </w:rPr>
      </w:pPr>
      <w:hyperlink w:anchor="_Toc490323107" w:history="1">
        <w:r w:rsidR="00066D33" w:rsidRPr="001E653C">
          <w:rPr>
            <w:rStyle w:val="Hyperlink"/>
          </w:rPr>
          <w:t>Section 10</w:t>
        </w:r>
        <w:r w:rsidR="00066D33">
          <w:rPr>
            <w:rStyle w:val="Hyperlink"/>
          </w:rPr>
          <w:br/>
          <w:t xml:space="preserve">Multistate, </w:t>
        </w:r>
        <w:r w:rsidR="00066D33" w:rsidRPr="001E653C">
          <w:rPr>
            <w:rStyle w:val="Hyperlink"/>
          </w:rPr>
          <w:t>ISO, and State Initiatives</w:t>
        </w:r>
        <w:r w:rsidR="00066D33">
          <w:rPr>
            <w:webHidden/>
          </w:rPr>
          <w:tab/>
        </w:r>
        <w:r w:rsidR="00066D33">
          <w:rPr>
            <w:webHidden/>
          </w:rPr>
          <w:fldChar w:fldCharType="begin"/>
        </w:r>
        <w:r w:rsidR="00066D33">
          <w:rPr>
            <w:webHidden/>
          </w:rPr>
          <w:instrText xml:space="preserve"> PAGEREF _Toc490323107 \h </w:instrText>
        </w:r>
        <w:r w:rsidR="00066D33">
          <w:rPr>
            <w:webHidden/>
          </w:rPr>
        </w:r>
        <w:r w:rsidR="00066D33">
          <w:rPr>
            <w:webHidden/>
          </w:rPr>
          <w:fldChar w:fldCharType="separate"/>
        </w:r>
        <w:r w:rsidR="00B05C7E">
          <w:rPr>
            <w:webHidden/>
          </w:rPr>
          <w:t>135</w:t>
        </w:r>
        <w:r w:rsidR="00066D33">
          <w:rPr>
            <w:webHidden/>
          </w:rPr>
          <w:fldChar w:fldCharType="end"/>
        </w:r>
      </w:hyperlink>
    </w:p>
    <w:p w:rsidR="00066D33" w:rsidRPr="00066D33" w:rsidRDefault="00CC063D">
      <w:pPr>
        <w:pStyle w:val="TOC2"/>
        <w:rPr>
          <w:rFonts w:asciiTheme="minorHAnsi" w:eastAsiaTheme="minorEastAsia" w:hAnsiTheme="minorHAnsi" w:cstheme="minorBidi"/>
          <w:bCs w:val="0"/>
          <w:iCs w:val="0"/>
          <w:sz w:val="22"/>
          <w:szCs w:val="22"/>
        </w:rPr>
      </w:pPr>
      <w:hyperlink w:anchor="_Toc490323109" w:history="1">
        <w:r w:rsidR="00066D33" w:rsidRPr="00066D33">
          <w:rPr>
            <w:rStyle w:val="Hyperlink"/>
            <w:rFonts w:eastAsia="Times New Roman"/>
          </w:rPr>
          <w:t>10.1 Multistate Initiatives</w:t>
        </w:r>
        <w:r w:rsidR="00066D33" w:rsidRPr="00066D33">
          <w:rPr>
            <w:webHidden/>
          </w:rPr>
          <w:tab/>
        </w:r>
        <w:r w:rsidR="00066D33" w:rsidRPr="00066D33">
          <w:rPr>
            <w:webHidden/>
          </w:rPr>
          <w:fldChar w:fldCharType="begin"/>
        </w:r>
        <w:r w:rsidR="00066D33" w:rsidRPr="00066D33">
          <w:rPr>
            <w:webHidden/>
          </w:rPr>
          <w:instrText xml:space="preserve"> PAGEREF _Toc490323109 \h </w:instrText>
        </w:r>
        <w:r w:rsidR="00066D33" w:rsidRPr="00066D33">
          <w:rPr>
            <w:webHidden/>
          </w:rPr>
        </w:r>
        <w:r w:rsidR="00066D33" w:rsidRPr="00066D33">
          <w:rPr>
            <w:webHidden/>
          </w:rPr>
          <w:fldChar w:fldCharType="separate"/>
        </w:r>
        <w:r w:rsidR="00B05C7E">
          <w:rPr>
            <w:webHidden/>
          </w:rPr>
          <w:t>135</w:t>
        </w:r>
        <w:r w:rsidR="00066D33" w:rsidRPr="00066D33">
          <w:rPr>
            <w:webHidden/>
          </w:rPr>
          <w:fldChar w:fldCharType="end"/>
        </w:r>
      </w:hyperlink>
    </w:p>
    <w:p w:rsidR="00066D33" w:rsidRDefault="00CC063D">
      <w:pPr>
        <w:pStyle w:val="TOC3"/>
        <w:rPr>
          <w:rFonts w:asciiTheme="minorHAnsi" w:eastAsiaTheme="minorEastAsia" w:hAnsiTheme="minorHAnsi" w:cstheme="minorBidi"/>
          <w:sz w:val="22"/>
          <w:szCs w:val="22"/>
        </w:rPr>
      </w:pPr>
      <w:hyperlink w:anchor="_Toc490323110" w:history="1">
        <w:r w:rsidR="00066D33" w:rsidRPr="00066D33">
          <w:rPr>
            <w:rStyle w:val="Hyperlink"/>
            <w:rFonts w:eastAsia="Times New Roman"/>
          </w:rPr>
          <w:t>10.1.1</w:t>
        </w:r>
        <w:r w:rsidR="00066D33" w:rsidRPr="00066D33">
          <w:rPr>
            <w:rStyle w:val="Hyperlink"/>
          </w:rPr>
          <w:t xml:space="preserve"> Eastern Interconnection States Planning Council</w:t>
        </w:r>
        <w:r w:rsidR="00066D33" w:rsidRPr="00066D33">
          <w:rPr>
            <w:webHidden/>
          </w:rPr>
          <w:tab/>
        </w:r>
        <w:r w:rsidR="00066D33" w:rsidRPr="00066D33">
          <w:rPr>
            <w:webHidden/>
          </w:rPr>
          <w:fldChar w:fldCharType="begin"/>
        </w:r>
        <w:r w:rsidR="00066D33" w:rsidRPr="00066D33">
          <w:rPr>
            <w:webHidden/>
          </w:rPr>
          <w:instrText xml:space="preserve"> PAGEREF _Toc490323110 \h </w:instrText>
        </w:r>
        <w:r w:rsidR="00066D33" w:rsidRPr="00066D33">
          <w:rPr>
            <w:webHidden/>
          </w:rPr>
        </w:r>
        <w:r w:rsidR="00066D33" w:rsidRPr="00066D33">
          <w:rPr>
            <w:webHidden/>
          </w:rPr>
          <w:fldChar w:fldCharType="separate"/>
        </w:r>
        <w:r w:rsidR="00B05C7E">
          <w:rPr>
            <w:webHidden/>
          </w:rPr>
          <w:t>135</w:t>
        </w:r>
        <w:r w:rsidR="00066D33" w:rsidRPr="00066D33">
          <w:rPr>
            <w:webHidden/>
          </w:rPr>
          <w:fldChar w:fldCharType="end"/>
        </w:r>
      </w:hyperlink>
    </w:p>
    <w:p w:rsidR="00066D33" w:rsidRDefault="00CC063D">
      <w:pPr>
        <w:pStyle w:val="TOC3"/>
        <w:rPr>
          <w:rFonts w:asciiTheme="minorHAnsi" w:eastAsiaTheme="minorEastAsia" w:hAnsiTheme="minorHAnsi" w:cstheme="minorBidi"/>
          <w:sz w:val="22"/>
          <w:szCs w:val="22"/>
        </w:rPr>
      </w:pPr>
      <w:hyperlink w:anchor="_Toc490323111" w:history="1">
        <w:r w:rsidR="00066D33" w:rsidRPr="001E653C">
          <w:rPr>
            <w:rStyle w:val="Hyperlink"/>
          </w:rPr>
          <w:t>10.1.2 Coordination among the New England States</w:t>
        </w:r>
        <w:r w:rsidR="00066D33">
          <w:rPr>
            <w:webHidden/>
          </w:rPr>
          <w:tab/>
        </w:r>
        <w:r w:rsidR="00066D33">
          <w:rPr>
            <w:webHidden/>
          </w:rPr>
          <w:fldChar w:fldCharType="begin"/>
        </w:r>
        <w:r w:rsidR="00066D33">
          <w:rPr>
            <w:webHidden/>
          </w:rPr>
          <w:instrText xml:space="preserve"> PAGEREF _Toc490323111 \h </w:instrText>
        </w:r>
        <w:r w:rsidR="00066D33">
          <w:rPr>
            <w:webHidden/>
          </w:rPr>
        </w:r>
        <w:r w:rsidR="00066D33">
          <w:rPr>
            <w:webHidden/>
          </w:rPr>
          <w:fldChar w:fldCharType="separate"/>
        </w:r>
        <w:r w:rsidR="00B05C7E">
          <w:rPr>
            <w:webHidden/>
          </w:rPr>
          <w:t>135</w:t>
        </w:r>
        <w:r w:rsidR="00066D33">
          <w:rPr>
            <w:webHidden/>
          </w:rPr>
          <w:fldChar w:fldCharType="end"/>
        </w:r>
      </w:hyperlink>
    </w:p>
    <w:p w:rsidR="00066D33" w:rsidRDefault="00CC063D">
      <w:pPr>
        <w:pStyle w:val="TOC3"/>
        <w:rPr>
          <w:rFonts w:asciiTheme="minorHAnsi" w:eastAsiaTheme="minorEastAsia" w:hAnsiTheme="minorHAnsi" w:cstheme="minorBidi"/>
          <w:sz w:val="22"/>
          <w:szCs w:val="22"/>
        </w:rPr>
      </w:pPr>
      <w:hyperlink w:anchor="_Toc490323112" w:history="1">
        <w:r w:rsidR="00066D33" w:rsidRPr="001E653C">
          <w:rPr>
            <w:rStyle w:val="Hyperlink"/>
          </w:rPr>
          <w:t>10.1.3 Consumer Liaison Group</w:t>
        </w:r>
        <w:r w:rsidR="00066D33">
          <w:rPr>
            <w:webHidden/>
          </w:rPr>
          <w:tab/>
        </w:r>
        <w:r w:rsidR="00066D33">
          <w:rPr>
            <w:webHidden/>
          </w:rPr>
          <w:fldChar w:fldCharType="begin"/>
        </w:r>
        <w:r w:rsidR="00066D33">
          <w:rPr>
            <w:webHidden/>
          </w:rPr>
          <w:instrText xml:space="preserve"> PAGEREF _Toc490323112 \h </w:instrText>
        </w:r>
        <w:r w:rsidR="00066D33">
          <w:rPr>
            <w:webHidden/>
          </w:rPr>
        </w:r>
        <w:r w:rsidR="00066D33">
          <w:rPr>
            <w:webHidden/>
          </w:rPr>
          <w:fldChar w:fldCharType="separate"/>
        </w:r>
        <w:r w:rsidR="00B05C7E">
          <w:rPr>
            <w:webHidden/>
          </w:rPr>
          <w:t>136</w:t>
        </w:r>
        <w:r w:rsidR="00066D33">
          <w:rPr>
            <w:webHidden/>
          </w:rPr>
          <w:fldChar w:fldCharType="end"/>
        </w:r>
      </w:hyperlink>
    </w:p>
    <w:p w:rsidR="00066D33" w:rsidRDefault="00CC063D">
      <w:pPr>
        <w:pStyle w:val="TOC3"/>
        <w:rPr>
          <w:rFonts w:asciiTheme="minorHAnsi" w:eastAsiaTheme="minorEastAsia" w:hAnsiTheme="minorHAnsi" w:cstheme="minorBidi"/>
          <w:sz w:val="22"/>
          <w:szCs w:val="22"/>
        </w:rPr>
      </w:pPr>
      <w:hyperlink w:anchor="_Toc490323113" w:history="1">
        <w:r w:rsidR="00066D33" w:rsidRPr="001E653C">
          <w:rPr>
            <w:rStyle w:val="Hyperlink"/>
          </w:rPr>
          <w:t>10.1.4 Southern New England States’ Request for Proposals</w:t>
        </w:r>
        <w:r w:rsidR="00066D33">
          <w:rPr>
            <w:webHidden/>
          </w:rPr>
          <w:tab/>
        </w:r>
        <w:r w:rsidR="00066D33">
          <w:rPr>
            <w:webHidden/>
          </w:rPr>
          <w:fldChar w:fldCharType="begin"/>
        </w:r>
        <w:r w:rsidR="00066D33">
          <w:rPr>
            <w:webHidden/>
          </w:rPr>
          <w:instrText xml:space="preserve"> PAGEREF _Toc490323113 \h </w:instrText>
        </w:r>
        <w:r w:rsidR="00066D33">
          <w:rPr>
            <w:webHidden/>
          </w:rPr>
        </w:r>
        <w:r w:rsidR="00066D33">
          <w:rPr>
            <w:webHidden/>
          </w:rPr>
          <w:fldChar w:fldCharType="separate"/>
        </w:r>
        <w:r w:rsidR="00B05C7E">
          <w:rPr>
            <w:webHidden/>
          </w:rPr>
          <w:t>136</w:t>
        </w:r>
        <w:r w:rsidR="00066D33">
          <w:rPr>
            <w:webHidden/>
          </w:rPr>
          <w:fldChar w:fldCharType="end"/>
        </w:r>
      </w:hyperlink>
    </w:p>
    <w:p w:rsidR="00066D33" w:rsidRDefault="00CC063D">
      <w:pPr>
        <w:pStyle w:val="TOC2"/>
        <w:rPr>
          <w:rFonts w:asciiTheme="minorHAnsi" w:eastAsiaTheme="minorEastAsia" w:hAnsiTheme="minorHAnsi" w:cstheme="minorBidi"/>
          <w:bCs w:val="0"/>
          <w:iCs w:val="0"/>
          <w:sz w:val="22"/>
          <w:szCs w:val="22"/>
        </w:rPr>
      </w:pPr>
      <w:hyperlink w:anchor="_Toc490323114" w:history="1">
        <w:r w:rsidR="00066D33" w:rsidRPr="001E653C">
          <w:rPr>
            <w:rStyle w:val="Hyperlink"/>
            <w:rFonts w:eastAsia="Times New Roman"/>
          </w:rPr>
          <w:t>10.2 ISO Initiatives</w:t>
        </w:r>
        <w:r w:rsidR="00066D33">
          <w:rPr>
            <w:webHidden/>
          </w:rPr>
          <w:tab/>
        </w:r>
        <w:r w:rsidR="00066D33">
          <w:rPr>
            <w:webHidden/>
          </w:rPr>
          <w:fldChar w:fldCharType="begin"/>
        </w:r>
        <w:r w:rsidR="00066D33">
          <w:rPr>
            <w:webHidden/>
          </w:rPr>
          <w:instrText xml:space="preserve"> PAGEREF _Toc490323114 \h </w:instrText>
        </w:r>
        <w:r w:rsidR="00066D33">
          <w:rPr>
            <w:webHidden/>
          </w:rPr>
        </w:r>
        <w:r w:rsidR="00066D33">
          <w:rPr>
            <w:webHidden/>
          </w:rPr>
          <w:fldChar w:fldCharType="separate"/>
        </w:r>
        <w:r w:rsidR="00B05C7E">
          <w:rPr>
            <w:webHidden/>
          </w:rPr>
          <w:t>136</w:t>
        </w:r>
        <w:r w:rsidR="00066D33">
          <w:rPr>
            <w:webHidden/>
          </w:rPr>
          <w:fldChar w:fldCharType="end"/>
        </w:r>
      </w:hyperlink>
    </w:p>
    <w:p w:rsidR="00066D33" w:rsidRDefault="00CC063D">
      <w:pPr>
        <w:pStyle w:val="TOC3"/>
        <w:rPr>
          <w:rFonts w:asciiTheme="minorHAnsi" w:eastAsiaTheme="minorEastAsia" w:hAnsiTheme="minorHAnsi" w:cstheme="minorBidi"/>
          <w:sz w:val="22"/>
          <w:szCs w:val="22"/>
        </w:rPr>
      </w:pPr>
      <w:hyperlink w:anchor="_Toc490323115" w:history="1">
        <w:r w:rsidR="00066D33" w:rsidRPr="001E653C">
          <w:rPr>
            <w:rStyle w:val="Hyperlink"/>
          </w:rPr>
          <w:t>10.2.1 Updates on Developing and Integrating Smart Grid and Other New Technologies</w:t>
        </w:r>
        <w:r w:rsidR="00066D33">
          <w:rPr>
            <w:webHidden/>
          </w:rPr>
          <w:tab/>
        </w:r>
        <w:r w:rsidR="00066D33">
          <w:rPr>
            <w:webHidden/>
          </w:rPr>
          <w:fldChar w:fldCharType="begin"/>
        </w:r>
        <w:r w:rsidR="00066D33">
          <w:rPr>
            <w:webHidden/>
          </w:rPr>
          <w:instrText xml:space="preserve"> PAGEREF _Toc490323115 \h </w:instrText>
        </w:r>
        <w:r w:rsidR="00066D33">
          <w:rPr>
            <w:webHidden/>
          </w:rPr>
        </w:r>
        <w:r w:rsidR="00066D33">
          <w:rPr>
            <w:webHidden/>
          </w:rPr>
          <w:fldChar w:fldCharType="separate"/>
        </w:r>
        <w:r w:rsidR="00B05C7E">
          <w:rPr>
            <w:webHidden/>
          </w:rPr>
          <w:t>136</w:t>
        </w:r>
        <w:r w:rsidR="00066D33">
          <w:rPr>
            <w:webHidden/>
          </w:rPr>
          <w:fldChar w:fldCharType="end"/>
        </w:r>
      </w:hyperlink>
    </w:p>
    <w:p w:rsidR="00066D33" w:rsidRDefault="00CC063D">
      <w:pPr>
        <w:pStyle w:val="TOC3"/>
        <w:rPr>
          <w:rFonts w:asciiTheme="minorHAnsi" w:eastAsiaTheme="minorEastAsia" w:hAnsiTheme="minorHAnsi" w:cstheme="minorBidi"/>
          <w:sz w:val="22"/>
          <w:szCs w:val="22"/>
        </w:rPr>
      </w:pPr>
      <w:hyperlink w:anchor="_Toc490323116" w:history="1">
        <w:r w:rsidR="00066D33" w:rsidRPr="001E653C">
          <w:rPr>
            <w:rStyle w:val="Hyperlink"/>
          </w:rPr>
          <w:t>10.2.2 Transmission Planning Initiatives</w:t>
        </w:r>
        <w:r w:rsidR="00066D33">
          <w:rPr>
            <w:webHidden/>
          </w:rPr>
          <w:tab/>
        </w:r>
        <w:r w:rsidR="00066D33">
          <w:rPr>
            <w:webHidden/>
          </w:rPr>
          <w:fldChar w:fldCharType="begin"/>
        </w:r>
        <w:r w:rsidR="00066D33">
          <w:rPr>
            <w:webHidden/>
          </w:rPr>
          <w:instrText xml:space="preserve"> PAGEREF _Toc490323116 \h </w:instrText>
        </w:r>
        <w:r w:rsidR="00066D33">
          <w:rPr>
            <w:webHidden/>
          </w:rPr>
        </w:r>
        <w:r w:rsidR="00066D33">
          <w:rPr>
            <w:webHidden/>
          </w:rPr>
          <w:fldChar w:fldCharType="separate"/>
        </w:r>
        <w:r w:rsidR="00B05C7E">
          <w:rPr>
            <w:webHidden/>
          </w:rPr>
          <w:t>139</w:t>
        </w:r>
        <w:r w:rsidR="00066D33">
          <w:rPr>
            <w:webHidden/>
          </w:rPr>
          <w:fldChar w:fldCharType="end"/>
        </w:r>
      </w:hyperlink>
    </w:p>
    <w:p w:rsidR="00066D33" w:rsidRDefault="00CC063D">
      <w:pPr>
        <w:pStyle w:val="TOC3"/>
        <w:rPr>
          <w:rFonts w:asciiTheme="minorHAnsi" w:eastAsiaTheme="minorEastAsia" w:hAnsiTheme="minorHAnsi" w:cstheme="minorBidi"/>
          <w:sz w:val="22"/>
          <w:szCs w:val="22"/>
        </w:rPr>
      </w:pPr>
      <w:hyperlink w:anchor="_Toc490323117" w:history="1">
        <w:r w:rsidR="00066D33" w:rsidRPr="001E653C">
          <w:rPr>
            <w:rStyle w:val="Hyperlink"/>
          </w:rPr>
          <w:t>10.2.3 ISO Market Initiatives</w:t>
        </w:r>
        <w:r w:rsidR="00066D33">
          <w:rPr>
            <w:webHidden/>
          </w:rPr>
          <w:tab/>
        </w:r>
        <w:r w:rsidR="00066D33">
          <w:rPr>
            <w:webHidden/>
          </w:rPr>
          <w:fldChar w:fldCharType="begin"/>
        </w:r>
        <w:r w:rsidR="00066D33">
          <w:rPr>
            <w:webHidden/>
          </w:rPr>
          <w:instrText xml:space="preserve"> PAGEREF _Toc490323117 \h </w:instrText>
        </w:r>
        <w:r w:rsidR="00066D33">
          <w:rPr>
            <w:webHidden/>
          </w:rPr>
        </w:r>
        <w:r w:rsidR="00066D33">
          <w:rPr>
            <w:webHidden/>
          </w:rPr>
          <w:fldChar w:fldCharType="separate"/>
        </w:r>
        <w:r w:rsidR="00B05C7E">
          <w:rPr>
            <w:webHidden/>
          </w:rPr>
          <w:t>139</w:t>
        </w:r>
        <w:r w:rsidR="00066D33">
          <w:rPr>
            <w:webHidden/>
          </w:rPr>
          <w:fldChar w:fldCharType="end"/>
        </w:r>
      </w:hyperlink>
    </w:p>
    <w:p w:rsidR="00066D33" w:rsidRDefault="00CC063D">
      <w:pPr>
        <w:pStyle w:val="TOC2"/>
        <w:rPr>
          <w:rFonts w:asciiTheme="minorHAnsi" w:eastAsiaTheme="minorEastAsia" w:hAnsiTheme="minorHAnsi" w:cstheme="minorBidi"/>
          <w:bCs w:val="0"/>
          <w:iCs w:val="0"/>
          <w:sz w:val="22"/>
          <w:szCs w:val="22"/>
        </w:rPr>
      </w:pPr>
      <w:hyperlink w:anchor="_Toc490323118" w:history="1">
        <w:r w:rsidR="00066D33" w:rsidRPr="001E653C">
          <w:rPr>
            <w:rStyle w:val="Hyperlink"/>
            <w:rFonts w:eastAsia="Times New Roman"/>
          </w:rPr>
          <w:t>10.3 State Initiatives, Activities, and Policies</w:t>
        </w:r>
        <w:r w:rsidR="00066D33">
          <w:rPr>
            <w:webHidden/>
          </w:rPr>
          <w:tab/>
        </w:r>
        <w:r w:rsidR="00066D33">
          <w:rPr>
            <w:webHidden/>
          </w:rPr>
          <w:fldChar w:fldCharType="begin"/>
        </w:r>
        <w:r w:rsidR="00066D33">
          <w:rPr>
            <w:webHidden/>
          </w:rPr>
          <w:instrText xml:space="preserve"> PAGEREF _Toc490323118 \h </w:instrText>
        </w:r>
        <w:r w:rsidR="00066D33">
          <w:rPr>
            <w:webHidden/>
          </w:rPr>
        </w:r>
        <w:r w:rsidR="00066D33">
          <w:rPr>
            <w:webHidden/>
          </w:rPr>
          <w:fldChar w:fldCharType="separate"/>
        </w:r>
        <w:r w:rsidR="00B05C7E">
          <w:rPr>
            <w:webHidden/>
          </w:rPr>
          <w:t>140</w:t>
        </w:r>
        <w:r w:rsidR="00066D33">
          <w:rPr>
            <w:webHidden/>
          </w:rPr>
          <w:fldChar w:fldCharType="end"/>
        </w:r>
      </w:hyperlink>
    </w:p>
    <w:p w:rsidR="00066D33" w:rsidRDefault="00CC063D">
      <w:pPr>
        <w:pStyle w:val="TOC3"/>
        <w:rPr>
          <w:rFonts w:asciiTheme="minorHAnsi" w:eastAsiaTheme="minorEastAsia" w:hAnsiTheme="minorHAnsi" w:cstheme="minorBidi"/>
          <w:sz w:val="22"/>
          <w:szCs w:val="22"/>
        </w:rPr>
      </w:pPr>
      <w:hyperlink w:anchor="_Toc490323119" w:history="1">
        <w:r w:rsidR="00066D33" w:rsidRPr="001E653C">
          <w:rPr>
            <w:rStyle w:val="Hyperlink"/>
          </w:rPr>
          <w:t>10.3.1 Summary of Renewable Portfolio Standards</w:t>
        </w:r>
        <w:r w:rsidR="00066D33">
          <w:rPr>
            <w:webHidden/>
          </w:rPr>
          <w:tab/>
        </w:r>
        <w:r w:rsidR="00066D33">
          <w:rPr>
            <w:webHidden/>
          </w:rPr>
          <w:fldChar w:fldCharType="begin"/>
        </w:r>
        <w:r w:rsidR="00066D33">
          <w:rPr>
            <w:webHidden/>
          </w:rPr>
          <w:instrText xml:space="preserve"> PAGEREF _Toc490323119 \h </w:instrText>
        </w:r>
        <w:r w:rsidR="00066D33">
          <w:rPr>
            <w:webHidden/>
          </w:rPr>
        </w:r>
        <w:r w:rsidR="00066D33">
          <w:rPr>
            <w:webHidden/>
          </w:rPr>
          <w:fldChar w:fldCharType="separate"/>
        </w:r>
        <w:r w:rsidR="00B05C7E">
          <w:rPr>
            <w:webHidden/>
          </w:rPr>
          <w:t>140</w:t>
        </w:r>
        <w:r w:rsidR="00066D33">
          <w:rPr>
            <w:webHidden/>
          </w:rPr>
          <w:fldChar w:fldCharType="end"/>
        </w:r>
      </w:hyperlink>
    </w:p>
    <w:p w:rsidR="00066D33" w:rsidRDefault="00CC063D">
      <w:pPr>
        <w:pStyle w:val="TOC3"/>
        <w:rPr>
          <w:rFonts w:asciiTheme="minorHAnsi" w:eastAsiaTheme="minorEastAsia" w:hAnsiTheme="minorHAnsi" w:cstheme="minorBidi"/>
          <w:sz w:val="22"/>
          <w:szCs w:val="22"/>
        </w:rPr>
      </w:pPr>
      <w:hyperlink w:anchor="_Toc490323120" w:history="1">
        <w:r w:rsidR="00066D33" w:rsidRPr="001E653C">
          <w:rPr>
            <w:rStyle w:val="Hyperlink"/>
          </w:rPr>
          <w:t>10.3.2 Connecticut</w:t>
        </w:r>
        <w:r w:rsidR="00066D33">
          <w:rPr>
            <w:webHidden/>
          </w:rPr>
          <w:tab/>
        </w:r>
        <w:r w:rsidR="00066D33">
          <w:rPr>
            <w:webHidden/>
          </w:rPr>
          <w:fldChar w:fldCharType="begin"/>
        </w:r>
        <w:r w:rsidR="00066D33">
          <w:rPr>
            <w:webHidden/>
          </w:rPr>
          <w:instrText xml:space="preserve"> PAGEREF _Toc490323120 \h </w:instrText>
        </w:r>
        <w:r w:rsidR="00066D33">
          <w:rPr>
            <w:webHidden/>
          </w:rPr>
        </w:r>
        <w:r w:rsidR="00066D33">
          <w:rPr>
            <w:webHidden/>
          </w:rPr>
          <w:fldChar w:fldCharType="separate"/>
        </w:r>
        <w:r w:rsidR="00B05C7E">
          <w:rPr>
            <w:webHidden/>
          </w:rPr>
          <w:t>141</w:t>
        </w:r>
        <w:r w:rsidR="00066D33">
          <w:rPr>
            <w:webHidden/>
          </w:rPr>
          <w:fldChar w:fldCharType="end"/>
        </w:r>
      </w:hyperlink>
    </w:p>
    <w:p w:rsidR="00066D33" w:rsidRDefault="00CC063D">
      <w:pPr>
        <w:pStyle w:val="TOC3"/>
        <w:rPr>
          <w:rFonts w:asciiTheme="minorHAnsi" w:eastAsiaTheme="minorEastAsia" w:hAnsiTheme="minorHAnsi" w:cstheme="minorBidi"/>
          <w:sz w:val="22"/>
          <w:szCs w:val="22"/>
        </w:rPr>
      </w:pPr>
      <w:hyperlink w:anchor="_Toc490323121" w:history="1">
        <w:r w:rsidR="00066D33" w:rsidRPr="001E653C">
          <w:rPr>
            <w:rStyle w:val="Hyperlink"/>
          </w:rPr>
          <w:t>10.3.3 Maine</w:t>
        </w:r>
        <w:r w:rsidR="00066D33">
          <w:rPr>
            <w:webHidden/>
          </w:rPr>
          <w:tab/>
        </w:r>
        <w:r w:rsidR="00066D33">
          <w:rPr>
            <w:webHidden/>
          </w:rPr>
          <w:fldChar w:fldCharType="begin"/>
        </w:r>
        <w:r w:rsidR="00066D33">
          <w:rPr>
            <w:webHidden/>
          </w:rPr>
          <w:instrText xml:space="preserve"> PAGEREF _Toc490323121 \h </w:instrText>
        </w:r>
        <w:r w:rsidR="00066D33">
          <w:rPr>
            <w:webHidden/>
          </w:rPr>
        </w:r>
        <w:r w:rsidR="00066D33">
          <w:rPr>
            <w:webHidden/>
          </w:rPr>
          <w:fldChar w:fldCharType="separate"/>
        </w:r>
        <w:r w:rsidR="00B05C7E">
          <w:rPr>
            <w:webHidden/>
          </w:rPr>
          <w:t>141</w:t>
        </w:r>
        <w:r w:rsidR="00066D33">
          <w:rPr>
            <w:webHidden/>
          </w:rPr>
          <w:fldChar w:fldCharType="end"/>
        </w:r>
      </w:hyperlink>
    </w:p>
    <w:p w:rsidR="00066D33" w:rsidRDefault="00CC063D">
      <w:pPr>
        <w:pStyle w:val="TOC3"/>
        <w:rPr>
          <w:rFonts w:asciiTheme="minorHAnsi" w:eastAsiaTheme="minorEastAsia" w:hAnsiTheme="minorHAnsi" w:cstheme="minorBidi"/>
          <w:sz w:val="22"/>
          <w:szCs w:val="22"/>
        </w:rPr>
      </w:pPr>
      <w:hyperlink w:anchor="_Toc490323122" w:history="1">
        <w:r w:rsidR="00066D33" w:rsidRPr="001E653C">
          <w:rPr>
            <w:rStyle w:val="Hyperlink"/>
          </w:rPr>
          <w:t>10.3.4 Massachusetts</w:t>
        </w:r>
        <w:r w:rsidR="00066D33">
          <w:rPr>
            <w:webHidden/>
          </w:rPr>
          <w:tab/>
        </w:r>
        <w:r w:rsidR="00066D33">
          <w:rPr>
            <w:webHidden/>
          </w:rPr>
          <w:fldChar w:fldCharType="begin"/>
        </w:r>
        <w:r w:rsidR="00066D33">
          <w:rPr>
            <w:webHidden/>
          </w:rPr>
          <w:instrText xml:space="preserve"> PAGEREF _Toc490323122 \h </w:instrText>
        </w:r>
        <w:r w:rsidR="00066D33">
          <w:rPr>
            <w:webHidden/>
          </w:rPr>
        </w:r>
        <w:r w:rsidR="00066D33">
          <w:rPr>
            <w:webHidden/>
          </w:rPr>
          <w:fldChar w:fldCharType="separate"/>
        </w:r>
        <w:r w:rsidR="00B05C7E">
          <w:rPr>
            <w:webHidden/>
          </w:rPr>
          <w:t>141</w:t>
        </w:r>
        <w:r w:rsidR="00066D33">
          <w:rPr>
            <w:webHidden/>
          </w:rPr>
          <w:fldChar w:fldCharType="end"/>
        </w:r>
      </w:hyperlink>
    </w:p>
    <w:p w:rsidR="00066D33" w:rsidRDefault="00CC063D">
      <w:pPr>
        <w:pStyle w:val="TOC3"/>
        <w:rPr>
          <w:rFonts w:asciiTheme="minorHAnsi" w:eastAsiaTheme="minorEastAsia" w:hAnsiTheme="minorHAnsi" w:cstheme="minorBidi"/>
          <w:sz w:val="22"/>
          <w:szCs w:val="22"/>
        </w:rPr>
      </w:pPr>
      <w:hyperlink w:anchor="_Toc490323123" w:history="1">
        <w:r w:rsidR="00066D33" w:rsidRPr="001E653C">
          <w:rPr>
            <w:rStyle w:val="Hyperlink"/>
          </w:rPr>
          <w:t>10.3.5 New Hampshire</w:t>
        </w:r>
        <w:r w:rsidR="00066D33">
          <w:rPr>
            <w:webHidden/>
          </w:rPr>
          <w:tab/>
        </w:r>
        <w:r w:rsidR="00066D33">
          <w:rPr>
            <w:webHidden/>
          </w:rPr>
          <w:fldChar w:fldCharType="begin"/>
        </w:r>
        <w:r w:rsidR="00066D33">
          <w:rPr>
            <w:webHidden/>
          </w:rPr>
          <w:instrText xml:space="preserve"> PAGEREF _Toc490323123 \h </w:instrText>
        </w:r>
        <w:r w:rsidR="00066D33">
          <w:rPr>
            <w:webHidden/>
          </w:rPr>
        </w:r>
        <w:r w:rsidR="00066D33">
          <w:rPr>
            <w:webHidden/>
          </w:rPr>
          <w:fldChar w:fldCharType="separate"/>
        </w:r>
        <w:r w:rsidR="00B05C7E">
          <w:rPr>
            <w:webHidden/>
          </w:rPr>
          <w:t>142</w:t>
        </w:r>
        <w:r w:rsidR="00066D33">
          <w:rPr>
            <w:webHidden/>
          </w:rPr>
          <w:fldChar w:fldCharType="end"/>
        </w:r>
      </w:hyperlink>
    </w:p>
    <w:p w:rsidR="00066D33" w:rsidRDefault="00CC063D">
      <w:pPr>
        <w:pStyle w:val="TOC3"/>
        <w:rPr>
          <w:rFonts w:asciiTheme="minorHAnsi" w:eastAsiaTheme="minorEastAsia" w:hAnsiTheme="minorHAnsi" w:cstheme="minorBidi"/>
          <w:sz w:val="22"/>
          <w:szCs w:val="22"/>
        </w:rPr>
      </w:pPr>
      <w:hyperlink w:anchor="_Toc490323124" w:history="1">
        <w:r w:rsidR="00066D33" w:rsidRPr="001E653C">
          <w:rPr>
            <w:rStyle w:val="Hyperlink"/>
          </w:rPr>
          <w:t>10.3.6 Rhode Island</w:t>
        </w:r>
        <w:r w:rsidR="00066D33">
          <w:rPr>
            <w:webHidden/>
          </w:rPr>
          <w:tab/>
        </w:r>
        <w:r w:rsidR="00066D33">
          <w:rPr>
            <w:webHidden/>
          </w:rPr>
          <w:fldChar w:fldCharType="begin"/>
        </w:r>
        <w:r w:rsidR="00066D33">
          <w:rPr>
            <w:webHidden/>
          </w:rPr>
          <w:instrText xml:space="preserve"> PAGEREF _Toc490323124 \h </w:instrText>
        </w:r>
        <w:r w:rsidR="00066D33">
          <w:rPr>
            <w:webHidden/>
          </w:rPr>
        </w:r>
        <w:r w:rsidR="00066D33">
          <w:rPr>
            <w:webHidden/>
          </w:rPr>
          <w:fldChar w:fldCharType="separate"/>
        </w:r>
        <w:r w:rsidR="00B05C7E">
          <w:rPr>
            <w:webHidden/>
          </w:rPr>
          <w:t>143</w:t>
        </w:r>
        <w:r w:rsidR="00066D33">
          <w:rPr>
            <w:webHidden/>
          </w:rPr>
          <w:fldChar w:fldCharType="end"/>
        </w:r>
      </w:hyperlink>
    </w:p>
    <w:p w:rsidR="00066D33" w:rsidRDefault="00CC063D">
      <w:pPr>
        <w:pStyle w:val="TOC3"/>
        <w:rPr>
          <w:rFonts w:asciiTheme="minorHAnsi" w:eastAsiaTheme="minorEastAsia" w:hAnsiTheme="minorHAnsi" w:cstheme="minorBidi"/>
          <w:sz w:val="22"/>
          <w:szCs w:val="22"/>
        </w:rPr>
      </w:pPr>
      <w:hyperlink w:anchor="_Toc490323125" w:history="1">
        <w:r w:rsidR="00066D33" w:rsidRPr="001E653C">
          <w:rPr>
            <w:rStyle w:val="Hyperlink"/>
          </w:rPr>
          <w:t>10.3.7 Vermont</w:t>
        </w:r>
        <w:r w:rsidR="00066D33">
          <w:rPr>
            <w:webHidden/>
          </w:rPr>
          <w:tab/>
        </w:r>
        <w:r w:rsidR="00066D33">
          <w:rPr>
            <w:webHidden/>
          </w:rPr>
          <w:fldChar w:fldCharType="begin"/>
        </w:r>
        <w:r w:rsidR="00066D33">
          <w:rPr>
            <w:webHidden/>
          </w:rPr>
          <w:instrText xml:space="preserve"> PAGEREF _Toc490323125 \h </w:instrText>
        </w:r>
        <w:r w:rsidR="00066D33">
          <w:rPr>
            <w:webHidden/>
          </w:rPr>
        </w:r>
        <w:r w:rsidR="00066D33">
          <w:rPr>
            <w:webHidden/>
          </w:rPr>
          <w:fldChar w:fldCharType="separate"/>
        </w:r>
        <w:r w:rsidR="00B05C7E">
          <w:rPr>
            <w:webHidden/>
          </w:rPr>
          <w:t>143</w:t>
        </w:r>
        <w:r w:rsidR="00066D33">
          <w:rPr>
            <w:webHidden/>
          </w:rPr>
          <w:fldChar w:fldCharType="end"/>
        </w:r>
      </w:hyperlink>
    </w:p>
    <w:p w:rsidR="00066D33" w:rsidRDefault="00CC063D">
      <w:pPr>
        <w:pStyle w:val="TOC2"/>
        <w:rPr>
          <w:rFonts w:asciiTheme="minorHAnsi" w:eastAsiaTheme="minorEastAsia" w:hAnsiTheme="minorHAnsi" w:cstheme="minorBidi"/>
          <w:bCs w:val="0"/>
          <w:iCs w:val="0"/>
          <w:sz w:val="22"/>
          <w:szCs w:val="22"/>
        </w:rPr>
      </w:pPr>
      <w:hyperlink w:anchor="_Toc490323126" w:history="1">
        <w:r w:rsidR="00066D33" w:rsidRPr="001E653C">
          <w:rPr>
            <w:rStyle w:val="Hyperlink"/>
            <w:rFonts w:eastAsia="Times New Roman"/>
          </w:rPr>
          <w:t>10.4 Summary of Initiatives</w:t>
        </w:r>
        <w:r w:rsidR="00066D33">
          <w:rPr>
            <w:webHidden/>
          </w:rPr>
          <w:tab/>
        </w:r>
        <w:r w:rsidR="00066D33">
          <w:rPr>
            <w:webHidden/>
          </w:rPr>
          <w:fldChar w:fldCharType="begin"/>
        </w:r>
        <w:r w:rsidR="00066D33">
          <w:rPr>
            <w:webHidden/>
          </w:rPr>
          <w:instrText xml:space="preserve"> PAGEREF _Toc490323126 \h </w:instrText>
        </w:r>
        <w:r w:rsidR="00066D33">
          <w:rPr>
            <w:webHidden/>
          </w:rPr>
        </w:r>
        <w:r w:rsidR="00066D33">
          <w:rPr>
            <w:webHidden/>
          </w:rPr>
          <w:fldChar w:fldCharType="separate"/>
        </w:r>
        <w:r w:rsidR="00B05C7E">
          <w:rPr>
            <w:webHidden/>
          </w:rPr>
          <w:t>143</w:t>
        </w:r>
        <w:r w:rsidR="00066D33">
          <w:rPr>
            <w:webHidden/>
          </w:rPr>
          <w:fldChar w:fldCharType="end"/>
        </w:r>
      </w:hyperlink>
    </w:p>
    <w:p w:rsidR="00066D33" w:rsidRDefault="00CC063D">
      <w:pPr>
        <w:pStyle w:val="TOC1"/>
        <w:rPr>
          <w:rFonts w:asciiTheme="minorHAnsi" w:eastAsiaTheme="minorEastAsia" w:hAnsiTheme="minorHAnsi" w:cstheme="minorBidi"/>
          <w:b w:val="0"/>
          <w:sz w:val="22"/>
          <w:szCs w:val="22"/>
        </w:rPr>
      </w:pPr>
      <w:hyperlink w:anchor="_Toc490323127" w:history="1">
        <w:r w:rsidR="00066D33" w:rsidRPr="001E653C">
          <w:rPr>
            <w:rStyle w:val="Hyperlink"/>
          </w:rPr>
          <w:t>Section 11</w:t>
        </w:r>
        <w:r w:rsidR="00066D33">
          <w:rPr>
            <w:rStyle w:val="Hyperlink"/>
          </w:rPr>
          <w:br/>
        </w:r>
        <w:r w:rsidR="00066D33" w:rsidRPr="001E653C">
          <w:rPr>
            <w:rStyle w:val="Hyperlink"/>
          </w:rPr>
          <w:t>Key Findings and Conclusions</w:t>
        </w:r>
        <w:r w:rsidR="00066D33">
          <w:rPr>
            <w:webHidden/>
          </w:rPr>
          <w:tab/>
        </w:r>
        <w:r w:rsidR="00066D33">
          <w:rPr>
            <w:webHidden/>
          </w:rPr>
          <w:fldChar w:fldCharType="begin"/>
        </w:r>
        <w:r w:rsidR="00066D33">
          <w:rPr>
            <w:webHidden/>
          </w:rPr>
          <w:instrText xml:space="preserve"> PAGEREF _Toc490323127 \h </w:instrText>
        </w:r>
        <w:r w:rsidR="00066D33">
          <w:rPr>
            <w:webHidden/>
          </w:rPr>
        </w:r>
        <w:r w:rsidR="00066D33">
          <w:rPr>
            <w:webHidden/>
          </w:rPr>
          <w:fldChar w:fldCharType="separate"/>
        </w:r>
        <w:r w:rsidR="00B05C7E">
          <w:rPr>
            <w:webHidden/>
          </w:rPr>
          <w:t>144</w:t>
        </w:r>
        <w:r w:rsidR="00066D33">
          <w:rPr>
            <w:webHidden/>
          </w:rPr>
          <w:fldChar w:fldCharType="end"/>
        </w:r>
      </w:hyperlink>
    </w:p>
    <w:p w:rsidR="00066D33" w:rsidRDefault="00CC063D">
      <w:pPr>
        <w:pStyle w:val="TOC1"/>
        <w:rPr>
          <w:rFonts w:asciiTheme="minorHAnsi" w:eastAsiaTheme="minorEastAsia" w:hAnsiTheme="minorHAnsi" w:cstheme="minorBidi"/>
          <w:b w:val="0"/>
          <w:sz w:val="22"/>
          <w:szCs w:val="22"/>
        </w:rPr>
      </w:pPr>
      <w:hyperlink w:anchor="_Toc490323128" w:history="1">
        <w:r w:rsidR="00066D33" w:rsidRPr="001E653C">
          <w:rPr>
            <w:rStyle w:val="Hyperlink"/>
          </w:rPr>
          <w:t>Acronyms and Abbreviations</w:t>
        </w:r>
        <w:r w:rsidR="00066D33">
          <w:rPr>
            <w:webHidden/>
          </w:rPr>
          <w:tab/>
        </w:r>
        <w:r w:rsidR="00066D33">
          <w:rPr>
            <w:webHidden/>
          </w:rPr>
          <w:fldChar w:fldCharType="begin"/>
        </w:r>
        <w:r w:rsidR="00066D33">
          <w:rPr>
            <w:webHidden/>
          </w:rPr>
          <w:instrText xml:space="preserve"> PAGEREF _Toc490323128 \h </w:instrText>
        </w:r>
        <w:r w:rsidR="00066D33">
          <w:rPr>
            <w:webHidden/>
          </w:rPr>
        </w:r>
        <w:r w:rsidR="00066D33">
          <w:rPr>
            <w:webHidden/>
          </w:rPr>
          <w:fldChar w:fldCharType="separate"/>
        </w:r>
        <w:r w:rsidR="00B05C7E">
          <w:rPr>
            <w:webHidden/>
          </w:rPr>
          <w:t>146</w:t>
        </w:r>
        <w:r w:rsidR="00066D33">
          <w:rPr>
            <w:webHidden/>
          </w:rPr>
          <w:fldChar w:fldCharType="end"/>
        </w:r>
      </w:hyperlink>
    </w:p>
    <w:p w:rsidR="002B6DED" w:rsidRDefault="00D945E2" w:rsidP="00C37475">
      <w:pPr>
        <w:tabs>
          <w:tab w:val="right" w:leader="dot" w:pos="8910"/>
        </w:tabs>
        <w:spacing w:after="80" w:line="240" w:lineRule="auto"/>
        <w:ind w:right="-86"/>
        <w:rPr>
          <w:rFonts w:asciiTheme="majorHAnsi" w:eastAsia="Times New Roman" w:hAnsiTheme="majorHAnsi"/>
          <w:bCs/>
        </w:rPr>
      </w:pPr>
      <w:r w:rsidRPr="00D945E2">
        <w:rPr>
          <w:rFonts w:asciiTheme="majorHAnsi" w:eastAsia="Times New Roman" w:hAnsiTheme="majorHAnsi"/>
          <w:bCs/>
        </w:rPr>
        <w:fldChar w:fldCharType="end"/>
      </w:r>
    </w:p>
    <w:p w:rsidR="002B6DED" w:rsidRDefault="002B6DED" w:rsidP="00D945E2">
      <w:pPr>
        <w:tabs>
          <w:tab w:val="right" w:leader="dot" w:pos="8910"/>
        </w:tabs>
        <w:spacing w:after="120" w:line="240" w:lineRule="auto"/>
        <w:ind w:right="-86"/>
        <w:rPr>
          <w:rFonts w:asciiTheme="majorHAnsi" w:eastAsia="Times New Roman" w:hAnsiTheme="majorHAnsi"/>
          <w:bCs/>
        </w:rPr>
        <w:sectPr w:rsidR="002B6DED" w:rsidSect="00443144">
          <w:headerReference w:type="default" r:id="rId23"/>
          <w:footerReference w:type="default" r:id="rId24"/>
          <w:pgSz w:w="12240" w:h="15840"/>
          <w:pgMar w:top="1440" w:right="1080" w:bottom="1440" w:left="1800" w:header="720" w:footer="720" w:gutter="0"/>
          <w:pgNumType w:fmt="lowerRoman" w:start="5"/>
          <w:cols w:space="720"/>
          <w:docGrid w:linePitch="360"/>
        </w:sectPr>
      </w:pPr>
    </w:p>
    <w:p w:rsidR="00D945E2" w:rsidRDefault="00D945E2" w:rsidP="00D945E2">
      <w:pPr>
        <w:pStyle w:val="Heading1"/>
        <w:numPr>
          <w:ilvl w:val="0"/>
          <w:numId w:val="0"/>
        </w:numPr>
      </w:pPr>
      <w:bookmarkStart w:id="29" w:name="_Toc490322989"/>
      <w:r w:rsidRPr="00A21A58">
        <w:lastRenderedPageBreak/>
        <w:t>Figures</w:t>
      </w:r>
      <w:bookmarkEnd w:id="29"/>
    </w:p>
    <w:p w:rsidR="0044553E" w:rsidRPr="0044553E" w:rsidRDefault="00D945E2" w:rsidP="0044553E">
      <w:pPr>
        <w:pStyle w:val="TableofFigures"/>
        <w:tabs>
          <w:tab w:val="right" w:leader="dot" w:pos="9350"/>
        </w:tabs>
        <w:ind w:left="1260" w:hanging="1260"/>
        <w:rPr>
          <w:rFonts w:asciiTheme="minorHAnsi" w:eastAsiaTheme="minorEastAsia" w:hAnsiTheme="minorHAnsi" w:cstheme="minorBidi"/>
          <w:noProof/>
          <w:sz w:val="22"/>
          <w:szCs w:val="22"/>
        </w:rPr>
      </w:pPr>
      <w:r w:rsidRPr="003D13C0">
        <w:rPr>
          <w:rFonts w:asciiTheme="minorHAnsi" w:hAnsiTheme="minorHAnsi" w:cs="Arial"/>
        </w:rPr>
        <w:fldChar w:fldCharType="begin"/>
      </w:r>
      <w:r w:rsidRPr="003D13C0">
        <w:rPr>
          <w:rFonts w:asciiTheme="minorHAnsi" w:hAnsiTheme="minorHAnsi" w:cs="Arial"/>
        </w:rPr>
        <w:instrText xml:space="preserve"> TOC \h \z \c "Figure" </w:instrText>
      </w:r>
      <w:r w:rsidRPr="003D13C0">
        <w:rPr>
          <w:rFonts w:asciiTheme="minorHAnsi" w:hAnsiTheme="minorHAnsi" w:cs="Arial"/>
        </w:rPr>
        <w:fldChar w:fldCharType="separate"/>
      </w:r>
      <w:hyperlink w:anchor="_Toc486233196" w:history="1">
        <w:r w:rsidR="0044553E" w:rsidRPr="0044553E">
          <w:rPr>
            <w:rStyle w:val="Hyperlink"/>
            <w:noProof/>
          </w:rPr>
          <w:t>Figure 2</w:t>
        </w:r>
        <w:r w:rsidR="0044553E" w:rsidRPr="0044553E">
          <w:rPr>
            <w:rStyle w:val="Hyperlink"/>
            <w:noProof/>
          </w:rPr>
          <w:noBreakHyphen/>
          <w:t xml:space="preserve">1: </w:t>
        </w:r>
        <w:r w:rsidR="0044553E">
          <w:rPr>
            <w:rStyle w:val="Hyperlink"/>
            <w:noProof/>
          </w:rPr>
          <w:tab/>
        </w:r>
        <w:r w:rsidR="0044553E" w:rsidRPr="0044553E">
          <w:rPr>
            <w:rStyle w:val="Hyperlink"/>
            <w:noProof/>
          </w:rPr>
          <w:t>Key facts about New England’s electric power system and wholesale electricity markets.</w:t>
        </w:r>
        <w:r w:rsidR="0044553E" w:rsidRPr="0044553E">
          <w:rPr>
            <w:noProof/>
            <w:webHidden/>
          </w:rPr>
          <w:tab/>
        </w:r>
        <w:r w:rsidR="0044553E" w:rsidRPr="0044553E">
          <w:rPr>
            <w:noProof/>
            <w:webHidden/>
          </w:rPr>
          <w:fldChar w:fldCharType="begin"/>
        </w:r>
        <w:r w:rsidR="0044553E" w:rsidRPr="0044553E">
          <w:rPr>
            <w:noProof/>
            <w:webHidden/>
          </w:rPr>
          <w:instrText xml:space="preserve"> PAGEREF _Toc486233196 \h </w:instrText>
        </w:r>
        <w:r w:rsidR="0044553E" w:rsidRPr="0044553E">
          <w:rPr>
            <w:noProof/>
            <w:webHidden/>
          </w:rPr>
        </w:r>
        <w:r w:rsidR="0044553E" w:rsidRPr="0044553E">
          <w:rPr>
            <w:noProof/>
            <w:webHidden/>
          </w:rPr>
          <w:fldChar w:fldCharType="separate"/>
        </w:r>
        <w:r w:rsidR="00B05C7E">
          <w:rPr>
            <w:noProof/>
            <w:webHidden/>
          </w:rPr>
          <w:t>25</w:t>
        </w:r>
        <w:r w:rsidR="0044553E" w:rsidRPr="0044553E">
          <w:rPr>
            <w:noProof/>
            <w:webHidden/>
          </w:rPr>
          <w:fldChar w:fldCharType="end"/>
        </w:r>
      </w:hyperlink>
    </w:p>
    <w:p w:rsidR="0044553E" w:rsidRPr="0044553E" w:rsidRDefault="00CC063D" w:rsidP="0044553E">
      <w:pPr>
        <w:pStyle w:val="TableofFigures"/>
        <w:tabs>
          <w:tab w:val="right" w:leader="dot" w:pos="9350"/>
        </w:tabs>
        <w:ind w:left="1260" w:hanging="1260"/>
        <w:rPr>
          <w:rFonts w:asciiTheme="minorHAnsi" w:eastAsiaTheme="minorEastAsia" w:hAnsiTheme="minorHAnsi" w:cstheme="minorBidi"/>
          <w:noProof/>
          <w:sz w:val="22"/>
          <w:szCs w:val="22"/>
        </w:rPr>
      </w:pPr>
      <w:hyperlink w:anchor="_Toc486233197" w:history="1">
        <w:r w:rsidR="0044553E" w:rsidRPr="0044553E">
          <w:rPr>
            <w:rStyle w:val="Hyperlink"/>
            <w:noProof/>
          </w:rPr>
          <w:t>Figure 2</w:t>
        </w:r>
        <w:r w:rsidR="0044553E" w:rsidRPr="0044553E">
          <w:rPr>
            <w:rStyle w:val="Hyperlink"/>
            <w:noProof/>
          </w:rPr>
          <w:noBreakHyphen/>
          <w:t xml:space="preserve">2: </w:t>
        </w:r>
        <w:r w:rsidR="0044553E">
          <w:rPr>
            <w:rStyle w:val="Hyperlink"/>
            <w:noProof/>
          </w:rPr>
          <w:tab/>
        </w:r>
        <w:r w:rsidR="0044553E" w:rsidRPr="0044553E">
          <w:rPr>
            <w:rStyle w:val="Hyperlink"/>
            <w:noProof/>
          </w:rPr>
          <w:t>RSP17 geographic scope of the New England electric power system.</w:t>
        </w:r>
        <w:r w:rsidR="0044553E" w:rsidRPr="0044553E">
          <w:rPr>
            <w:noProof/>
            <w:webHidden/>
          </w:rPr>
          <w:tab/>
        </w:r>
        <w:r w:rsidR="0044553E" w:rsidRPr="0044553E">
          <w:rPr>
            <w:noProof/>
            <w:webHidden/>
          </w:rPr>
          <w:fldChar w:fldCharType="begin"/>
        </w:r>
        <w:r w:rsidR="0044553E" w:rsidRPr="0044553E">
          <w:rPr>
            <w:noProof/>
            <w:webHidden/>
          </w:rPr>
          <w:instrText xml:space="preserve"> PAGEREF _Toc486233197 \h </w:instrText>
        </w:r>
        <w:r w:rsidR="0044553E" w:rsidRPr="0044553E">
          <w:rPr>
            <w:noProof/>
            <w:webHidden/>
          </w:rPr>
        </w:r>
        <w:r w:rsidR="0044553E" w:rsidRPr="0044553E">
          <w:rPr>
            <w:noProof/>
            <w:webHidden/>
          </w:rPr>
          <w:fldChar w:fldCharType="separate"/>
        </w:r>
        <w:r w:rsidR="00B05C7E">
          <w:rPr>
            <w:noProof/>
            <w:webHidden/>
          </w:rPr>
          <w:t>28</w:t>
        </w:r>
        <w:r w:rsidR="0044553E" w:rsidRPr="0044553E">
          <w:rPr>
            <w:noProof/>
            <w:webHidden/>
          </w:rPr>
          <w:fldChar w:fldCharType="end"/>
        </w:r>
      </w:hyperlink>
    </w:p>
    <w:p w:rsidR="0044553E" w:rsidRPr="0044553E" w:rsidRDefault="00CC063D" w:rsidP="0044553E">
      <w:pPr>
        <w:pStyle w:val="TableofFigures"/>
        <w:tabs>
          <w:tab w:val="right" w:leader="dot" w:pos="9350"/>
        </w:tabs>
        <w:ind w:left="1260" w:hanging="1260"/>
        <w:rPr>
          <w:rFonts w:asciiTheme="minorHAnsi" w:eastAsiaTheme="minorEastAsia" w:hAnsiTheme="minorHAnsi" w:cstheme="minorBidi"/>
          <w:noProof/>
          <w:sz w:val="22"/>
          <w:szCs w:val="22"/>
        </w:rPr>
      </w:pPr>
      <w:hyperlink w:anchor="_Toc486233198" w:history="1">
        <w:r w:rsidR="0044553E" w:rsidRPr="0044553E">
          <w:rPr>
            <w:rStyle w:val="Hyperlink"/>
            <w:noProof/>
          </w:rPr>
          <w:t>Figure 2</w:t>
        </w:r>
        <w:r w:rsidR="0044553E" w:rsidRPr="0044553E">
          <w:rPr>
            <w:rStyle w:val="Hyperlink"/>
            <w:noProof/>
          </w:rPr>
          <w:noBreakHyphen/>
          <w:t xml:space="preserve">3: </w:t>
        </w:r>
        <w:r w:rsidR="0044553E">
          <w:rPr>
            <w:rStyle w:val="Hyperlink"/>
            <w:noProof/>
          </w:rPr>
          <w:tab/>
        </w:r>
        <w:r w:rsidR="0044553E" w:rsidRPr="0044553E">
          <w:rPr>
            <w:rStyle w:val="Hyperlink"/>
            <w:noProof/>
          </w:rPr>
          <w:t>Active-demand-resource dispatch zones in the ISO New England system.</w:t>
        </w:r>
        <w:r w:rsidR="0044553E" w:rsidRPr="0044553E">
          <w:rPr>
            <w:noProof/>
            <w:webHidden/>
          </w:rPr>
          <w:tab/>
        </w:r>
        <w:r w:rsidR="0044553E" w:rsidRPr="0044553E">
          <w:rPr>
            <w:noProof/>
            <w:webHidden/>
          </w:rPr>
          <w:fldChar w:fldCharType="begin"/>
        </w:r>
        <w:r w:rsidR="0044553E" w:rsidRPr="0044553E">
          <w:rPr>
            <w:noProof/>
            <w:webHidden/>
          </w:rPr>
          <w:instrText xml:space="preserve"> PAGEREF _Toc486233198 \h </w:instrText>
        </w:r>
        <w:r w:rsidR="0044553E" w:rsidRPr="0044553E">
          <w:rPr>
            <w:noProof/>
            <w:webHidden/>
          </w:rPr>
        </w:r>
        <w:r w:rsidR="0044553E" w:rsidRPr="0044553E">
          <w:rPr>
            <w:noProof/>
            <w:webHidden/>
          </w:rPr>
          <w:fldChar w:fldCharType="separate"/>
        </w:r>
        <w:r w:rsidR="00B05C7E">
          <w:rPr>
            <w:noProof/>
            <w:webHidden/>
          </w:rPr>
          <w:t>30</w:t>
        </w:r>
        <w:r w:rsidR="0044553E" w:rsidRPr="0044553E">
          <w:rPr>
            <w:noProof/>
            <w:webHidden/>
          </w:rPr>
          <w:fldChar w:fldCharType="end"/>
        </w:r>
      </w:hyperlink>
    </w:p>
    <w:p w:rsidR="0044553E" w:rsidRPr="0044553E" w:rsidRDefault="00CC063D" w:rsidP="0044553E">
      <w:pPr>
        <w:pStyle w:val="TableofFigures"/>
        <w:tabs>
          <w:tab w:val="right" w:leader="dot" w:pos="9350"/>
        </w:tabs>
        <w:ind w:left="1260" w:hanging="1260"/>
        <w:rPr>
          <w:rFonts w:asciiTheme="minorHAnsi" w:eastAsiaTheme="minorEastAsia" w:hAnsiTheme="minorHAnsi" w:cstheme="minorBidi"/>
          <w:noProof/>
          <w:sz w:val="22"/>
          <w:szCs w:val="22"/>
        </w:rPr>
      </w:pPr>
      <w:hyperlink w:anchor="_Toc486233199" w:history="1">
        <w:r w:rsidR="0044553E" w:rsidRPr="0044553E">
          <w:rPr>
            <w:rStyle w:val="Hyperlink"/>
            <w:bCs/>
            <w:noProof/>
          </w:rPr>
          <w:t>Figure 3</w:t>
        </w:r>
        <w:r w:rsidR="0044553E" w:rsidRPr="0044553E">
          <w:rPr>
            <w:rStyle w:val="Hyperlink"/>
            <w:bCs/>
            <w:noProof/>
          </w:rPr>
          <w:noBreakHyphen/>
          <w:t xml:space="preserve">1: </w:t>
        </w:r>
        <w:r w:rsidR="0044553E">
          <w:rPr>
            <w:rStyle w:val="Hyperlink"/>
            <w:bCs/>
            <w:noProof/>
          </w:rPr>
          <w:tab/>
        </w:r>
        <w:r w:rsidR="0044553E" w:rsidRPr="0044553E">
          <w:rPr>
            <w:rStyle w:val="Hyperlink"/>
            <w:bCs/>
            <w:noProof/>
          </w:rPr>
          <w:t>The ISO’s actual summer peak loads (i.e., reconstituted to include the megawatt reductions</w:t>
        </w:r>
        <w:r w:rsidR="0044553E">
          <w:rPr>
            <w:rStyle w:val="Hyperlink"/>
            <w:bCs/>
            <w:noProof/>
          </w:rPr>
          <w:br/>
        </w:r>
        <w:r w:rsidR="0044553E" w:rsidRPr="0044553E">
          <w:rPr>
            <w:rStyle w:val="Hyperlink"/>
            <w:bCs/>
            <w:noProof/>
          </w:rPr>
          <w:t>from OP 4 actions, FCM passive demand resources, and BTM PV) and the 50/50 and 90/10 forecasts, 1992 to 2016 (MW).</w:t>
        </w:r>
        <w:r w:rsidR="0044553E" w:rsidRPr="0044553E">
          <w:rPr>
            <w:noProof/>
            <w:webHidden/>
          </w:rPr>
          <w:tab/>
        </w:r>
        <w:r w:rsidR="0044553E" w:rsidRPr="0044553E">
          <w:rPr>
            <w:noProof/>
            <w:webHidden/>
          </w:rPr>
          <w:fldChar w:fldCharType="begin"/>
        </w:r>
        <w:r w:rsidR="0044553E" w:rsidRPr="0044553E">
          <w:rPr>
            <w:noProof/>
            <w:webHidden/>
          </w:rPr>
          <w:instrText xml:space="preserve"> PAGEREF _Toc486233199 \h </w:instrText>
        </w:r>
        <w:r w:rsidR="0044553E" w:rsidRPr="0044553E">
          <w:rPr>
            <w:noProof/>
            <w:webHidden/>
          </w:rPr>
        </w:r>
        <w:r w:rsidR="0044553E" w:rsidRPr="0044553E">
          <w:rPr>
            <w:noProof/>
            <w:webHidden/>
          </w:rPr>
          <w:fldChar w:fldCharType="separate"/>
        </w:r>
        <w:r w:rsidR="00B05C7E">
          <w:rPr>
            <w:noProof/>
            <w:webHidden/>
          </w:rPr>
          <w:t>34</w:t>
        </w:r>
        <w:r w:rsidR="0044553E" w:rsidRPr="0044553E">
          <w:rPr>
            <w:noProof/>
            <w:webHidden/>
          </w:rPr>
          <w:fldChar w:fldCharType="end"/>
        </w:r>
      </w:hyperlink>
    </w:p>
    <w:p w:rsidR="0044553E" w:rsidRPr="0044553E" w:rsidRDefault="00CC063D" w:rsidP="0044553E">
      <w:pPr>
        <w:pStyle w:val="TableofFigures"/>
        <w:tabs>
          <w:tab w:val="right" w:leader="dot" w:pos="9350"/>
        </w:tabs>
        <w:ind w:left="1260" w:hanging="1260"/>
        <w:rPr>
          <w:rFonts w:asciiTheme="minorHAnsi" w:eastAsiaTheme="minorEastAsia" w:hAnsiTheme="minorHAnsi" w:cstheme="minorBidi"/>
          <w:noProof/>
          <w:sz w:val="22"/>
          <w:szCs w:val="22"/>
        </w:rPr>
      </w:pPr>
      <w:hyperlink w:anchor="_Toc486233200" w:history="1">
        <w:r w:rsidR="0044553E" w:rsidRPr="0044553E">
          <w:rPr>
            <w:rStyle w:val="Hyperlink"/>
            <w:bCs/>
            <w:noProof/>
          </w:rPr>
          <w:t>Figure 3</w:t>
        </w:r>
        <w:r w:rsidR="0044553E" w:rsidRPr="0044553E">
          <w:rPr>
            <w:rStyle w:val="Hyperlink"/>
            <w:bCs/>
            <w:noProof/>
          </w:rPr>
          <w:noBreakHyphen/>
          <w:t xml:space="preserve">2: </w:t>
        </w:r>
        <w:r w:rsidR="0044553E">
          <w:rPr>
            <w:rStyle w:val="Hyperlink"/>
            <w:bCs/>
            <w:noProof/>
          </w:rPr>
          <w:tab/>
        </w:r>
        <w:r w:rsidR="0044553E" w:rsidRPr="0044553E">
          <w:rPr>
            <w:rStyle w:val="Hyperlink"/>
            <w:bCs/>
            <w:noProof/>
          </w:rPr>
          <w:t>Cumulative New England PV forecast for each classification of PV, 2017 to 2026 (MW).</w:t>
        </w:r>
        <w:r w:rsidR="0044553E" w:rsidRPr="0044553E">
          <w:rPr>
            <w:noProof/>
            <w:webHidden/>
          </w:rPr>
          <w:tab/>
        </w:r>
        <w:r w:rsidR="0044553E" w:rsidRPr="0044553E">
          <w:rPr>
            <w:noProof/>
            <w:webHidden/>
          </w:rPr>
          <w:fldChar w:fldCharType="begin"/>
        </w:r>
        <w:r w:rsidR="0044553E" w:rsidRPr="0044553E">
          <w:rPr>
            <w:noProof/>
            <w:webHidden/>
          </w:rPr>
          <w:instrText xml:space="preserve"> PAGEREF _Toc486233200 \h </w:instrText>
        </w:r>
        <w:r w:rsidR="0044553E" w:rsidRPr="0044553E">
          <w:rPr>
            <w:noProof/>
            <w:webHidden/>
          </w:rPr>
        </w:r>
        <w:r w:rsidR="0044553E" w:rsidRPr="0044553E">
          <w:rPr>
            <w:noProof/>
            <w:webHidden/>
          </w:rPr>
          <w:fldChar w:fldCharType="separate"/>
        </w:r>
        <w:r w:rsidR="00B05C7E">
          <w:rPr>
            <w:noProof/>
            <w:webHidden/>
          </w:rPr>
          <w:t>37</w:t>
        </w:r>
        <w:r w:rsidR="0044553E" w:rsidRPr="0044553E">
          <w:rPr>
            <w:noProof/>
            <w:webHidden/>
          </w:rPr>
          <w:fldChar w:fldCharType="end"/>
        </w:r>
      </w:hyperlink>
    </w:p>
    <w:p w:rsidR="0044553E" w:rsidRPr="0044553E" w:rsidRDefault="00CC063D" w:rsidP="0044553E">
      <w:pPr>
        <w:pStyle w:val="TableofFigures"/>
        <w:tabs>
          <w:tab w:val="right" w:leader="dot" w:pos="9350"/>
        </w:tabs>
        <w:ind w:left="1260" w:hanging="1260"/>
        <w:rPr>
          <w:rFonts w:asciiTheme="minorHAnsi" w:eastAsiaTheme="minorEastAsia" w:hAnsiTheme="minorHAnsi" w:cstheme="minorBidi"/>
          <w:noProof/>
          <w:sz w:val="22"/>
          <w:szCs w:val="22"/>
        </w:rPr>
      </w:pPr>
      <w:hyperlink w:anchor="_Toc486233201" w:history="1">
        <w:r w:rsidR="0044553E" w:rsidRPr="0044553E">
          <w:rPr>
            <w:rStyle w:val="Hyperlink"/>
            <w:bCs/>
            <w:noProof/>
          </w:rPr>
          <w:t>Figure 3</w:t>
        </w:r>
        <w:r w:rsidR="0044553E" w:rsidRPr="0044553E">
          <w:rPr>
            <w:rStyle w:val="Hyperlink"/>
            <w:bCs/>
            <w:noProof/>
          </w:rPr>
          <w:noBreakHyphen/>
          <w:t xml:space="preserve">3: </w:t>
        </w:r>
        <w:r w:rsidR="0044553E">
          <w:rPr>
            <w:rStyle w:val="Hyperlink"/>
            <w:bCs/>
            <w:noProof/>
          </w:rPr>
          <w:tab/>
        </w:r>
        <w:r w:rsidR="0044553E" w:rsidRPr="0044553E">
          <w:rPr>
            <w:rStyle w:val="Hyperlink"/>
            <w:bCs/>
            <w:noProof/>
          </w:rPr>
          <w:t>RSP17 Gross annual energy-use forecast; gross energy forecast minus BTM PV; gross energy forecast minus BTM PV and FCM #11 PDRs through 2020; and gross energy forecast minus</w:t>
        </w:r>
        <w:r w:rsidR="0044553E">
          <w:rPr>
            <w:rStyle w:val="Hyperlink"/>
            <w:bCs/>
            <w:noProof/>
          </w:rPr>
          <w:br/>
        </w:r>
        <w:r w:rsidR="0044553E" w:rsidRPr="0044553E">
          <w:rPr>
            <w:rStyle w:val="Hyperlink"/>
            <w:bCs/>
            <w:noProof/>
          </w:rPr>
          <w:t>BTM PV, minus FCM PDRs, minus the energy-efficiency forecast for 2021 to 2026 (MW).</w:t>
        </w:r>
        <w:r w:rsidR="0044553E" w:rsidRPr="0044553E">
          <w:rPr>
            <w:noProof/>
            <w:webHidden/>
          </w:rPr>
          <w:tab/>
        </w:r>
        <w:r w:rsidR="0044553E" w:rsidRPr="0044553E">
          <w:rPr>
            <w:noProof/>
            <w:webHidden/>
          </w:rPr>
          <w:fldChar w:fldCharType="begin"/>
        </w:r>
        <w:r w:rsidR="0044553E" w:rsidRPr="0044553E">
          <w:rPr>
            <w:noProof/>
            <w:webHidden/>
          </w:rPr>
          <w:instrText xml:space="preserve"> PAGEREF _Toc486233201 \h </w:instrText>
        </w:r>
        <w:r w:rsidR="0044553E" w:rsidRPr="0044553E">
          <w:rPr>
            <w:noProof/>
            <w:webHidden/>
          </w:rPr>
        </w:r>
        <w:r w:rsidR="0044553E" w:rsidRPr="0044553E">
          <w:rPr>
            <w:noProof/>
            <w:webHidden/>
          </w:rPr>
          <w:fldChar w:fldCharType="separate"/>
        </w:r>
        <w:r w:rsidR="00B05C7E">
          <w:rPr>
            <w:noProof/>
            <w:webHidden/>
          </w:rPr>
          <w:t>39</w:t>
        </w:r>
        <w:r w:rsidR="0044553E" w:rsidRPr="0044553E">
          <w:rPr>
            <w:noProof/>
            <w:webHidden/>
          </w:rPr>
          <w:fldChar w:fldCharType="end"/>
        </w:r>
      </w:hyperlink>
    </w:p>
    <w:p w:rsidR="0044553E" w:rsidRPr="0044553E" w:rsidRDefault="00CC063D" w:rsidP="0044553E">
      <w:pPr>
        <w:pStyle w:val="TableofFigures"/>
        <w:tabs>
          <w:tab w:val="right" w:leader="dot" w:pos="9350"/>
        </w:tabs>
        <w:ind w:left="1260" w:hanging="1260"/>
        <w:rPr>
          <w:rFonts w:asciiTheme="minorHAnsi" w:eastAsiaTheme="minorEastAsia" w:hAnsiTheme="minorHAnsi" w:cstheme="minorBidi"/>
          <w:noProof/>
          <w:sz w:val="22"/>
          <w:szCs w:val="22"/>
        </w:rPr>
      </w:pPr>
      <w:hyperlink w:anchor="_Toc486233202" w:history="1">
        <w:r w:rsidR="0044553E" w:rsidRPr="0044553E">
          <w:rPr>
            <w:rStyle w:val="Hyperlink"/>
            <w:bCs/>
            <w:noProof/>
          </w:rPr>
          <w:t>Figure 3</w:t>
        </w:r>
        <w:r w:rsidR="0044553E" w:rsidRPr="0044553E">
          <w:rPr>
            <w:rStyle w:val="Hyperlink"/>
            <w:bCs/>
            <w:noProof/>
          </w:rPr>
          <w:noBreakHyphen/>
          <w:t xml:space="preserve">4: </w:t>
        </w:r>
        <w:r w:rsidR="0044553E">
          <w:rPr>
            <w:rStyle w:val="Hyperlink"/>
            <w:bCs/>
            <w:noProof/>
          </w:rPr>
          <w:tab/>
        </w:r>
        <w:r w:rsidR="0044553E" w:rsidRPr="0044553E">
          <w:rPr>
            <w:rStyle w:val="Hyperlink"/>
            <w:bCs/>
            <w:noProof/>
          </w:rPr>
          <w:t>RSP17 Gross summer peak demand forecast (90/10); gross demand forecast minus BTM PV;</w:t>
        </w:r>
        <w:r w:rsidR="00651548">
          <w:rPr>
            <w:rStyle w:val="Hyperlink"/>
            <w:bCs/>
            <w:noProof/>
          </w:rPr>
          <w:br/>
        </w:r>
        <w:r w:rsidR="0044553E" w:rsidRPr="0044553E">
          <w:rPr>
            <w:rStyle w:val="Hyperlink"/>
            <w:bCs/>
            <w:noProof/>
          </w:rPr>
          <w:t>gross demand forecast minus BTM PV and FCM #11 PDRs through 2020; and gross demand</w:t>
        </w:r>
        <w:r w:rsidR="00C37475">
          <w:rPr>
            <w:rStyle w:val="Hyperlink"/>
            <w:bCs/>
            <w:noProof/>
          </w:rPr>
          <w:br/>
        </w:r>
        <w:r w:rsidR="0044553E" w:rsidRPr="0044553E">
          <w:rPr>
            <w:rStyle w:val="Hyperlink"/>
            <w:bCs/>
            <w:noProof/>
          </w:rPr>
          <w:t>forecast minus BTM PV, minus FCM PDRs, minus the energy-efficiency forecast for</w:t>
        </w:r>
        <w:r w:rsidR="00651548">
          <w:rPr>
            <w:rStyle w:val="Hyperlink"/>
            <w:bCs/>
            <w:noProof/>
          </w:rPr>
          <w:br/>
        </w:r>
        <w:r w:rsidR="0044553E" w:rsidRPr="0044553E">
          <w:rPr>
            <w:rStyle w:val="Hyperlink"/>
            <w:bCs/>
            <w:noProof/>
          </w:rPr>
          <w:t>2021 to 2026 (MW).</w:t>
        </w:r>
        <w:r w:rsidR="0044553E" w:rsidRPr="0044553E">
          <w:rPr>
            <w:noProof/>
            <w:webHidden/>
          </w:rPr>
          <w:tab/>
        </w:r>
        <w:r w:rsidR="0044553E" w:rsidRPr="0044553E">
          <w:rPr>
            <w:noProof/>
            <w:webHidden/>
          </w:rPr>
          <w:fldChar w:fldCharType="begin"/>
        </w:r>
        <w:r w:rsidR="0044553E" w:rsidRPr="0044553E">
          <w:rPr>
            <w:noProof/>
            <w:webHidden/>
          </w:rPr>
          <w:instrText xml:space="preserve"> PAGEREF _Toc486233202 \h </w:instrText>
        </w:r>
        <w:r w:rsidR="0044553E" w:rsidRPr="0044553E">
          <w:rPr>
            <w:noProof/>
            <w:webHidden/>
          </w:rPr>
        </w:r>
        <w:r w:rsidR="0044553E" w:rsidRPr="0044553E">
          <w:rPr>
            <w:noProof/>
            <w:webHidden/>
          </w:rPr>
          <w:fldChar w:fldCharType="separate"/>
        </w:r>
        <w:r w:rsidR="00B05C7E">
          <w:rPr>
            <w:noProof/>
            <w:webHidden/>
          </w:rPr>
          <w:t>39</w:t>
        </w:r>
        <w:r w:rsidR="0044553E" w:rsidRPr="0044553E">
          <w:rPr>
            <w:noProof/>
            <w:webHidden/>
          </w:rPr>
          <w:fldChar w:fldCharType="end"/>
        </w:r>
      </w:hyperlink>
    </w:p>
    <w:p w:rsidR="0044553E" w:rsidRPr="0044553E" w:rsidRDefault="00CC063D" w:rsidP="0044553E">
      <w:pPr>
        <w:pStyle w:val="TableofFigures"/>
        <w:tabs>
          <w:tab w:val="right" w:leader="dot" w:pos="9350"/>
        </w:tabs>
        <w:ind w:left="1260" w:hanging="1260"/>
        <w:rPr>
          <w:rFonts w:asciiTheme="minorHAnsi" w:eastAsiaTheme="minorEastAsia" w:hAnsiTheme="minorHAnsi" w:cstheme="minorBidi"/>
          <w:noProof/>
          <w:sz w:val="22"/>
          <w:szCs w:val="22"/>
        </w:rPr>
      </w:pPr>
      <w:hyperlink w:anchor="_Toc486233203" w:history="1">
        <w:r w:rsidR="0044553E" w:rsidRPr="0044553E">
          <w:rPr>
            <w:rStyle w:val="Hyperlink"/>
            <w:bCs/>
            <w:noProof/>
          </w:rPr>
          <w:t>Figure 4</w:t>
        </w:r>
        <w:r w:rsidR="0044553E" w:rsidRPr="0044553E">
          <w:rPr>
            <w:rStyle w:val="Hyperlink"/>
            <w:bCs/>
            <w:noProof/>
          </w:rPr>
          <w:noBreakHyphen/>
          <w:t xml:space="preserve">1: </w:t>
        </w:r>
        <w:r w:rsidR="0044553E">
          <w:rPr>
            <w:rStyle w:val="Hyperlink"/>
            <w:bCs/>
            <w:noProof/>
          </w:rPr>
          <w:tab/>
        </w:r>
        <w:r w:rsidR="0044553E" w:rsidRPr="0044553E">
          <w:rPr>
            <w:rStyle w:val="Hyperlink"/>
            <w:bCs/>
            <w:noProof/>
          </w:rPr>
          <w:t>Summary of new capacity and retirement requests for FCA #5 to FCA #11.</w:t>
        </w:r>
        <w:r w:rsidR="0044553E" w:rsidRPr="0044553E">
          <w:rPr>
            <w:noProof/>
            <w:webHidden/>
          </w:rPr>
          <w:tab/>
        </w:r>
        <w:r w:rsidR="0044553E" w:rsidRPr="0044553E">
          <w:rPr>
            <w:noProof/>
            <w:webHidden/>
          </w:rPr>
          <w:fldChar w:fldCharType="begin"/>
        </w:r>
        <w:r w:rsidR="0044553E" w:rsidRPr="0044553E">
          <w:rPr>
            <w:noProof/>
            <w:webHidden/>
          </w:rPr>
          <w:instrText xml:space="preserve"> PAGEREF _Toc486233203 \h </w:instrText>
        </w:r>
        <w:r w:rsidR="0044553E" w:rsidRPr="0044553E">
          <w:rPr>
            <w:noProof/>
            <w:webHidden/>
          </w:rPr>
        </w:r>
        <w:r w:rsidR="0044553E" w:rsidRPr="0044553E">
          <w:rPr>
            <w:noProof/>
            <w:webHidden/>
          </w:rPr>
          <w:fldChar w:fldCharType="separate"/>
        </w:r>
        <w:r w:rsidR="00B05C7E">
          <w:rPr>
            <w:noProof/>
            <w:webHidden/>
          </w:rPr>
          <w:t>50</w:t>
        </w:r>
        <w:r w:rsidR="0044553E" w:rsidRPr="0044553E">
          <w:rPr>
            <w:noProof/>
            <w:webHidden/>
          </w:rPr>
          <w:fldChar w:fldCharType="end"/>
        </w:r>
      </w:hyperlink>
    </w:p>
    <w:p w:rsidR="0044553E" w:rsidRPr="0044553E" w:rsidRDefault="00CC063D" w:rsidP="0044553E">
      <w:pPr>
        <w:pStyle w:val="TableofFigures"/>
        <w:tabs>
          <w:tab w:val="right" w:leader="dot" w:pos="9350"/>
        </w:tabs>
        <w:ind w:left="1260" w:hanging="1260"/>
        <w:rPr>
          <w:rFonts w:asciiTheme="minorHAnsi" w:eastAsiaTheme="minorEastAsia" w:hAnsiTheme="minorHAnsi" w:cstheme="minorBidi"/>
          <w:noProof/>
          <w:sz w:val="22"/>
          <w:szCs w:val="22"/>
        </w:rPr>
      </w:pPr>
      <w:hyperlink w:anchor="_Toc486233204" w:history="1">
        <w:r w:rsidR="0044553E" w:rsidRPr="0044553E">
          <w:rPr>
            <w:rStyle w:val="Hyperlink"/>
            <w:bCs/>
            <w:noProof/>
          </w:rPr>
          <w:t>Figure 4</w:t>
        </w:r>
        <w:r w:rsidR="0044553E" w:rsidRPr="0044553E">
          <w:rPr>
            <w:rStyle w:val="Hyperlink"/>
            <w:bCs/>
            <w:noProof/>
          </w:rPr>
          <w:noBreakHyphen/>
          <w:t xml:space="preserve">2: </w:t>
        </w:r>
        <w:r w:rsidR="0044553E">
          <w:rPr>
            <w:rStyle w:val="Hyperlink"/>
            <w:bCs/>
            <w:noProof/>
          </w:rPr>
          <w:tab/>
        </w:r>
        <w:r w:rsidR="0044553E" w:rsidRPr="0044553E">
          <w:rPr>
            <w:rStyle w:val="Hyperlink"/>
            <w:bCs/>
            <w:noProof/>
          </w:rPr>
          <w:t>Actual and projected summer SCC generation retirements and additions, 2010 to 2020 (MW).</w:t>
        </w:r>
        <w:r w:rsidR="0044553E" w:rsidRPr="0044553E">
          <w:rPr>
            <w:noProof/>
            <w:webHidden/>
          </w:rPr>
          <w:tab/>
        </w:r>
        <w:r w:rsidR="0044553E" w:rsidRPr="0044553E">
          <w:rPr>
            <w:noProof/>
            <w:webHidden/>
          </w:rPr>
          <w:fldChar w:fldCharType="begin"/>
        </w:r>
        <w:r w:rsidR="0044553E" w:rsidRPr="0044553E">
          <w:rPr>
            <w:noProof/>
            <w:webHidden/>
          </w:rPr>
          <w:instrText xml:space="preserve"> PAGEREF _Toc486233204 \h </w:instrText>
        </w:r>
        <w:r w:rsidR="0044553E" w:rsidRPr="0044553E">
          <w:rPr>
            <w:noProof/>
            <w:webHidden/>
          </w:rPr>
        </w:r>
        <w:r w:rsidR="0044553E" w:rsidRPr="0044553E">
          <w:rPr>
            <w:noProof/>
            <w:webHidden/>
          </w:rPr>
          <w:fldChar w:fldCharType="separate"/>
        </w:r>
        <w:r w:rsidR="00B05C7E">
          <w:rPr>
            <w:noProof/>
            <w:webHidden/>
          </w:rPr>
          <w:t>62</w:t>
        </w:r>
        <w:r w:rsidR="0044553E" w:rsidRPr="0044553E">
          <w:rPr>
            <w:noProof/>
            <w:webHidden/>
          </w:rPr>
          <w:fldChar w:fldCharType="end"/>
        </w:r>
      </w:hyperlink>
    </w:p>
    <w:p w:rsidR="0044553E" w:rsidRPr="0044553E" w:rsidRDefault="00CC063D" w:rsidP="0044553E">
      <w:pPr>
        <w:pStyle w:val="TableofFigures"/>
        <w:tabs>
          <w:tab w:val="right" w:leader="dot" w:pos="9350"/>
        </w:tabs>
        <w:ind w:left="1260" w:hanging="1260"/>
        <w:rPr>
          <w:rFonts w:asciiTheme="minorHAnsi" w:eastAsiaTheme="minorEastAsia" w:hAnsiTheme="minorHAnsi" w:cstheme="minorBidi"/>
          <w:noProof/>
          <w:sz w:val="22"/>
          <w:szCs w:val="22"/>
        </w:rPr>
      </w:pPr>
      <w:hyperlink w:anchor="_Toc486233205" w:history="1">
        <w:r w:rsidR="0044553E" w:rsidRPr="0044553E">
          <w:rPr>
            <w:rStyle w:val="Hyperlink"/>
            <w:bCs/>
            <w:noProof/>
          </w:rPr>
          <w:t>Figure 4</w:t>
        </w:r>
        <w:r w:rsidR="0044553E" w:rsidRPr="0044553E">
          <w:rPr>
            <w:rStyle w:val="Hyperlink"/>
            <w:bCs/>
            <w:noProof/>
          </w:rPr>
          <w:noBreakHyphen/>
          <w:t xml:space="preserve">3: </w:t>
        </w:r>
        <w:r w:rsidR="0044553E">
          <w:rPr>
            <w:rStyle w:val="Hyperlink"/>
            <w:bCs/>
            <w:noProof/>
          </w:rPr>
          <w:tab/>
        </w:r>
        <w:r w:rsidR="0044553E" w:rsidRPr="0044553E">
          <w:rPr>
            <w:rStyle w:val="Hyperlink"/>
            <w:bCs/>
            <w:noProof/>
          </w:rPr>
          <w:t>Capacity of generation-interconnection requests by RSP subarea, November 1997</w:t>
        </w:r>
        <w:r w:rsidR="0044553E">
          <w:rPr>
            <w:rStyle w:val="Hyperlink"/>
            <w:bCs/>
            <w:noProof/>
          </w:rPr>
          <w:br/>
        </w:r>
        <w:r w:rsidR="0044553E" w:rsidRPr="0044553E">
          <w:rPr>
            <w:rStyle w:val="Hyperlink"/>
            <w:bCs/>
            <w:noProof/>
          </w:rPr>
          <w:t>to April 2017 (MW).</w:t>
        </w:r>
        <w:r w:rsidR="0044553E" w:rsidRPr="0044553E">
          <w:rPr>
            <w:noProof/>
            <w:webHidden/>
          </w:rPr>
          <w:tab/>
        </w:r>
        <w:r w:rsidR="0044553E" w:rsidRPr="0044553E">
          <w:rPr>
            <w:noProof/>
            <w:webHidden/>
          </w:rPr>
          <w:fldChar w:fldCharType="begin"/>
        </w:r>
        <w:r w:rsidR="0044553E" w:rsidRPr="0044553E">
          <w:rPr>
            <w:noProof/>
            <w:webHidden/>
          </w:rPr>
          <w:instrText xml:space="preserve"> PAGEREF _Toc486233205 \h </w:instrText>
        </w:r>
        <w:r w:rsidR="0044553E" w:rsidRPr="0044553E">
          <w:rPr>
            <w:noProof/>
            <w:webHidden/>
          </w:rPr>
        </w:r>
        <w:r w:rsidR="0044553E" w:rsidRPr="0044553E">
          <w:rPr>
            <w:noProof/>
            <w:webHidden/>
          </w:rPr>
          <w:fldChar w:fldCharType="separate"/>
        </w:r>
        <w:r w:rsidR="00B05C7E">
          <w:rPr>
            <w:noProof/>
            <w:webHidden/>
          </w:rPr>
          <w:t>63</w:t>
        </w:r>
        <w:r w:rsidR="0044553E" w:rsidRPr="0044553E">
          <w:rPr>
            <w:noProof/>
            <w:webHidden/>
          </w:rPr>
          <w:fldChar w:fldCharType="end"/>
        </w:r>
      </w:hyperlink>
    </w:p>
    <w:p w:rsidR="0044553E" w:rsidRPr="0044553E" w:rsidRDefault="006346FE" w:rsidP="0044553E">
      <w:pPr>
        <w:pStyle w:val="TableofFigures"/>
        <w:tabs>
          <w:tab w:val="right" w:leader="dot" w:pos="9350"/>
        </w:tabs>
        <w:ind w:left="1260" w:hanging="1260"/>
        <w:rPr>
          <w:rFonts w:asciiTheme="minorHAnsi" w:eastAsiaTheme="minorEastAsia" w:hAnsiTheme="minorHAnsi" w:cstheme="minorBidi"/>
          <w:noProof/>
          <w:sz w:val="22"/>
          <w:szCs w:val="22"/>
        </w:rPr>
      </w:pPr>
      <w:r>
        <w:rPr>
          <w:noProof/>
        </w:rPr>
        <w:fldChar w:fldCharType="begin"/>
      </w:r>
      <w:r>
        <w:rPr>
          <w:noProof/>
        </w:rPr>
        <w:instrText xml:space="preserve"> HYPERLINK \l "_Toc486233206" </w:instrText>
      </w:r>
      <w:r>
        <w:rPr>
          <w:noProof/>
        </w:rPr>
        <w:fldChar w:fldCharType="separate"/>
      </w:r>
      <w:r w:rsidR="0044553E" w:rsidRPr="0044553E">
        <w:rPr>
          <w:rStyle w:val="Hyperlink"/>
          <w:bCs/>
          <w:noProof/>
        </w:rPr>
        <w:t>Figure 4</w:t>
      </w:r>
      <w:r w:rsidR="0044553E" w:rsidRPr="0044553E">
        <w:rPr>
          <w:rStyle w:val="Hyperlink"/>
          <w:bCs/>
          <w:noProof/>
        </w:rPr>
        <w:noBreakHyphen/>
        <w:t xml:space="preserve">4: </w:t>
      </w:r>
      <w:r w:rsidR="0044553E">
        <w:rPr>
          <w:rStyle w:val="Hyperlink"/>
          <w:bCs/>
          <w:noProof/>
        </w:rPr>
        <w:tab/>
      </w:r>
      <w:r w:rsidR="0044553E" w:rsidRPr="0044553E">
        <w:rPr>
          <w:rStyle w:val="Hyperlink"/>
          <w:bCs/>
          <w:noProof/>
        </w:rPr>
        <w:t>Resources in the ISO interconnection queue, by state and fuel type, as of April 1, 2017</w:t>
      </w:r>
      <w:r w:rsidR="0044553E">
        <w:rPr>
          <w:rStyle w:val="Hyperlink"/>
          <w:bCs/>
          <w:noProof/>
        </w:rPr>
        <w:br/>
      </w:r>
      <w:r w:rsidR="0044553E" w:rsidRPr="0044553E">
        <w:rPr>
          <w:rStyle w:val="Hyperlink"/>
          <w:bCs/>
          <w:noProof/>
        </w:rPr>
        <w:t>(MW and %).</w:t>
      </w:r>
      <w:r w:rsidR="0044553E" w:rsidRPr="0044553E">
        <w:rPr>
          <w:noProof/>
          <w:webHidden/>
        </w:rPr>
        <w:tab/>
      </w:r>
      <w:r w:rsidR="0044553E" w:rsidRPr="0044553E">
        <w:rPr>
          <w:noProof/>
          <w:webHidden/>
        </w:rPr>
        <w:fldChar w:fldCharType="begin"/>
      </w:r>
      <w:r w:rsidR="0044553E" w:rsidRPr="0044553E">
        <w:rPr>
          <w:noProof/>
          <w:webHidden/>
        </w:rPr>
        <w:instrText xml:space="preserve"> PAGEREF _Toc486233206 \h </w:instrText>
      </w:r>
      <w:r w:rsidR="0044553E" w:rsidRPr="0044553E">
        <w:rPr>
          <w:noProof/>
          <w:webHidden/>
        </w:rPr>
      </w:r>
      <w:r w:rsidR="0044553E" w:rsidRPr="0044553E">
        <w:rPr>
          <w:noProof/>
          <w:webHidden/>
        </w:rPr>
        <w:fldChar w:fldCharType="separate"/>
      </w:r>
      <w:ins w:id="30" w:author="Author">
        <w:r w:rsidR="00B05C7E">
          <w:rPr>
            <w:noProof/>
            <w:webHidden/>
          </w:rPr>
          <w:t>63</w:t>
        </w:r>
      </w:ins>
      <w:del w:id="31" w:author="Author">
        <w:r w:rsidR="006E67FC" w:rsidDel="00B05C7E">
          <w:rPr>
            <w:noProof/>
            <w:webHidden/>
          </w:rPr>
          <w:delText>64</w:delText>
        </w:r>
      </w:del>
      <w:r w:rsidR="0044553E" w:rsidRPr="0044553E">
        <w:rPr>
          <w:noProof/>
          <w:webHidden/>
        </w:rPr>
        <w:fldChar w:fldCharType="end"/>
      </w:r>
      <w:r>
        <w:rPr>
          <w:noProof/>
        </w:rPr>
        <w:fldChar w:fldCharType="end"/>
      </w:r>
    </w:p>
    <w:p w:rsidR="0044553E" w:rsidRPr="0044553E" w:rsidRDefault="00CC063D" w:rsidP="0044553E">
      <w:pPr>
        <w:pStyle w:val="TableofFigures"/>
        <w:tabs>
          <w:tab w:val="right" w:leader="dot" w:pos="9350"/>
        </w:tabs>
        <w:ind w:left="1260" w:hanging="1260"/>
        <w:rPr>
          <w:rFonts w:asciiTheme="minorHAnsi" w:eastAsiaTheme="minorEastAsia" w:hAnsiTheme="minorHAnsi" w:cstheme="minorBidi"/>
          <w:noProof/>
          <w:sz w:val="22"/>
          <w:szCs w:val="22"/>
        </w:rPr>
      </w:pPr>
      <w:hyperlink w:anchor="_Toc486233207" w:history="1">
        <w:r w:rsidR="0044553E" w:rsidRPr="0044553E">
          <w:rPr>
            <w:rStyle w:val="Hyperlink"/>
            <w:bCs/>
            <w:noProof/>
          </w:rPr>
          <w:t>Figure 4</w:t>
        </w:r>
        <w:r w:rsidR="0044553E" w:rsidRPr="0044553E">
          <w:rPr>
            <w:rStyle w:val="Hyperlink"/>
            <w:bCs/>
            <w:noProof/>
          </w:rPr>
          <w:noBreakHyphen/>
          <w:t xml:space="preserve">5: </w:t>
        </w:r>
        <w:r w:rsidR="0044553E">
          <w:rPr>
            <w:rStyle w:val="Hyperlink"/>
            <w:bCs/>
            <w:noProof/>
          </w:rPr>
          <w:tab/>
        </w:r>
        <w:r w:rsidR="0044553E" w:rsidRPr="0044553E">
          <w:rPr>
            <w:rStyle w:val="Hyperlink"/>
            <w:bCs/>
            <w:noProof/>
          </w:rPr>
          <w:t>Resources in the ISO interconnection queue, by RSP subarea and fuel type, as of April 1, 2017 (MW).</w:t>
        </w:r>
        <w:r w:rsidR="0044553E" w:rsidRPr="0044553E">
          <w:rPr>
            <w:noProof/>
            <w:webHidden/>
          </w:rPr>
          <w:tab/>
        </w:r>
        <w:r w:rsidR="0044553E" w:rsidRPr="0044553E">
          <w:rPr>
            <w:noProof/>
            <w:webHidden/>
          </w:rPr>
          <w:fldChar w:fldCharType="begin"/>
        </w:r>
        <w:r w:rsidR="0044553E" w:rsidRPr="0044553E">
          <w:rPr>
            <w:noProof/>
            <w:webHidden/>
          </w:rPr>
          <w:instrText xml:space="preserve"> PAGEREF _Toc486233207 \h </w:instrText>
        </w:r>
        <w:r w:rsidR="0044553E" w:rsidRPr="0044553E">
          <w:rPr>
            <w:noProof/>
            <w:webHidden/>
          </w:rPr>
        </w:r>
        <w:r w:rsidR="0044553E" w:rsidRPr="0044553E">
          <w:rPr>
            <w:noProof/>
            <w:webHidden/>
          </w:rPr>
          <w:fldChar w:fldCharType="separate"/>
        </w:r>
        <w:r w:rsidR="00B05C7E">
          <w:rPr>
            <w:noProof/>
            <w:webHidden/>
          </w:rPr>
          <w:t>64</w:t>
        </w:r>
        <w:r w:rsidR="0044553E" w:rsidRPr="0044553E">
          <w:rPr>
            <w:noProof/>
            <w:webHidden/>
          </w:rPr>
          <w:fldChar w:fldCharType="end"/>
        </w:r>
      </w:hyperlink>
    </w:p>
    <w:p w:rsidR="0044553E" w:rsidRPr="0044553E" w:rsidRDefault="00CC063D" w:rsidP="0044553E">
      <w:pPr>
        <w:pStyle w:val="TableofFigures"/>
        <w:tabs>
          <w:tab w:val="right" w:leader="dot" w:pos="9350"/>
        </w:tabs>
        <w:ind w:left="1260" w:hanging="1260"/>
        <w:rPr>
          <w:rFonts w:asciiTheme="minorHAnsi" w:eastAsiaTheme="minorEastAsia" w:hAnsiTheme="minorHAnsi" w:cstheme="minorBidi"/>
          <w:noProof/>
          <w:sz w:val="22"/>
          <w:szCs w:val="22"/>
        </w:rPr>
      </w:pPr>
      <w:hyperlink w:anchor="_Toc486233208" w:history="1">
        <w:r w:rsidR="0044553E" w:rsidRPr="0044553E">
          <w:rPr>
            <w:rStyle w:val="Hyperlink"/>
            <w:bCs/>
            <w:noProof/>
          </w:rPr>
          <w:t>Figure 5</w:t>
        </w:r>
        <w:r w:rsidR="0044553E" w:rsidRPr="0044553E">
          <w:rPr>
            <w:rStyle w:val="Hyperlink"/>
            <w:bCs/>
            <w:noProof/>
          </w:rPr>
          <w:noBreakHyphen/>
          <w:t xml:space="preserve">1: </w:t>
        </w:r>
        <w:r w:rsidR="0044553E">
          <w:rPr>
            <w:rStyle w:val="Hyperlink"/>
            <w:bCs/>
            <w:noProof/>
          </w:rPr>
          <w:tab/>
        </w:r>
        <w:r w:rsidR="0044553E" w:rsidRPr="0044553E">
          <w:rPr>
            <w:rStyle w:val="Hyperlink"/>
            <w:bCs/>
            <w:noProof/>
          </w:rPr>
          <w:t>Key study areas in New England.</w:t>
        </w:r>
        <w:r w:rsidR="0044553E" w:rsidRPr="0044553E">
          <w:rPr>
            <w:noProof/>
            <w:webHidden/>
          </w:rPr>
          <w:tab/>
        </w:r>
        <w:r w:rsidR="0044553E" w:rsidRPr="0044553E">
          <w:rPr>
            <w:noProof/>
            <w:webHidden/>
          </w:rPr>
          <w:fldChar w:fldCharType="begin"/>
        </w:r>
        <w:r w:rsidR="0044553E" w:rsidRPr="0044553E">
          <w:rPr>
            <w:noProof/>
            <w:webHidden/>
          </w:rPr>
          <w:instrText xml:space="preserve"> PAGEREF _Toc486233208 \h </w:instrText>
        </w:r>
        <w:r w:rsidR="0044553E" w:rsidRPr="0044553E">
          <w:rPr>
            <w:noProof/>
            <w:webHidden/>
          </w:rPr>
        </w:r>
        <w:r w:rsidR="0044553E" w:rsidRPr="0044553E">
          <w:rPr>
            <w:noProof/>
            <w:webHidden/>
          </w:rPr>
          <w:fldChar w:fldCharType="separate"/>
        </w:r>
        <w:r w:rsidR="00B05C7E">
          <w:rPr>
            <w:noProof/>
            <w:webHidden/>
          </w:rPr>
          <w:t>71</w:t>
        </w:r>
        <w:r w:rsidR="0044553E" w:rsidRPr="0044553E">
          <w:rPr>
            <w:noProof/>
            <w:webHidden/>
          </w:rPr>
          <w:fldChar w:fldCharType="end"/>
        </w:r>
      </w:hyperlink>
    </w:p>
    <w:p w:rsidR="0044553E" w:rsidRPr="0044553E" w:rsidRDefault="00CC063D" w:rsidP="0044553E">
      <w:pPr>
        <w:pStyle w:val="TableofFigures"/>
        <w:tabs>
          <w:tab w:val="right" w:leader="dot" w:pos="9350"/>
        </w:tabs>
        <w:ind w:left="1260" w:hanging="1260"/>
        <w:rPr>
          <w:rFonts w:asciiTheme="minorHAnsi" w:eastAsiaTheme="minorEastAsia" w:hAnsiTheme="minorHAnsi" w:cstheme="minorBidi"/>
          <w:noProof/>
          <w:sz w:val="22"/>
          <w:szCs w:val="22"/>
        </w:rPr>
      </w:pPr>
      <w:hyperlink w:anchor="_Toc486233209" w:history="1">
        <w:r w:rsidR="0044553E" w:rsidRPr="0044553E">
          <w:rPr>
            <w:rStyle w:val="Hyperlink"/>
            <w:bCs/>
            <w:noProof/>
          </w:rPr>
          <w:t>Figure 7</w:t>
        </w:r>
        <w:r w:rsidR="0044553E" w:rsidRPr="0044553E">
          <w:rPr>
            <w:rStyle w:val="Hyperlink"/>
            <w:bCs/>
            <w:noProof/>
          </w:rPr>
          <w:noBreakHyphen/>
          <w:t xml:space="preserve">1: </w:t>
        </w:r>
        <w:r w:rsidR="0044553E">
          <w:rPr>
            <w:rStyle w:val="Hyperlink"/>
            <w:bCs/>
            <w:noProof/>
          </w:rPr>
          <w:tab/>
        </w:r>
        <w:r w:rsidR="0044553E" w:rsidRPr="0044553E">
          <w:rPr>
            <w:rStyle w:val="Hyperlink"/>
            <w:bCs/>
            <w:noProof/>
          </w:rPr>
          <w:t>New England’s summer seasonal claimed capability (MW, %) and electric energy production</w:t>
        </w:r>
        <w:r w:rsidR="0044553E">
          <w:rPr>
            <w:rStyle w:val="Hyperlink"/>
            <w:bCs/>
            <w:noProof/>
          </w:rPr>
          <w:br/>
        </w:r>
        <w:r w:rsidR="0044553E" w:rsidRPr="0044553E">
          <w:rPr>
            <w:rStyle w:val="Hyperlink"/>
            <w:bCs/>
            <w:noProof/>
          </w:rPr>
          <w:t>(GWh, %) by fuel type for 2016.</w:t>
        </w:r>
        <w:r w:rsidR="0044553E" w:rsidRPr="0044553E">
          <w:rPr>
            <w:noProof/>
            <w:webHidden/>
          </w:rPr>
          <w:tab/>
        </w:r>
        <w:r w:rsidR="0044553E" w:rsidRPr="0044553E">
          <w:rPr>
            <w:noProof/>
            <w:webHidden/>
          </w:rPr>
          <w:fldChar w:fldCharType="begin"/>
        </w:r>
        <w:r w:rsidR="0044553E" w:rsidRPr="0044553E">
          <w:rPr>
            <w:noProof/>
            <w:webHidden/>
          </w:rPr>
          <w:instrText xml:space="preserve"> PAGEREF _Toc486233209 \h </w:instrText>
        </w:r>
        <w:r w:rsidR="0044553E" w:rsidRPr="0044553E">
          <w:rPr>
            <w:noProof/>
            <w:webHidden/>
          </w:rPr>
        </w:r>
        <w:r w:rsidR="0044553E" w:rsidRPr="0044553E">
          <w:rPr>
            <w:noProof/>
            <w:webHidden/>
          </w:rPr>
          <w:fldChar w:fldCharType="separate"/>
        </w:r>
        <w:r w:rsidR="00B05C7E">
          <w:rPr>
            <w:noProof/>
            <w:webHidden/>
          </w:rPr>
          <w:t>98</w:t>
        </w:r>
        <w:r w:rsidR="0044553E" w:rsidRPr="0044553E">
          <w:rPr>
            <w:noProof/>
            <w:webHidden/>
          </w:rPr>
          <w:fldChar w:fldCharType="end"/>
        </w:r>
      </w:hyperlink>
    </w:p>
    <w:p w:rsidR="0044553E" w:rsidRPr="0044553E" w:rsidRDefault="00CC063D" w:rsidP="0044553E">
      <w:pPr>
        <w:pStyle w:val="TableofFigures"/>
        <w:tabs>
          <w:tab w:val="right" w:leader="dot" w:pos="9350"/>
        </w:tabs>
        <w:ind w:left="1260" w:hanging="1260"/>
        <w:rPr>
          <w:rFonts w:asciiTheme="minorHAnsi" w:eastAsiaTheme="minorEastAsia" w:hAnsiTheme="minorHAnsi" w:cstheme="minorBidi"/>
          <w:noProof/>
          <w:sz w:val="22"/>
          <w:szCs w:val="22"/>
        </w:rPr>
      </w:pPr>
      <w:hyperlink w:anchor="_Toc486233210" w:history="1">
        <w:r w:rsidR="0044553E" w:rsidRPr="0044553E">
          <w:rPr>
            <w:rStyle w:val="Hyperlink"/>
            <w:bCs/>
            <w:noProof/>
          </w:rPr>
          <w:t>Figure 7</w:t>
        </w:r>
        <w:r w:rsidR="0044553E" w:rsidRPr="0044553E">
          <w:rPr>
            <w:rStyle w:val="Hyperlink"/>
            <w:bCs/>
            <w:noProof/>
          </w:rPr>
          <w:noBreakHyphen/>
          <w:t xml:space="preserve">2: </w:t>
        </w:r>
        <w:r w:rsidR="0044553E">
          <w:rPr>
            <w:rStyle w:val="Hyperlink"/>
            <w:bCs/>
            <w:noProof/>
          </w:rPr>
          <w:tab/>
        </w:r>
        <w:r w:rsidR="0044553E" w:rsidRPr="0044553E">
          <w:rPr>
            <w:rStyle w:val="Hyperlink"/>
            <w:bCs/>
            <w:noProof/>
          </w:rPr>
          <w:t xml:space="preserve">Generating resource summer capability by fuel type based on the 2017 CELT Report and the interconnection queue, 2017, 2020, and 2026 (MW, %). </w:t>
        </w:r>
        <w:r w:rsidR="0044553E" w:rsidRPr="0044553E">
          <w:rPr>
            <w:noProof/>
            <w:webHidden/>
          </w:rPr>
          <w:tab/>
        </w:r>
        <w:r w:rsidR="0044553E" w:rsidRPr="0044553E">
          <w:rPr>
            <w:noProof/>
            <w:webHidden/>
          </w:rPr>
          <w:fldChar w:fldCharType="begin"/>
        </w:r>
        <w:r w:rsidR="0044553E" w:rsidRPr="0044553E">
          <w:rPr>
            <w:noProof/>
            <w:webHidden/>
          </w:rPr>
          <w:instrText xml:space="preserve"> PAGEREF _Toc486233210 \h </w:instrText>
        </w:r>
        <w:r w:rsidR="0044553E" w:rsidRPr="0044553E">
          <w:rPr>
            <w:noProof/>
            <w:webHidden/>
          </w:rPr>
        </w:r>
        <w:r w:rsidR="0044553E" w:rsidRPr="0044553E">
          <w:rPr>
            <w:noProof/>
            <w:webHidden/>
          </w:rPr>
          <w:fldChar w:fldCharType="separate"/>
        </w:r>
        <w:r w:rsidR="00B05C7E">
          <w:rPr>
            <w:noProof/>
            <w:webHidden/>
          </w:rPr>
          <w:t>99</w:t>
        </w:r>
        <w:r w:rsidR="0044553E" w:rsidRPr="0044553E">
          <w:rPr>
            <w:noProof/>
            <w:webHidden/>
          </w:rPr>
          <w:fldChar w:fldCharType="end"/>
        </w:r>
      </w:hyperlink>
    </w:p>
    <w:p w:rsidR="0044553E" w:rsidRPr="0044553E" w:rsidRDefault="00CC063D" w:rsidP="0044553E">
      <w:pPr>
        <w:pStyle w:val="TableofFigures"/>
        <w:tabs>
          <w:tab w:val="right" w:leader="dot" w:pos="9350"/>
        </w:tabs>
        <w:ind w:left="1260" w:hanging="1260"/>
        <w:rPr>
          <w:rFonts w:asciiTheme="minorHAnsi" w:eastAsiaTheme="minorEastAsia" w:hAnsiTheme="minorHAnsi" w:cstheme="minorBidi"/>
          <w:noProof/>
          <w:sz w:val="22"/>
          <w:szCs w:val="22"/>
        </w:rPr>
      </w:pPr>
      <w:hyperlink w:anchor="_Toc486233211" w:history="1">
        <w:r w:rsidR="0044553E" w:rsidRPr="0044553E">
          <w:rPr>
            <w:rStyle w:val="Hyperlink"/>
            <w:bCs/>
            <w:noProof/>
          </w:rPr>
          <w:t>Figure 7</w:t>
        </w:r>
        <w:r w:rsidR="0044553E" w:rsidRPr="0044553E">
          <w:rPr>
            <w:rStyle w:val="Hyperlink"/>
            <w:bCs/>
            <w:noProof/>
          </w:rPr>
          <w:noBreakHyphen/>
          <w:t xml:space="preserve">3: </w:t>
        </w:r>
        <w:r w:rsidR="0044553E">
          <w:rPr>
            <w:rStyle w:val="Hyperlink"/>
            <w:bCs/>
            <w:noProof/>
          </w:rPr>
          <w:tab/>
        </w:r>
        <w:r w:rsidR="0044553E" w:rsidRPr="0044553E">
          <w:rPr>
            <w:rStyle w:val="Hyperlink"/>
            <w:bCs/>
            <w:noProof/>
          </w:rPr>
          <w:t>Overview map of the natural gas infrastructure serving New England.</w:t>
        </w:r>
        <w:r w:rsidR="0044553E" w:rsidRPr="0044553E">
          <w:rPr>
            <w:noProof/>
            <w:webHidden/>
          </w:rPr>
          <w:tab/>
        </w:r>
        <w:r w:rsidR="0044553E" w:rsidRPr="0044553E">
          <w:rPr>
            <w:noProof/>
            <w:webHidden/>
          </w:rPr>
          <w:fldChar w:fldCharType="begin"/>
        </w:r>
        <w:r w:rsidR="0044553E" w:rsidRPr="0044553E">
          <w:rPr>
            <w:noProof/>
            <w:webHidden/>
          </w:rPr>
          <w:instrText xml:space="preserve"> PAGEREF _Toc486233211 \h </w:instrText>
        </w:r>
        <w:r w:rsidR="0044553E" w:rsidRPr="0044553E">
          <w:rPr>
            <w:noProof/>
            <w:webHidden/>
          </w:rPr>
        </w:r>
        <w:r w:rsidR="0044553E" w:rsidRPr="0044553E">
          <w:rPr>
            <w:noProof/>
            <w:webHidden/>
          </w:rPr>
          <w:fldChar w:fldCharType="separate"/>
        </w:r>
        <w:r w:rsidR="00B05C7E">
          <w:rPr>
            <w:noProof/>
            <w:webHidden/>
          </w:rPr>
          <w:t>100</w:t>
        </w:r>
        <w:r w:rsidR="0044553E" w:rsidRPr="0044553E">
          <w:rPr>
            <w:noProof/>
            <w:webHidden/>
          </w:rPr>
          <w:fldChar w:fldCharType="end"/>
        </w:r>
      </w:hyperlink>
    </w:p>
    <w:p w:rsidR="0044553E" w:rsidRPr="0044553E" w:rsidRDefault="00CC063D" w:rsidP="0044553E">
      <w:pPr>
        <w:pStyle w:val="TableofFigures"/>
        <w:tabs>
          <w:tab w:val="right" w:leader="dot" w:pos="9350"/>
        </w:tabs>
        <w:ind w:left="1260" w:hanging="1260"/>
        <w:rPr>
          <w:rFonts w:asciiTheme="minorHAnsi" w:eastAsiaTheme="minorEastAsia" w:hAnsiTheme="minorHAnsi" w:cstheme="minorBidi"/>
          <w:noProof/>
          <w:sz w:val="22"/>
          <w:szCs w:val="22"/>
        </w:rPr>
      </w:pPr>
      <w:hyperlink w:anchor="_Toc486233212" w:history="1">
        <w:r w:rsidR="0044553E" w:rsidRPr="0044553E">
          <w:rPr>
            <w:rStyle w:val="Hyperlink"/>
            <w:bCs/>
            <w:noProof/>
          </w:rPr>
          <w:t>Figure 7</w:t>
        </w:r>
        <w:r w:rsidR="0044553E" w:rsidRPr="0044553E">
          <w:rPr>
            <w:rStyle w:val="Hyperlink"/>
            <w:bCs/>
            <w:noProof/>
          </w:rPr>
          <w:noBreakHyphen/>
          <w:t xml:space="preserve">4: </w:t>
        </w:r>
        <w:r w:rsidR="0044553E">
          <w:rPr>
            <w:rStyle w:val="Hyperlink"/>
            <w:bCs/>
            <w:noProof/>
          </w:rPr>
          <w:tab/>
        </w:r>
        <w:r w:rsidR="0044553E" w:rsidRPr="0044553E">
          <w:rPr>
            <w:rStyle w:val="Hyperlink"/>
            <w:bCs/>
            <w:noProof/>
          </w:rPr>
          <w:t>S</w:t>
        </w:r>
        <w:r w:rsidR="0044553E" w:rsidRPr="0044553E">
          <w:rPr>
            <w:rStyle w:val="Hyperlink"/>
            <w:noProof/>
          </w:rPr>
          <w:t>ources of natural gas in the continental United States, 2015.</w:t>
        </w:r>
        <w:r w:rsidR="0044553E" w:rsidRPr="0044553E">
          <w:rPr>
            <w:noProof/>
            <w:webHidden/>
          </w:rPr>
          <w:tab/>
        </w:r>
        <w:r w:rsidR="0044553E" w:rsidRPr="0044553E">
          <w:rPr>
            <w:noProof/>
            <w:webHidden/>
          </w:rPr>
          <w:fldChar w:fldCharType="begin"/>
        </w:r>
        <w:r w:rsidR="0044553E" w:rsidRPr="0044553E">
          <w:rPr>
            <w:noProof/>
            <w:webHidden/>
          </w:rPr>
          <w:instrText xml:space="preserve"> PAGEREF _Toc486233212 \h </w:instrText>
        </w:r>
        <w:r w:rsidR="0044553E" w:rsidRPr="0044553E">
          <w:rPr>
            <w:noProof/>
            <w:webHidden/>
          </w:rPr>
        </w:r>
        <w:r w:rsidR="0044553E" w:rsidRPr="0044553E">
          <w:rPr>
            <w:noProof/>
            <w:webHidden/>
          </w:rPr>
          <w:fldChar w:fldCharType="separate"/>
        </w:r>
        <w:r w:rsidR="00B05C7E">
          <w:rPr>
            <w:noProof/>
            <w:webHidden/>
          </w:rPr>
          <w:t>101</w:t>
        </w:r>
        <w:r w:rsidR="0044553E" w:rsidRPr="0044553E">
          <w:rPr>
            <w:noProof/>
            <w:webHidden/>
          </w:rPr>
          <w:fldChar w:fldCharType="end"/>
        </w:r>
      </w:hyperlink>
    </w:p>
    <w:p w:rsidR="0044553E" w:rsidRPr="0044553E" w:rsidRDefault="00CC063D" w:rsidP="0044553E">
      <w:pPr>
        <w:pStyle w:val="TableofFigures"/>
        <w:tabs>
          <w:tab w:val="right" w:leader="dot" w:pos="9350"/>
        </w:tabs>
        <w:ind w:left="1260" w:hanging="1260"/>
        <w:rPr>
          <w:rFonts w:asciiTheme="minorHAnsi" w:eastAsiaTheme="minorEastAsia" w:hAnsiTheme="minorHAnsi" w:cstheme="minorBidi"/>
          <w:noProof/>
          <w:sz w:val="22"/>
          <w:szCs w:val="22"/>
        </w:rPr>
      </w:pPr>
      <w:hyperlink w:anchor="_Toc486233213" w:history="1">
        <w:r w:rsidR="0044553E" w:rsidRPr="0044553E">
          <w:rPr>
            <w:rStyle w:val="Hyperlink"/>
            <w:bCs/>
            <w:noProof/>
          </w:rPr>
          <w:t>Figure 7</w:t>
        </w:r>
        <w:r w:rsidR="0044553E" w:rsidRPr="0044553E">
          <w:rPr>
            <w:rStyle w:val="Hyperlink"/>
            <w:bCs/>
            <w:noProof/>
          </w:rPr>
          <w:noBreakHyphen/>
          <w:t xml:space="preserve">5: </w:t>
        </w:r>
        <w:r w:rsidR="0044553E">
          <w:rPr>
            <w:rStyle w:val="Hyperlink"/>
            <w:bCs/>
            <w:noProof/>
          </w:rPr>
          <w:tab/>
        </w:r>
        <w:r w:rsidR="0044553E" w:rsidRPr="0044553E">
          <w:rPr>
            <w:rStyle w:val="Hyperlink"/>
            <w:rFonts w:eastAsia="Times New Roman" w:cs="Arial"/>
            <w:bCs/>
            <w:noProof/>
          </w:rPr>
          <w:t>Natural gas pipeline network in the continental United States, September 2014.</w:t>
        </w:r>
        <w:r w:rsidR="0044553E" w:rsidRPr="0044553E">
          <w:rPr>
            <w:noProof/>
            <w:webHidden/>
          </w:rPr>
          <w:tab/>
        </w:r>
        <w:r w:rsidR="0044553E" w:rsidRPr="0044553E">
          <w:rPr>
            <w:noProof/>
            <w:webHidden/>
          </w:rPr>
          <w:fldChar w:fldCharType="begin"/>
        </w:r>
        <w:r w:rsidR="0044553E" w:rsidRPr="0044553E">
          <w:rPr>
            <w:noProof/>
            <w:webHidden/>
          </w:rPr>
          <w:instrText xml:space="preserve"> PAGEREF _Toc486233213 \h </w:instrText>
        </w:r>
        <w:r w:rsidR="0044553E" w:rsidRPr="0044553E">
          <w:rPr>
            <w:noProof/>
            <w:webHidden/>
          </w:rPr>
        </w:r>
        <w:r w:rsidR="0044553E" w:rsidRPr="0044553E">
          <w:rPr>
            <w:noProof/>
            <w:webHidden/>
          </w:rPr>
          <w:fldChar w:fldCharType="separate"/>
        </w:r>
        <w:r w:rsidR="00B05C7E">
          <w:rPr>
            <w:noProof/>
            <w:webHidden/>
          </w:rPr>
          <w:t>101</w:t>
        </w:r>
        <w:r w:rsidR="0044553E" w:rsidRPr="0044553E">
          <w:rPr>
            <w:noProof/>
            <w:webHidden/>
          </w:rPr>
          <w:fldChar w:fldCharType="end"/>
        </w:r>
      </w:hyperlink>
    </w:p>
    <w:p w:rsidR="0044553E" w:rsidRPr="0044553E" w:rsidRDefault="00CC063D" w:rsidP="0044553E">
      <w:pPr>
        <w:pStyle w:val="TableofFigures"/>
        <w:tabs>
          <w:tab w:val="right" w:leader="dot" w:pos="9350"/>
        </w:tabs>
        <w:ind w:left="1260" w:hanging="1260"/>
        <w:rPr>
          <w:rFonts w:asciiTheme="minorHAnsi" w:eastAsiaTheme="minorEastAsia" w:hAnsiTheme="minorHAnsi" w:cstheme="minorBidi"/>
          <w:noProof/>
          <w:sz w:val="22"/>
          <w:szCs w:val="22"/>
        </w:rPr>
      </w:pPr>
      <w:hyperlink w:anchor="_Toc486233214" w:history="1">
        <w:r w:rsidR="0044553E" w:rsidRPr="0044553E">
          <w:rPr>
            <w:rStyle w:val="Hyperlink"/>
            <w:bCs/>
            <w:noProof/>
          </w:rPr>
          <w:t>Figure 7</w:t>
        </w:r>
        <w:r w:rsidR="0044553E" w:rsidRPr="0044553E">
          <w:rPr>
            <w:rStyle w:val="Hyperlink"/>
            <w:bCs/>
            <w:noProof/>
          </w:rPr>
          <w:noBreakHyphen/>
          <w:t xml:space="preserve">6: </w:t>
        </w:r>
        <w:r w:rsidR="0044553E">
          <w:rPr>
            <w:rStyle w:val="Hyperlink"/>
            <w:bCs/>
            <w:noProof/>
          </w:rPr>
          <w:tab/>
        </w:r>
        <w:r w:rsidR="0044553E" w:rsidRPr="0044553E">
          <w:rPr>
            <w:rStyle w:val="Hyperlink"/>
            <w:bCs/>
            <w:noProof/>
          </w:rPr>
          <w:t>Monthly average natural gas prices and real-time Hub LMPs compared with regional</w:t>
        </w:r>
        <w:r w:rsidR="0044553E">
          <w:rPr>
            <w:rStyle w:val="Hyperlink"/>
            <w:bCs/>
            <w:noProof/>
          </w:rPr>
          <w:br/>
        </w:r>
        <w:r w:rsidR="0044553E" w:rsidRPr="0044553E">
          <w:rPr>
            <w:rStyle w:val="Hyperlink"/>
            <w:bCs/>
            <w:noProof/>
          </w:rPr>
          <w:t xml:space="preserve">natural gas prices, March 2003 to March 2017, ($/MWh; $/MMbtu). </w:t>
        </w:r>
        <w:r w:rsidR="0044553E" w:rsidRPr="0044553E">
          <w:rPr>
            <w:noProof/>
            <w:webHidden/>
          </w:rPr>
          <w:tab/>
        </w:r>
        <w:r w:rsidR="0044553E" w:rsidRPr="0044553E">
          <w:rPr>
            <w:noProof/>
            <w:webHidden/>
          </w:rPr>
          <w:fldChar w:fldCharType="begin"/>
        </w:r>
        <w:r w:rsidR="0044553E" w:rsidRPr="0044553E">
          <w:rPr>
            <w:noProof/>
            <w:webHidden/>
          </w:rPr>
          <w:instrText xml:space="preserve"> PAGEREF _Toc486233214 \h </w:instrText>
        </w:r>
        <w:r w:rsidR="0044553E" w:rsidRPr="0044553E">
          <w:rPr>
            <w:noProof/>
            <w:webHidden/>
          </w:rPr>
        </w:r>
        <w:r w:rsidR="0044553E" w:rsidRPr="0044553E">
          <w:rPr>
            <w:noProof/>
            <w:webHidden/>
          </w:rPr>
          <w:fldChar w:fldCharType="separate"/>
        </w:r>
        <w:r w:rsidR="00B05C7E">
          <w:rPr>
            <w:noProof/>
            <w:webHidden/>
          </w:rPr>
          <w:t>103</w:t>
        </w:r>
        <w:r w:rsidR="0044553E" w:rsidRPr="0044553E">
          <w:rPr>
            <w:noProof/>
            <w:webHidden/>
          </w:rPr>
          <w:fldChar w:fldCharType="end"/>
        </w:r>
      </w:hyperlink>
    </w:p>
    <w:p w:rsidR="0044553E" w:rsidRPr="0044553E" w:rsidRDefault="00CC063D" w:rsidP="0044553E">
      <w:pPr>
        <w:pStyle w:val="TableofFigures"/>
        <w:tabs>
          <w:tab w:val="right" w:leader="dot" w:pos="9350"/>
        </w:tabs>
        <w:ind w:left="1260" w:hanging="1260"/>
        <w:rPr>
          <w:rFonts w:asciiTheme="minorHAnsi" w:eastAsiaTheme="minorEastAsia" w:hAnsiTheme="minorHAnsi" w:cstheme="minorBidi"/>
          <w:noProof/>
          <w:sz w:val="22"/>
          <w:szCs w:val="22"/>
        </w:rPr>
      </w:pPr>
      <w:hyperlink w:anchor="_Toc486233215" w:history="1">
        <w:r w:rsidR="0044553E" w:rsidRPr="0044553E">
          <w:rPr>
            <w:rStyle w:val="Hyperlink"/>
            <w:bCs/>
            <w:noProof/>
          </w:rPr>
          <w:t>Figure 7</w:t>
        </w:r>
        <w:r w:rsidR="0044553E" w:rsidRPr="0044553E">
          <w:rPr>
            <w:rStyle w:val="Hyperlink"/>
            <w:bCs/>
            <w:noProof/>
          </w:rPr>
          <w:noBreakHyphen/>
          <w:t xml:space="preserve">7: </w:t>
        </w:r>
        <w:r w:rsidR="0044553E">
          <w:rPr>
            <w:rStyle w:val="Hyperlink"/>
            <w:bCs/>
            <w:noProof/>
          </w:rPr>
          <w:tab/>
        </w:r>
        <w:r w:rsidR="0044553E" w:rsidRPr="0044553E">
          <w:rPr>
            <w:rStyle w:val="Hyperlink"/>
            <w:bCs/>
            <w:noProof/>
          </w:rPr>
          <w:t>Natural gas market data, April 2014 to April 2017 ($/MMBtu).</w:t>
        </w:r>
        <w:r w:rsidR="0044553E" w:rsidRPr="0044553E">
          <w:rPr>
            <w:noProof/>
            <w:webHidden/>
          </w:rPr>
          <w:tab/>
        </w:r>
        <w:r w:rsidR="0044553E" w:rsidRPr="0044553E">
          <w:rPr>
            <w:noProof/>
            <w:webHidden/>
          </w:rPr>
          <w:fldChar w:fldCharType="begin"/>
        </w:r>
        <w:r w:rsidR="0044553E" w:rsidRPr="0044553E">
          <w:rPr>
            <w:noProof/>
            <w:webHidden/>
          </w:rPr>
          <w:instrText xml:space="preserve"> PAGEREF _Toc486233215 \h </w:instrText>
        </w:r>
        <w:r w:rsidR="0044553E" w:rsidRPr="0044553E">
          <w:rPr>
            <w:noProof/>
            <w:webHidden/>
          </w:rPr>
        </w:r>
        <w:r w:rsidR="0044553E" w:rsidRPr="0044553E">
          <w:rPr>
            <w:noProof/>
            <w:webHidden/>
          </w:rPr>
          <w:fldChar w:fldCharType="separate"/>
        </w:r>
        <w:r w:rsidR="00B05C7E">
          <w:rPr>
            <w:noProof/>
            <w:webHidden/>
          </w:rPr>
          <w:t>104</w:t>
        </w:r>
        <w:r w:rsidR="0044553E" w:rsidRPr="0044553E">
          <w:rPr>
            <w:noProof/>
            <w:webHidden/>
          </w:rPr>
          <w:fldChar w:fldCharType="end"/>
        </w:r>
      </w:hyperlink>
    </w:p>
    <w:p w:rsidR="0044553E" w:rsidRPr="0044553E" w:rsidRDefault="00CC063D" w:rsidP="0044553E">
      <w:pPr>
        <w:pStyle w:val="TableofFigures"/>
        <w:tabs>
          <w:tab w:val="right" w:leader="dot" w:pos="9350"/>
        </w:tabs>
        <w:ind w:left="1260" w:hanging="1260"/>
        <w:rPr>
          <w:rFonts w:asciiTheme="minorHAnsi" w:eastAsiaTheme="minorEastAsia" w:hAnsiTheme="minorHAnsi" w:cstheme="minorBidi"/>
          <w:noProof/>
          <w:sz w:val="22"/>
          <w:szCs w:val="22"/>
        </w:rPr>
      </w:pPr>
      <w:hyperlink w:anchor="_Toc486233216" w:history="1">
        <w:r w:rsidR="0044553E" w:rsidRPr="0044553E">
          <w:rPr>
            <w:rStyle w:val="Hyperlink"/>
            <w:bCs/>
            <w:noProof/>
          </w:rPr>
          <w:t>Figure 7</w:t>
        </w:r>
        <w:r w:rsidR="0044553E" w:rsidRPr="0044553E">
          <w:rPr>
            <w:rStyle w:val="Hyperlink"/>
            <w:bCs/>
            <w:noProof/>
          </w:rPr>
          <w:noBreakHyphen/>
          <w:t xml:space="preserve">8:  </w:t>
        </w:r>
        <w:r w:rsidR="0044553E">
          <w:rPr>
            <w:rStyle w:val="Hyperlink"/>
            <w:bCs/>
            <w:noProof/>
          </w:rPr>
          <w:tab/>
        </w:r>
        <w:r w:rsidR="0044553E" w:rsidRPr="0044553E">
          <w:rPr>
            <w:rStyle w:val="Hyperlink"/>
            <w:bCs/>
            <w:noProof/>
          </w:rPr>
          <w:t>Monthly fuel burn (both heavy and light oil) at all New England fossil-fuel stations, winter 2015/2016 and 2016/2017 (beginning of each month) (barrels)</w:t>
        </w:r>
        <w:r w:rsidR="0044553E" w:rsidRPr="0044553E">
          <w:rPr>
            <w:noProof/>
            <w:webHidden/>
          </w:rPr>
          <w:tab/>
        </w:r>
        <w:r w:rsidR="0044553E" w:rsidRPr="0044553E">
          <w:rPr>
            <w:noProof/>
            <w:webHidden/>
          </w:rPr>
          <w:fldChar w:fldCharType="begin"/>
        </w:r>
        <w:r w:rsidR="0044553E" w:rsidRPr="0044553E">
          <w:rPr>
            <w:noProof/>
            <w:webHidden/>
          </w:rPr>
          <w:instrText xml:space="preserve"> PAGEREF _Toc486233216 \h </w:instrText>
        </w:r>
        <w:r w:rsidR="0044553E" w:rsidRPr="0044553E">
          <w:rPr>
            <w:noProof/>
            <w:webHidden/>
          </w:rPr>
        </w:r>
        <w:r w:rsidR="0044553E" w:rsidRPr="0044553E">
          <w:rPr>
            <w:noProof/>
            <w:webHidden/>
          </w:rPr>
          <w:fldChar w:fldCharType="separate"/>
        </w:r>
        <w:r w:rsidR="00B05C7E">
          <w:rPr>
            <w:noProof/>
            <w:webHidden/>
          </w:rPr>
          <w:t>106</w:t>
        </w:r>
        <w:r w:rsidR="0044553E" w:rsidRPr="0044553E">
          <w:rPr>
            <w:noProof/>
            <w:webHidden/>
          </w:rPr>
          <w:fldChar w:fldCharType="end"/>
        </w:r>
      </w:hyperlink>
    </w:p>
    <w:p w:rsidR="0044553E" w:rsidRPr="0044553E" w:rsidRDefault="00CC063D" w:rsidP="0044553E">
      <w:pPr>
        <w:pStyle w:val="TableofFigures"/>
        <w:tabs>
          <w:tab w:val="right" w:leader="dot" w:pos="9350"/>
        </w:tabs>
        <w:ind w:left="1260" w:hanging="1260"/>
        <w:rPr>
          <w:rFonts w:asciiTheme="minorHAnsi" w:eastAsiaTheme="minorEastAsia" w:hAnsiTheme="minorHAnsi" w:cstheme="minorBidi"/>
          <w:noProof/>
          <w:sz w:val="22"/>
          <w:szCs w:val="22"/>
        </w:rPr>
      </w:pPr>
      <w:hyperlink w:anchor="_Toc486233217" w:history="1">
        <w:r w:rsidR="0044553E" w:rsidRPr="0044553E">
          <w:rPr>
            <w:rStyle w:val="Hyperlink"/>
            <w:bCs/>
            <w:noProof/>
          </w:rPr>
          <w:t>Figure 7</w:t>
        </w:r>
        <w:r w:rsidR="0044553E" w:rsidRPr="0044553E">
          <w:rPr>
            <w:rStyle w:val="Hyperlink"/>
            <w:bCs/>
            <w:noProof/>
          </w:rPr>
          <w:noBreakHyphen/>
          <w:t xml:space="preserve">9: </w:t>
        </w:r>
        <w:r w:rsidR="0044553E">
          <w:rPr>
            <w:rStyle w:val="Hyperlink"/>
            <w:bCs/>
            <w:noProof/>
          </w:rPr>
          <w:tab/>
        </w:r>
        <w:r w:rsidR="0044553E" w:rsidRPr="0044553E">
          <w:rPr>
            <w:rStyle w:val="Hyperlink"/>
            <w:bCs/>
            <w:noProof/>
          </w:rPr>
          <w:t>Comparison of LNG deliveries for winter 2014/2015 through winter 2016/2017.</w:t>
        </w:r>
        <w:r w:rsidR="0044553E" w:rsidRPr="0044553E">
          <w:rPr>
            <w:noProof/>
            <w:webHidden/>
          </w:rPr>
          <w:tab/>
        </w:r>
        <w:r w:rsidR="0044553E" w:rsidRPr="0044553E">
          <w:rPr>
            <w:noProof/>
            <w:webHidden/>
          </w:rPr>
          <w:fldChar w:fldCharType="begin"/>
        </w:r>
        <w:r w:rsidR="0044553E" w:rsidRPr="0044553E">
          <w:rPr>
            <w:noProof/>
            <w:webHidden/>
          </w:rPr>
          <w:instrText xml:space="preserve"> PAGEREF _Toc486233217 \h </w:instrText>
        </w:r>
        <w:r w:rsidR="0044553E" w:rsidRPr="0044553E">
          <w:rPr>
            <w:noProof/>
            <w:webHidden/>
          </w:rPr>
        </w:r>
        <w:r w:rsidR="0044553E" w:rsidRPr="0044553E">
          <w:rPr>
            <w:noProof/>
            <w:webHidden/>
          </w:rPr>
          <w:fldChar w:fldCharType="separate"/>
        </w:r>
        <w:r w:rsidR="00B05C7E">
          <w:rPr>
            <w:noProof/>
            <w:webHidden/>
          </w:rPr>
          <w:t>107</w:t>
        </w:r>
        <w:r w:rsidR="0044553E" w:rsidRPr="0044553E">
          <w:rPr>
            <w:noProof/>
            <w:webHidden/>
          </w:rPr>
          <w:fldChar w:fldCharType="end"/>
        </w:r>
      </w:hyperlink>
    </w:p>
    <w:p w:rsidR="0044553E" w:rsidRPr="0044553E" w:rsidRDefault="00CC063D" w:rsidP="0044553E">
      <w:pPr>
        <w:pStyle w:val="TableofFigures"/>
        <w:tabs>
          <w:tab w:val="right" w:leader="dot" w:pos="9350"/>
        </w:tabs>
        <w:ind w:left="1260" w:hanging="1260"/>
        <w:rPr>
          <w:rFonts w:asciiTheme="minorHAnsi" w:eastAsiaTheme="minorEastAsia" w:hAnsiTheme="minorHAnsi" w:cstheme="minorBidi"/>
          <w:noProof/>
          <w:sz w:val="22"/>
          <w:szCs w:val="22"/>
        </w:rPr>
      </w:pPr>
      <w:hyperlink w:anchor="_Toc486233218" w:history="1">
        <w:r w:rsidR="0044553E" w:rsidRPr="0044553E">
          <w:rPr>
            <w:rStyle w:val="Hyperlink"/>
            <w:bCs/>
            <w:noProof/>
          </w:rPr>
          <w:t>Figure 7</w:t>
        </w:r>
        <w:r w:rsidR="0044553E" w:rsidRPr="0044553E">
          <w:rPr>
            <w:rStyle w:val="Hyperlink"/>
            <w:bCs/>
            <w:noProof/>
          </w:rPr>
          <w:noBreakHyphen/>
          <w:t xml:space="preserve">10: </w:t>
        </w:r>
        <w:r w:rsidR="0044553E">
          <w:rPr>
            <w:rStyle w:val="Hyperlink"/>
            <w:bCs/>
            <w:noProof/>
          </w:rPr>
          <w:tab/>
        </w:r>
        <w:r w:rsidR="0044553E" w:rsidRPr="0044553E">
          <w:rPr>
            <w:rStyle w:val="Hyperlink"/>
            <w:bCs/>
            <w:noProof/>
          </w:rPr>
          <w:t>Proposed natural gas pipeline expansions benefiting New England, 2015.</w:t>
        </w:r>
        <w:r w:rsidR="0044553E" w:rsidRPr="0044553E">
          <w:rPr>
            <w:noProof/>
            <w:webHidden/>
          </w:rPr>
          <w:tab/>
        </w:r>
        <w:r w:rsidR="0044553E" w:rsidRPr="0044553E">
          <w:rPr>
            <w:noProof/>
            <w:webHidden/>
          </w:rPr>
          <w:fldChar w:fldCharType="begin"/>
        </w:r>
        <w:r w:rsidR="0044553E" w:rsidRPr="0044553E">
          <w:rPr>
            <w:noProof/>
            <w:webHidden/>
          </w:rPr>
          <w:instrText xml:space="preserve"> PAGEREF _Toc486233218 \h </w:instrText>
        </w:r>
        <w:r w:rsidR="0044553E" w:rsidRPr="0044553E">
          <w:rPr>
            <w:noProof/>
            <w:webHidden/>
          </w:rPr>
        </w:r>
        <w:r w:rsidR="0044553E" w:rsidRPr="0044553E">
          <w:rPr>
            <w:noProof/>
            <w:webHidden/>
          </w:rPr>
          <w:fldChar w:fldCharType="separate"/>
        </w:r>
        <w:r w:rsidR="00B05C7E">
          <w:rPr>
            <w:noProof/>
            <w:webHidden/>
          </w:rPr>
          <w:t>108</w:t>
        </w:r>
        <w:r w:rsidR="0044553E" w:rsidRPr="0044553E">
          <w:rPr>
            <w:noProof/>
            <w:webHidden/>
          </w:rPr>
          <w:fldChar w:fldCharType="end"/>
        </w:r>
      </w:hyperlink>
    </w:p>
    <w:p w:rsidR="0044553E" w:rsidRPr="0044553E" w:rsidRDefault="00CC063D" w:rsidP="0044553E">
      <w:pPr>
        <w:pStyle w:val="TableofFigures"/>
        <w:tabs>
          <w:tab w:val="right" w:leader="dot" w:pos="9350"/>
        </w:tabs>
        <w:ind w:left="1260" w:hanging="1260"/>
        <w:rPr>
          <w:rFonts w:asciiTheme="minorHAnsi" w:eastAsiaTheme="minorEastAsia" w:hAnsiTheme="minorHAnsi" w:cstheme="minorBidi"/>
          <w:noProof/>
          <w:sz w:val="22"/>
          <w:szCs w:val="22"/>
        </w:rPr>
      </w:pPr>
      <w:hyperlink w:anchor="_Toc486233219" w:history="1">
        <w:r w:rsidR="0044553E" w:rsidRPr="0044553E">
          <w:rPr>
            <w:rStyle w:val="Hyperlink"/>
            <w:bCs/>
            <w:noProof/>
          </w:rPr>
          <w:t>Figure 8</w:t>
        </w:r>
        <w:r w:rsidR="0044553E" w:rsidRPr="0044553E">
          <w:rPr>
            <w:rStyle w:val="Hyperlink"/>
            <w:bCs/>
            <w:noProof/>
          </w:rPr>
          <w:noBreakHyphen/>
          <w:t>1:</w:t>
        </w:r>
        <w:r w:rsidR="0044553E" w:rsidRPr="0044553E">
          <w:rPr>
            <w:rStyle w:val="Hyperlink"/>
            <w:rFonts w:asciiTheme="majorHAnsi" w:hAnsiTheme="majorHAnsi"/>
            <w:bCs/>
            <w:noProof/>
          </w:rPr>
          <w:t xml:space="preserve"> </w:t>
        </w:r>
        <w:r w:rsidR="0044553E">
          <w:rPr>
            <w:rStyle w:val="Hyperlink"/>
            <w:rFonts w:asciiTheme="majorHAnsi" w:hAnsiTheme="majorHAnsi"/>
            <w:bCs/>
            <w:noProof/>
          </w:rPr>
          <w:tab/>
        </w:r>
        <w:r w:rsidR="0044553E" w:rsidRPr="0044553E">
          <w:rPr>
            <w:rStyle w:val="Hyperlink"/>
            <w:rFonts w:asciiTheme="majorHAnsi" w:hAnsiTheme="majorHAnsi"/>
            <w:bCs/>
            <w:noProof/>
          </w:rPr>
          <w:t>Summer claimed capability and cooling technology type in New England, 2017 (MW).</w:t>
        </w:r>
        <w:r w:rsidR="0044553E" w:rsidRPr="0044553E">
          <w:rPr>
            <w:noProof/>
            <w:webHidden/>
          </w:rPr>
          <w:tab/>
        </w:r>
        <w:r w:rsidR="0044553E" w:rsidRPr="0044553E">
          <w:rPr>
            <w:noProof/>
            <w:webHidden/>
          </w:rPr>
          <w:fldChar w:fldCharType="begin"/>
        </w:r>
        <w:r w:rsidR="0044553E" w:rsidRPr="0044553E">
          <w:rPr>
            <w:noProof/>
            <w:webHidden/>
          </w:rPr>
          <w:instrText xml:space="preserve"> PAGEREF _Toc486233219 \h </w:instrText>
        </w:r>
        <w:r w:rsidR="0044553E" w:rsidRPr="0044553E">
          <w:rPr>
            <w:noProof/>
            <w:webHidden/>
          </w:rPr>
        </w:r>
        <w:r w:rsidR="0044553E" w:rsidRPr="0044553E">
          <w:rPr>
            <w:noProof/>
            <w:webHidden/>
          </w:rPr>
          <w:fldChar w:fldCharType="separate"/>
        </w:r>
        <w:r w:rsidR="00B05C7E">
          <w:rPr>
            <w:noProof/>
            <w:webHidden/>
          </w:rPr>
          <w:t>113</w:t>
        </w:r>
        <w:r w:rsidR="0044553E" w:rsidRPr="0044553E">
          <w:rPr>
            <w:noProof/>
            <w:webHidden/>
          </w:rPr>
          <w:fldChar w:fldCharType="end"/>
        </w:r>
      </w:hyperlink>
    </w:p>
    <w:p w:rsidR="0044553E" w:rsidRPr="0044553E" w:rsidRDefault="00CC063D" w:rsidP="0044553E">
      <w:pPr>
        <w:pStyle w:val="TableofFigures"/>
        <w:tabs>
          <w:tab w:val="right" w:leader="dot" w:pos="9350"/>
        </w:tabs>
        <w:ind w:left="1260" w:hanging="1260"/>
        <w:rPr>
          <w:rFonts w:asciiTheme="minorHAnsi" w:eastAsiaTheme="minorEastAsia" w:hAnsiTheme="minorHAnsi" w:cstheme="minorBidi"/>
          <w:noProof/>
          <w:sz w:val="22"/>
          <w:szCs w:val="22"/>
        </w:rPr>
      </w:pPr>
      <w:hyperlink w:anchor="_Toc486233220" w:history="1">
        <w:r w:rsidR="0044553E" w:rsidRPr="0044553E">
          <w:rPr>
            <w:rStyle w:val="Hyperlink"/>
            <w:bCs/>
            <w:noProof/>
          </w:rPr>
          <w:t>Figure 8</w:t>
        </w:r>
        <w:r w:rsidR="0044553E" w:rsidRPr="0044553E">
          <w:rPr>
            <w:rStyle w:val="Hyperlink"/>
            <w:bCs/>
            <w:noProof/>
          </w:rPr>
          <w:noBreakHyphen/>
          <w:t xml:space="preserve">2: </w:t>
        </w:r>
        <w:r w:rsidR="0044553E">
          <w:rPr>
            <w:rStyle w:val="Hyperlink"/>
            <w:bCs/>
            <w:noProof/>
          </w:rPr>
          <w:tab/>
        </w:r>
        <w:r w:rsidR="0044553E" w:rsidRPr="0044553E">
          <w:rPr>
            <w:rStyle w:val="Hyperlink"/>
            <w:bCs/>
            <w:noProof/>
          </w:rPr>
          <w:t>New England system annual emissions of NO</w:t>
        </w:r>
        <w:r w:rsidR="0044553E" w:rsidRPr="0044553E">
          <w:rPr>
            <w:rStyle w:val="Hyperlink"/>
            <w:bCs/>
            <w:noProof/>
            <w:vertAlign w:val="subscript"/>
          </w:rPr>
          <w:t>X</w:t>
        </w:r>
        <w:r w:rsidR="0044553E" w:rsidRPr="0044553E">
          <w:rPr>
            <w:rStyle w:val="Hyperlink"/>
            <w:bCs/>
            <w:noProof/>
          </w:rPr>
          <w:t>, SO</w:t>
        </w:r>
        <w:r w:rsidR="0044553E" w:rsidRPr="0044553E">
          <w:rPr>
            <w:rStyle w:val="Hyperlink"/>
            <w:bCs/>
            <w:noProof/>
            <w:vertAlign w:val="subscript"/>
          </w:rPr>
          <w:t>2</w:t>
        </w:r>
        <w:r w:rsidR="0044553E" w:rsidRPr="0044553E">
          <w:rPr>
            <w:rStyle w:val="Hyperlink"/>
            <w:bCs/>
            <w:noProof/>
          </w:rPr>
          <w:t>, and CO</w:t>
        </w:r>
        <w:r w:rsidR="0044553E" w:rsidRPr="0044553E">
          <w:rPr>
            <w:rStyle w:val="Hyperlink"/>
            <w:bCs/>
            <w:noProof/>
            <w:vertAlign w:val="subscript"/>
          </w:rPr>
          <w:t>2</w:t>
        </w:r>
        <w:r w:rsidR="0044553E" w:rsidRPr="0044553E">
          <w:rPr>
            <w:rStyle w:val="Hyperlink"/>
            <w:bCs/>
            <w:noProof/>
          </w:rPr>
          <w:t>, 2006 to 2015 (ktons).</w:t>
        </w:r>
        <w:r w:rsidR="0044553E" w:rsidRPr="0044553E">
          <w:rPr>
            <w:noProof/>
            <w:webHidden/>
          </w:rPr>
          <w:tab/>
        </w:r>
        <w:r w:rsidR="0044553E" w:rsidRPr="0044553E">
          <w:rPr>
            <w:noProof/>
            <w:webHidden/>
          </w:rPr>
          <w:fldChar w:fldCharType="begin"/>
        </w:r>
        <w:r w:rsidR="0044553E" w:rsidRPr="0044553E">
          <w:rPr>
            <w:noProof/>
            <w:webHidden/>
          </w:rPr>
          <w:instrText xml:space="preserve"> PAGEREF _Toc486233220 \h </w:instrText>
        </w:r>
        <w:r w:rsidR="0044553E" w:rsidRPr="0044553E">
          <w:rPr>
            <w:noProof/>
            <w:webHidden/>
          </w:rPr>
        </w:r>
        <w:r w:rsidR="0044553E" w:rsidRPr="0044553E">
          <w:rPr>
            <w:noProof/>
            <w:webHidden/>
          </w:rPr>
          <w:fldChar w:fldCharType="separate"/>
        </w:r>
        <w:r w:rsidR="00B05C7E">
          <w:rPr>
            <w:noProof/>
            <w:webHidden/>
          </w:rPr>
          <w:t>115</w:t>
        </w:r>
        <w:r w:rsidR="0044553E" w:rsidRPr="0044553E">
          <w:rPr>
            <w:noProof/>
            <w:webHidden/>
          </w:rPr>
          <w:fldChar w:fldCharType="end"/>
        </w:r>
      </w:hyperlink>
    </w:p>
    <w:p w:rsidR="0044553E" w:rsidRPr="0044553E" w:rsidRDefault="00CC063D" w:rsidP="0044553E">
      <w:pPr>
        <w:pStyle w:val="TableofFigures"/>
        <w:tabs>
          <w:tab w:val="right" w:leader="dot" w:pos="9350"/>
        </w:tabs>
        <w:ind w:left="1260" w:hanging="1260"/>
        <w:rPr>
          <w:rFonts w:asciiTheme="minorHAnsi" w:eastAsiaTheme="minorEastAsia" w:hAnsiTheme="minorHAnsi" w:cstheme="minorBidi"/>
          <w:noProof/>
          <w:sz w:val="22"/>
          <w:szCs w:val="22"/>
        </w:rPr>
      </w:pPr>
      <w:hyperlink w:anchor="_Toc486233221" w:history="1">
        <w:r w:rsidR="0044553E" w:rsidRPr="0044553E">
          <w:rPr>
            <w:rStyle w:val="Hyperlink"/>
            <w:bCs/>
            <w:noProof/>
          </w:rPr>
          <w:t>Figure 8</w:t>
        </w:r>
        <w:r w:rsidR="0044553E" w:rsidRPr="0044553E">
          <w:rPr>
            <w:rStyle w:val="Hyperlink"/>
            <w:bCs/>
            <w:noProof/>
          </w:rPr>
          <w:noBreakHyphen/>
          <w:t xml:space="preserve">3: </w:t>
        </w:r>
        <w:r w:rsidR="0044553E">
          <w:rPr>
            <w:rStyle w:val="Hyperlink"/>
            <w:bCs/>
            <w:noProof/>
          </w:rPr>
          <w:tab/>
        </w:r>
        <w:r w:rsidR="0044553E" w:rsidRPr="0044553E">
          <w:rPr>
            <w:rStyle w:val="Hyperlink"/>
            <w:bCs/>
            <w:noProof/>
          </w:rPr>
          <w:t>New England RGGI states’ quarterly CO</w:t>
        </w:r>
        <w:r w:rsidR="0044553E" w:rsidRPr="0044553E">
          <w:rPr>
            <w:rStyle w:val="Hyperlink"/>
            <w:bCs/>
            <w:noProof/>
            <w:vertAlign w:val="subscript"/>
          </w:rPr>
          <w:t>2</w:t>
        </w:r>
        <w:r w:rsidR="0044553E" w:rsidRPr="0044553E">
          <w:rPr>
            <w:rStyle w:val="Hyperlink"/>
            <w:bCs/>
            <w:noProof/>
          </w:rPr>
          <w:t xml:space="preserve"> emissions and allowance auctions, 2008 to 2016</w:t>
        </w:r>
        <w:r w:rsidR="0044553E">
          <w:rPr>
            <w:rStyle w:val="Hyperlink"/>
            <w:bCs/>
            <w:noProof/>
          </w:rPr>
          <w:br/>
        </w:r>
        <w:r w:rsidR="0044553E" w:rsidRPr="0044553E">
          <w:rPr>
            <w:rStyle w:val="Hyperlink"/>
            <w:bCs/>
            <w:noProof/>
          </w:rPr>
          <w:t>(mtons, millions).</w:t>
        </w:r>
        <w:r w:rsidR="0044553E" w:rsidRPr="0044553E">
          <w:rPr>
            <w:noProof/>
            <w:webHidden/>
          </w:rPr>
          <w:tab/>
        </w:r>
        <w:r w:rsidR="0044553E" w:rsidRPr="0044553E">
          <w:rPr>
            <w:noProof/>
            <w:webHidden/>
          </w:rPr>
          <w:fldChar w:fldCharType="begin"/>
        </w:r>
        <w:r w:rsidR="0044553E" w:rsidRPr="0044553E">
          <w:rPr>
            <w:noProof/>
            <w:webHidden/>
          </w:rPr>
          <w:instrText xml:space="preserve"> PAGEREF _Toc486233221 \h </w:instrText>
        </w:r>
        <w:r w:rsidR="0044553E" w:rsidRPr="0044553E">
          <w:rPr>
            <w:noProof/>
            <w:webHidden/>
          </w:rPr>
        </w:r>
        <w:r w:rsidR="0044553E" w:rsidRPr="0044553E">
          <w:rPr>
            <w:noProof/>
            <w:webHidden/>
          </w:rPr>
          <w:fldChar w:fldCharType="separate"/>
        </w:r>
        <w:r w:rsidR="00B05C7E">
          <w:rPr>
            <w:noProof/>
            <w:webHidden/>
          </w:rPr>
          <w:t>117</w:t>
        </w:r>
        <w:r w:rsidR="0044553E" w:rsidRPr="0044553E">
          <w:rPr>
            <w:noProof/>
            <w:webHidden/>
          </w:rPr>
          <w:fldChar w:fldCharType="end"/>
        </w:r>
      </w:hyperlink>
    </w:p>
    <w:p w:rsidR="0044553E" w:rsidRPr="0044553E" w:rsidRDefault="00CC063D" w:rsidP="0044553E">
      <w:pPr>
        <w:pStyle w:val="TableofFigures"/>
        <w:tabs>
          <w:tab w:val="right" w:leader="dot" w:pos="9350"/>
        </w:tabs>
        <w:ind w:left="1260" w:hanging="1260"/>
        <w:rPr>
          <w:rFonts w:asciiTheme="minorHAnsi" w:eastAsiaTheme="minorEastAsia" w:hAnsiTheme="minorHAnsi" w:cstheme="minorBidi"/>
          <w:noProof/>
          <w:sz w:val="22"/>
          <w:szCs w:val="22"/>
        </w:rPr>
      </w:pPr>
      <w:hyperlink w:anchor="_Toc486233222" w:history="1">
        <w:r w:rsidR="0044553E" w:rsidRPr="0044553E">
          <w:rPr>
            <w:rStyle w:val="Hyperlink"/>
            <w:bCs/>
            <w:noProof/>
          </w:rPr>
          <w:t>Figure 8</w:t>
        </w:r>
        <w:r w:rsidR="0044553E" w:rsidRPr="0044553E">
          <w:rPr>
            <w:rStyle w:val="Hyperlink"/>
            <w:bCs/>
            <w:noProof/>
          </w:rPr>
          <w:noBreakHyphen/>
          <w:t xml:space="preserve">4: </w:t>
        </w:r>
        <w:r w:rsidR="0044553E">
          <w:rPr>
            <w:rStyle w:val="Hyperlink"/>
            <w:bCs/>
            <w:noProof/>
          </w:rPr>
          <w:tab/>
        </w:r>
        <w:r w:rsidR="0044553E" w:rsidRPr="0044553E">
          <w:rPr>
            <w:rStyle w:val="Hyperlink"/>
            <w:bCs/>
            <w:noProof/>
          </w:rPr>
          <w:t>New England RGGI states’ quarterly CO</w:t>
        </w:r>
        <w:r w:rsidR="0044553E" w:rsidRPr="0044553E">
          <w:rPr>
            <w:rStyle w:val="Hyperlink"/>
            <w:bCs/>
            <w:noProof/>
            <w:vertAlign w:val="subscript"/>
          </w:rPr>
          <w:t>2</w:t>
        </w:r>
        <w:r w:rsidR="0044553E" w:rsidRPr="0044553E">
          <w:rPr>
            <w:rStyle w:val="Hyperlink"/>
            <w:bCs/>
            <w:noProof/>
          </w:rPr>
          <w:t xml:space="preserve"> allowance auction proceeds and clearing price,</w:t>
        </w:r>
        <w:r w:rsidR="0044553E">
          <w:rPr>
            <w:rStyle w:val="Hyperlink"/>
            <w:bCs/>
            <w:noProof/>
          </w:rPr>
          <w:br/>
        </w:r>
        <w:r w:rsidR="0044553E" w:rsidRPr="0044553E">
          <w:rPr>
            <w:rStyle w:val="Hyperlink"/>
            <w:bCs/>
            <w:noProof/>
          </w:rPr>
          <w:t>2008 to 2016 (million $ and $).</w:t>
        </w:r>
        <w:r w:rsidR="0044553E" w:rsidRPr="0044553E">
          <w:rPr>
            <w:noProof/>
            <w:webHidden/>
          </w:rPr>
          <w:tab/>
        </w:r>
        <w:r w:rsidR="0044553E" w:rsidRPr="0044553E">
          <w:rPr>
            <w:noProof/>
            <w:webHidden/>
          </w:rPr>
          <w:fldChar w:fldCharType="begin"/>
        </w:r>
        <w:r w:rsidR="0044553E" w:rsidRPr="0044553E">
          <w:rPr>
            <w:noProof/>
            <w:webHidden/>
          </w:rPr>
          <w:instrText xml:space="preserve"> PAGEREF _Toc486233222 \h </w:instrText>
        </w:r>
        <w:r w:rsidR="0044553E" w:rsidRPr="0044553E">
          <w:rPr>
            <w:noProof/>
            <w:webHidden/>
          </w:rPr>
        </w:r>
        <w:r w:rsidR="0044553E" w:rsidRPr="0044553E">
          <w:rPr>
            <w:noProof/>
            <w:webHidden/>
          </w:rPr>
          <w:fldChar w:fldCharType="separate"/>
        </w:r>
        <w:r w:rsidR="00B05C7E">
          <w:rPr>
            <w:noProof/>
            <w:webHidden/>
          </w:rPr>
          <w:t>118</w:t>
        </w:r>
        <w:r w:rsidR="0044553E" w:rsidRPr="0044553E">
          <w:rPr>
            <w:noProof/>
            <w:webHidden/>
          </w:rPr>
          <w:fldChar w:fldCharType="end"/>
        </w:r>
      </w:hyperlink>
    </w:p>
    <w:p w:rsidR="0044553E" w:rsidRPr="0044553E" w:rsidRDefault="00CC063D" w:rsidP="0044553E">
      <w:pPr>
        <w:pStyle w:val="TableofFigures"/>
        <w:tabs>
          <w:tab w:val="right" w:leader="dot" w:pos="9350"/>
        </w:tabs>
        <w:ind w:left="1260" w:hanging="1260"/>
        <w:rPr>
          <w:rFonts w:asciiTheme="minorHAnsi" w:eastAsiaTheme="minorEastAsia" w:hAnsiTheme="minorHAnsi" w:cstheme="minorBidi"/>
          <w:noProof/>
          <w:sz w:val="22"/>
          <w:szCs w:val="22"/>
        </w:rPr>
      </w:pPr>
      <w:hyperlink w:anchor="_Toc486233223" w:history="1">
        <w:r w:rsidR="0044553E" w:rsidRPr="0044553E">
          <w:rPr>
            <w:rStyle w:val="Hyperlink"/>
            <w:bCs/>
            <w:noProof/>
          </w:rPr>
          <w:t>Figure 8</w:t>
        </w:r>
        <w:r w:rsidR="0044553E" w:rsidRPr="0044553E">
          <w:rPr>
            <w:rStyle w:val="Hyperlink"/>
            <w:bCs/>
            <w:noProof/>
          </w:rPr>
          <w:noBreakHyphen/>
          <w:t>5</w:t>
        </w:r>
        <w:r w:rsidR="0044553E" w:rsidRPr="0044553E">
          <w:rPr>
            <w:rStyle w:val="Hyperlink"/>
            <w:noProof/>
          </w:rPr>
          <w:t xml:space="preserve">: </w:t>
        </w:r>
        <w:r w:rsidR="0044553E">
          <w:rPr>
            <w:rStyle w:val="Hyperlink"/>
            <w:noProof/>
          </w:rPr>
          <w:tab/>
        </w:r>
        <w:r w:rsidR="009F1095">
          <w:rPr>
            <w:rStyle w:val="Hyperlink"/>
            <w:noProof/>
          </w:rPr>
          <w:t>Contribution of CO</w:t>
        </w:r>
        <w:r w:rsidR="009F1095" w:rsidRPr="00B84735">
          <w:rPr>
            <w:rStyle w:val="Hyperlink"/>
            <w:noProof/>
            <w:vertAlign w:val="subscript"/>
          </w:rPr>
          <w:t>2</w:t>
        </w:r>
        <w:r w:rsidR="009F1095">
          <w:rPr>
            <w:rStyle w:val="Hyperlink"/>
            <w:noProof/>
          </w:rPr>
          <w:t xml:space="preserve"> allowance </w:t>
        </w:r>
        <w:r w:rsidR="0044553E" w:rsidRPr="0044553E">
          <w:rPr>
            <w:rStyle w:val="Hyperlink"/>
            <w:noProof/>
          </w:rPr>
          <w:t>costs to energy production costs</w:t>
        </w:r>
        <w:r w:rsidR="009F1095">
          <w:rPr>
            <w:rStyle w:val="Hyperlink"/>
            <w:noProof/>
          </w:rPr>
          <w:t xml:space="preserve">, </w:t>
        </w:r>
        <w:r w:rsidR="0044553E" w:rsidRPr="0044553E">
          <w:rPr>
            <w:rStyle w:val="Hyperlink"/>
            <w:noProof/>
          </w:rPr>
          <w:t>2012 to 2017</w:t>
        </w:r>
        <w:r w:rsidR="009F1095">
          <w:rPr>
            <w:rStyle w:val="Hyperlink"/>
            <w:noProof/>
          </w:rPr>
          <w:t xml:space="preserve"> ($/MWh</w:t>
        </w:r>
        <w:r w:rsidR="0044553E" w:rsidRPr="0044553E">
          <w:rPr>
            <w:rStyle w:val="Hyperlink"/>
            <w:noProof/>
          </w:rPr>
          <w:t>).</w:t>
        </w:r>
        <w:r w:rsidR="0044553E" w:rsidRPr="0044553E">
          <w:rPr>
            <w:noProof/>
            <w:webHidden/>
          </w:rPr>
          <w:tab/>
        </w:r>
        <w:r w:rsidR="0044553E" w:rsidRPr="0044553E">
          <w:rPr>
            <w:noProof/>
            <w:webHidden/>
          </w:rPr>
          <w:fldChar w:fldCharType="begin"/>
        </w:r>
        <w:r w:rsidR="0044553E" w:rsidRPr="0044553E">
          <w:rPr>
            <w:noProof/>
            <w:webHidden/>
          </w:rPr>
          <w:instrText xml:space="preserve"> PAGEREF _Toc486233223 \h </w:instrText>
        </w:r>
        <w:r w:rsidR="0044553E" w:rsidRPr="0044553E">
          <w:rPr>
            <w:noProof/>
            <w:webHidden/>
          </w:rPr>
        </w:r>
        <w:r w:rsidR="0044553E" w:rsidRPr="0044553E">
          <w:rPr>
            <w:noProof/>
            <w:webHidden/>
          </w:rPr>
          <w:fldChar w:fldCharType="separate"/>
        </w:r>
        <w:r w:rsidR="00B05C7E">
          <w:rPr>
            <w:noProof/>
            <w:webHidden/>
          </w:rPr>
          <w:t>119</w:t>
        </w:r>
        <w:r w:rsidR="0044553E" w:rsidRPr="0044553E">
          <w:rPr>
            <w:noProof/>
            <w:webHidden/>
          </w:rPr>
          <w:fldChar w:fldCharType="end"/>
        </w:r>
      </w:hyperlink>
    </w:p>
    <w:p w:rsidR="0044553E" w:rsidRPr="0044553E" w:rsidRDefault="00CC063D" w:rsidP="0044553E">
      <w:pPr>
        <w:pStyle w:val="TableofFigures"/>
        <w:tabs>
          <w:tab w:val="right" w:leader="dot" w:pos="9350"/>
        </w:tabs>
        <w:ind w:left="1260" w:hanging="1260"/>
        <w:rPr>
          <w:rFonts w:asciiTheme="minorHAnsi" w:eastAsiaTheme="minorEastAsia" w:hAnsiTheme="minorHAnsi" w:cstheme="minorBidi"/>
          <w:noProof/>
          <w:sz w:val="22"/>
          <w:szCs w:val="22"/>
        </w:rPr>
      </w:pPr>
      <w:hyperlink w:anchor="_Toc486233224" w:history="1">
        <w:r w:rsidR="0044553E" w:rsidRPr="0044553E">
          <w:rPr>
            <w:rStyle w:val="Hyperlink"/>
            <w:rFonts w:eastAsia="Times New Roman"/>
            <w:bCs/>
            <w:noProof/>
          </w:rPr>
          <w:t>Figure 9</w:t>
        </w:r>
        <w:r w:rsidR="0044553E" w:rsidRPr="0044553E">
          <w:rPr>
            <w:rStyle w:val="Hyperlink"/>
            <w:rFonts w:eastAsia="Times New Roman"/>
            <w:bCs/>
            <w:noProof/>
          </w:rPr>
          <w:noBreakHyphen/>
          <w:t xml:space="preserve">1: </w:t>
        </w:r>
        <w:r w:rsidR="0044553E">
          <w:rPr>
            <w:rStyle w:val="Hyperlink"/>
            <w:rFonts w:eastAsia="Times New Roman"/>
            <w:bCs/>
            <w:noProof/>
          </w:rPr>
          <w:tab/>
        </w:r>
        <w:r w:rsidR="0044553E" w:rsidRPr="0044553E">
          <w:rPr>
            <w:rStyle w:val="Hyperlink"/>
            <w:rFonts w:eastAsia="Times New Roman"/>
            <w:bCs/>
            <w:noProof/>
          </w:rPr>
          <w:t>Areas in Connecticut and Massachusetts where PV resources</w:t>
        </w:r>
        <w:r w:rsidR="0044553E">
          <w:rPr>
            <w:rStyle w:val="Hyperlink"/>
            <w:rFonts w:eastAsia="Times New Roman"/>
            <w:bCs/>
            <w:noProof/>
          </w:rPr>
          <w:br/>
        </w:r>
        <w:r w:rsidR="0044553E" w:rsidRPr="0044553E">
          <w:rPr>
            <w:rStyle w:val="Hyperlink"/>
            <w:rFonts w:eastAsia="Times New Roman"/>
            <w:bCs/>
            <w:noProof/>
          </w:rPr>
          <w:t>are likely</w:t>
        </w:r>
        <w:r w:rsidR="0044553E">
          <w:rPr>
            <w:rStyle w:val="Hyperlink"/>
            <w:rFonts w:eastAsia="Times New Roman"/>
            <w:bCs/>
            <w:noProof/>
          </w:rPr>
          <w:t xml:space="preserve"> </w:t>
        </w:r>
        <w:r w:rsidR="0044553E" w:rsidRPr="0044553E">
          <w:rPr>
            <w:rStyle w:val="Hyperlink"/>
            <w:rFonts w:eastAsia="Times New Roman"/>
            <w:bCs/>
            <w:noProof/>
          </w:rPr>
          <w:t>to trip off line because of low voltage in the event of a fault on the 345 kV</w:t>
        </w:r>
        <w:r w:rsidR="0044553E">
          <w:rPr>
            <w:rStyle w:val="Hyperlink"/>
            <w:rFonts w:eastAsia="Times New Roman"/>
            <w:bCs/>
            <w:noProof/>
          </w:rPr>
          <w:br/>
        </w:r>
        <w:r w:rsidR="0044553E" w:rsidRPr="0044553E">
          <w:rPr>
            <w:rStyle w:val="Hyperlink"/>
            <w:rFonts w:eastAsia="Times New Roman"/>
            <w:bCs/>
            <w:noProof/>
          </w:rPr>
          <w:t>transmission system</w:t>
        </w:r>
        <w:r w:rsidR="0044553E" w:rsidRPr="0044553E">
          <w:rPr>
            <w:rStyle w:val="Hyperlink"/>
            <w:rFonts w:eastAsia="Times New Roman"/>
            <w:noProof/>
          </w:rPr>
          <w:t>.</w:t>
        </w:r>
        <w:r w:rsidR="0044553E" w:rsidRPr="0044553E">
          <w:rPr>
            <w:noProof/>
            <w:webHidden/>
          </w:rPr>
          <w:tab/>
        </w:r>
        <w:r w:rsidR="0044553E" w:rsidRPr="0044553E">
          <w:rPr>
            <w:noProof/>
            <w:webHidden/>
          </w:rPr>
          <w:fldChar w:fldCharType="begin"/>
        </w:r>
        <w:r w:rsidR="0044553E" w:rsidRPr="0044553E">
          <w:rPr>
            <w:noProof/>
            <w:webHidden/>
          </w:rPr>
          <w:instrText xml:space="preserve"> PAGEREF _Toc486233224 \h </w:instrText>
        </w:r>
        <w:r w:rsidR="0044553E" w:rsidRPr="0044553E">
          <w:rPr>
            <w:noProof/>
            <w:webHidden/>
          </w:rPr>
        </w:r>
        <w:r w:rsidR="0044553E" w:rsidRPr="0044553E">
          <w:rPr>
            <w:noProof/>
            <w:webHidden/>
          </w:rPr>
          <w:fldChar w:fldCharType="separate"/>
        </w:r>
        <w:r w:rsidR="00B05C7E">
          <w:rPr>
            <w:noProof/>
            <w:webHidden/>
          </w:rPr>
          <w:t>126</w:t>
        </w:r>
        <w:r w:rsidR="0044553E" w:rsidRPr="0044553E">
          <w:rPr>
            <w:noProof/>
            <w:webHidden/>
          </w:rPr>
          <w:fldChar w:fldCharType="end"/>
        </w:r>
      </w:hyperlink>
    </w:p>
    <w:p w:rsidR="0044553E" w:rsidRPr="0044553E" w:rsidRDefault="00CC063D" w:rsidP="0044553E">
      <w:pPr>
        <w:pStyle w:val="TableofFigures"/>
        <w:tabs>
          <w:tab w:val="right" w:leader="dot" w:pos="9350"/>
        </w:tabs>
        <w:ind w:left="1260" w:hanging="1260"/>
        <w:rPr>
          <w:rFonts w:asciiTheme="minorHAnsi" w:eastAsiaTheme="minorEastAsia" w:hAnsiTheme="minorHAnsi" w:cstheme="minorBidi"/>
          <w:noProof/>
          <w:sz w:val="22"/>
          <w:szCs w:val="22"/>
        </w:rPr>
      </w:pPr>
      <w:hyperlink w:anchor="_Toc486233225" w:history="1">
        <w:r w:rsidR="0044553E" w:rsidRPr="0044553E">
          <w:rPr>
            <w:rStyle w:val="Hyperlink"/>
            <w:bCs/>
            <w:noProof/>
          </w:rPr>
          <w:t>Figure 10</w:t>
        </w:r>
        <w:r w:rsidR="0044553E" w:rsidRPr="0044553E">
          <w:rPr>
            <w:rStyle w:val="Hyperlink"/>
            <w:bCs/>
            <w:noProof/>
          </w:rPr>
          <w:noBreakHyphen/>
          <w:t xml:space="preserve">1: </w:t>
        </w:r>
        <w:r w:rsidR="0044553E">
          <w:rPr>
            <w:rStyle w:val="Hyperlink"/>
            <w:bCs/>
            <w:noProof/>
          </w:rPr>
          <w:tab/>
        </w:r>
        <w:r w:rsidR="0044553E" w:rsidRPr="0044553E">
          <w:rPr>
            <w:rStyle w:val="Hyperlink"/>
            <w:bCs/>
            <w:noProof/>
          </w:rPr>
          <w:t>Existing and planned FACTS devices in New England.</w:t>
        </w:r>
        <w:r w:rsidR="0044553E" w:rsidRPr="0044553E">
          <w:rPr>
            <w:noProof/>
            <w:webHidden/>
          </w:rPr>
          <w:tab/>
        </w:r>
        <w:r w:rsidR="0044553E" w:rsidRPr="0044553E">
          <w:rPr>
            <w:noProof/>
            <w:webHidden/>
          </w:rPr>
          <w:fldChar w:fldCharType="begin"/>
        </w:r>
        <w:r w:rsidR="0044553E" w:rsidRPr="0044553E">
          <w:rPr>
            <w:noProof/>
            <w:webHidden/>
          </w:rPr>
          <w:instrText xml:space="preserve"> PAGEREF _Toc486233225 \h </w:instrText>
        </w:r>
        <w:r w:rsidR="0044553E" w:rsidRPr="0044553E">
          <w:rPr>
            <w:noProof/>
            <w:webHidden/>
          </w:rPr>
        </w:r>
        <w:r w:rsidR="0044553E" w:rsidRPr="0044553E">
          <w:rPr>
            <w:noProof/>
            <w:webHidden/>
          </w:rPr>
          <w:fldChar w:fldCharType="separate"/>
        </w:r>
        <w:r w:rsidR="00B05C7E">
          <w:rPr>
            <w:noProof/>
            <w:webHidden/>
          </w:rPr>
          <w:t>138</w:t>
        </w:r>
        <w:r w:rsidR="0044553E" w:rsidRPr="0044553E">
          <w:rPr>
            <w:noProof/>
            <w:webHidden/>
          </w:rPr>
          <w:fldChar w:fldCharType="end"/>
        </w:r>
      </w:hyperlink>
    </w:p>
    <w:p w:rsidR="00D945E2" w:rsidRDefault="00D945E2" w:rsidP="003D13C0">
      <w:pPr>
        <w:tabs>
          <w:tab w:val="right" w:leader="dot" w:pos="8910"/>
        </w:tabs>
        <w:spacing w:after="120" w:line="240" w:lineRule="auto"/>
        <w:ind w:left="1260" w:right="-86" w:hanging="1260"/>
        <w:rPr>
          <w:rFonts w:asciiTheme="minorHAnsi" w:hAnsiTheme="minorHAnsi" w:cs="Arial"/>
        </w:rPr>
      </w:pPr>
      <w:r w:rsidRPr="003D13C0">
        <w:rPr>
          <w:rFonts w:asciiTheme="minorHAnsi" w:hAnsiTheme="minorHAnsi" w:cs="Arial"/>
        </w:rPr>
        <w:fldChar w:fldCharType="end"/>
      </w:r>
    </w:p>
    <w:p w:rsidR="00D945E2" w:rsidRDefault="00D945E2" w:rsidP="00D945E2">
      <w:pPr>
        <w:tabs>
          <w:tab w:val="right" w:leader="dot" w:pos="8910"/>
        </w:tabs>
        <w:spacing w:after="120" w:line="240" w:lineRule="auto"/>
        <w:ind w:right="-86"/>
        <w:rPr>
          <w:rFonts w:asciiTheme="minorHAnsi" w:hAnsiTheme="minorHAnsi" w:cs="Arial"/>
        </w:rPr>
        <w:sectPr w:rsidR="00D945E2" w:rsidSect="0018383B">
          <w:pgSz w:w="12240" w:h="15840"/>
          <w:pgMar w:top="1440" w:right="1080" w:bottom="1440" w:left="1800" w:header="720" w:footer="720" w:gutter="0"/>
          <w:pgNumType w:fmt="lowerRoman"/>
          <w:cols w:space="720"/>
          <w:docGrid w:linePitch="360"/>
        </w:sectPr>
      </w:pPr>
    </w:p>
    <w:p w:rsidR="00D945E2" w:rsidRPr="0036379F" w:rsidRDefault="00D945E2" w:rsidP="00D945E2">
      <w:pPr>
        <w:pStyle w:val="Heading1"/>
        <w:numPr>
          <w:ilvl w:val="0"/>
          <w:numId w:val="0"/>
        </w:numPr>
      </w:pPr>
      <w:bookmarkStart w:id="32" w:name="_Toc490322990"/>
      <w:r w:rsidRPr="00B84735">
        <w:lastRenderedPageBreak/>
        <w:t>Tables</w:t>
      </w:r>
      <w:bookmarkEnd w:id="32"/>
    </w:p>
    <w:p w:rsidR="00B84735" w:rsidRPr="00B84735" w:rsidRDefault="00D945E2" w:rsidP="00B84735">
      <w:pPr>
        <w:pStyle w:val="TableofFigures"/>
        <w:tabs>
          <w:tab w:val="right" w:leader="dot" w:pos="9350"/>
        </w:tabs>
        <w:ind w:left="1260" w:hanging="1260"/>
        <w:rPr>
          <w:rFonts w:asciiTheme="minorHAnsi" w:eastAsiaTheme="minorEastAsia" w:hAnsiTheme="minorHAnsi" w:cstheme="minorBidi"/>
          <w:noProof/>
          <w:sz w:val="22"/>
          <w:szCs w:val="22"/>
        </w:rPr>
      </w:pPr>
      <w:r w:rsidRPr="00B84735">
        <w:rPr>
          <w:rFonts w:asciiTheme="minorHAnsi" w:hAnsiTheme="minorHAnsi" w:cs="Arial"/>
        </w:rPr>
        <w:fldChar w:fldCharType="begin"/>
      </w:r>
      <w:r w:rsidRPr="00B84735">
        <w:rPr>
          <w:rFonts w:asciiTheme="minorHAnsi" w:hAnsiTheme="minorHAnsi" w:cs="Arial"/>
        </w:rPr>
        <w:instrText xml:space="preserve"> TOC \h \z \c "Table" </w:instrText>
      </w:r>
      <w:r w:rsidRPr="00B84735">
        <w:rPr>
          <w:rFonts w:asciiTheme="minorHAnsi" w:hAnsiTheme="minorHAnsi" w:cs="Arial"/>
        </w:rPr>
        <w:fldChar w:fldCharType="separate"/>
      </w:r>
      <w:hyperlink w:anchor="_Toc491243997" w:history="1">
        <w:r w:rsidR="00B84735" w:rsidRPr="00B84735">
          <w:rPr>
            <w:rStyle w:val="Hyperlink"/>
            <w:noProof/>
          </w:rPr>
          <w:t>Table 3</w:t>
        </w:r>
        <w:r w:rsidR="00B84735" w:rsidRPr="00B84735">
          <w:rPr>
            <w:rStyle w:val="Hyperlink"/>
            <w:noProof/>
          </w:rPr>
          <w:noBreakHyphen/>
          <w:t>1</w:t>
        </w:r>
        <w:r w:rsidR="00B84735" w:rsidRPr="00B84735">
          <w:rPr>
            <w:rStyle w:val="Hyperlink"/>
            <w:bCs/>
            <w:noProof/>
          </w:rPr>
          <w:t xml:space="preserve"> </w:t>
        </w:r>
        <w:r w:rsidR="00B84735">
          <w:rPr>
            <w:rStyle w:val="Hyperlink"/>
            <w:bCs/>
            <w:noProof/>
          </w:rPr>
          <w:tab/>
        </w:r>
        <w:r w:rsidR="00B84735" w:rsidRPr="00B84735">
          <w:rPr>
            <w:rStyle w:val="Hyperlink"/>
            <w:noProof/>
          </w:rPr>
          <w:t>Summary of Annual Gross Electric Energy Use and Gross Peak Demand Forecast</w:t>
        </w:r>
        <w:r w:rsidR="00B84735">
          <w:rPr>
            <w:rStyle w:val="Hyperlink"/>
            <w:noProof/>
          </w:rPr>
          <w:br/>
        </w:r>
        <w:r w:rsidR="00B84735" w:rsidRPr="00B84735">
          <w:rPr>
            <w:rStyle w:val="Hyperlink"/>
            <w:noProof/>
          </w:rPr>
          <w:t>for New England and the States, 2017/2018 and 2026/2027</w:t>
        </w:r>
        <w:r w:rsidR="00B84735" w:rsidRPr="00B84735">
          <w:rPr>
            <w:noProof/>
            <w:webHidden/>
          </w:rPr>
          <w:tab/>
        </w:r>
        <w:r w:rsidR="00B84735" w:rsidRPr="00B84735">
          <w:rPr>
            <w:noProof/>
            <w:webHidden/>
          </w:rPr>
          <w:fldChar w:fldCharType="begin"/>
        </w:r>
        <w:r w:rsidR="00B84735" w:rsidRPr="00B84735">
          <w:rPr>
            <w:noProof/>
            <w:webHidden/>
          </w:rPr>
          <w:instrText xml:space="preserve"> PAGEREF _Toc491243997 \h </w:instrText>
        </w:r>
        <w:r w:rsidR="00B84735" w:rsidRPr="00B84735">
          <w:rPr>
            <w:noProof/>
            <w:webHidden/>
          </w:rPr>
        </w:r>
        <w:r w:rsidR="00B84735" w:rsidRPr="00B84735">
          <w:rPr>
            <w:noProof/>
            <w:webHidden/>
          </w:rPr>
          <w:fldChar w:fldCharType="separate"/>
        </w:r>
        <w:r w:rsidR="00B05C7E">
          <w:rPr>
            <w:noProof/>
            <w:webHidden/>
          </w:rPr>
          <w:t>32</w:t>
        </w:r>
        <w:r w:rsidR="00B84735" w:rsidRPr="00B84735">
          <w:rPr>
            <w:noProof/>
            <w:webHidden/>
          </w:rPr>
          <w:fldChar w:fldCharType="end"/>
        </w:r>
      </w:hyperlink>
    </w:p>
    <w:p w:rsidR="00B84735" w:rsidRPr="00B84735" w:rsidRDefault="00CC063D" w:rsidP="00B84735">
      <w:pPr>
        <w:pStyle w:val="TableofFigures"/>
        <w:tabs>
          <w:tab w:val="right" w:leader="dot" w:pos="9350"/>
        </w:tabs>
        <w:ind w:left="1260" w:hanging="1260"/>
        <w:rPr>
          <w:rFonts w:asciiTheme="minorHAnsi" w:eastAsiaTheme="minorEastAsia" w:hAnsiTheme="minorHAnsi" w:cstheme="minorBidi"/>
          <w:noProof/>
          <w:sz w:val="22"/>
          <w:szCs w:val="22"/>
        </w:rPr>
      </w:pPr>
      <w:hyperlink w:anchor="_Toc491243998" w:history="1">
        <w:r w:rsidR="00B84735" w:rsidRPr="00B84735">
          <w:rPr>
            <w:rStyle w:val="Hyperlink"/>
            <w:bCs/>
            <w:noProof/>
          </w:rPr>
          <w:t>Table 3</w:t>
        </w:r>
        <w:r w:rsidR="00B84735" w:rsidRPr="00B84735">
          <w:rPr>
            <w:rStyle w:val="Hyperlink"/>
            <w:bCs/>
            <w:noProof/>
          </w:rPr>
          <w:noBreakHyphen/>
          <w:t xml:space="preserve">2  </w:t>
        </w:r>
        <w:r w:rsidR="00B84735">
          <w:rPr>
            <w:rStyle w:val="Hyperlink"/>
            <w:bCs/>
            <w:noProof/>
          </w:rPr>
          <w:tab/>
        </w:r>
        <w:r w:rsidR="00B84735" w:rsidRPr="00B84735">
          <w:rPr>
            <w:rStyle w:val="Hyperlink"/>
            <w:bCs/>
            <w:noProof/>
          </w:rPr>
          <w:t>Summary of PDR and EE Forecast Annual Electric Energy Savings and Peak Demand</w:t>
        </w:r>
        <w:r w:rsidR="006E28D5">
          <w:rPr>
            <w:rStyle w:val="Hyperlink"/>
            <w:bCs/>
            <w:noProof/>
          </w:rPr>
          <w:br/>
        </w:r>
        <w:r w:rsidR="00B84735" w:rsidRPr="00B84735">
          <w:rPr>
            <w:rStyle w:val="Hyperlink"/>
            <w:bCs/>
            <w:noProof/>
          </w:rPr>
          <w:t>Reductions</w:t>
        </w:r>
        <w:r w:rsidR="006E28D5">
          <w:rPr>
            <w:rStyle w:val="Hyperlink"/>
            <w:bCs/>
            <w:noProof/>
          </w:rPr>
          <w:t xml:space="preserve"> </w:t>
        </w:r>
        <w:r w:rsidR="00B84735" w:rsidRPr="00B84735">
          <w:rPr>
            <w:rStyle w:val="Hyperlink"/>
            <w:bCs/>
            <w:noProof/>
          </w:rPr>
          <w:t>for New England and the States, 2017 and 2026 (GWh, MW)</w:t>
        </w:r>
        <w:r w:rsidR="00B84735" w:rsidRPr="00B84735">
          <w:rPr>
            <w:noProof/>
            <w:webHidden/>
          </w:rPr>
          <w:tab/>
        </w:r>
        <w:r w:rsidR="00B84735" w:rsidRPr="00B84735">
          <w:rPr>
            <w:noProof/>
            <w:webHidden/>
          </w:rPr>
          <w:fldChar w:fldCharType="begin"/>
        </w:r>
        <w:r w:rsidR="00B84735" w:rsidRPr="00B84735">
          <w:rPr>
            <w:noProof/>
            <w:webHidden/>
          </w:rPr>
          <w:instrText xml:space="preserve"> PAGEREF _Toc491243998 \h </w:instrText>
        </w:r>
        <w:r w:rsidR="00B84735" w:rsidRPr="00B84735">
          <w:rPr>
            <w:noProof/>
            <w:webHidden/>
          </w:rPr>
        </w:r>
        <w:r w:rsidR="00B84735" w:rsidRPr="00B84735">
          <w:rPr>
            <w:noProof/>
            <w:webHidden/>
          </w:rPr>
          <w:fldChar w:fldCharType="separate"/>
        </w:r>
        <w:r w:rsidR="00B05C7E">
          <w:rPr>
            <w:noProof/>
            <w:webHidden/>
          </w:rPr>
          <w:t>35</w:t>
        </w:r>
        <w:r w:rsidR="00B84735" w:rsidRPr="00B84735">
          <w:rPr>
            <w:noProof/>
            <w:webHidden/>
          </w:rPr>
          <w:fldChar w:fldCharType="end"/>
        </w:r>
      </w:hyperlink>
    </w:p>
    <w:p w:rsidR="00B84735" w:rsidRPr="00B84735" w:rsidRDefault="00CC063D" w:rsidP="00B84735">
      <w:pPr>
        <w:pStyle w:val="TableofFigures"/>
        <w:tabs>
          <w:tab w:val="right" w:leader="dot" w:pos="9350"/>
        </w:tabs>
        <w:ind w:left="1260" w:hanging="1260"/>
        <w:rPr>
          <w:rFonts w:asciiTheme="minorHAnsi" w:eastAsiaTheme="minorEastAsia" w:hAnsiTheme="minorHAnsi" w:cstheme="minorBidi"/>
          <w:noProof/>
          <w:sz w:val="22"/>
          <w:szCs w:val="22"/>
        </w:rPr>
      </w:pPr>
      <w:hyperlink w:anchor="_Toc491243999" w:history="1">
        <w:r w:rsidR="00B84735" w:rsidRPr="00B84735">
          <w:rPr>
            <w:rStyle w:val="Hyperlink"/>
            <w:bCs/>
            <w:noProof/>
          </w:rPr>
          <w:t>Table 3</w:t>
        </w:r>
        <w:r w:rsidR="00B84735" w:rsidRPr="00B84735">
          <w:rPr>
            <w:rStyle w:val="Hyperlink"/>
            <w:bCs/>
            <w:noProof/>
          </w:rPr>
          <w:noBreakHyphen/>
          <w:t xml:space="preserve">3 </w:t>
        </w:r>
        <w:r w:rsidR="00B84735">
          <w:rPr>
            <w:rStyle w:val="Hyperlink"/>
            <w:bCs/>
            <w:noProof/>
          </w:rPr>
          <w:tab/>
        </w:r>
        <w:r w:rsidR="00B84735" w:rsidRPr="00B84735">
          <w:rPr>
            <w:rStyle w:val="Hyperlink"/>
            <w:bCs/>
            <w:noProof/>
          </w:rPr>
          <w:t>New England States’ Annual and Cumulative PV Nameplate Capacities, 2017 to 2026 (MW</w:t>
        </w:r>
        <w:r w:rsidR="00B84735" w:rsidRPr="00B84735">
          <w:rPr>
            <w:rStyle w:val="Hyperlink"/>
            <w:bCs/>
            <w:noProof/>
            <w:vertAlign w:val="subscript"/>
          </w:rPr>
          <w:t>AC</w:t>
        </w:r>
        <w:r w:rsidR="00B84735" w:rsidRPr="00B84735">
          <w:rPr>
            <w:rStyle w:val="Hyperlink"/>
            <w:bCs/>
            <w:noProof/>
          </w:rPr>
          <w:t>)</w:t>
        </w:r>
        <w:r w:rsidR="00B84735" w:rsidRPr="00B84735">
          <w:rPr>
            <w:noProof/>
            <w:webHidden/>
          </w:rPr>
          <w:tab/>
        </w:r>
        <w:r w:rsidR="00B84735" w:rsidRPr="00B84735">
          <w:rPr>
            <w:noProof/>
            <w:webHidden/>
          </w:rPr>
          <w:fldChar w:fldCharType="begin"/>
        </w:r>
        <w:r w:rsidR="00B84735" w:rsidRPr="00B84735">
          <w:rPr>
            <w:noProof/>
            <w:webHidden/>
          </w:rPr>
          <w:instrText xml:space="preserve"> PAGEREF _Toc491243999 \h </w:instrText>
        </w:r>
        <w:r w:rsidR="00B84735" w:rsidRPr="00B84735">
          <w:rPr>
            <w:noProof/>
            <w:webHidden/>
          </w:rPr>
        </w:r>
        <w:r w:rsidR="00B84735" w:rsidRPr="00B84735">
          <w:rPr>
            <w:noProof/>
            <w:webHidden/>
          </w:rPr>
          <w:fldChar w:fldCharType="separate"/>
        </w:r>
        <w:r w:rsidR="00B05C7E">
          <w:rPr>
            <w:noProof/>
            <w:webHidden/>
          </w:rPr>
          <w:t>37</w:t>
        </w:r>
        <w:r w:rsidR="00B84735" w:rsidRPr="00B84735">
          <w:rPr>
            <w:noProof/>
            <w:webHidden/>
          </w:rPr>
          <w:fldChar w:fldCharType="end"/>
        </w:r>
      </w:hyperlink>
    </w:p>
    <w:p w:rsidR="00B84735" w:rsidRPr="00B84735" w:rsidRDefault="00CC063D" w:rsidP="00B84735">
      <w:pPr>
        <w:pStyle w:val="TableofFigures"/>
        <w:tabs>
          <w:tab w:val="right" w:leader="dot" w:pos="9350"/>
        </w:tabs>
        <w:ind w:left="1260" w:hanging="1260"/>
        <w:rPr>
          <w:rFonts w:asciiTheme="minorHAnsi" w:eastAsiaTheme="minorEastAsia" w:hAnsiTheme="minorHAnsi" w:cstheme="minorBidi"/>
          <w:noProof/>
          <w:sz w:val="22"/>
          <w:szCs w:val="22"/>
        </w:rPr>
      </w:pPr>
      <w:hyperlink w:anchor="_Toc491244000" w:history="1">
        <w:r w:rsidR="00B84735" w:rsidRPr="00B84735">
          <w:rPr>
            <w:rStyle w:val="Hyperlink"/>
            <w:noProof/>
          </w:rPr>
          <w:t>Table 3</w:t>
        </w:r>
        <w:r w:rsidR="00B84735" w:rsidRPr="00B84735">
          <w:rPr>
            <w:rStyle w:val="Hyperlink"/>
            <w:noProof/>
          </w:rPr>
          <w:noBreakHyphen/>
          <w:t xml:space="preserve">4 </w:t>
        </w:r>
        <w:r w:rsidR="00B84735" w:rsidRPr="00B84735">
          <w:rPr>
            <w:rStyle w:val="Hyperlink"/>
            <w:noProof/>
          </w:rPr>
          <w:tab/>
          <w:t>Cumulative New England PV Forecast for Each Classification of PV, 2017 to 2026 (MW)</w:t>
        </w:r>
        <w:r w:rsidR="00B84735" w:rsidRPr="00B84735">
          <w:rPr>
            <w:noProof/>
            <w:webHidden/>
          </w:rPr>
          <w:tab/>
        </w:r>
        <w:r w:rsidR="00B84735" w:rsidRPr="00B84735">
          <w:rPr>
            <w:noProof/>
            <w:webHidden/>
          </w:rPr>
          <w:fldChar w:fldCharType="begin"/>
        </w:r>
        <w:r w:rsidR="00B84735" w:rsidRPr="00B84735">
          <w:rPr>
            <w:noProof/>
            <w:webHidden/>
          </w:rPr>
          <w:instrText xml:space="preserve"> PAGEREF _Toc491244000 \h </w:instrText>
        </w:r>
        <w:r w:rsidR="00B84735" w:rsidRPr="00B84735">
          <w:rPr>
            <w:noProof/>
            <w:webHidden/>
          </w:rPr>
        </w:r>
        <w:r w:rsidR="00B84735" w:rsidRPr="00B84735">
          <w:rPr>
            <w:noProof/>
            <w:webHidden/>
          </w:rPr>
          <w:fldChar w:fldCharType="separate"/>
        </w:r>
        <w:r w:rsidR="00B05C7E">
          <w:rPr>
            <w:noProof/>
            <w:webHidden/>
          </w:rPr>
          <w:t>38</w:t>
        </w:r>
        <w:r w:rsidR="00B84735" w:rsidRPr="00B84735">
          <w:rPr>
            <w:noProof/>
            <w:webHidden/>
          </w:rPr>
          <w:fldChar w:fldCharType="end"/>
        </w:r>
      </w:hyperlink>
    </w:p>
    <w:p w:rsidR="00B84735" w:rsidRPr="00B84735" w:rsidRDefault="00CC063D" w:rsidP="00B84735">
      <w:pPr>
        <w:pStyle w:val="TableofFigures"/>
        <w:tabs>
          <w:tab w:val="right" w:leader="dot" w:pos="9350"/>
        </w:tabs>
        <w:ind w:left="1260" w:hanging="1260"/>
        <w:rPr>
          <w:rFonts w:asciiTheme="minorHAnsi" w:eastAsiaTheme="minorEastAsia" w:hAnsiTheme="minorHAnsi" w:cstheme="minorBidi"/>
          <w:noProof/>
          <w:sz w:val="22"/>
          <w:szCs w:val="22"/>
        </w:rPr>
      </w:pPr>
      <w:hyperlink w:anchor="_Toc491244001" w:history="1">
        <w:r w:rsidR="00B84735" w:rsidRPr="00B84735">
          <w:rPr>
            <w:rStyle w:val="Hyperlink"/>
            <w:noProof/>
          </w:rPr>
          <w:t>Table 3</w:t>
        </w:r>
        <w:r w:rsidR="00B84735" w:rsidRPr="00B84735">
          <w:rPr>
            <w:rStyle w:val="Hyperlink"/>
            <w:noProof/>
          </w:rPr>
          <w:noBreakHyphen/>
          <w:t xml:space="preserve">5 </w:t>
        </w:r>
        <w:r w:rsidR="00B84735">
          <w:rPr>
            <w:rStyle w:val="Hyperlink"/>
            <w:noProof/>
          </w:rPr>
          <w:tab/>
        </w:r>
        <w:r w:rsidR="00B84735" w:rsidRPr="00B84735">
          <w:rPr>
            <w:rStyle w:val="Hyperlink"/>
            <w:noProof/>
          </w:rPr>
          <w:t>Summary of BTM PV Forecast Annual Electric Energy Savings and Peak Demand Reductions</w:t>
        </w:r>
        <w:r w:rsidR="00B84735">
          <w:rPr>
            <w:rStyle w:val="Hyperlink"/>
            <w:noProof/>
          </w:rPr>
          <w:br/>
        </w:r>
        <w:r w:rsidR="00B84735" w:rsidRPr="00B84735">
          <w:rPr>
            <w:rStyle w:val="Hyperlink"/>
            <w:noProof/>
          </w:rPr>
          <w:t>for New England and the States, 2017 and 2026 (GWh, MW)</w:t>
        </w:r>
        <w:r w:rsidR="00B84735" w:rsidRPr="00B84735">
          <w:rPr>
            <w:noProof/>
            <w:webHidden/>
          </w:rPr>
          <w:tab/>
        </w:r>
        <w:r w:rsidR="00B84735" w:rsidRPr="00B84735">
          <w:rPr>
            <w:noProof/>
            <w:webHidden/>
          </w:rPr>
          <w:fldChar w:fldCharType="begin"/>
        </w:r>
        <w:r w:rsidR="00B84735" w:rsidRPr="00B84735">
          <w:rPr>
            <w:noProof/>
            <w:webHidden/>
          </w:rPr>
          <w:instrText xml:space="preserve"> PAGEREF _Toc491244001 \h </w:instrText>
        </w:r>
        <w:r w:rsidR="00B84735" w:rsidRPr="00B84735">
          <w:rPr>
            <w:noProof/>
            <w:webHidden/>
          </w:rPr>
        </w:r>
        <w:r w:rsidR="00B84735" w:rsidRPr="00B84735">
          <w:rPr>
            <w:noProof/>
            <w:webHidden/>
          </w:rPr>
          <w:fldChar w:fldCharType="separate"/>
        </w:r>
        <w:r w:rsidR="00B05C7E">
          <w:rPr>
            <w:noProof/>
            <w:webHidden/>
          </w:rPr>
          <w:t>38</w:t>
        </w:r>
        <w:r w:rsidR="00B84735" w:rsidRPr="00B84735">
          <w:rPr>
            <w:noProof/>
            <w:webHidden/>
          </w:rPr>
          <w:fldChar w:fldCharType="end"/>
        </w:r>
      </w:hyperlink>
    </w:p>
    <w:p w:rsidR="00B84735" w:rsidRPr="00B84735" w:rsidRDefault="00CC063D" w:rsidP="00B84735">
      <w:pPr>
        <w:pStyle w:val="TableofFigures"/>
        <w:tabs>
          <w:tab w:val="right" w:leader="dot" w:pos="9350"/>
        </w:tabs>
        <w:ind w:left="1260" w:hanging="1260"/>
        <w:rPr>
          <w:rFonts w:asciiTheme="minorHAnsi" w:eastAsiaTheme="minorEastAsia" w:hAnsiTheme="minorHAnsi" w:cstheme="minorBidi"/>
          <w:noProof/>
          <w:sz w:val="22"/>
          <w:szCs w:val="22"/>
        </w:rPr>
      </w:pPr>
      <w:hyperlink w:anchor="_Toc491244002" w:history="1">
        <w:r w:rsidR="00B84735" w:rsidRPr="00B84735">
          <w:rPr>
            <w:rStyle w:val="Hyperlink"/>
            <w:bCs/>
            <w:noProof/>
          </w:rPr>
          <w:t>Table 3</w:t>
        </w:r>
        <w:r w:rsidR="00B84735" w:rsidRPr="00B84735">
          <w:rPr>
            <w:rStyle w:val="Hyperlink"/>
            <w:bCs/>
            <w:noProof/>
          </w:rPr>
          <w:noBreakHyphen/>
          <w:t xml:space="preserve">6 </w:t>
        </w:r>
        <w:r w:rsidR="00B84735">
          <w:rPr>
            <w:rStyle w:val="Hyperlink"/>
            <w:bCs/>
            <w:noProof/>
          </w:rPr>
          <w:tab/>
        </w:r>
        <w:r w:rsidR="00B84735" w:rsidRPr="00B84735">
          <w:rPr>
            <w:rStyle w:val="Hyperlink"/>
            <w:bCs/>
            <w:noProof/>
          </w:rPr>
          <w:t>Percentage Growth Rates of the Gross and Net Forecasts of Annual</w:t>
        </w:r>
        <w:r w:rsidR="00B84735">
          <w:rPr>
            <w:rStyle w:val="Hyperlink"/>
            <w:bCs/>
            <w:noProof/>
          </w:rPr>
          <w:br/>
        </w:r>
        <w:r w:rsidR="00B84735" w:rsidRPr="00B84735">
          <w:rPr>
            <w:rStyle w:val="Hyperlink"/>
            <w:bCs/>
            <w:noProof/>
          </w:rPr>
          <w:t>and Peak Electric Energy Use, 2017 to 2026</w:t>
        </w:r>
        <w:r w:rsidR="00B84735" w:rsidRPr="00B84735">
          <w:rPr>
            <w:noProof/>
            <w:webHidden/>
          </w:rPr>
          <w:tab/>
        </w:r>
        <w:r w:rsidR="00B84735" w:rsidRPr="00B84735">
          <w:rPr>
            <w:noProof/>
            <w:webHidden/>
          </w:rPr>
          <w:fldChar w:fldCharType="begin"/>
        </w:r>
        <w:r w:rsidR="00B84735" w:rsidRPr="00B84735">
          <w:rPr>
            <w:noProof/>
            <w:webHidden/>
          </w:rPr>
          <w:instrText xml:space="preserve"> PAGEREF _Toc491244002 \h </w:instrText>
        </w:r>
        <w:r w:rsidR="00B84735" w:rsidRPr="00B84735">
          <w:rPr>
            <w:noProof/>
            <w:webHidden/>
          </w:rPr>
        </w:r>
        <w:r w:rsidR="00B84735" w:rsidRPr="00B84735">
          <w:rPr>
            <w:noProof/>
            <w:webHidden/>
          </w:rPr>
          <w:fldChar w:fldCharType="separate"/>
        </w:r>
        <w:r w:rsidR="00B05C7E">
          <w:rPr>
            <w:noProof/>
            <w:webHidden/>
          </w:rPr>
          <w:t>40</w:t>
        </w:r>
        <w:r w:rsidR="00B84735" w:rsidRPr="00B84735">
          <w:rPr>
            <w:noProof/>
            <w:webHidden/>
          </w:rPr>
          <w:fldChar w:fldCharType="end"/>
        </w:r>
      </w:hyperlink>
    </w:p>
    <w:p w:rsidR="00B84735" w:rsidRPr="00B84735" w:rsidRDefault="00CC063D" w:rsidP="00B84735">
      <w:pPr>
        <w:pStyle w:val="TableofFigures"/>
        <w:tabs>
          <w:tab w:val="right" w:leader="dot" w:pos="9350"/>
        </w:tabs>
        <w:ind w:left="1260" w:hanging="1260"/>
        <w:rPr>
          <w:rFonts w:asciiTheme="minorHAnsi" w:eastAsiaTheme="minorEastAsia" w:hAnsiTheme="minorHAnsi" w:cstheme="minorBidi"/>
          <w:noProof/>
          <w:sz w:val="22"/>
          <w:szCs w:val="22"/>
        </w:rPr>
      </w:pPr>
      <w:hyperlink w:anchor="_Toc491244003" w:history="1">
        <w:r w:rsidR="00B84735" w:rsidRPr="00B84735">
          <w:rPr>
            <w:rStyle w:val="Hyperlink"/>
            <w:bCs/>
            <w:noProof/>
          </w:rPr>
          <w:t>Table 3</w:t>
        </w:r>
        <w:r w:rsidR="00B84735" w:rsidRPr="00B84735">
          <w:rPr>
            <w:rStyle w:val="Hyperlink"/>
            <w:bCs/>
            <w:noProof/>
          </w:rPr>
          <w:noBreakHyphen/>
          <w:t xml:space="preserve">7 </w:t>
        </w:r>
        <w:r w:rsidR="00B84735">
          <w:rPr>
            <w:rStyle w:val="Hyperlink"/>
            <w:bCs/>
            <w:noProof/>
          </w:rPr>
          <w:tab/>
        </w:r>
        <w:r w:rsidR="00B84735" w:rsidRPr="00B84735">
          <w:rPr>
            <w:rStyle w:val="Hyperlink"/>
            <w:bCs/>
            <w:noProof/>
          </w:rPr>
          <w:t>State and Systemwide Net Forecasts of Annual and Peak Electric Energy Use</w:t>
        </w:r>
        <w:r w:rsidR="00711D32">
          <w:rPr>
            <w:rStyle w:val="Hyperlink"/>
            <w:bCs/>
            <w:noProof/>
          </w:rPr>
          <w:t>, 2017</w:t>
        </w:r>
        <w:r w:rsidR="00B84735" w:rsidRPr="00B84735">
          <w:rPr>
            <w:rStyle w:val="Hyperlink"/>
            <w:bCs/>
            <w:noProof/>
          </w:rPr>
          <w:t xml:space="preserve"> (MWh, MW)</w:t>
        </w:r>
        <w:r w:rsidR="00B84735" w:rsidRPr="00B84735">
          <w:rPr>
            <w:noProof/>
            <w:webHidden/>
          </w:rPr>
          <w:tab/>
        </w:r>
        <w:r w:rsidR="00B84735" w:rsidRPr="00B84735">
          <w:rPr>
            <w:noProof/>
            <w:webHidden/>
          </w:rPr>
          <w:fldChar w:fldCharType="begin"/>
        </w:r>
        <w:r w:rsidR="00B84735" w:rsidRPr="00B84735">
          <w:rPr>
            <w:noProof/>
            <w:webHidden/>
          </w:rPr>
          <w:instrText xml:space="preserve"> PAGEREF _Toc491244003 \h </w:instrText>
        </w:r>
        <w:r w:rsidR="00B84735" w:rsidRPr="00B84735">
          <w:rPr>
            <w:noProof/>
            <w:webHidden/>
          </w:rPr>
        </w:r>
        <w:r w:rsidR="00B84735" w:rsidRPr="00B84735">
          <w:rPr>
            <w:noProof/>
            <w:webHidden/>
          </w:rPr>
          <w:fldChar w:fldCharType="separate"/>
        </w:r>
        <w:r w:rsidR="00B05C7E">
          <w:rPr>
            <w:noProof/>
            <w:webHidden/>
          </w:rPr>
          <w:t>40</w:t>
        </w:r>
        <w:r w:rsidR="00B84735" w:rsidRPr="00B84735">
          <w:rPr>
            <w:noProof/>
            <w:webHidden/>
          </w:rPr>
          <w:fldChar w:fldCharType="end"/>
        </w:r>
      </w:hyperlink>
    </w:p>
    <w:p w:rsidR="00B84735" w:rsidRPr="00B84735" w:rsidRDefault="00CC063D" w:rsidP="00B84735">
      <w:pPr>
        <w:pStyle w:val="TableofFigures"/>
        <w:tabs>
          <w:tab w:val="right" w:leader="dot" w:pos="9350"/>
        </w:tabs>
        <w:ind w:left="1260" w:hanging="1260"/>
        <w:rPr>
          <w:rFonts w:asciiTheme="minorHAnsi" w:eastAsiaTheme="minorEastAsia" w:hAnsiTheme="minorHAnsi" w:cstheme="minorBidi"/>
          <w:noProof/>
          <w:sz w:val="22"/>
          <w:szCs w:val="22"/>
        </w:rPr>
      </w:pPr>
      <w:hyperlink w:anchor="_Toc491244004" w:history="1">
        <w:r w:rsidR="00B84735" w:rsidRPr="00B84735">
          <w:rPr>
            <w:rStyle w:val="Hyperlink"/>
            <w:bCs/>
            <w:noProof/>
          </w:rPr>
          <w:t>Table 3</w:t>
        </w:r>
        <w:r w:rsidR="00B84735" w:rsidRPr="00B84735">
          <w:rPr>
            <w:rStyle w:val="Hyperlink"/>
            <w:bCs/>
            <w:noProof/>
          </w:rPr>
          <w:noBreakHyphen/>
          <w:t xml:space="preserve">8 </w:t>
        </w:r>
        <w:r w:rsidR="00B84735">
          <w:rPr>
            <w:rStyle w:val="Hyperlink"/>
            <w:bCs/>
            <w:noProof/>
          </w:rPr>
          <w:tab/>
        </w:r>
        <w:r w:rsidR="00B84735" w:rsidRPr="00B84735">
          <w:rPr>
            <w:rStyle w:val="Hyperlink"/>
            <w:bCs/>
            <w:noProof/>
          </w:rPr>
          <w:t>Net Forecast of Demand in RSP Subareas, 2017 to 2026 (GWh, MW)</w:t>
        </w:r>
        <w:r w:rsidR="00B84735" w:rsidRPr="00B84735">
          <w:rPr>
            <w:noProof/>
            <w:webHidden/>
          </w:rPr>
          <w:tab/>
        </w:r>
        <w:r w:rsidR="00B84735" w:rsidRPr="00B84735">
          <w:rPr>
            <w:noProof/>
            <w:webHidden/>
          </w:rPr>
          <w:fldChar w:fldCharType="begin"/>
        </w:r>
        <w:r w:rsidR="00B84735" w:rsidRPr="00B84735">
          <w:rPr>
            <w:noProof/>
            <w:webHidden/>
          </w:rPr>
          <w:instrText xml:space="preserve"> PAGEREF _Toc491244004 \h </w:instrText>
        </w:r>
        <w:r w:rsidR="00B84735" w:rsidRPr="00B84735">
          <w:rPr>
            <w:noProof/>
            <w:webHidden/>
          </w:rPr>
        </w:r>
        <w:r w:rsidR="00B84735" w:rsidRPr="00B84735">
          <w:rPr>
            <w:noProof/>
            <w:webHidden/>
          </w:rPr>
          <w:fldChar w:fldCharType="separate"/>
        </w:r>
        <w:r w:rsidR="00B05C7E">
          <w:rPr>
            <w:noProof/>
            <w:webHidden/>
          </w:rPr>
          <w:t>41</w:t>
        </w:r>
        <w:r w:rsidR="00B84735" w:rsidRPr="00B84735">
          <w:rPr>
            <w:noProof/>
            <w:webHidden/>
          </w:rPr>
          <w:fldChar w:fldCharType="end"/>
        </w:r>
      </w:hyperlink>
    </w:p>
    <w:p w:rsidR="00B84735" w:rsidRPr="00B84735" w:rsidRDefault="00CC063D" w:rsidP="00B84735">
      <w:pPr>
        <w:pStyle w:val="TableofFigures"/>
        <w:tabs>
          <w:tab w:val="right" w:leader="dot" w:pos="9350"/>
        </w:tabs>
        <w:ind w:left="1260" w:hanging="1260"/>
        <w:rPr>
          <w:rFonts w:asciiTheme="minorHAnsi" w:eastAsiaTheme="minorEastAsia" w:hAnsiTheme="minorHAnsi" w:cstheme="minorBidi"/>
          <w:noProof/>
          <w:sz w:val="22"/>
          <w:szCs w:val="22"/>
        </w:rPr>
      </w:pPr>
      <w:hyperlink w:anchor="_Toc491244005" w:history="1">
        <w:r w:rsidR="00B84735" w:rsidRPr="00B84735">
          <w:rPr>
            <w:rStyle w:val="Hyperlink"/>
            <w:bCs/>
            <w:noProof/>
          </w:rPr>
          <w:t>Table 4</w:t>
        </w:r>
        <w:r w:rsidR="00B84735" w:rsidRPr="00B84735">
          <w:rPr>
            <w:rStyle w:val="Hyperlink"/>
            <w:bCs/>
            <w:noProof/>
          </w:rPr>
          <w:noBreakHyphen/>
          <w:t xml:space="preserve">1  </w:t>
        </w:r>
        <w:r w:rsidR="00B84735">
          <w:rPr>
            <w:rStyle w:val="Hyperlink"/>
            <w:bCs/>
            <w:noProof/>
          </w:rPr>
          <w:tab/>
        </w:r>
        <w:r w:rsidR="00B84735" w:rsidRPr="00B84735">
          <w:rPr>
            <w:rStyle w:val="Hyperlink"/>
            <w:bCs/>
            <w:noProof/>
          </w:rPr>
          <w:t>Actual and Representative New England Net Installed Capacity Requirements</w:t>
        </w:r>
        <w:r w:rsidR="00B84735">
          <w:rPr>
            <w:rStyle w:val="Hyperlink"/>
            <w:bCs/>
            <w:noProof/>
          </w:rPr>
          <w:br/>
        </w:r>
        <w:r w:rsidR="00B84735" w:rsidRPr="00B84735">
          <w:rPr>
            <w:rStyle w:val="Hyperlink"/>
            <w:bCs/>
            <w:noProof/>
          </w:rPr>
          <w:t>and Resulting Reserves (MW, %)</w:t>
        </w:r>
        <w:r w:rsidR="00B84735" w:rsidRPr="00B84735">
          <w:rPr>
            <w:noProof/>
            <w:webHidden/>
          </w:rPr>
          <w:tab/>
        </w:r>
        <w:r w:rsidR="00B84735" w:rsidRPr="00B84735">
          <w:rPr>
            <w:noProof/>
            <w:webHidden/>
          </w:rPr>
          <w:fldChar w:fldCharType="begin"/>
        </w:r>
        <w:r w:rsidR="00B84735" w:rsidRPr="00B84735">
          <w:rPr>
            <w:noProof/>
            <w:webHidden/>
          </w:rPr>
          <w:instrText xml:space="preserve"> PAGEREF _Toc491244005 \h </w:instrText>
        </w:r>
        <w:r w:rsidR="00B84735" w:rsidRPr="00B84735">
          <w:rPr>
            <w:noProof/>
            <w:webHidden/>
          </w:rPr>
        </w:r>
        <w:r w:rsidR="00B84735" w:rsidRPr="00B84735">
          <w:rPr>
            <w:noProof/>
            <w:webHidden/>
          </w:rPr>
          <w:fldChar w:fldCharType="separate"/>
        </w:r>
        <w:r w:rsidR="00B05C7E">
          <w:rPr>
            <w:noProof/>
            <w:webHidden/>
          </w:rPr>
          <w:t>45</w:t>
        </w:r>
        <w:r w:rsidR="00B84735" w:rsidRPr="00B84735">
          <w:rPr>
            <w:noProof/>
            <w:webHidden/>
          </w:rPr>
          <w:fldChar w:fldCharType="end"/>
        </w:r>
      </w:hyperlink>
    </w:p>
    <w:p w:rsidR="00B84735" w:rsidRPr="00B84735" w:rsidRDefault="00CC063D" w:rsidP="00B84735">
      <w:pPr>
        <w:pStyle w:val="TableofFigures"/>
        <w:tabs>
          <w:tab w:val="right" w:leader="dot" w:pos="9350"/>
        </w:tabs>
        <w:ind w:left="1260" w:hanging="1260"/>
        <w:rPr>
          <w:rFonts w:asciiTheme="minorHAnsi" w:eastAsiaTheme="minorEastAsia" w:hAnsiTheme="minorHAnsi" w:cstheme="minorBidi"/>
          <w:noProof/>
          <w:sz w:val="22"/>
          <w:szCs w:val="22"/>
        </w:rPr>
      </w:pPr>
      <w:hyperlink w:anchor="_Toc491244006" w:history="1">
        <w:r w:rsidR="00B84735" w:rsidRPr="00B84735">
          <w:rPr>
            <w:rStyle w:val="Hyperlink"/>
            <w:bCs/>
            <w:noProof/>
          </w:rPr>
          <w:t>Table 4</w:t>
        </w:r>
        <w:r w:rsidR="00B84735" w:rsidRPr="00B84735">
          <w:rPr>
            <w:rStyle w:val="Hyperlink"/>
            <w:bCs/>
            <w:noProof/>
          </w:rPr>
          <w:noBreakHyphen/>
          <w:t xml:space="preserve">2 </w:t>
        </w:r>
        <w:r w:rsidR="00B84735">
          <w:rPr>
            <w:rStyle w:val="Hyperlink"/>
            <w:bCs/>
            <w:noProof/>
          </w:rPr>
          <w:tab/>
        </w:r>
        <w:r w:rsidR="00B84735" w:rsidRPr="00B84735">
          <w:rPr>
            <w:rStyle w:val="Hyperlink"/>
            <w:bCs/>
            <w:noProof/>
          </w:rPr>
          <w:t>Actual and Representative LSRs and MCLs (MW)</w:t>
        </w:r>
        <w:r w:rsidR="00B84735" w:rsidRPr="00B84735">
          <w:rPr>
            <w:noProof/>
            <w:webHidden/>
          </w:rPr>
          <w:tab/>
        </w:r>
        <w:r w:rsidR="00B84735" w:rsidRPr="00B84735">
          <w:rPr>
            <w:noProof/>
            <w:webHidden/>
          </w:rPr>
          <w:fldChar w:fldCharType="begin"/>
        </w:r>
        <w:r w:rsidR="00B84735" w:rsidRPr="00B84735">
          <w:rPr>
            <w:noProof/>
            <w:webHidden/>
          </w:rPr>
          <w:instrText xml:space="preserve"> PAGEREF _Toc491244006 \h </w:instrText>
        </w:r>
        <w:r w:rsidR="00B84735" w:rsidRPr="00B84735">
          <w:rPr>
            <w:noProof/>
            <w:webHidden/>
          </w:rPr>
        </w:r>
        <w:r w:rsidR="00B84735" w:rsidRPr="00B84735">
          <w:rPr>
            <w:noProof/>
            <w:webHidden/>
          </w:rPr>
          <w:fldChar w:fldCharType="separate"/>
        </w:r>
        <w:r w:rsidR="00B05C7E">
          <w:rPr>
            <w:noProof/>
            <w:webHidden/>
          </w:rPr>
          <w:t>46</w:t>
        </w:r>
        <w:r w:rsidR="00B84735" w:rsidRPr="00B84735">
          <w:rPr>
            <w:noProof/>
            <w:webHidden/>
          </w:rPr>
          <w:fldChar w:fldCharType="end"/>
        </w:r>
      </w:hyperlink>
    </w:p>
    <w:p w:rsidR="00B84735" w:rsidRPr="00B84735" w:rsidRDefault="00CC063D" w:rsidP="00B84735">
      <w:pPr>
        <w:pStyle w:val="TableofFigures"/>
        <w:tabs>
          <w:tab w:val="right" w:leader="dot" w:pos="9350"/>
        </w:tabs>
        <w:ind w:left="1260" w:hanging="1260"/>
        <w:rPr>
          <w:rFonts w:asciiTheme="minorHAnsi" w:eastAsiaTheme="minorEastAsia" w:hAnsiTheme="minorHAnsi" w:cstheme="minorBidi"/>
          <w:noProof/>
          <w:sz w:val="22"/>
          <w:szCs w:val="22"/>
        </w:rPr>
      </w:pPr>
      <w:hyperlink w:anchor="_Toc491244007" w:history="1">
        <w:r w:rsidR="00B84735" w:rsidRPr="00B84735">
          <w:rPr>
            <w:rStyle w:val="Hyperlink"/>
            <w:bCs/>
            <w:noProof/>
          </w:rPr>
          <w:t>Table 4</w:t>
        </w:r>
        <w:r w:rsidR="00B84735" w:rsidRPr="00B84735">
          <w:rPr>
            <w:rStyle w:val="Hyperlink"/>
            <w:bCs/>
            <w:noProof/>
          </w:rPr>
          <w:noBreakHyphen/>
          <w:t xml:space="preserve">3 </w:t>
        </w:r>
        <w:r w:rsidR="00B84735">
          <w:rPr>
            <w:rStyle w:val="Hyperlink"/>
            <w:bCs/>
            <w:noProof/>
          </w:rPr>
          <w:tab/>
        </w:r>
        <w:r w:rsidR="00B84735" w:rsidRPr="00B84735">
          <w:rPr>
            <w:rStyle w:val="Hyperlink"/>
            <w:rFonts w:cs="Arial"/>
            <w:bCs/>
            <w:noProof/>
          </w:rPr>
          <w:t>Summary of the FCA Obligations at the Conclusion of Each Auction (MW)</w:t>
        </w:r>
        <w:r w:rsidR="00B84735" w:rsidRPr="00B84735">
          <w:rPr>
            <w:noProof/>
            <w:webHidden/>
          </w:rPr>
          <w:tab/>
        </w:r>
        <w:r w:rsidR="00B84735" w:rsidRPr="00B84735">
          <w:rPr>
            <w:noProof/>
            <w:webHidden/>
          </w:rPr>
          <w:fldChar w:fldCharType="begin"/>
        </w:r>
        <w:r w:rsidR="00B84735" w:rsidRPr="00B84735">
          <w:rPr>
            <w:noProof/>
            <w:webHidden/>
          </w:rPr>
          <w:instrText xml:space="preserve"> PAGEREF _Toc491244007 \h </w:instrText>
        </w:r>
        <w:r w:rsidR="00B84735" w:rsidRPr="00B84735">
          <w:rPr>
            <w:noProof/>
            <w:webHidden/>
          </w:rPr>
        </w:r>
        <w:r w:rsidR="00B84735" w:rsidRPr="00B84735">
          <w:rPr>
            <w:noProof/>
            <w:webHidden/>
          </w:rPr>
          <w:fldChar w:fldCharType="separate"/>
        </w:r>
        <w:r w:rsidR="00B05C7E">
          <w:rPr>
            <w:noProof/>
            <w:webHidden/>
          </w:rPr>
          <w:t>47</w:t>
        </w:r>
        <w:r w:rsidR="00B84735" w:rsidRPr="00B84735">
          <w:rPr>
            <w:noProof/>
            <w:webHidden/>
          </w:rPr>
          <w:fldChar w:fldCharType="end"/>
        </w:r>
      </w:hyperlink>
    </w:p>
    <w:p w:rsidR="00B84735" w:rsidRPr="00B84735" w:rsidRDefault="00CC063D" w:rsidP="00B84735">
      <w:pPr>
        <w:pStyle w:val="TableofFigures"/>
        <w:tabs>
          <w:tab w:val="right" w:leader="dot" w:pos="9350"/>
        </w:tabs>
        <w:ind w:left="1260" w:hanging="1260"/>
        <w:rPr>
          <w:rFonts w:asciiTheme="minorHAnsi" w:eastAsiaTheme="minorEastAsia" w:hAnsiTheme="minorHAnsi" w:cstheme="minorBidi"/>
          <w:noProof/>
          <w:sz w:val="22"/>
          <w:szCs w:val="22"/>
        </w:rPr>
      </w:pPr>
      <w:hyperlink w:anchor="_Toc491244008" w:history="1">
        <w:r w:rsidR="00B84735" w:rsidRPr="00B84735">
          <w:rPr>
            <w:rStyle w:val="Hyperlink"/>
            <w:bCs/>
            <w:noProof/>
          </w:rPr>
          <w:t>Table 4</w:t>
        </w:r>
        <w:r w:rsidR="00B84735" w:rsidRPr="00B84735">
          <w:rPr>
            <w:rStyle w:val="Hyperlink"/>
            <w:bCs/>
            <w:noProof/>
          </w:rPr>
          <w:noBreakHyphen/>
          <w:t>4</w:t>
        </w:r>
        <w:r w:rsidR="00B84735" w:rsidRPr="00B84735">
          <w:rPr>
            <w:rStyle w:val="Hyperlink"/>
            <w:noProof/>
          </w:rPr>
          <w:t xml:space="preserve"> </w:t>
        </w:r>
        <w:r w:rsidR="00B84735">
          <w:rPr>
            <w:rStyle w:val="Hyperlink"/>
            <w:noProof/>
          </w:rPr>
          <w:tab/>
        </w:r>
        <w:r w:rsidR="00B84735" w:rsidRPr="00B84735">
          <w:rPr>
            <w:rStyle w:val="Hyperlink"/>
            <w:rFonts w:cs="Arial"/>
            <w:bCs/>
            <w:noProof/>
          </w:rPr>
          <w:t>Capacity Supply Obligation for New Capacity Procured during the Forward Capacity</w:t>
        </w:r>
        <w:r w:rsidR="00B84735">
          <w:rPr>
            <w:rStyle w:val="Hyperlink"/>
            <w:rFonts w:cs="Arial"/>
            <w:bCs/>
            <w:noProof/>
          </w:rPr>
          <w:br/>
        </w:r>
        <w:r w:rsidR="00B84735" w:rsidRPr="00B84735">
          <w:rPr>
            <w:rStyle w:val="Hyperlink"/>
            <w:rFonts w:cs="Arial"/>
            <w:bCs/>
            <w:noProof/>
          </w:rPr>
          <w:t>Auctions (MW)</w:t>
        </w:r>
        <w:r w:rsidR="00B84735" w:rsidRPr="00B84735">
          <w:rPr>
            <w:noProof/>
            <w:webHidden/>
          </w:rPr>
          <w:tab/>
        </w:r>
        <w:r w:rsidR="00B84735" w:rsidRPr="00B84735">
          <w:rPr>
            <w:noProof/>
            <w:webHidden/>
          </w:rPr>
          <w:fldChar w:fldCharType="begin"/>
        </w:r>
        <w:r w:rsidR="00B84735" w:rsidRPr="00B84735">
          <w:rPr>
            <w:noProof/>
            <w:webHidden/>
          </w:rPr>
          <w:instrText xml:space="preserve"> PAGEREF _Toc491244008 \h </w:instrText>
        </w:r>
        <w:r w:rsidR="00B84735" w:rsidRPr="00B84735">
          <w:rPr>
            <w:noProof/>
            <w:webHidden/>
          </w:rPr>
        </w:r>
        <w:r w:rsidR="00B84735" w:rsidRPr="00B84735">
          <w:rPr>
            <w:noProof/>
            <w:webHidden/>
          </w:rPr>
          <w:fldChar w:fldCharType="separate"/>
        </w:r>
        <w:r w:rsidR="00B05C7E">
          <w:rPr>
            <w:noProof/>
            <w:webHidden/>
          </w:rPr>
          <w:t>48</w:t>
        </w:r>
        <w:r w:rsidR="00B84735" w:rsidRPr="00B84735">
          <w:rPr>
            <w:noProof/>
            <w:webHidden/>
          </w:rPr>
          <w:fldChar w:fldCharType="end"/>
        </w:r>
      </w:hyperlink>
    </w:p>
    <w:p w:rsidR="00B84735" w:rsidRPr="00B84735" w:rsidRDefault="00CC063D" w:rsidP="00B84735">
      <w:pPr>
        <w:pStyle w:val="TableofFigures"/>
        <w:tabs>
          <w:tab w:val="right" w:leader="dot" w:pos="9350"/>
        </w:tabs>
        <w:ind w:left="1260" w:hanging="1260"/>
        <w:rPr>
          <w:rFonts w:asciiTheme="minorHAnsi" w:eastAsiaTheme="minorEastAsia" w:hAnsiTheme="minorHAnsi" w:cstheme="minorBidi"/>
          <w:noProof/>
          <w:sz w:val="22"/>
          <w:szCs w:val="22"/>
        </w:rPr>
      </w:pPr>
      <w:hyperlink w:anchor="_Toc491244009" w:history="1">
        <w:r w:rsidR="00B84735" w:rsidRPr="00B84735">
          <w:rPr>
            <w:rStyle w:val="Hyperlink"/>
            <w:bCs/>
            <w:noProof/>
          </w:rPr>
          <w:t>Table 4</w:t>
        </w:r>
        <w:r w:rsidR="00B84735" w:rsidRPr="00B84735">
          <w:rPr>
            <w:rStyle w:val="Hyperlink"/>
            <w:bCs/>
            <w:noProof/>
          </w:rPr>
          <w:noBreakHyphen/>
          <w:t xml:space="preserve">5  </w:t>
        </w:r>
        <w:r w:rsidR="00B84735">
          <w:rPr>
            <w:rStyle w:val="Hyperlink"/>
            <w:bCs/>
            <w:noProof/>
          </w:rPr>
          <w:tab/>
        </w:r>
        <w:r w:rsidR="00B84735" w:rsidRPr="00B84735">
          <w:rPr>
            <w:rStyle w:val="Hyperlink"/>
            <w:bCs/>
            <w:noProof/>
          </w:rPr>
          <w:t>Future Systemwide Needs (MW)</w:t>
        </w:r>
        <w:r w:rsidR="00B84735" w:rsidRPr="00B84735">
          <w:rPr>
            <w:noProof/>
            <w:webHidden/>
          </w:rPr>
          <w:tab/>
        </w:r>
        <w:r w:rsidR="00B84735" w:rsidRPr="00B84735">
          <w:rPr>
            <w:noProof/>
            <w:webHidden/>
          </w:rPr>
          <w:fldChar w:fldCharType="begin"/>
        </w:r>
        <w:r w:rsidR="00B84735" w:rsidRPr="00B84735">
          <w:rPr>
            <w:noProof/>
            <w:webHidden/>
          </w:rPr>
          <w:instrText xml:space="preserve"> PAGEREF _Toc491244009 \h </w:instrText>
        </w:r>
        <w:r w:rsidR="00B84735" w:rsidRPr="00B84735">
          <w:rPr>
            <w:noProof/>
            <w:webHidden/>
          </w:rPr>
        </w:r>
        <w:r w:rsidR="00B84735" w:rsidRPr="00B84735">
          <w:rPr>
            <w:noProof/>
            <w:webHidden/>
          </w:rPr>
          <w:fldChar w:fldCharType="separate"/>
        </w:r>
        <w:r w:rsidR="00B05C7E">
          <w:rPr>
            <w:noProof/>
            <w:webHidden/>
          </w:rPr>
          <w:t>51</w:t>
        </w:r>
        <w:r w:rsidR="00B84735" w:rsidRPr="00B84735">
          <w:rPr>
            <w:noProof/>
            <w:webHidden/>
          </w:rPr>
          <w:fldChar w:fldCharType="end"/>
        </w:r>
      </w:hyperlink>
    </w:p>
    <w:p w:rsidR="00B84735" w:rsidRPr="00B84735" w:rsidRDefault="00CC063D" w:rsidP="00B84735">
      <w:pPr>
        <w:pStyle w:val="TableofFigures"/>
        <w:tabs>
          <w:tab w:val="right" w:leader="dot" w:pos="9350"/>
        </w:tabs>
        <w:ind w:left="1260" w:hanging="1260"/>
        <w:rPr>
          <w:rFonts w:asciiTheme="minorHAnsi" w:eastAsiaTheme="minorEastAsia" w:hAnsiTheme="minorHAnsi" w:cstheme="minorBidi"/>
          <w:noProof/>
          <w:sz w:val="22"/>
          <w:szCs w:val="22"/>
        </w:rPr>
      </w:pPr>
      <w:hyperlink w:anchor="_Toc491244010" w:history="1">
        <w:r w:rsidR="00B84735" w:rsidRPr="00B84735">
          <w:rPr>
            <w:rStyle w:val="Hyperlink"/>
            <w:bCs/>
            <w:noProof/>
          </w:rPr>
          <w:t>Table 4</w:t>
        </w:r>
        <w:r w:rsidR="00B84735" w:rsidRPr="00B84735">
          <w:rPr>
            <w:rStyle w:val="Hyperlink"/>
            <w:bCs/>
            <w:noProof/>
          </w:rPr>
          <w:noBreakHyphen/>
          <w:t xml:space="preserve">6 </w:t>
        </w:r>
        <w:r w:rsidR="00B84735">
          <w:rPr>
            <w:rStyle w:val="Hyperlink"/>
            <w:bCs/>
            <w:noProof/>
          </w:rPr>
          <w:tab/>
        </w:r>
        <w:r w:rsidR="00B84735" w:rsidRPr="00B84735">
          <w:rPr>
            <w:rStyle w:val="Hyperlink"/>
            <w:bCs/>
            <w:noProof/>
          </w:rPr>
          <w:t xml:space="preserve">Projected New England Operable Capacity Analysis for Summer, 2018 </w:t>
        </w:r>
        <w:r w:rsidR="00B84735" w:rsidRPr="00B84735">
          <w:rPr>
            <w:rStyle w:val="Hyperlink"/>
            <w:rFonts w:cs="Arial"/>
            <w:bCs/>
            <w:noProof/>
          </w:rPr>
          <w:t xml:space="preserve">to </w:t>
        </w:r>
        <w:r w:rsidR="00B84735" w:rsidRPr="00B84735">
          <w:rPr>
            <w:rStyle w:val="Hyperlink"/>
            <w:bCs/>
            <w:noProof/>
          </w:rPr>
          <w:t>2026,</w:t>
        </w:r>
        <w:r w:rsidR="00B84735">
          <w:rPr>
            <w:rStyle w:val="Hyperlink"/>
            <w:bCs/>
            <w:noProof/>
          </w:rPr>
          <w:br/>
        </w:r>
        <w:r w:rsidR="00B84735" w:rsidRPr="00B84735">
          <w:rPr>
            <w:rStyle w:val="Hyperlink"/>
            <w:bCs/>
            <w:noProof/>
          </w:rPr>
          <w:t>Assuming 50/50 and 90/10 Loads (MW)</w:t>
        </w:r>
        <w:r w:rsidR="00B84735" w:rsidRPr="00B84735">
          <w:rPr>
            <w:noProof/>
            <w:webHidden/>
          </w:rPr>
          <w:tab/>
        </w:r>
        <w:r w:rsidR="00B84735" w:rsidRPr="00B84735">
          <w:rPr>
            <w:noProof/>
            <w:webHidden/>
          </w:rPr>
          <w:fldChar w:fldCharType="begin"/>
        </w:r>
        <w:r w:rsidR="00B84735" w:rsidRPr="00B84735">
          <w:rPr>
            <w:noProof/>
            <w:webHidden/>
          </w:rPr>
          <w:instrText xml:space="preserve"> PAGEREF _Toc491244010 \h </w:instrText>
        </w:r>
        <w:r w:rsidR="00B84735" w:rsidRPr="00B84735">
          <w:rPr>
            <w:noProof/>
            <w:webHidden/>
          </w:rPr>
        </w:r>
        <w:r w:rsidR="00B84735" w:rsidRPr="00B84735">
          <w:rPr>
            <w:noProof/>
            <w:webHidden/>
          </w:rPr>
          <w:fldChar w:fldCharType="separate"/>
        </w:r>
        <w:r w:rsidR="00B05C7E">
          <w:rPr>
            <w:noProof/>
            <w:webHidden/>
          </w:rPr>
          <w:t>53</w:t>
        </w:r>
        <w:r w:rsidR="00B84735" w:rsidRPr="00B84735">
          <w:rPr>
            <w:noProof/>
            <w:webHidden/>
          </w:rPr>
          <w:fldChar w:fldCharType="end"/>
        </w:r>
      </w:hyperlink>
    </w:p>
    <w:p w:rsidR="00B84735" w:rsidRPr="00B84735" w:rsidRDefault="00CC063D" w:rsidP="00B84735">
      <w:pPr>
        <w:pStyle w:val="TableofFigures"/>
        <w:tabs>
          <w:tab w:val="right" w:leader="dot" w:pos="9350"/>
        </w:tabs>
        <w:ind w:left="1260" w:hanging="1260"/>
        <w:rPr>
          <w:rFonts w:asciiTheme="minorHAnsi" w:eastAsiaTheme="minorEastAsia" w:hAnsiTheme="minorHAnsi" w:cstheme="minorBidi"/>
          <w:noProof/>
          <w:sz w:val="22"/>
          <w:szCs w:val="22"/>
        </w:rPr>
      </w:pPr>
      <w:hyperlink w:anchor="_Toc491244011" w:history="1">
        <w:r w:rsidR="00B84735" w:rsidRPr="00B84735">
          <w:rPr>
            <w:rStyle w:val="Hyperlink"/>
            <w:bCs/>
            <w:noProof/>
          </w:rPr>
          <w:t>Table 4</w:t>
        </w:r>
        <w:r w:rsidR="00B84735" w:rsidRPr="00B84735">
          <w:rPr>
            <w:rStyle w:val="Hyperlink"/>
            <w:bCs/>
            <w:noProof/>
          </w:rPr>
          <w:noBreakHyphen/>
          <w:t xml:space="preserve">7 </w:t>
        </w:r>
        <w:r w:rsidR="00B84735">
          <w:rPr>
            <w:rStyle w:val="Hyperlink"/>
            <w:bCs/>
            <w:noProof/>
          </w:rPr>
          <w:tab/>
        </w:r>
        <w:r w:rsidR="00B84735" w:rsidRPr="00B84735">
          <w:rPr>
            <w:rStyle w:val="Hyperlink"/>
            <w:bCs/>
            <w:noProof/>
          </w:rPr>
          <w:t>Representative Future Operating-Reserve Needs in Major New England Import Areas (MW)</w:t>
        </w:r>
        <w:r w:rsidR="00B84735" w:rsidRPr="00B84735">
          <w:rPr>
            <w:noProof/>
            <w:webHidden/>
          </w:rPr>
          <w:tab/>
        </w:r>
        <w:r w:rsidR="00B84735" w:rsidRPr="00B84735">
          <w:rPr>
            <w:noProof/>
            <w:webHidden/>
          </w:rPr>
          <w:fldChar w:fldCharType="begin"/>
        </w:r>
        <w:r w:rsidR="00B84735" w:rsidRPr="00B84735">
          <w:rPr>
            <w:noProof/>
            <w:webHidden/>
          </w:rPr>
          <w:instrText xml:space="preserve"> PAGEREF _Toc491244011 \h </w:instrText>
        </w:r>
        <w:r w:rsidR="00B84735" w:rsidRPr="00B84735">
          <w:rPr>
            <w:noProof/>
            <w:webHidden/>
          </w:rPr>
        </w:r>
        <w:r w:rsidR="00B84735" w:rsidRPr="00B84735">
          <w:rPr>
            <w:noProof/>
            <w:webHidden/>
          </w:rPr>
          <w:fldChar w:fldCharType="separate"/>
        </w:r>
        <w:r w:rsidR="00B05C7E">
          <w:rPr>
            <w:noProof/>
            <w:webHidden/>
          </w:rPr>
          <w:t>57</w:t>
        </w:r>
        <w:r w:rsidR="00B84735" w:rsidRPr="00B84735">
          <w:rPr>
            <w:noProof/>
            <w:webHidden/>
          </w:rPr>
          <w:fldChar w:fldCharType="end"/>
        </w:r>
      </w:hyperlink>
    </w:p>
    <w:p w:rsidR="00B84735" w:rsidRPr="00B84735" w:rsidRDefault="00CC063D" w:rsidP="00B84735">
      <w:pPr>
        <w:pStyle w:val="TableofFigures"/>
        <w:tabs>
          <w:tab w:val="right" w:leader="dot" w:pos="9350"/>
        </w:tabs>
        <w:ind w:left="1260" w:hanging="1260"/>
        <w:rPr>
          <w:rFonts w:asciiTheme="minorHAnsi" w:eastAsiaTheme="minorEastAsia" w:hAnsiTheme="minorHAnsi" w:cstheme="minorBidi"/>
          <w:noProof/>
          <w:sz w:val="22"/>
          <w:szCs w:val="22"/>
        </w:rPr>
      </w:pPr>
      <w:hyperlink w:anchor="_Toc491244012" w:history="1">
        <w:r w:rsidR="00B84735" w:rsidRPr="00B84735">
          <w:rPr>
            <w:rStyle w:val="Hyperlink"/>
            <w:bCs/>
            <w:noProof/>
          </w:rPr>
          <w:t>Table 4</w:t>
        </w:r>
        <w:r w:rsidR="00B84735" w:rsidRPr="00B84735">
          <w:rPr>
            <w:rStyle w:val="Hyperlink"/>
            <w:bCs/>
            <w:noProof/>
          </w:rPr>
          <w:noBreakHyphen/>
          <w:t xml:space="preserve">8 </w:t>
        </w:r>
        <w:r w:rsidR="00B84735">
          <w:rPr>
            <w:rStyle w:val="Hyperlink"/>
            <w:bCs/>
            <w:noProof/>
          </w:rPr>
          <w:tab/>
        </w:r>
        <w:r w:rsidR="00B84735" w:rsidRPr="00B84735">
          <w:rPr>
            <w:rStyle w:val="Hyperlink"/>
            <w:bCs/>
            <w:noProof/>
          </w:rPr>
          <w:t>2017 Generating Capacity by Subarea, State, and Load Zone (MW, %)</w:t>
        </w:r>
        <w:r w:rsidR="00B84735" w:rsidRPr="00B84735">
          <w:rPr>
            <w:noProof/>
            <w:webHidden/>
          </w:rPr>
          <w:tab/>
        </w:r>
        <w:r w:rsidR="00B84735" w:rsidRPr="00B84735">
          <w:rPr>
            <w:noProof/>
            <w:webHidden/>
          </w:rPr>
          <w:fldChar w:fldCharType="begin"/>
        </w:r>
        <w:r w:rsidR="00B84735" w:rsidRPr="00B84735">
          <w:rPr>
            <w:noProof/>
            <w:webHidden/>
          </w:rPr>
          <w:instrText xml:space="preserve"> PAGEREF _Toc491244012 \h </w:instrText>
        </w:r>
        <w:r w:rsidR="00B84735" w:rsidRPr="00B84735">
          <w:rPr>
            <w:noProof/>
            <w:webHidden/>
          </w:rPr>
        </w:r>
        <w:r w:rsidR="00B84735" w:rsidRPr="00B84735">
          <w:rPr>
            <w:noProof/>
            <w:webHidden/>
          </w:rPr>
          <w:fldChar w:fldCharType="separate"/>
        </w:r>
        <w:r w:rsidR="00B05C7E">
          <w:rPr>
            <w:noProof/>
            <w:webHidden/>
          </w:rPr>
          <w:t>60</w:t>
        </w:r>
        <w:r w:rsidR="00B84735" w:rsidRPr="00B84735">
          <w:rPr>
            <w:noProof/>
            <w:webHidden/>
          </w:rPr>
          <w:fldChar w:fldCharType="end"/>
        </w:r>
      </w:hyperlink>
    </w:p>
    <w:p w:rsidR="00B84735" w:rsidRPr="00B84735" w:rsidRDefault="00CC063D" w:rsidP="00B84735">
      <w:pPr>
        <w:pStyle w:val="TableofFigures"/>
        <w:tabs>
          <w:tab w:val="right" w:leader="dot" w:pos="9350"/>
        </w:tabs>
        <w:ind w:left="1260" w:hanging="1260"/>
        <w:rPr>
          <w:rFonts w:asciiTheme="minorHAnsi" w:eastAsiaTheme="minorEastAsia" w:hAnsiTheme="minorHAnsi" w:cstheme="minorBidi"/>
          <w:noProof/>
          <w:sz w:val="22"/>
          <w:szCs w:val="22"/>
        </w:rPr>
      </w:pPr>
      <w:hyperlink w:anchor="_Toc491244013" w:history="1">
        <w:r w:rsidR="00B84735" w:rsidRPr="00B84735">
          <w:rPr>
            <w:rStyle w:val="Hyperlink"/>
            <w:bCs/>
            <w:noProof/>
          </w:rPr>
          <w:t>Table 4</w:t>
        </w:r>
        <w:r w:rsidR="00B84735" w:rsidRPr="00B84735">
          <w:rPr>
            <w:rStyle w:val="Hyperlink"/>
            <w:bCs/>
            <w:noProof/>
          </w:rPr>
          <w:noBreakHyphen/>
          <w:t xml:space="preserve">9  </w:t>
        </w:r>
        <w:r w:rsidR="00B84735">
          <w:rPr>
            <w:rStyle w:val="Hyperlink"/>
            <w:bCs/>
            <w:noProof/>
          </w:rPr>
          <w:tab/>
        </w:r>
        <w:r w:rsidR="00B84735" w:rsidRPr="00B84735">
          <w:rPr>
            <w:rStyle w:val="Hyperlink"/>
            <w:bCs/>
            <w:noProof/>
          </w:rPr>
          <w:t>2017 Summer Seasonal Claimed Capability for ISO New England Generating Resources,</w:t>
        </w:r>
        <w:r w:rsidR="00B84735">
          <w:rPr>
            <w:rStyle w:val="Hyperlink"/>
            <w:bCs/>
            <w:noProof/>
          </w:rPr>
          <w:br/>
        </w:r>
        <w:r w:rsidR="00B84735" w:rsidRPr="00B84735">
          <w:rPr>
            <w:rStyle w:val="Hyperlink"/>
            <w:bCs/>
            <w:noProof/>
          </w:rPr>
          <w:t>by Assumed Operating Classification, Systemwide and by RSP Subarea (MW)</w:t>
        </w:r>
        <w:r w:rsidR="00B84735" w:rsidRPr="00B84735">
          <w:rPr>
            <w:noProof/>
            <w:webHidden/>
          </w:rPr>
          <w:tab/>
        </w:r>
        <w:r w:rsidR="00B84735" w:rsidRPr="00B84735">
          <w:rPr>
            <w:noProof/>
            <w:webHidden/>
          </w:rPr>
          <w:fldChar w:fldCharType="begin"/>
        </w:r>
        <w:r w:rsidR="00B84735" w:rsidRPr="00B84735">
          <w:rPr>
            <w:noProof/>
            <w:webHidden/>
          </w:rPr>
          <w:instrText xml:space="preserve"> PAGEREF _Toc491244013 \h </w:instrText>
        </w:r>
        <w:r w:rsidR="00B84735" w:rsidRPr="00B84735">
          <w:rPr>
            <w:noProof/>
            <w:webHidden/>
          </w:rPr>
        </w:r>
        <w:r w:rsidR="00B84735" w:rsidRPr="00B84735">
          <w:rPr>
            <w:noProof/>
            <w:webHidden/>
          </w:rPr>
          <w:fldChar w:fldCharType="separate"/>
        </w:r>
        <w:r w:rsidR="00B05C7E">
          <w:rPr>
            <w:noProof/>
            <w:webHidden/>
          </w:rPr>
          <w:t>61</w:t>
        </w:r>
        <w:r w:rsidR="00B84735" w:rsidRPr="00B84735">
          <w:rPr>
            <w:noProof/>
            <w:webHidden/>
          </w:rPr>
          <w:fldChar w:fldCharType="end"/>
        </w:r>
      </w:hyperlink>
    </w:p>
    <w:p w:rsidR="00B84735" w:rsidRPr="00B84735" w:rsidRDefault="00CC063D" w:rsidP="00B84735">
      <w:pPr>
        <w:pStyle w:val="TableofFigures"/>
        <w:tabs>
          <w:tab w:val="right" w:leader="dot" w:pos="9350"/>
        </w:tabs>
        <w:ind w:left="1260" w:hanging="1260"/>
        <w:rPr>
          <w:rFonts w:asciiTheme="minorHAnsi" w:eastAsiaTheme="minorEastAsia" w:hAnsiTheme="minorHAnsi" w:cstheme="minorBidi"/>
          <w:noProof/>
          <w:sz w:val="22"/>
          <w:szCs w:val="22"/>
        </w:rPr>
      </w:pPr>
      <w:hyperlink w:anchor="_Toc491244014" w:history="1">
        <w:r w:rsidR="00B84735" w:rsidRPr="00B84735">
          <w:rPr>
            <w:rStyle w:val="Hyperlink"/>
            <w:bCs/>
            <w:noProof/>
          </w:rPr>
          <w:t>Table 5</w:t>
        </w:r>
        <w:r w:rsidR="00B84735" w:rsidRPr="00B84735">
          <w:rPr>
            <w:rStyle w:val="Hyperlink"/>
            <w:bCs/>
            <w:noProof/>
          </w:rPr>
          <w:noBreakHyphen/>
          <w:t xml:space="preserve">1 </w:t>
        </w:r>
        <w:r w:rsidR="00B84735">
          <w:rPr>
            <w:rStyle w:val="Hyperlink"/>
            <w:bCs/>
            <w:noProof/>
          </w:rPr>
          <w:tab/>
        </w:r>
        <w:r w:rsidR="00B84735" w:rsidRPr="00B84735">
          <w:rPr>
            <w:rStyle w:val="Hyperlink"/>
            <w:rFonts w:eastAsia="Times New Roman"/>
            <w:bCs/>
            <w:noProof/>
          </w:rPr>
          <w:t>Estimated C</w:t>
        </w:r>
        <w:r w:rsidR="00B84735" w:rsidRPr="00B84735">
          <w:rPr>
            <w:rStyle w:val="Hyperlink"/>
            <w:rFonts w:eastAsia="Times New Roman"/>
            <w:noProof/>
          </w:rPr>
          <w:t>ost of Reliability Projects as of June</w:t>
        </w:r>
        <w:r w:rsidR="00B84735" w:rsidRPr="00B84735">
          <w:rPr>
            <w:rStyle w:val="Hyperlink"/>
            <w:rFonts w:eastAsia="Times New Roman"/>
            <w:bCs/>
            <w:noProof/>
          </w:rPr>
          <w:t xml:space="preserve"> 2017</w:t>
        </w:r>
        <w:r w:rsidR="00B84735" w:rsidRPr="00B84735">
          <w:rPr>
            <w:rStyle w:val="Hyperlink"/>
            <w:rFonts w:eastAsia="Times New Roman"/>
            <w:noProof/>
          </w:rPr>
          <w:t xml:space="preserve"> Plan Update (Million $)</w:t>
        </w:r>
        <w:r w:rsidR="00B84735" w:rsidRPr="00B84735">
          <w:rPr>
            <w:noProof/>
            <w:webHidden/>
          </w:rPr>
          <w:tab/>
        </w:r>
        <w:r w:rsidR="00B84735" w:rsidRPr="00B84735">
          <w:rPr>
            <w:noProof/>
            <w:webHidden/>
          </w:rPr>
          <w:fldChar w:fldCharType="begin"/>
        </w:r>
        <w:r w:rsidR="00B84735" w:rsidRPr="00B84735">
          <w:rPr>
            <w:noProof/>
            <w:webHidden/>
          </w:rPr>
          <w:instrText xml:space="preserve"> PAGEREF _Toc491244014 \h </w:instrText>
        </w:r>
        <w:r w:rsidR="00B84735" w:rsidRPr="00B84735">
          <w:rPr>
            <w:noProof/>
            <w:webHidden/>
          </w:rPr>
        </w:r>
        <w:r w:rsidR="00B84735" w:rsidRPr="00B84735">
          <w:rPr>
            <w:noProof/>
            <w:webHidden/>
          </w:rPr>
          <w:fldChar w:fldCharType="separate"/>
        </w:r>
        <w:r w:rsidR="00B05C7E">
          <w:rPr>
            <w:noProof/>
            <w:webHidden/>
          </w:rPr>
          <w:t>82</w:t>
        </w:r>
        <w:r w:rsidR="00B84735" w:rsidRPr="00B84735">
          <w:rPr>
            <w:noProof/>
            <w:webHidden/>
          </w:rPr>
          <w:fldChar w:fldCharType="end"/>
        </w:r>
      </w:hyperlink>
    </w:p>
    <w:p w:rsidR="00B84735" w:rsidRPr="00B84735" w:rsidRDefault="00CC063D" w:rsidP="00B84735">
      <w:pPr>
        <w:pStyle w:val="TableofFigures"/>
        <w:tabs>
          <w:tab w:val="right" w:leader="dot" w:pos="9350"/>
        </w:tabs>
        <w:ind w:left="1260" w:hanging="1260"/>
        <w:rPr>
          <w:rFonts w:asciiTheme="minorHAnsi" w:eastAsiaTheme="minorEastAsia" w:hAnsiTheme="minorHAnsi" w:cstheme="minorBidi"/>
          <w:noProof/>
          <w:sz w:val="22"/>
          <w:szCs w:val="22"/>
        </w:rPr>
      </w:pPr>
      <w:hyperlink w:anchor="_Toc491244015" w:history="1">
        <w:r w:rsidR="00B84735" w:rsidRPr="00B84735">
          <w:rPr>
            <w:rStyle w:val="Hyperlink"/>
            <w:bCs/>
            <w:noProof/>
          </w:rPr>
          <w:t>Table 5</w:t>
        </w:r>
        <w:r w:rsidR="00B84735" w:rsidRPr="00B84735">
          <w:rPr>
            <w:rStyle w:val="Hyperlink"/>
            <w:bCs/>
            <w:noProof/>
          </w:rPr>
          <w:noBreakHyphen/>
          <w:t>2</w:t>
        </w:r>
        <w:r w:rsidR="00B84735" w:rsidRPr="00B84735">
          <w:rPr>
            <w:rStyle w:val="Hyperlink"/>
            <w:noProof/>
          </w:rPr>
          <w:t xml:space="preserve"> </w:t>
        </w:r>
        <w:r w:rsidR="00B84735">
          <w:rPr>
            <w:rStyle w:val="Hyperlink"/>
            <w:noProof/>
          </w:rPr>
          <w:tab/>
        </w:r>
        <w:r w:rsidR="00B84735" w:rsidRPr="00B84735">
          <w:rPr>
            <w:rStyle w:val="Hyperlink"/>
            <w:noProof/>
          </w:rPr>
          <w:t>Actual and Forecast Regional Transmission Service Rates, 2016 to 2021</w:t>
        </w:r>
        <w:r w:rsidR="00B84735" w:rsidRPr="00B84735">
          <w:rPr>
            <w:noProof/>
            <w:webHidden/>
          </w:rPr>
          <w:tab/>
        </w:r>
        <w:r w:rsidR="00B84735" w:rsidRPr="00B84735">
          <w:rPr>
            <w:noProof/>
            <w:webHidden/>
          </w:rPr>
          <w:fldChar w:fldCharType="begin"/>
        </w:r>
        <w:r w:rsidR="00B84735" w:rsidRPr="00B84735">
          <w:rPr>
            <w:noProof/>
            <w:webHidden/>
          </w:rPr>
          <w:instrText xml:space="preserve"> PAGEREF _Toc491244015 \h </w:instrText>
        </w:r>
        <w:r w:rsidR="00B84735" w:rsidRPr="00B84735">
          <w:rPr>
            <w:noProof/>
            <w:webHidden/>
          </w:rPr>
        </w:r>
        <w:r w:rsidR="00B84735" w:rsidRPr="00B84735">
          <w:rPr>
            <w:noProof/>
            <w:webHidden/>
          </w:rPr>
          <w:fldChar w:fldCharType="separate"/>
        </w:r>
        <w:r w:rsidR="00B05C7E">
          <w:rPr>
            <w:noProof/>
            <w:webHidden/>
          </w:rPr>
          <w:t>83</w:t>
        </w:r>
        <w:r w:rsidR="00B84735" w:rsidRPr="00B84735">
          <w:rPr>
            <w:noProof/>
            <w:webHidden/>
          </w:rPr>
          <w:fldChar w:fldCharType="end"/>
        </w:r>
      </w:hyperlink>
    </w:p>
    <w:p w:rsidR="00B84735" w:rsidRPr="00B84735" w:rsidRDefault="00CC063D" w:rsidP="00B84735">
      <w:pPr>
        <w:pStyle w:val="TableofFigures"/>
        <w:tabs>
          <w:tab w:val="right" w:leader="dot" w:pos="9350"/>
        </w:tabs>
        <w:ind w:left="1260" w:hanging="1260"/>
        <w:rPr>
          <w:rFonts w:asciiTheme="minorHAnsi" w:eastAsiaTheme="minorEastAsia" w:hAnsiTheme="minorHAnsi" w:cstheme="minorBidi"/>
          <w:noProof/>
          <w:sz w:val="22"/>
          <w:szCs w:val="22"/>
        </w:rPr>
      </w:pPr>
      <w:hyperlink w:anchor="_Toc491244016" w:history="1">
        <w:r w:rsidR="00B84735" w:rsidRPr="00B84735">
          <w:rPr>
            <w:rStyle w:val="Hyperlink"/>
            <w:bCs/>
            <w:noProof/>
          </w:rPr>
          <w:t>Table 5</w:t>
        </w:r>
        <w:r w:rsidR="00B84735" w:rsidRPr="00B84735">
          <w:rPr>
            <w:rStyle w:val="Hyperlink"/>
            <w:bCs/>
            <w:noProof/>
          </w:rPr>
          <w:noBreakHyphen/>
          <w:t xml:space="preserve">3 </w:t>
        </w:r>
        <w:r w:rsidR="00B84735">
          <w:rPr>
            <w:rStyle w:val="Hyperlink"/>
            <w:bCs/>
            <w:noProof/>
          </w:rPr>
          <w:tab/>
        </w:r>
        <w:r w:rsidR="00B84735" w:rsidRPr="00B84735">
          <w:rPr>
            <w:rStyle w:val="Hyperlink"/>
            <w:bCs/>
            <w:noProof/>
          </w:rPr>
          <w:t>ISO New England Transmission System Day-Ahead, Real-Time, and Total Congestion Costs</w:t>
        </w:r>
        <w:r w:rsidR="00B84735">
          <w:rPr>
            <w:rStyle w:val="Hyperlink"/>
            <w:bCs/>
            <w:noProof/>
          </w:rPr>
          <w:br/>
        </w:r>
        <w:r w:rsidR="00B84735" w:rsidRPr="00B84735">
          <w:rPr>
            <w:rStyle w:val="Hyperlink"/>
            <w:bCs/>
            <w:noProof/>
          </w:rPr>
          <w:t>and Credits, 2003 to 2016 ($)</w:t>
        </w:r>
        <w:r w:rsidR="00B84735" w:rsidRPr="00B84735">
          <w:rPr>
            <w:noProof/>
            <w:webHidden/>
          </w:rPr>
          <w:tab/>
        </w:r>
        <w:r w:rsidR="00B84735" w:rsidRPr="00B84735">
          <w:rPr>
            <w:noProof/>
            <w:webHidden/>
          </w:rPr>
          <w:fldChar w:fldCharType="begin"/>
        </w:r>
        <w:r w:rsidR="00B84735" w:rsidRPr="00B84735">
          <w:rPr>
            <w:noProof/>
            <w:webHidden/>
          </w:rPr>
          <w:instrText xml:space="preserve"> PAGEREF _Toc491244016 \h </w:instrText>
        </w:r>
        <w:r w:rsidR="00B84735" w:rsidRPr="00B84735">
          <w:rPr>
            <w:noProof/>
            <w:webHidden/>
          </w:rPr>
        </w:r>
        <w:r w:rsidR="00B84735" w:rsidRPr="00B84735">
          <w:rPr>
            <w:noProof/>
            <w:webHidden/>
          </w:rPr>
          <w:fldChar w:fldCharType="separate"/>
        </w:r>
        <w:r w:rsidR="00B05C7E">
          <w:rPr>
            <w:noProof/>
            <w:webHidden/>
          </w:rPr>
          <w:t>85</w:t>
        </w:r>
        <w:r w:rsidR="00B84735" w:rsidRPr="00B84735">
          <w:rPr>
            <w:noProof/>
            <w:webHidden/>
          </w:rPr>
          <w:fldChar w:fldCharType="end"/>
        </w:r>
      </w:hyperlink>
    </w:p>
    <w:p w:rsidR="00B84735" w:rsidRPr="00B84735" w:rsidRDefault="00CC063D" w:rsidP="00B84735">
      <w:pPr>
        <w:pStyle w:val="TableofFigures"/>
        <w:tabs>
          <w:tab w:val="right" w:leader="dot" w:pos="9350"/>
        </w:tabs>
        <w:ind w:left="1260" w:hanging="1260"/>
        <w:rPr>
          <w:rFonts w:asciiTheme="minorHAnsi" w:eastAsiaTheme="minorEastAsia" w:hAnsiTheme="minorHAnsi" w:cstheme="minorBidi"/>
          <w:noProof/>
          <w:sz w:val="22"/>
          <w:szCs w:val="22"/>
        </w:rPr>
      </w:pPr>
      <w:hyperlink w:anchor="_Toc491244017" w:history="1">
        <w:r w:rsidR="00B84735" w:rsidRPr="00B84735">
          <w:rPr>
            <w:rStyle w:val="Hyperlink"/>
            <w:bCs/>
            <w:noProof/>
          </w:rPr>
          <w:t>Table 5</w:t>
        </w:r>
        <w:r w:rsidR="00B84735" w:rsidRPr="00B84735">
          <w:rPr>
            <w:rStyle w:val="Hyperlink"/>
            <w:bCs/>
            <w:noProof/>
          </w:rPr>
          <w:noBreakHyphen/>
          <w:t xml:space="preserve">4 </w:t>
        </w:r>
        <w:r w:rsidR="00B84735">
          <w:rPr>
            <w:rStyle w:val="Hyperlink"/>
            <w:bCs/>
            <w:noProof/>
          </w:rPr>
          <w:tab/>
        </w:r>
        <w:r w:rsidR="00B84735" w:rsidRPr="00B84735">
          <w:rPr>
            <w:rStyle w:val="Hyperlink"/>
            <w:bCs/>
            <w:noProof/>
          </w:rPr>
          <w:t>Net Commitment-Period Compensation by Type and Year (Million $)</w:t>
        </w:r>
        <w:r w:rsidR="00B84735" w:rsidRPr="00B84735">
          <w:rPr>
            <w:noProof/>
            <w:webHidden/>
          </w:rPr>
          <w:tab/>
        </w:r>
        <w:r w:rsidR="00B84735" w:rsidRPr="00B84735">
          <w:rPr>
            <w:noProof/>
            <w:webHidden/>
          </w:rPr>
          <w:fldChar w:fldCharType="begin"/>
        </w:r>
        <w:r w:rsidR="00B84735" w:rsidRPr="00B84735">
          <w:rPr>
            <w:noProof/>
            <w:webHidden/>
          </w:rPr>
          <w:instrText xml:space="preserve"> PAGEREF _Toc491244017 \h </w:instrText>
        </w:r>
        <w:r w:rsidR="00B84735" w:rsidRPr="00B84735">
          <w:rPr>
            <w:noProof/>
            <w:webHidden/>
          </w:rPr>
        </w:r>
        <w:r w:rsidR="00B84735" w:rsidRPr="00B84735">
          <w:rPr>
            <w:noProof/>
            <w:webHidden/>
          </w:rPr>
          <w:fldChar w:fldCharType="separate"/>
        </w:r>
        <w:r w:rsidR="00B05C7E">
          <w:rPr>
            <w:noProof/>
            <w:webHidden/>
          </w:rPr>
          <w:t>86</w:t>
        </w:r>
        <w:r w:rsidR="00B84735" w:rsidRPr="00B84735">
          <w:rPr>
            <w:noProof/>
            <w:webHidden/>
          </w:rPr>
          <w:fldChar w:fldCharType="end"/>
        </w:r>
      </w:hyperlink>
    </w:p>
    <w:p w:rsidR="00B84735" w:rsidRPr="00B84735" w:rsidRDefault="00CC063D" w:rsidP="00B84735">
      <w:pPr>
        <w:pStyle w:val="TableofFigures"/>
        <w:tabs>
          <w:tab w:val="right" w:leader="dot" w:pos="9350"/>
        </w:tabs>
        <w:ind w:left="1260" w:hanging="1260"/>
        <w:rPr>
          <w:rFonts w:asciiTheme="minorHAnsi" w:eastAsiaTheme="minorEastAsia" w:hAnsiTheme="minorHAnsi" w:cstheme="minorBidi"/>
          <w:noProof/>
          <w:sz w:val="22"/>
          <w:szCs w:val="22"/>
        </w:rPr>
      </w:pPr>
      <w:hyperlink w:anchor="_Toc491244018" w:history="1">
        <w:r w:rsidR="00B84735" w:rsidRPr="00B84735">
          <w:rPr>
            <w:rStyle w:val="Hyperlink"/>
            <w:bCs/>
            <w:noProof/>
          </w:rPr>
          <w:t>Table 6</w:t>
        </w:r>
        <w:r w:rsidR="00B84735" w:rsidRPr="00B84735">
          <w:rPr>
            <w:rStyle w:val="Hyperlink"/>
            <w:bCs/>
            <w:noProof/>
          </w:rPr>
          <w:noBreakHyphen/>
          <w:t xml:space="preserve">1 </w:t>
        </w:r>
        <w:r w:rsidR="00B84735">
          <w:rPr>
            <w:rStyle w:val="Hyperlink"/>
            <w:bCs/>
            <w:noProof/>
          </w:rPr>
          <w:tab/>
        </w:r>
        <w:r w:rsidR="00B84735" w:rsidRPr="00B84735">
          <w:rPr>
            <w:rStyle w:val="Hyperlink"/>
            <w:bCs/>
            <w:noProof/>
          </w:rPr>
          <w:t>Assumed External Interface Import Capability, Summer 2017 to Summer 2026 (MW)</w:t>
        </w:r>
        <w:r w:rsidR="00B84735" w:rsidRPr="00B84735">
          <w:rPr>
            <w:noProof/>
            <w:webHidden/>
          </w:rPr>
          <w:tab/>
        </w:r>
        <w:r w:rsidR="00B84735" w:rsidRPr="00B84735">
          <w:rPr>
            <w:noProof/>
            <w:webHidden/>
          </w:rPr>
          <w:fldChar w:fldCharType="begin"/>
        </w:r>
        <w:r w:rsidR="00B84735" w:rsidRPr="00B84735">
          <w:rPr>
            <w:noProof/>
            <w:webHidden/>
          </w:rPr>
          <w:instrText xml:space="preserve"> PAGEREF _Toc491244018 \h </w:instrText>
        </w:r>
        <w:r w:rsidR="00B84735" w:rsidRPr="00B84735">
          <w:rPr>
            <w:noProof/>
            <w:webHidden/>
          </w:rPr>
        </w:r>
        <w:r w:rsidR="00B84735" w:rsidRPr="00B84735">
          <w:rPr>
            <w:noProof/>
            <w:webHidden/>
          </w:rPr>
          <w:fldChar w:fldCharType="separate"/>
        </w:r>
        <w:r w:rsidR="00B05C7E">
          <w:rPr>
            <w:noProof/>
            <w:webHidden/>
          </w:rPr>
          <w:t>95</w:t>
        </w:r>
        <w:r w:rsidR="00B84735" w:rsidRPr="00B84735">
          <w:rPr>
            <w:noProof/>
            <w:webHidden/>
          </w:rPr>
          <w:fldChar w:fldCharType="end"/>
        </w:r>
      </w:hyperlink>
    </w:p>
    <w:p w:rsidR="00B84735" w:rsidRPr="00B84735" w:rsidRDefault="00CC063D" w:rsidP="00B84735">
      <w:pPr>
        <w:pStyle w:val="TableofFigures"/>
        <w:tabs>
          <w:tab w:val="right" w:leader="dot" w:pos="9350"/>
        </w:tabs>
        <w:ind w:left="1260" w:hanging="1260"/>
        <w:rPr>
          <w:rFonts w:asciiTheme="minorHAnsi" w:eastAsiaTheme="minorEastAsia" w:hAnsiTheme="minorHAnsi" w:cstheme="minorBidi"/>
          <w:noProof/>
          <w:sz w:val="22"/>
          <w:szCs w:val="22"/>
        </w:rPr>
      </w:pPr>
      <w:hyperlink w:anchor="_Toc491244019" w:history="1">
        <w:r w:rsidR="00B84735" w:rsidRPr="00B84735">
          <w:rPr>
            <w:rStyle w:val="Hyperlink"/>
            <w:bCs/>
            <w:noProof/>
          </w:rPr>
          <w:t>Table 7</w:t>
        </w:r>
        <w:r w:rsidR="00B84735" w:rsidRPr="00B84735">
          <w:rPr>
            <w:rStyle w:val="Hyperlink"/>
            <w:bCs/>
            <w:noProof/>
          </w:rPr>
          <w:noBreakHyphen/>
          <w:t xml:space="preserve">1 </w:t>
        </w:r>
        <w:r w:rsidR="00B84735">
          <w:rPr>
            <w:rStyle w:val="Hyperlink"/>
            <w:bCs/>
            <w:noProof/>
          </w:rPr>
          <w:tab/>
        </w:r>
        <w:r w:rsidR="00B84735" w:rsidRPr="00B84735">
          <w:rPr>
            <w:rStyle w:val="Hyperlink"/>
            <w:bCs/>
            <w:noProof/>
          </w:rPr>
          <w:t>Comparison of 2014, 2015, 2016, and 2017 Winter Futures Prices ($/MMBtu, $/MWh)</w:t>
        </w:r>
        <w:r w:rsidR="00B84735" w:rsidRPr="00B84735">
          <w:rPr>
            <w:noProof/>
            <w:webHidden/>
          </w:rPr>
          <w:tab/>
        </w:r>
        <w:r w:rsidR="00B84735" w:rsidRPr="00B84735">
          <w:rPr>
            <w:noProof/>
            <w:webHidden/>
          </w:rPr>
          <w:fldChar w:fldCharType="begin"/>
        </w:r>
        <w:r w:rsidR="00B84735" w:rsidRPr="00B84735">
          <w:rPr>
            <w:noProof/>
            <w:webHidden/>
          </w:rPr>
          <w:instrText xml:space="preserve"> PAGEREF _Toc491244019 \h </w:instrText>
        </w:r>
        <w:r w:rsidR="00B84735" w:rsidRPr="00B84735">
          <w:rPr>
            <w:noProof/>
            <w:webHidden/>
          </w:rPr>
        </w:r>
        <w:r w:rsidR="00B84735" w:rsidRPr="00B84735">
          <w:rPr>
            <w:noProof/>
            <w:webHidden/>
          </w:rPr>
          <w:fldChar w:fldCharType="separate"/>
        </w:r>
        <w:r w:rsidR="00B05C7E">
          <w:rPr>
            <w:noProof/>
            <w:webHidden/>
          </w:rPr>
          <w:t>105</w:t>
        </w:r>
        <w:r w:rsidR="00B84735" w:rsidRPr="00B84735">
          <w:rPr>
            <w:noProof/>
            <w:webHidden/>
          </w:rPr>
          <w:fldChar w:fldCharType="end"/>
        </w:r>
      </w:hyperlink>
    </w:p>
    <w:p w:rsidR="00B84735" w:rsidRPr="00B84735" w:rsidRDefault="00CC063D" w:rsidP="00B84735">
      <w:pPr>
        <w:pStyle w:val="TableofFigures"/>
        <w:tabs>
          <w:tab w:val="right" w:leader="dot" w:pos="9350"/>
        </w:tabs>
        <w:ind w:left="1260" w:hanging="1260"/>
        <w:rPr>
          <w:rFonts w:asciiTheme="minorHAnsi" w:eastAsiaTheme="minorEastAsia" w:hAnsiTheme="minorHAnsi" w:cstheme="minorBidi"/>
          <w:noProof/>
          <w:sz w:val="22"/>
          <w:szCs w:val="22"/>
        </w:rPr>
      </w:pPr>
      <w:hyperlink w:anchor="_Toc491244020" w:history="1">
        <w:r w:rsidR="00B84735" w:rsidRPr="00B84735">
          <w:rPr>
            <w:rStyle w:val="Hyperlink"/>
            <w:bCs/>
            <w:noProof/>
          </w:rPr>
          <w:t>Table 7</w:t>
        </w:r>
        <w:r w:rsidR="00B84735" w:rsidRPr="00B84735">
          <w:rPr>
            <w:rStyle w:val="Hyperlink"/>
            <w:bCs/>
            <w:noProof/>
          </w:rPr>
          <w:noBreakHyphen/>
          <w:t>2</w:t>
        </w:r>
        <w:r w:rsidR="00B84735" w:rsidRPr="00B84735">
          <w:rPr>
            <w:rStyle w:val="Hyperlink"/>
            <w:noProof/>
          </w:rPr>
          <w:t xml:space="preserve">  </w:t>
        </w:r>
        <w:r w:rsidR="00B84735">
          <w:rPr>
            <w:rStyle w:val="Hyperlink"/>
            <w:noProof/>
          </w:rPr>
          <w:tab/>
        </w:r>
        <w:r w:rsidR="00B84735" w:rsidRPr="00B84735">
          <w:rPr>
            <w:rStyle w:val="Hyperlink"/>
            <w:noProof/>
          </w:rPr>
          <w:t>Summary of Pipeline Improvements Benefiting New England</w:t>
        </w:r>
        <w:r w:rsidR="00B84735" w:rsidRPr="00B84735">
          <w:rPr>
            <w:noProof/>
            <w:webHidden/>
          </w:rPr>
          <w:tab/>
        </w:r>
        <w:r w:rsidR="00B84735" w:rsidRPr="00B84735">
          <w:rPr>
            <w:noProof/>
            <w:webHidden/>
          </w:rPr>
          <w:fldChar w:fldCharType="begin"/>
        </w:r>
        <w:r w:rsidR="00B84735" w:rsidRPr="00B84735">
          <w:rPr>
            <w:noProof/>
            <w:webHidden/>
          </w:rPr>
          <w:instrText xml:space="preserve"> PAGEREF _Toc491244020 \h </w:instrText>
        </w:r>
        <w:r w:rsidR="00B84735" w:rsidRPr="00B84735">
          <w:rPr>
            <w:noProof/>
            <w:webHidden/>
          </w:rPr>
        </w:r>
        <w:r w:rsidR="00B84735" w:rsidRPr="00B84735">
          <w:rPr>
            <w:noProof/>
            <w:webHidden/>
          </w:rPr>
          <w:fldChar w:fldCharType="separate"/>
        </w:r>
        <w:r w:rsidR="00B05C7E">
          <w:rPr>
            <w:noProof/>
            <w:webHidden/>
          </w:rPr>
          <w:t>109</w:t>
        </w:r>
        <w:r w:rsidR="00B84735" w:rsidRPr="00B84735">
          <w:rPr>
            <w:noProof/>
            <w:webHidden/>
          </w:rPr>
          <w:fldChar w:fldCharType="end"/>
        </w:r>
      </w:hyperlink>
    </w:p>
    <w:p w:rsidR="00B84735" w:rsidRPr="00B84735" w:rsidRDefault="00CC063D" w:rsidP="00B84735">
      <w:pPr>
        <w:pStyle w:val="TableofFigures"/>
        <w:tabs>
          <w:tab w:val="right" w:leader="dot" w:pos="9350"/>
        </w:tabs>
        <w:ind w:left="1260" w:hanging="1260"/>
        <w:rPr>
          <w:rFonts w:asciiTheme="minorHAnsi" w:eastAsiaTheme="minorEastAsia" w:hAnsiTheme="minorHAnsi" w:cstheme="minorBidi"/>
          <w:noProof/>
          <w:sz w:val="22"/>
          <w:szCs w:val="22"/>
        </w:rPr>
      </w:pPr>
      <w:hyperlink w:anchor="_Toc491244021" w:history="1">
        <w:r w:rsidR="00B84735" w:rsidRPr="00B84735">
          <w:rPr>
            <w:rStyle w:val="Hyperlink"/>
            <w:bCs/>
            <w:noProof/>
          </w:rPr>
          <w:t>Table 8</w:t>
        </w:r>
        <w:r w:rsidR="00B84735" w:rsidRPr="00B84735">
          <w:rPr>
            <w:rStyle w:val="Hyperlink"/>
            <w:bCs/>
            <w:noProof/>
          </w:rPr>
          <w:noBreakHyphen/>
          <w:t xml:space="preserve">1 </w:t>
        </w:r>
        <w:r w:rsidR="00B84735">
          <w:rPr>
            <w:rStyle w:val="Hyperlink"/>
            <w:bCs/>
            <w:noProof/>
          </w:rPr>
          <w:tab/>
        </w:r>
        <w:r w:rsidR="00B84735" w:rsidRPr="00B84735">
          <w:rPr>
            <w:rStyle w:val="Hyperlink"/>
            <w:bCs/>
            <w:noProof/>
          </w:rPr>
          <w:t>New England Operating Nuclear Power Plants</w:t>
        </w:r>
        <w:r w:rsidR="00B84735" w:rsidRPr="00B84735">
          <w:rPr>
            <w:noProof/>
            <w:webHidden/>
          </w:rPr>
          <w:tab/>
        </w:r>
        <w:r w:rsidR="00B84735" w:rsidRPr="00B84735">
          <w:rPr>
            <w:noProof/>
            <w:webHidden/>
          </w:rPr>
          <w:fldChar w:fldCharType="begin"/>
        </w:r>
        <w:r w:rsidR="00B84735" w:rsidRPr="00B84735">
          <w:rPr>
            <w:noProof/>
            <w:webHidden/>
          </w:rPr>
          <w:instrText xml:space="preserve"> PAGEREF _Toc491244021 \h </w:instrText>
        </w:r>
        <w:r w:rsidR="00B84735" w:rsidRPr="00B84735">
          <w:rPr>
            <w:noProof/>
            <w:webHidden/>
          </w:rPr>
        </w:r>
        <w:r w:rsidR="00B84735" w:rsidRPr="00B84735">
          <w:rPr>
            <w:noProof/>
            <w:webHidden/>
          </w:rPr>
          <w:fldChar w:fldCharType="separate"/>
        </w:r>
        <w:r w:rsidR="00B05C7E">
          <w:rPr>
            <w:noProof/>
            <w:webHidden/>
          </w:rPr>
          <w:t>120</w:t>
        </w:r>
        <w:r w:rsidR="00B84735" w:rsidRPr="00B84735">
          <w:rPr>
            <w:noProof/>
            <w:webHidden/>
          </w:rPr>
          <w:fldChar w:fldCharType="end"/>
        </w:r>
      </w:hyperlink>
    </w:p>
    <w:p w:rsidR="00D945E2" w:rsidRPr="00B84735" w:rsidRDefault="00D945E2" w:rsidP="00B84735">
      <w:pPr>
        <w:tabs>
          <w:tab w:val="right" w:leader="dot" w:pos="8910"/>
        </w:tabs>
        <w:spacing w:after="120" w:line="240" w:lineRule="auto"/>
        <w:ind w:left="1260" w:right="-86" w:hanging="1260"/>
        <w:rPr>
          <w:rFonts w:asciiTheme="minorHAnsi" w:hAnsiTheme="minorHAnsi" w:cs="Arial"/>
        </w:rPr>
      </w:pPr>
      <w:r w:rsidRPr="00B84735">
        <w:rPr>
          <w:rFonts w:asciiTheme="minorHAnsi" w:hAnsiTheme="minorHAnsi" w:cs="Arial"/>
        </w:rPr>
        <w:fldChar w:fldCharType="end"/>
      </w:r>
    </w:p>
    <w:p w:rsidR="00443144" w:rsidRPr="00B84735" w:rsidRDefault="00443144" w:rsidP="00B84735">
      <w:pPr>
        <w:tabs>
          <w:tab w:val="right" w:leader="dot" w:pos="8910"/>
        </w:tabs>
        <w:spacing w:after="120" w:line="240" w:lineRule="auto"/>
        <w:ind w:left="1260" w:right="-86" w:hanging="1260"/>
        <w:rPr>
          <w:rFonts w:asciiTheme="minorHAnsi" w:hAnsiTheme="minorHAnsi" w:cs="Arial"/>
        </w:rPr>
        <w:sectPr w:rsidR="00443144" w:rsidRPr="00B84735" w:rsidSect="009272ED">
          <w:pgSz w:w="12240" w:h="15840"/>
          <w:pgMar w:top="1440" w:right="1080" w:bottom="1440" w:left="1800" w:header="720" w:footer="720" w:gutter="0"/>
          <w:pgNumType w:fmt="lowerRoman"/>
          <w:cols w:space="720"/>
          <w:docGrid w:linePitch="360"/>
        </w:sectPr>
      </w:pPr>
    </w:p>
    <w:p w:rsidR="00D945E2" w:rsidRPr="00B84735" w:rsidRDefault="00D945E2" w:rsidP="00B84735">
      <w:pPr>
        <w:tabs>
          <w:tab w:val="right" w:leader="dot" w:pos="8910"/>
        </w:tabs>
        <w:spacing w:after="120" w:line="240" w:lineRule="auto"/>
        <w:ind w:left="1260" w:right="-86" w:hanging="1260"/>
        <w:rPr>
          <w:rFonts w:asciiTheme="minorHAnsi" w:hAnsiTheme="minorHAnsi" w:cs="Arial"/>
        </w:rPr>
        <w:sectPr w:rsidR="00D945E2" w:rsidRPr="00B84735" w:rsidSect="009272ED">
          <w:headerReference w:type="default" r:id="rId25"/>
          <w:footerReference w:type="default" r:id="rId26"/>
          <w:pgSz w:w="12240" w:h="15840"/>
          <w:pgMar w:top="1440" w:right="1080" w:bottom="1440" w:left="1800" w:header="720" w:footer="720" w:gutter="0"/>
          <w:pgNumType w:fmt="lowerRoman"/>
          <w:cols w:space="720"/>
          <w:docGrid w:linePitch="360"/>
        </w:sectPr>
      </w:pPr>
    </w:p>
    <w:p w:rsidR="00375BFF" w:rsidRPr="00F769F7" w:rsidRDefault="000A2E48" w:rsidP="00AE3D5B">
      <w:pPr>
        <w:pStyle w:val="Heading1"/>
      </w:pPr>
      <w:bookmarkStart w:id="33" w:name="_Toc201669900"/>
      <w:bookmarkStart w:id="34" w:name="_Toc207531801"/>
      <w:bookmarkStart w:id="35" w:name="_Toc239157043"/>
      <w:bookmarkStart w:id="36" w:name="_Toc271632203"/>
      <w:bookmarkStart w:id="37" w:name="_Toc303086347"/>
      <w:bookmarkStart w:id="38" w:name="_Toc396807599"/>
      <w:bookmarkEnd w:id="3"/>
      <w:bookmarkEnd w:id="4"/>
      <w:r>
        <w:lastRenderedPageBreak/>
        <w:br/>
      </w:r>
      <w:bookmarkStart w:id="39" w:name="_Toc490322991"/>
      <w:r w:rsidR="00375BFF" w:rsidRPr="00F769F7">
        <w:t>Executive Summary</w:t>
      </w:r>
      <w:bookmarkEnd w:id="39"/>
    </w:p>
    <w:p w:rsidR="005239A4" w:rsidRDefault="005239A4" w:rsidP="005239A4">
      <w:r>
        <w:t xml:space="preserve">Over the </w:t>
      </w:r>
      <w:r w:rsidR="00E61BFC">
        <w:t>p</w:t>
      </w:r>
      <w:r>
        <w:t>ast 20 years</w:t>
      </w:r>
      <w:r w:rsidR="00E61BFC">
        <w:t>,</w:t>
      </w:r>
      <w:r>
        <w:t xml:space="preserve"> the New England region has benefited from the successful implementation of wholesale electric</w:t>
      </w:r>
      <w:r w:rsidR="00E61BFC">
        <w:t>ity</w:t>
      </w:r>
      <w:r>
        <w:t xml:space="preserve"> markets and transmission planning and development that have </w:t>
      </w:r>
      <w:r w:rsidRPr="007B0755">
        <w:t xml:space="preserve">significantly enhanced </w:t>
      </w:r>
      <w:r w:rsidR="00E61BFC">
        <w:t xml:space="preserve">system </w:t>
      </w:r>
      <w:r w:rsidRPr="007B0755">
        <w:t>reliability and improved overall market efficiency</w:t>
      </w:r>
      <w:r>
        <w:t xml:space="preserve">. </w:t>
      </w:r>
      <w:r w:rsidRPr="007B0755">
        <w:t xml:space="preserve">New England has the resource base and transmission system needed to meet consumer demand for power at competitive prices. The overall </w:t>
      </w:r>
      <w:r w:rsidRPr="00F8256F">
        <w:t>system is evolving to a cleaner, hybrid grid</w:t>
      </w:r>
      <w:r w:rsidR="00E61BFC" w:rsidRPr="00F8256F">
        <w:t>,</w:t>
      </w:r>
      <w:r w:rsidRPr="00F8256F">
        <w:t xml:space="preserve"> </w:t>
      </w:r>
      <w:r w:rsidR="00977AB4">
        <w:t xml:space="preserve">with </w:t>
      </w:r>
      <w:r w:rsidRPr="00F8256F">
        <w:t xml:space="preserve">low system emissions and the </w:t>
      </w:r>
      <w:r>
        <w:t xml:space="preserve">widespread development of renewable resources, including </w:t>
      </w:r>
      <w:r w:rsidR="00884677">
        <w:t xml:space="preserve">onshore and offshore </w:t>
      </w:r>
      <w:r>
        <w:t>wind generation, energy efficiency</w:t>
      </w:r>
      <w:r w:rsidR="0015780B">
        <w:t xml:space="preserve"> (EE)</w:t>
      </w:r>
      <w:r>
        <w:t xml:space="preserve">, </w:t>
      </w:r>
      <w:r w:rsidR="009B23D4">
        <w:t xml:space="preserve">and </w:t>
      </w:r>
      <w:r>
        <w:t>photovoltaics</w:t>
      </w:r>
      <w:r w:rsidR="0015780B">
        <w:t xml:space="preserve"> (PV)</w:t>
      </w:r>
      <w:r w:rsidR="00375DA1">
        <w:t>.</w:t>
      </w:r>
      <w:r w:rsidR="00F859A5">
        <w:rPr>
          <w:rStyle w:val="FootnoteReference"/>
        </w:rPr>
        <w:footnoteReference w:id="2"/>
      </w:r>
      <w:r w:rsidR="00375DA1">
        <w:t xml:space="preserve"> </w:t>
      </w:r>
      <w:r w:rsidR="0052344D">
        <w:t>Over the planning horizon, a</w:t>
      </w:r>
      <w:r w:rsidR="00392EEF">
        <w:t>dditional imports of Canadian hydroelectricity (hydro) and n</w:t>
      </w:r>
      <w:r w:rsidR="00375DA1">
        <w:t>ew</w:t>
      </w:r>
      <w:r w:rsidR="00CE07EC">
        <w:t xml:space="preserve"> </w:t>
      </w:r>
      <w:r w:rsidR="0082604F">
        <w:t>technologie</w:t>
      </w:r>
      <w:r w:rsidR="0082604F" w:rsidRPr="00922F62">
        <w:t>s</w:t>
      </w:r>
      <w:r w:rsidR="00CE07EC" w:rsidRPr="00922F62">
        <w:t xml:space="preserve">, such as </w:t>
      </w:r>
      <w:r w:rsidR="00375DA1" w:rsidRPr="00922F62">
        <w:t xml:space="preserve">smart meters, </w:t>
      </w:r>
      <w:r w:rsidR="00CE07EC" w:rsidRPr="00922F62">
        <w:t>microgrids</w:t>
      </w:r>
      <w:r w:rsidR="00375DA1" w:rsidRPr="00922F62">
        <w:t>,</w:t>
      </w:r>
      <w:r w:rsidR="00CE07EC" w:rsidRPr="00922F62">
        <w:t xml:space="preserve"> and </w:t>
      </w:r>
      <w:r w:rsidR="007C285F">
        <w:t xml:space="preserve">energy </w:t>
      </w:r>
      <w:r w:rsidR="00CE07EC" w:rsidRPr="00922F62">
        <w:t xml:space="preserve">storage will likely develop </w:t>
      </w:r>
      <w:r w:rsidR="009E5323" w:rsidRPr="00922F62">
        <w:t xml:space="preserve">and </w:t>
      </w:r>
      <w:r w:rsidR="009E5323" w:rsidRPr="003A449D">
        <w:t xml:space="preserve">continue the trend toward a cleaner </w:t>
      </w:r>
      <w:r w:rsidR="008F3F37" w:rsidRPr="003A449D">
        <w:t>and</w:t>
      </w:r>
      <w:r w:rsidR="009E5323" w:rsidRPr="003A449D">
        <w:t xml:space="preserve"> </w:t>
      </w:r>
      <w:r w:rsidR="00A66C78" w:rsidRPr="003A449D">
        <w:t xml:space="preserve">more </w:t>
      </w:r>
      <w:r w:rsidR="0082604F" w:rsidRPr="003A449D">
        <w:t>complex</w:t>
      </w:r>
      <w:r w:rsidR="00A66C78" w:rsidRPr="003A449D">
        <w:t xml:space="preserve"> </w:t>
      </w:r>
      <w:r w:rsidR="00375DA1" w:rsidRPr="003A449D">
        <w:t>system</w:t>
      </w:r>
      <w:r w:rsidR="00CE07EC" w:rsidRPr="003A449D">
        <w:t>.</w:t>
      </w:r>
      <w:r w:rsidR="008C3B76">
        <w:t xml:space="preserve"> </w:t>
      </w:r>
    </w:p>
    <w:p w:rsidR="005239A4" w:rsidRDefault="009E5323" w:rsidP="005239A4">
      <w:r>
        <w:t xml:space="preserve">As the system evolves, </w:t>
      </w:r>
      <w:r w:rsidR="005239A4" w:rsidRPr="00C506CB">
        <w:t>New England faces fuel</w:t>
      </w:r>
      <w:r w:rsidR="00634A9F" w:rsidRPr="00C506CB">
        <w:t>-</w:t>
      </w:r>
      <w:r w:rsidR="00E61BFC" w:rsidRPr="00C506CB">
        <w:t>security</w:t>
      </w:r>
      <w:r w:rsidR="005239A4" w:rsidRPr="00C506CB">
        <w:t xml:space="preserve"> challenges the region is striving to address. </w:t>
      </w:r>
      <w:r>
        <w:t>Over the past several years, t</w:t>
      </w:r>
      <w:r w:rsidR="005239A4" w:rsidRPr="00C506CB">
        <w:t xml:space="preserve">he ISO </w:t>
      </w:r>
      <w:r>
        <w:t xml:space="preserve">has studied the capability of the region’s natural gas pipeline system to meet the demands for both heating and electric power generation on a peak </w:t>
      </w:r>
      <w:r w:rsidRPr="008E2AAD">
        <w:t>day.</w:t>
      </w:r>
      <w:r w:rsidR="008E2AAD" w:rsidRPr="008E2AAD" w:rsidDel="008E2AAD">
        <w:rPr>
          <w:rStyle w:val="FootnoteReference"/>
        </w:rPr>
        <w:t xml:space="preserve"> </w:t>
      </w:r>
      <w:r w:rsidRPr="008E2AAD">
        <w:t>Inadequate</w:t>
      </w:r>
      <w:r>
        <w:t xml:space="preserve"> access to p</w:t>
      </w:r>
      <w:r w:rsidR="005239A4" w:rsidRPr="000005A7">
        <w:t xml:space="preserve">ipeline </w:t>
      </w:r>
      <w:r>
        <w:t xml:space="preserve">capacity </w:t>
      </w:r>
      <w:r w:rsidR="005239A4" w:rsidRPr="000005A7">
        <w:t xml:space="preserve">and limited </w:t>
      </w:r>
      <w:r>
        <w:t xml:space="preserve">contracting for </w:t>
      </w:r>
      <w:r w:rsidR="005239A4" w:rsidRPr="000005A7">
        <w:t xml:space="preserve">liquefied natural gas (LNG) </w:t>
      </w:r>
      <w:r>
        <w:t xml:space="preserve">can </w:t>
      </w:r>
      <w:r w:rsidR="005239A4" w:rsidRPr="000005A7">
        <w:t xml:space="preserve">constrain </w:t>
      </w:r>
      <w:r w:rsidR="00977AB4">
        <w:t xml:space="preserve">the </w:t>
      </w:r>
      <w:r w:rsidR="005239A4" w:rsidRPr="000005A7">
        <w:t>supply to natural</w:t>
      </w:r>
      <w:r w:rsidR="00651548">
        <w:t>-</w:t>
      </w:r>
      <w:r w:rsidR="005239A4" w:rsidRPr="000005A7">
        <w:t>gas-fired generators</w:t>
      </w:r>
      <w:r w:rsidR="00E61BFC">
        <w:t xml:space="preserve">, </w:t>
      </w:r>
      <w:r w:rsidR="00CE07EC">
        <w:t xml:space="preserve">which </w:t>
      </w:r>
      <w:r w:rsidR="00CE07EC" w:rsidRPr="00CE07EC">
        <w:t xml:space="preserve">contributed </w:t>
      </w:r>
      <w:r w:rsidR="00CE07EC">
        <w:t>close to 50</w:t>
      </w:r>
      <w:r w:rsidR="00CE07EC" w:rsidRPr="00CE07EC">
        <w:t xml:space="preserve">% </w:t>
      </w:r>
      <w:r>
        <w:t>of</w:t>
      </w:r>
      <w:r w:rsidR="00CE07EC" w:rsidRPr="00CE07EC">
        <w:t xml:space="preserve"> the region’s electric energy production in 2</w:t>
      </w:r>
      <w:r w:rsidR="00CE07EC" w:rsidRPr="00C506CB">
        <w:t>016</w:t>
      </w:r>
      <w:r w:rsidR="00C506CB">
        <w:t>.</w:t>
      </w:r>
      <w:r>
        <w:t xml:space="preserve"> </w:t>
      </w:r>
      <w:r w:rsidRPr="00922F62">
        <w:t xml:space="preserve">Additionally, </w:t>
      </w:r>
      <w:r w:rsidR="007E74B1">
        <w:t>d</w:t>
      </w:r>
      <w:r w:rsidR="005239A4" w:rsidRPr="00922F62">
        <w:t>ual-fuel generators</w:t>
      </w:r>
      <w:r w:rsidR="00E61BFC" w:rsidRPr="00922F62">
        <w:t xml:space="preserve">, which </w:t>
      </w:r>
      <w:r w:rsidR="005D0C00">
        <w:t xml:space="preserve">can </w:t>
      </w:r>
      <w:r w:rsidR="00E61BFC" w:rsidRPr="00922F62">
        <w:t xml:space="preserve">burn </w:t>
      </w:r>
      <w:r w:rsidR="005D0C00">
        <w:t xml:space="preserve">either </w:t>
      </w:r>
      <w:r w:rsidR="00E61BFC" w:rsidRPr="00922F62">
        <w:t xml:space="preserve">oil </w:t>
      </w:r>
      <w:r w:rsidR="005D0C00">
        <w:t xml:space="preserve">or </w:t>
      </w:r>
      <w:r w:rsidR="00E61BFC" w:rsidRPr="00922F62">
        <w:t xml:space="preserve">natural gas, </w:t>
      </w:r>
      <w:r w:rsidR="00977AB4" w:rsidRPr="00922F62">
        <w:t xml:space="preserve">face increasing statutory and regulatory hurdles for </w:t>
      </w:r>
      <w:r w:rsidR="005239A4" w:rsidRPr="00922F62">
        <w:t>obtain</w:t>
      </w:r>
      <w:r w:rsidR="00977AB4" w:rsidRPr="00922F62">
        <w:t>ing</w:t>
      </w:r>
      <w:r w:rsidR="005239A4" w:rsidRPr="00922F62">
        <w:t xml:space="preserve"> permits </w:t>
      </w:r>
      <w:r w:rsidR="00977AB4" w:rsidRPr="00922F62">
        <w:t xml:space="preserve">to </w:t>
      </w:r>
      <w:r w:rsidR="005239A4" w:rsidRPr="00922F62">
        <w:t>us</w:t>
      </w:r>
      <w:r w:rsidR="00977AB4" w:rsidRPr="00922F62">
        <w:t>e</w:t>
      </w:r>
      <w:r w:rsidR="005239A4" w:rsidRPr="00922F62">
        <w:t xml:space="preserve"> oil when they cannot get natural gas</w:t>
      </w:r>
      <w:r w:rsidR="00B72CCE" w:rsidRPr="00922F62">
        <w:t xml:space="preserve"> </w:t>
      </w:r>
      <w:r w:rsidRPr="00922F62">
        <w:t xml:space="preserve">for compliance </w:t>
      </w:r>
      <w:r w:rsidR="00977AB4" w:rsidRPr="00922F62">
        <w:t>with emissions restrictions</w:t>
      </w:r>
      <w:r w:rsidR="005239A4" w:rsidRPr="00922F62">
        <w:t>.</w:t>
      </w:r>
      <w:r w:rsidR="005239A4" w:rsidRPr="000005A7">
        <w:t xml:space="preserve"> </w:t>
      </w:r>
      <w:r w:rsidR="00C37475" w:rsidRPr="00E43C4B">
        <w:t>Moreover</w:t>
      </w:r>
      <w:r w:rsidR="00C37475">
        <w:t>,</w:t>
      </w:r>
      <w:r w:rsidR="005239A4" w:rsidRPr="000005A7">
        <w:t xml:space="preserve"> the regional dependency on natural</w:t>
      </w:r>
      <w:r w:rsidR="00E61BFC">
        <w:t>-</w:t>
      </w:r>
      <w:r w:rsidR="005239A4" w:rsidRPr="000005A7">
        <w:t>gas</w:t>
      </w:r>
      <w:r w:rsidR="005239A4">
        <w:t>-fired</w:t>
      </w:r>
      <w:r w:rsidR="005239A4" w:rsidRPr="000005A7">
        <w:t xml:space="preserve"> resources continues to increase with new gas-fired generators replacing </w:t>
      </w:r>
      <w:r w:rsidR="00087D18">
        <w:t xml:space="preserve">the </w:t>
      </w:r>
      <w:r w:rsidR="005239A4" w:rsidRPr="000005A7">
        <w:t>retirements of nuclear</w:t>
      </w:r>
      <w:r w:rsidR="00087D18">
        <w:t xml:space="preserve"> and </w:t>
      </w:r>
      <w:r w:rsidR="005239A4" w:rsidRPr="000005A7">
        <w:t xml:space="preserve">oil- and coal-fired generators. </w:t>
      </w:r>
      <w:r w:rsidR="00814249">
        <w:t xml:space="preserve">The reliability concerns remain particularly critical during peak winter demand conditions. </w:t>
      </w:r>
      <w:r w:rsidR="00DD526F">
        <w:t>For these reasons, the ISO is continuing to examine fuel security in the region to ensure that fuel is sufficient to generate electricity for meeting energy-use needs.</w:t>
      </w:r>
    </w:p>
    <w:p w:rsidR="00922F62" w:rsidRDefault="004C5D67" w:rsidP="005239A4">
      <w:pPr>
        <w:rPr>
          <w:rFonts w:eastAsia="Times New Roman" w:cs="Arial"/>
          <w:b/>
        </w:rPr>
      </w:pPr>
      <w:r>
        <w:t xml:space="preserve">The </w:t>
      </w:r>
      <w:r w:rsidR="00B31CCC">
        <w:t xml:space="preserve">ISO has </w:t>
      </w:r>
      <w:r w:rsidR="00DD526F">
        <w:t xml:space="preserve">also </w:t>
      </w:r>
      <w:r w:rsidR="00B31CCC">
        <w:t xml:space="preserve">engaged with </w:t>
      </w:r>
      <w:r w:rsidRPr="00AD0007">
        <w:t>the New England Power Pool (</w:t>
      </w:r>
      <w:r w:rsidR="00B31CCC" w:rsidRPr="004C5D67">
        <w:t>NEPOOL</w:t>
      </w:r>
      <w:r w:rsidRPr="00AD0007">
        <w:t>)</w:t>
      </w:r>
      <w:r w:rsidR="00B31CCC">
        <w:t xml:space="preserve"> and New England </w:t>
      </w:r>
      <w:r>
        <w:t>s</w:t>
      </w:r>
      <w:r w:rsidR="00B31CCC">
        <w:t>tates</w:t>
      </w:r>
      <w:r w:rsidR="00330999">
        <w:t xml:space="preserve"> </w:t>
      </w:r>
      <w:r w:rsidR="00B31CCC">
        <w:t xml:space="preserve">to investigate </w:t>
      </w:r>
      <w:r w:rsidR="0050190A">
        <w:t xml:space="preserve">how to </w:t>
      </w:r>
      <w:r w:rsidR="00330999">
        <w:t xml:space="preserve">better </w:t>
      </w:r>
      <w:r>
        <w:t>i</w:t>
      </w:r>
      <w:r w:rsidR="00330999">
        <w:t>nte</w:t>
      </w:r>
      <w:r w:rsidR="00B31CCC">
        <w:t>gra</w:t>
      </w:r>
      <w:r w:rsidR="00A66C78">
        <w:t>t</w:t>
      </w:r>
      <w:r w:rsidR="0050190A">
        <w:t>e</w:t>
      </w:r>
      <w:r w:rsidR="00A66C78">
        <w:t xml:space="preserve"> </w:t>
      </w:r>
      <w:r>
        <w:t>m</w:t>
      </w:r>
      <w:r w:rsidR="00B31CCC">
        <w:t xml:space="preserve">arkets and </w:t>
      </w:r>
      <w:r>
        <w:t>p</w:t>
      </w:r>
      <w:r w:rsidR="00B31CCC">
        <w:t xml:space="preserve">ublic </w:t>
      </w:r>
      <w:r>
        <w:t>p</w:t>
      </w:r>
      <w:r w:rsidR="00B31CCC">
        <w:t xml:space="preserve">olicy (IMAPP). </w:t>
      </w:r>
      <w:r w:rsidR="002B4470">
        <w:t xml:space="preserve">The region is seeking a means </w:t>
      </w:r>
      <w:r w:rsidR="00B31CCC">
        <w:t xml:space="preserve">to accommodate </w:t>
      </w:r>
      <w:r w:rsidR="00B31CCC" w:rsidRPr="00E43C4B">
        <w:t>state</w:t>
      </w:r>
      <w:r w:rsidRPr="00E43C4B">
        <w:t>-</w:t>
      </w:r>
      <w:r w:rsidR="00B31CCC" w:rsidRPr="00E43C4B">
        <w:t>s</w:t>
      </w:r>
      <w:r w:rsidR="00C37475" w:rsidRPr="00E43C4B">
        <w:t>ponsored</w:t>
      </w:r>
      <w:r w:rsidR="00B31CCC">
        <w:t xml:space="preserve"> resources into the Forward Capacity Market </w:t>
      </w:r>
      <w:r>
        <w:t xml:space="preserve">(FCM) </w:t>
      </w:r>
      <w:r w:rsidR="00B31CCC">
        <w:t xml:space="preserve">over time, while also preserving competitive capacity price signals for </w:t>
      </w:r>
      <w:r w:rsidR="00B31CCC" w:rsidRPr="00E43C4B">
        <w:t>uns</w:t>
      </w:r>
      <w:r w:rsidR="00C57E2B" w:rsidRPr="00545F8F">
        <w:t>ponsored</w:t>
      </w:r>
      <w:r w:rsidR="00B31CCC" w:rsidRPr="00E43C4B">
        <w:t xml:space="preserve"> resources</w:t>
      </w:r>
      <w:r w:rsidR="00B31CCC">
        <w:t xml:space="preserve"> needed for regional resource adequacy</w:t>
      </w:r>
      <w:r w:rsidR="002B4470">
        <w:t>.</w:t>
      </w:r>
      <w:r w:rsidR="00773CC7">
        <w:rPr>
          <w:rStyle w:val="FootnoteReference"/>
        </w:rPr>
        <w:footnoteReference w:id="3"/>
      </w:r>
      <w:r w:rsidR="002B4470">
        <w:t xml:space="preserve"> In response, </w:t>
      </w:r>
      <w:r>
        <w:t xml:space="preserve">the </w:t>
      </w:r>
      <w:r w:rsidR="00330999">
        <w:t xml:space="preserve">ISO has put forward a framework </w:t>
      </w:r>
      <w:r w:rsidR="00330999" w:rsidRPr="00E43C4B">
        <w:t xml:space="preserve">for </w:t>
      </w:r>
      <w:r w:rsidRPr="00E43C4B">
        <w:t>c</w:t>
      </w:r>
      <w:r w:rsidR="00330999" w:rsidRPr="00E43C4B">
        <w:rPr>
          <w:rFonts w:eastAsia="Times New Roman" w:cs="Arial"/>
        </w:rPr>
        <w:t xml:space="preserve">ompetitive </w:t>
      </w:r>
      <w:r w:rsidRPr="00E43C4B">
        <w:rPr>
          <w:rFonts w:eastAsia="Times New Roman" w:cs="Arial"/>
        </w:rPr>
        <w:t>a</w:t>
      </w:r>
      <w:r w:rsidR="00330999" w:rsidRPr="00E43C4B">
        <w:rPr>
          <w:rFonts w:eastAsia="Times New Roman" w:cs="Arial"/>
        </w:rPr>
        <w:t xml:space="preserve">uctions with </w:t>
      </w:r>
      <w:r w:rsidRPr="00545F8F">
        <w:rPr>
          <w:rFonts w:eastAsia="Times New Roman" w:cs="Arial"/>
        </w:rPr>
        <w:t>s</w:t>
      </w:r>
      <w:r w:rsidR="00C57E2B" w:rsidRPr="00545F8F">
        <w:rPr>
          <w:rFonts w:eastAsia="Times New Roman" w:cs="Arial"/>
        </w:rPr>
        <w:t>ponsored</w:t>
      </w:r>
      <w:r w:rsidR="00330999" w:rsidRPr="00545F8F">
        <w:rPr>
          <w:rFonts w:eastAsia="Times New Roman" w:cs="Arial"/>
        </w:rPr>
        <w:t xml:space="preserve"> </w:t>
      </w:r>
      <w:r w:rsidRPr="00E43C4B">
        <w:rPr>
          <w:rFonts w:eastAsia="Times New Roman" w:cs="Arial"/>
        </w:rPr>
        <w:t>p</w:t>
      </w:r>
      <w:r w:rsidR="00330999" w:rsidRPr="00E43C4B">
        <w:rPr>
          <w:rFonts w:eastAsia="Times New Roman" w:cs="Arial"/>
        </w:rPr>
        <w:t xml:space="preserve">olicy </w:t>
      </w:r>
      <w:r w:rsidRPr="00E43C4B">
        <w:rPr>
          <w:rFonts w:eastAsia="Times New Roman" w:cs="Arial"/>
        </w:rPr>
        <w:t>r</w:t>
      </w:r>
      <w:r w:rsidR="00330999" w:rsidRPr="00E43C4B">
        <w:rPr>
          <w:rFonts w:eastAsia="Times New Roman" w:cs="Arial"/>
        </w:rPr>
        <w:t>esources</w:t>
      </w:r>
      <w:r w:rsidR="00330999" w:rsidRPr="00922F62">
        <w:rPr>
          <w:rFonts w:eastAsia="Times New Roman" w:cs="Arial"/>
        </w:rPr>
        <w:t xml:space="preserve"> </w:t>
      </w:r>
      <w:r w:rsidR="00330999">
        <w:rPr>
          <w:rFonts w:eastAsia="Times New Roman" w:cs="Arial"/>
        </w:rPr>
        <w:t>(CASPR). The CASPR proposal will be reviewed with regional stakeholders during the remainder of 2017.</w:t>
      </w:r>
      <w:r>
        <w:rPr>
          <w:rStyle w:val="FootnoteReference"/>
          <w:rFonts w:eastAsia="Times New Roman"/>
        </w:rPr>
        <w:footnoteReference w:id="4"/>
      </w:r>
      <w:r w:rsidR="00203F2B">
        <w:rPr>
          <w:rFonts w:eastAsia="Times New Roman" w:cs="Arial"/>
          <w:b/>
        </w:rPr>
        <w:t xml:space="preserve"> </w:t>
      </w:r>
    </w:p>
    <w:p w:rsidR="009D0514" w:rsidRDefault="00532232" w:rsidP="009D0514">
      <w:r w:rsidRPr="00070FA5">
        <w:lastRenderedPageBreak/>
        <w:t xml:space="preserve">Certain resource choices will require new infrastructure. </w:t>
      </w:r>
      <w:r w:rsidR="00A86B91" w:rsidRPr="00070FA5">
        <w:t>F</w:t>
      </w:r>
      <w:r w:rsidRPr="00070FA5">
        <w:t xml:space="preserve">or example, </w:t>
      </w:r>
      <w:r w:rsidR="00A86B91" w:rsidRPr="00070FA5">
        <w:t xml:space="preserve">the region </w:t>
      </w:r>
      <w:r w:rsidR="00BC5DA9" w:rsidRPr="00545F8F">
        <w:t>may</w:t>
      </w:r>
      <w:r w:rsidR="00A86B91" w:rsidRPr="00070FA5">
        <w:t xml:space="preserve"> need to develop transmission if </w:t>
      </w:r>
      <w:r w:rsidRPr="00070FA5">
        <w:t xml:space="preserve">states decide to meet environmental policy goals </w:t>
      </w:r>
      <w:r w:rsidR="00A86B91" w:rsidRPr="00070FA5">
        <w:t xml:space="preserve">using </w:t>
      </w:r>
      <w:r w:rsidRPr="00070FA5">
        <w:t xml:space="preserve">additional Canadian hydro and </w:t>
      </w:r>
      <w:r w:rsidRPr="00387034">
        <w:t xml:space="preserve">northern New England </w:t>
      </w:r>
      <w:r w:rsidR="0078534B" w:rsidRPr="00387034">
        <w:t xml:space="preserve">wind </w:t>
      </w:r>
      <w:r w:rsidRPr="00387034">
        <w:t>for delivery to population centers in southern New</w:t>
      </w:r>
      <w:r w:rsidRPr="00070FA5">
        <w:t xml:space="preserve"> England. </w:t>
      </w:r>
      <w:r w:rsidR="005239A4" w:rsidRPr="00387034">
        <w:t xml:space="preserve">The widespread use of </w:t>
      </w:r>
      <w:r w:rsidR="009919FC" w:rsidRPr="00387034">
        <w:t xml:space="preserve">these </w:t>
      </w:r>
      <w:r w:rsidR="00985AC6" w:rsidRPr="00387034">
        <w:t xml:space="preserve">and other </w:t>
      </w:r>
      <w:r w:rsidR="005239A4" w:rsidRPr="00387034">
        <w:t>asynchronous</w:t>
      </w:r>
      <w:r w:rsidR="009919FC" w:rsidRPr="00387034">
        <w:t xml:space="preserve"> resources, as opposed to traditional </w:t>
      </w:r>
      <w:r w:rsidR="005D0C00" w:rsidRPr="00387034">
        <w:t xml:space="preserve">synchronized </w:t>
      </w:r>
      <w:r w:rsidR="009919FC" w:rsidRPr="00387034">
        <w:t>“spinning”</w:t>
      </w:r>
      <w:r w:rsidR="005239A4" w:rsidRPr="00387034">
        <w:t xml:space="preserve"> resources</w:t>
      </w:r>
      <w:r w:rsidR="009919FC" w:rsidRPr="00387034">
        <w:t xml:space="preserve">, </w:t>
      </w:r>
      <w:r w:rsidR="005239A4" w:rsidRPr="00387034">
        <w:t>requires physical system improvements</w:t>
      </w:r>
      <w:r w:rsidR="001B1807" w:rsidRPr="00387034">
        <w:t xml:space="preserve"> that </w:t>
      </w:r>
      <w:r w:rsidR="00290A62" w:rsidRPr="00387034">
        <w:t xml:space="preserve">must </w:t>
      </w:r>
      <w:r w:rsidR="00E43C4B" w:rsidRPr="00387034">
        <w:t>meet observability and controllability requirements necessary for the secure operation and planning of the system</w:t>
      </w:r>
      <w:r w:rsidR="005239A4" w:rsidRPr="00387034">
        <w:t>.</w:t>
      </w:r>
      <w:r w:rsidR="00387034" w:rsidRPr="00387034">
        <w:rPr>
          <w:rStyle w:val="FootnoteReference"/>
        </w:rPr>
        <w:footnoteReference w:id="5"/>
      </w:r>
      <w:r w:rsidR="00290A62" w:rsidRPr="001B1807">
        <w:t xml:space="preserve"> </w:t>
      </w:r>
      <w:r w:rsidR="00070FA5" w:rsidRPr="001B1807">
        <w:t xml:space="preserve">The changing nature of </w:t>
      </w:r>
      <w:r w:rsidR="00070FA5" w:rsidRPr="00387034">
        <w:t xml:space="preserve">demand, especially the large-scale </w:t>
      </w:r>
      <w:r w:rsidR="001B1807" w:rsidRPr="00387034">
        <w:t>application of energy-efficiency measures</w:t>
      </w:r>
      <w:r w:rsidR="00070FA5" w:rsidRPr="00387034">
        <w:t>,</w:t>
      </w:r>
      <w:r w:rsidR="00070FA5" w:rsidRPr="001B1807">
        <w:t xml:space="preserve"> further complicates operating and planning issues.</w:t>
      </w:r>
    </w:p>
    <w:p w:rsidR="005239A4" w:rsidRDefault="002122E1" w:rsidP="005239A4">
      <w:r w:rsidRPr="00541D33">
        <w:t xml:space="preserve">The ISO continues to work with stakeholders to address </w:t>
      </w:r>
      <w:r w:rsidR="005239A4" w:rsidRPr="003D1C1F">
        <w:t>the state of the system</w:t>
      </w:r>
      <w:r w:rsidRPr="003D1C1F">
        <w:t>, regional challenges,</w:t>
      </w:r>
      <w:r w:rsidR="005239A4" w:rsidRPr="003D1C1F">
        <w:t xml:space="preserve"> and plans for addressing future </w:t>
      </w:r>
      <w:r w:rsidR="005239A4" w:rsidRPr="00141BB5">
        <w:t>issues</w:t>
      </w:r>
      <w:r w:rsidR="00141BB5">
        <w:t>,</w:t>
      </w:r>
      <w:r w:rsidR="00141BB5" w:rsidRPr="00141BB5">
        <w:t xml:space="preserve"> </w:t>
      </w:r>
      <w:r w:rsidR="00141BB5" w:rsidRPr="00541D33">
        <w:t>as the system becomes less predictable; supply resources, less controllable; and system operations, more complex</w:t>
      </w:r>
      <w:r w:rsidR="00141BB5" w:rsidRPr="00141BB5">
        <w:t>.</w:t>
      </w:r>
      <w:r w:rsidR="00141BB5">
        <w:t xml:space="preserve"> </w:t>
      </w:r>
      <w:r w:rsidR="005239A4" w:rsidRPr="003D1C1F">
        <w:t>For all RSP17 analyses, the ISO used a</w:t>
      </w:r>
      <w:r w:rsidR="005239A4" w:rsidRPr="00FE609F">
        <w:t xml:space="preserve"> number of assumptions</w:t>
      </w:r>
      <w:r w:rsidR="005239A4">
        <w:t xml:space="preserve">, </w:t>
      </w:r>
      <w:r w:rsidR="003D1C1F">
        <w:t xml:space="preserve">discussed with the PAC, </w:t>
      </w:r>
      <w:r w:rsidR="005239A4">
        <w:t xml:space="preserve">which </w:t>
      </w:r>
      <w:r w:rsidR="005239A4" w:rsidRPr="00FE609F">
        <w:t xml:space="preserve">are subject to uncertainty </w:t>
      </w:r>
      <w:r w:rsidR="003D1C1F" w:rsidRPr="00541D33">
        <w:t>as the system evolve</w:t>
      </w:r>
      <w:r w:rsidR="00141BB5">
        <w:t>s</w:t>
      </w:r>
      <w:r w:rsidR="003D1C1F" w:rsidRPr="00541D33">
        <w:t xml:space="preserve"> </w:t>
      </w:r>
      <w:r w:rsidR="005239A4" w:rsidRPr="003D1C1F">
        <w:t>over the planning period</w:t>
      </w:r>
      <w:r w:rsidR="003D1C1F" w:rsidRPr="003D1C1F">
        <w:t xml:space="preserve"> </w:t>
      </w:r>
      <w:r w:rsidR="003D1C1F" w:rsidRPr="00541D33">
        <w:t xml:space="preserve">and the markets are enhanced to account for public policies. </w:t>
      </w:r>
      <w:r w:rsidR="005239A4" w:rsidRPr="000F4679">
        <w:t xml:space="preserve">Changes in these assumptions </w:t>
      </w:r>
      <w:r w:rsidR="00E265A4">
        <w:t xml:space="preserve">could </w:t>
      </w:r>
      <w:r w:rsidR="005239A4" w:rsidRPr="000F4679">
        <w:t xml:space="preserve">affect the </w:t>
      </w:r>
      <w:r w:rsidR="005239A4">
        <w:t>results and conclusions of RSP17</w:t>
      </w:r>
      <w:r w:rsidR="005239A4" w:rsidRPr="000F4679">
        <w:t xml:space="preserve"> analyses and ultimately influence</w:t>
      </w:r>
      <w:r w:rsidR="005239A4" w:rsidRPr="00195A9A">
        <w:t xml:space="preserve"> the development of transmission and</w:t>
      </w:r>
      <w:r w:rsidR="005239A4">
        <w:t xml:space="preserve"> </w:t>
      </w:r>
      <w:r w:rsidR="005239A4" w:rsidRPr="008E31F2">
        <w:t xml:space="preserve">generation </w:t>
      </w:r>
      <w:r w:rsidR="005239A4" w:rsidRPr="004B12A2">
        <w:t xml:space="preserve">and </w:t>
      </w:r>
      <w:r w:rsidR="005239A4" w:rsidRPr="00F71D86">
        <w:t xml:space="preserve">demand resources. </w:t>
      </w:r>
      <w:r w:rsidR="005239A4" w:rsidRPr="00141BB5">
        <w:t xml:space="preserve">While each RSP is a snapshot in time, </w:t>
      </w:r>
      <w:r w:rsidR="000477FF" w:rsidRPr="00141BB5">
        <w:t xml:space="preserve">the planning process is </w:t>
      </w:r>
      <w:r w:rsidR="005D0C00">
        <w:t xml:space="preserve">continuous and </w:t>
      </w:r>
      <w:r w:rsidR="000477FF" w:rsidRPr="00141BB5">
        <w:t xml:space="preserve">flexible, and </w:t>
      </w:r>
      <w:r w:rsidR="005239A4" w:rsidRPr="00141BB5">
        <w:t>the ISO updates the results of planning activities as needed, accounting for the status of ongoing projects, studies, and new initiatives</w:t>
      </w:r>
      <w:r w:rsidR="00141BB5">
        <w:t>.</w:t>
      </w:r>
    </w:p>
    <w:p w:rsidR="005239A4" w:rsidRDefault="005239A4" w:rsidP="00217A3B">
      <w:pPr>
        <w:pStyle w:val="Heading2"/>
      </w:pPr>
      <w:bookmarkStart w:id="40" w:name="_Toc490322992"/>
      <w:r>
        <w:t xml:space="preserve">Highlights and Key Results of the </w:t>
      </w:r>
      <w:r w:rsidRPr="00DB1553">
        <w:t>Regional System Plan</w:t>
      </w:r>
      <w:bookmarkEnd w:id="40"/>
    </w:p>
    <w:p w:rsidR="005239A4" w:rsidRDefault="005239A4" w:rsidP="005239A4">
      <w:r>
        <w:t>This section discusses t</w:t>
      </w:r>
      <w:r w:rsidRPr="007F21BB">
        <w:t xml:space="preserve">he </w:t>
      </w:r>
      <w:r>
        <w:t xml:space="preserve">highlights of RSP17 and the </w:t>
      </w:r>
      <w:r w:rsidRPr="007F21BB">
        <w:t>results of various system and regional strategic planning studies and other materials</w:t>
      </w:r>
      <w:r>
        <w:t>. The RSP17</w:t>
      </w:r>
      <w:r w:rsidRPr="00EB7DF2">
        <w:t xml:space="preserve"> sections indic</w:t>
      </w:r>
      <w:r>
        <w:t xml:space="preserve">ated below contain more details and links to </w:t>
      </w:r>
      <w:r w:rsidRPr="00EB7DF2">
        <w:t>definitions of terms and full citation information.</w:t>
      </w:r>
      <w:r w:rsidR="00203F2B">
        <w:t xml:space="preserve"> </w:t>
      </w:r>
    </w:p>
    <w:p w:rsidR="005239A4" w:rsidRPr="009A1778" w:rsidRDefault="005239A4" w:rsidP="005239A4">
      <w:pPr>
        <w:pStyle w:val="Heading3"/>
      </w:pPr>
      <w:bookmarkStart w:id="41" w:name="_Toc490322993"/>
      <w:r w:rsidRPr="000A2E48">
        <w:t xml:space="preserve">Forecasts of the Annual and Peak Use of Electric Energy, Energy Efficiency, and Photovoltaic Capacity </w:t>
      </w:r>
      <w:r w:rsidRPr="007774C6">
        <w:t>and Energy (</w:t>
      </w:r>
      <w:r w:rsidR="002B0664">
        <w:fldChar w:fldCharType="begin"/>
      </w:r>
      <w:r w:rsidR="002B0664">
        <w:instrText xml:space="preserve"> REF _Ref418357222 \r \h </w:instrText>
      </w:r>
      <w:r w:rsidR="002B0664">
        <w:fldChar w:fldCharType="separate"/>
      </w:r>
      <w:r w:rsidR="00314781">
        <w:t>Section 3</w:t>
      </w:r>
      <w:r w:rsidR="002B0664">
        <w:fldChar w:fldCharType="end"/>
      </w:r>
      <w:r w:rsidRPr="009A1778">
        <w:t>)</w:t>
      </w:r>
      <w:bookmarkEnd w:id="41"/>
    </w:p>
    <w:p w:rsidR="005239A4" w:rsidRPr="009A1778" w:rsidRDefault="005151BD" w:rsidP="005239A4">
      <w:r>
        <w:t>H</w:t>
      </w:r>
      <w:r w:rsidR="005239A4" w:rsidRPr="009A1778">
        <w:t>istorical loads</w:t>
      </w:r>
      <w:r w:rsidR="00CC1538" w:rsidRPr="009A1778">
        <w:t>, seasonal weather patterns,</w:t>
      </w:r>
      <w:r w:rsidR="005239A4" w:rsidRPr="009A1778">
        <w:t xml:space="preserve"> and economic and demographic factors drive the forecasts </w:t>
      </w:r>
      <w:r w:rsidR="0015780B" w:rsidRPr="009A1778">
        <w:t xml:space="preserve">included in RSP17 </w:t>
      </w:r>
      <w:r w:rsidR="005239A4" w:rsidRPr="009A1778">
        <w:t>of the gross peak and gross annual demand for electric energy—regionwide and in individual states and subareas. RSP17 a</w:t>
      </w:r>
      <w:r w:rsidR="005239A4" w:rsidRPr="007774C6">
        <w:t>lso summarizes nameplate and energy projections of photovoltaic resources participating in the wholesale electric</w:t>
      </w:r>
      <w:r w:rsidR="0015780B" w:rsidRPr="009A1778">
        <w:t>ity</w:t>
      </w:r>
      <w:r w:rsidR="005239A4" w:rsidRPr="009A1778">
        <w:t xml:space="preserve"> markets </w:t>
      </w:r>
      <w:r w:rsidR="005D0C00">
        <w:t>as well as</w:t>
      </w:r>
      <w:r w:rsidR="005239A4" w:rsidRPr="009A1778">
        <w:t xml:space="preserve"> </w:t>
      </w:r>
      <w:r w:rsidR="005239A4" w:rsidRPr="007774C6">
        <w:t>behind-the-meter</w:t>
      </w:r>
      <w:r w:rsidR="00F426AB" w:rsidRPr="009A1778">
        <w:t xml:space="preserve"> (</w:t>
      </w:r>
      <w:r w:rsidR="00F426AB" w:rsidRPr="007774C6">
        <w:t>BTM)</w:t>
      </w:r>
      <w:r w:rsidR="005239A4" w:rsidRPr="009A1778">
        <w:t xml:space="preserve"> PV</w:t>
      </w:r>
      <w:r w:rsidR="005239A4" w:rsidRPr="004702BF">
        <w:t xml:space="preserve">. </w:t>
      </w:r>
      <w:r w:rsidR="00392EEF" w:rsidRPr="004702BF">
        <w:t xml:space="preserve">In addition, </w:t>
      </w:r>
      <w:r w:rsidR="005239A4" w:rsidRPr="004702BF">
        <w:t xml:space="preserve">RSP17 </w:t>
      </w:r>
      <w:r w:rsidR="0015780B" w:rsidRPr="004702BF">
        <w:t xml:space="preserve">includes </w:t>
      </w:r>
      <w:r w:rsidR="005239A4" w:rsidRPr="004702BF">
        <w:t xml:space="preserve">forecasts </w:t>
      </w:r>
      <w:r w:rsidR="0015780B" w:rsidRPr="004702BF">
        <w:t xml:space="preserve">of </w:t>
      </w:r>
      <w:r w:rsidR="005239A4" w:rsidRPr="004702BF">
        <w:t>energy</w:t>
      </w:r>
      <w:r w:rsidR="0015780B" w:rsidRPr="004702BF">
        <w:t>-</w:t>
      </w:r>
      <w:r w:rsidR="005239A4" w:rsidRPr="004702BF">
        <w:t>efficiency resources, which together with behind-the-meter PV, reduce the forecasts of gross peak demand and the gross annual use of electric energy. The resultant</w:t>
      </w:r>
      <w:r w:rsidR="005239A4" w:rsidRPr="009A1778">
        <w:t xml:space="preserve"> net demand forecasts are key inputs for determining the region’s resource</w:t>
      </w:r>
      <w:r w:rsidR="0015780B" w:rsidRPr="009A1778">
        <w:t>-</w:t>
      </w:r>
      <w:r w:rsidR="005239A4" w:rsidRPr="009A1778">
        <w:t xml:space="preserve">adequacy requirements for future years, evaluating the reliability and economic performance of the electric power system under various conditions, and planning needed transmission improvements. </w:t>
      </w:r>
    </w:p>
    <w:p w:rsidR="005239A4" w:rsidRPr="00AE08A5" w:rsidRDefault="005239A4" w:rsidP="005239A4">
      <w:r w:rsidRPr="00AE08A5">
        <w:t xml:space="preserve">Key </w:t>
      </w:r>
      <w:r w:rsidR="00C506CB" w:rsidRPr="00AE08A5">
        <w:t>Section 3</w:t>
      </w:r>
      <w:r w:rsidRPr="00AE08A5">
        <w:t xml:space="preserve"> </w:t>
      </w:r>
      <w:r w:rsidR="005151BD" w:rsidRPr="00AE08A5">
        <w:t xml:space="preserve">results </w:t>
      </w:r>
      <w:r w:rsidRPr="00AE08A5">
        <w:t>are as follows:</w:t>
      </w:r>
    </w:p>
    <w:p w:rsidR="005239A4" w:rsidRPr="00AE08A5" w:rsidRDefault="005239A4" w:rsidP="00761202">
      <w:pPr>
        <w:pStyle w:val="ListParagraph"/>
        <w:numPr>
          <w:ilvl w:val="0"/>
          <w:numId w:val="24"/>
        </w:numPr>
        <w:rPr>
          <w:szCs w:val="20"/>
        </w:rPr>
      </w:pPr>
      <w:r w:rsidRPr="00AE08A5">
        <w:rPr>
          <w:szCs w:val="20"/>
        </w:rPr>
        <w:t>The 10-year net energy for load, accounting for both EE and PV, is projected to decrease from</w:t>
      </w:r>
      <w:r w:rsidRPr="00AE08A5">
        <w:rPr>
          <w:rFonts w:asciiTheme="majorHAnsi" w:hAnsiTheme="majorHAnsi"/>
          <w:szCs w:val="20"/>
        </w:rPr>
        <w:t xml:space="preserve"> </w:t>
      </w:r>
      <w:r w:rsidRPr="00AE08A5">
        <w:rPr>
          <w:szCs w:val="20"/>
        </w:rPr>
        <w:t xml:space="preserve">126,786 gigawatt-hours (GWh) in 2017 to 119,680 GWh in 2026, which represents a decline of 0.6% per year. The RSP17 50/50 net summer peak forecast is 26,482 megawatts (MW) for 2017, which declines to 26,310 MW for 2026. The 90/10 net summer peak forecast, which represents </w:t>
      </w:r>
      <w:r w:rsidRPr="00AE08A5">
        <w:rPr>
          <w:szCs w:val="20"/>
        </w:rPr>
        <w:lastRenderedPageBreak/>
        <w:t>more extreme summer heat waves, is 28,865 MW for 2017 and grows by 0.1% per year to 29,021 MW in 2026.</w:t>
      </w:r>
      <w:r w:rsidRPr="00AE08A5">
        <w:rPr>
          <w:rStyle w:val="FootnoteReference"/>
          <w:rFonts w:eastAsiaTheme="majorEastAsia"/>
          <w:szCs w:val="20"/>
        </w:rPr>
        <w:footnoteReference w:id="6"/>
      </w:r>
      <w:r w:rsidR="00761202" w:rsidRPr="00AE08A5">
        <w:rPr>
          <w:szCs w:val="20"/>
        </w:rPr>
        <w:t xml:space="preserve">  </w:t>
      </w:r>
    </w:p>
    <w:p w:rsidR="002E26E4" w:rsidRPr="00AE08A5" w:rsidRDefault="00915078" w:rsidP="00915078">
      <w:pPr>
        <w:pStyle w:val="ListParagraph"/>
        <w:numPr>
          <w:ilvl w:val="0"/>
          <w:numId w:val="24"/>
        </w:numPr>
        <w:rPr>
          <w:szCs w:val="20"/>
        </w:rPr>
      </w:pPr>
      <w:r w:rsidRPr="00AE08A5">
        <w:rPr>
          <w:szCs w:val="20"/>
        </w:rPr>
        <w:t xml:space="preserve">The </w:t>
      </w:r>
      <w:r w:rsidR="00AE08A5" w:rsidRPr="00AE08A5">
        <w:rPr>
          <w:szCs w:val="20"/>
        </w:rPr>
        <w:t xml:space="preserve">gross </w:t>
      </w:r>
      <w:r w:rsidRPr="00AE08A5">
        <w:rPr>
          <w:szCs w:val="20"/>
        </w:rPr>
        <w:t xml:space="preserve">peak summer load forecast grows by 1% over the 10-year planning horizon. The </w:t>
      </w:r>
      <w:r w:rsidR="00AE08A5" w:rsidRPr="00AE08A5">
        <w:rPr>
          <w:szCs w:val="20"/>
        </w:rPr>
        <w:t>gross 5</w:t>
      </w:r>
      <w:r w:rsidRPr="00AE08A5">
        <w:rPr>
          <w:szCs w:val="20"/>
        </w:rPr>
        <w:t xml:space="preserve">0/50 peak load is 29,146 MW in 2017 and 31,820 MW in 2026; the </w:t>
      </w:r>
      <w:r w:rsidR="00AE08A5" w:rsidRPr="00AE08A5">
        <w:rPr>
          <w:szCs w:val="20"/>
        </w:rPr>
        <w:t xml:space="preserve">gross </w:t>
      </w:r>
      <w:r w:rsidRPr="00AE08A5">
        <w:rPr>
          <w:szCs w:val="20"/>
        </w:rPr>
        <w:t xml:space="preserve">90/10 peak load is 31,529 MW in 2017 and 34,531 MW in 2026. The net energy for load </w:t>
      </w:r>
      <w:r w:rsidR="00AE08A5" w:rsidRPr="00AE08A5">
        <w:rPr>
          <w:szCs w:val="20"/>
        </w:rPr>
        <w:t xml:space="preserve">gross value </w:t>
      </w:r>
      <w:r w:rsidRPr="00AE08A5">
        <w:rPr>
          <w:szCs w:val="20"/>
        </w:rPr>
        <w:t>grows at 0.9% from 140,583 GWh in 2017 to 152,593 GWh in 2026.</w:t>
      </w:r>
    </w:p>
    <w:p w:rsidR="005239A4" w:rsidRPr="00DA4E63" w:rsidRDefault="005239A4" w:rsidP="00320A9B">
      <w:pPr>
        <w:pStyle w:val="ListParagraph"/>
        <w:numPr>
          <w:ilvl w:val="0"/>
          <w:numId w:val="24"/>
        </w:numPr>
        <w:rPr>
          <w:szCs w:val="20"/>
        </w:rPr>
      </w:pPr>
      <w:r w:rsidRPr="00DA4E63">
        <w:rPr>
          <w:szCs w:val="20"/>
        </w:rPr>
        <w:t>The EE forecast reduc</w:t>
      </w:r>
      <w:r w:rsidR="00277D38">
        <w:rPr>
          <w:szCs w:val="20"/>
        </w:rPr>
        <w:t xml:space="preserve">es </w:t>
      </w:r>
      <w:r w:rsidRPr="00DA4E63">
        <w:rPr>
          <w:szCs w:val="20"/>
        </w:rPr>
        <w:t xml:space="preserve">the growth rate of the 10-year gross winter peak demand from 0.6% to a net annual value of −0.7%. The projected decline of the 90/10 net </w:t>
      </w:r>
      <w:r w:rsidR="0002226F">
        <w:rPr>
          <w:szCs w:val="20"/>
        </w:rPr>
        <w:t xml:space="preserve">winter </w:t>
      </w:r>
      <w:r w:rsidRPr="00DA4E63">
        <w:rPr>
          <w:szCs w:val="20"/>
        </w:rPr>
        <w:t>peak load from 21,</w:t>
      </w:r>
      <w:r w:rsidR="00652E2D" w:rsidRPr="00DA4E63">
        <w:rPr>
          <w:szCs w:val="20"/>
        </w:rPr>
        <w:t>895</w:t>
      </w:r>
      <w:r w:rsidR="00652E2D">
        <w:rPr>
          <w:szCs w:val="20"/>
        </w:rPr>
        <w:t> </w:t>
      </w:r>
      <w:r w:rsidRPr="00DA4E63">
        <w:rPr>
          <w:szCs w:val="20"/>
        </w:rPr>
        <w:t xml:space="preserve">MW to 20,630 </w:t>
      </w:r>
      <w:r w:rsidR="00FA2D94">
        <w:rPr>
          <w:szCs w:val="20"/>
        </w:rPr>
        <w:t xml:space="preserve">MW </w:t>
      </w:r>
      <w:r w:rsidRPr="00DA4E63">
        <w:rPr>
          <w:szCs w:val="20"/>
        </w:rPr>
        <w:t xml:space="preserve">helps mitigate winter reliability concerns. </w:t>
      </w:r>
    </w:p>
    <w:p w:rsidR="005239A4" w:rsidRPr="00DA4E63" w:rsidRDefault="005239A4" w:rsidP="00320A9B">
      <w:pPr>
        <w:pStyle w:val="ListParagraph"/>
        <w:numPr>
          <w:ilvl w:val="0"/>
          <w:numId w:val="24"/>
        </w:numPr>
        <w:rPr>
          <w:szCs w:val="20"/>
        </w:rPr>
      </w:pPr>
      <w:r w:rsidRPr="000E4CCF">
        <w:rPr>
          <w:szCs w:val="20"/>
        </w:rPr>
        <w:t>Regional passive demand resources and energy efficiency are expected to grow from 2,089 MW</w:t>
      </w:r>
      <w:r w:rsidRPr="00DA4E63">
        <w:rPr>
          <w:szCs w:val="20"/>
        </w:rPr>
        <w:t xml:space="preserve"> in 2017 to 4,475 MW in 2026.</w:t>
      </w:r>
      <w:r w:rsidRPr="00DA4E63">
        <w:rPr>
          <w:rStyle w:val="FootnoteReference"/>
          <w:rFonts w:eastAsiaTheme="majorEastAsia"/>
          <w:szCs w:val="20"/>
        </w:rPr>
        <w:footnoteReference w:id="7"/>
      </w:r>
      <w:r w:rsidRPr="00DA4E63">
        <w:rPr>
          <w:szCs w:val="20"/>
        </w:rPr>
        <w:t xml:space="preserve"> New England states’ annual investments in EE programs are expected to be more than $1 billion per year for 2017 through 2026. These EE investments remain a major factor in the expansion of passive demand resources in the region, which are projected to grow at an average rate of 265 MW per year across the 10-year horizon. </w:t>
      </w:r>
    </w:p>
    <w:p w:rsidR="005239A4" w:rsidRPr="00DA4E63" w:rsidRDefault="005239A4" w:rsidP="00320A9B">
      <w:pPr>
        <w:pStyle w:val="ListParagraph"/>
        <w:numPr>
          <w:ilvl w:val="0"/>
          <w:numId w:val="24"/>
        </w:numPr>
        <w:spacing w:after="240"/>
        <w:rPr>
          <w:szCs w:val="20"/>
        </w:rPr>
      </w:pPr>
      <w:r w:rsidRPr="00DA4E63">
        <w:rPr>
          <w:szCs w:val="20"/>
        </w:rPr>
        <w:t xml:space="preserve">Photovoltaic resources reached 1,918 MWac (nameplate rating) by the end of 2016 and produced 1,581 GWh. These resources are expected to grow to 4,733 MWac nameplate rating by 2026 and are forecast to produce 6,218 GWh. These totals include PV resources participating in the ISO wholesale markets (i.e., FCM resources and “energy-only” resources </w:t>
      </w:r>
      <w:r w:rsidR="00B41E67">
        <w:rPr>
          <w:szCs w:val="20"/>
        </w:rPr>
        <w:t xml:space="preserve">that receive energy market revenues but </w:t>
      </w:r>
      <w:r w:rsidRPr="00DA4E63">
        <w:rPr>
          <w:szCs w:val="20"/>
        </w:rPr>
        <w:t xml:space="preserve">do not participate in the FCM) and </w:t>
      </w:r>
      <w:r w:rsidR="005151BD">
        <w:rPr>
          <w:szCs w:val="20"/>
        </w:rPr>
        <w:t xml:space="preserve">BTM </w:t>
      </w:r>
      <w:r w:rsidRPr="00DA4E63">
        <w:rPr>
          <w:szCs w:val="20"/>
        </w:rPr>
        <w:t>PV, which affects the net load forecast. The estimated reductions in summer seasonal peak loads due to BTM PV resources are 575 MW in 2017 and 1,035 MW in 2026; BTM PV does not reduce winter peaks because the</w:t>
      </w:r>
      <w:r w:rsidR="005151BD">
        <w:rPr>
          <w:szCs w:val="20"/>
        </w:rPr>
        <w:t xml:space="preserve"> peaks</w:t>
      </w:r>
      <w:r w:rsidRPr="00DA4E63">
        <w:rPr>
          <w:szCs w:val="20"/>
        </w:rPr>
        <w:t xml:space="preserve"> typically occur after dusk.</w:t>
      </w:r>
    </w:p>
    <w:p w:rsidR="005239A4" w:rsidRPr="009A1778" w:rsidRDefault="005239A4" w:rsidP="005239A4">
      <w:pPr>
        <w:pStyle w:val="Heading3"/>
      </w:pPr>
      <w:bookmarkStart w:id="42" w:name="_Toc490322994"/>
      <w:r w:rsidRPr="009A1778">
        <w:t>Projections of the Systemwide Need for Capacity and Operating Reserves (</w:t>
      </w:r>
      <w:r w:rsidR="002B0664">
        <w:fldChar w:fldCharType="begin"/>
      </w:r>
      <w:r w:rsidR="002B0664">
        <w:instrText xml:space="preserve"> REF _Ref418680938 \r \h </w:instrText>
      </w:r>
      <w:r w:rsidR="002B0664">
        <w:fldChar w:fldCharType="separate"/>
      </w:r>
      <w:r w:rsidR="00314781">
        <w:t>Section 4</w:t>
      </w:r>
      <w:r w:rsidR="002B0664">
        <w:fldChar w:fldCharType="end"/>
      </w:r>
      <w:r w:rsidRPr="009A1778">
        <w:t>)</w:t>
      </w:r>
      <w:bookmarkEnd w:id="42"/>
    </w:p>
    <w:p w:rsidR="006A2543" w:rsidRPr="007100A4" w:rsidRDefault="005151BD" w:rsidP="00DA4E63">
      <w:r>
        <w:t xml:space="preserve">Despite forecasts of declining load, </w:t>
      </w:r>
      <w:r w:rsidR="004702BF">
        <w:t xml:space="preserve">the region must procure </w:t>
      </w:r>
      <w:r w:rsidR="00BA4B18">
        <w:t>resources</w:t>
      </w:r>
      <w:r w:rsidR="002B4470">
        <w:t xml:space="preserve"> (i.e., generation, demand resources</w:t>
      </w:r>
      <w:r w:rsidR="005239A4" w:rsidRPr="00E51209">
        <w:t>, and import capacity</w:t>
      </w:r>
      <w:r w:rsidR="002B4470">
        <w:t>)</w:t>
      </w:r>
      <w:r w:rsidR="005239A4" w:rsidRPr="00E51209">
        <w:t xml:space="preserve"> </w:t>
      </w:r>
      <w:r>
        <w:t xml:space="preserve">to </w:t>
      </w:r>
      <w:r w:rsidR="005239A4" w:rsidRPr="00E51209">
        <w:t>provid</w:t>
      </w:r>
      <w:r>
        <w:t xml:space="preserve">e </w:t>
      </w:r>
      <w:r w:rsidR="005239A4" w:rsidRPr="00E51209">
        <w:t xml:space="preserve">the capacity needed to meet the </w:t>
      </w:r>
      <w:r w:rsidR="005239A4">
        <w:t xml:space="preserve">regional net </w:t>
      </w:r>
      <w:r w:rsidR="00F426AB">
        <w:t>I</w:t>
      </w:r>
      <w:r w:rsidR="005239A4">
        <w:t xml:space="preserve">nstalled </w:t>
      </w:r>
      <w:r w:rsidR="00F426AB">
        <w:t>C</w:t>
      </w:r>
      <w:r w:rsidR="005239A4">
        <w:t xml:space="preserve">apacity </w:t>
      </w:r>
      <w:r w:rsidR="00F426AB">
        <w:t>R</w:t>
      </w:r>
      <w:r w:rsidR="005239A4">
        <w:t>equirement</w:t>
      </w:r>
      <w:r w:rsidR="00BA4B18">
        <w:t xml:space="preserve"> </w:t>
      </w:r>
      <w:r w:rsidR="00BA4B18" w:rsidRPr="00BA4B18">
        <w:t>(ICR)</w:t>
      </w:r>
      <w:r w:rsidR="00A601E7">
        <w:t xml:space="preserve">, which </w:t>
      </w:r>
      <w:r w:rsidR="00BA4B18" w:rsidRPr="004702BF">
        <w:t>is based on gross load and behind-the-meter PV load reductions</w:t>
      </w:r>
      <w:r w:rsidR="004702BF" w:rsidRPr="00A601E7">
        <w:t xml:space="preserve">. </w:t>
      </w:r>
      <w:r w:rsidR="00BA4B18" w:rsidRPr="00A3121D">
        <w:t xml:space="preserve">The </w:t>
      </w:r>
      <w:r w:rsidR="00FA2D94" w:rsidRPr="00A3121D">
        <w:t xml:space="preserve">representative </w:t>
      </w:r>
      <w:r w:rsidR="00A601E7">
        <w:t xml:space="preserve">net </w:t>
      </w:r>
      <w:r w:rsidR="00BA4B18" w:rsidRPr="00A3121D">
        <w:t>ICR is expected to</w:t>
      </w:r>
      <w:r w:rsidR="00BA4B18" w:rsidRPr="007100A4">
        <w:t xml:space="preserve"> grow from </w:t>
      </w:r>
      <w:r w:rsidR="00460467">
        <w:t>34,300</w:t>
      </w:r>
      <w:r w:rsidR="00BA4B18" w:rsidRPr="007100A4">
        <w:t xml:space="preserve"> MW in 2022 to </w:t>
      </w:r>
      <w:r w:rsidR="00460467">
        <w:t>35,700</w:t>
      </w:r>
      <w:r w:rsidR="00BA4B18" w:rsidRPr="007100A4">
        <w:t xml:space="preserve"> MW in 2026.</w:t>
      </w:r>
    </w:p>
    <w:p w:rsidR="005239A4" w:rsidRPr="00BA4B18" w:rsidRDefault="006A2543" w:rsidP="00DA4E63">
      <w:pPr>
        <w:rPr>
          <w:highlight w:val="green"/>
        </w:rPr>
      </w:pPr>
      <w:r w:rsidRPr="007100A4">
        <w:t xml:space="preserve">Resource retirements are expected to be the key driver for new resources. </w:t>
      </w:r>
      <w:r w:rsidRPr="006A2543">
        <w:t>New generators, which to date</w:t>
      </w:r>
      <w:r>
        <w:t xml:space="preserve"> </w:t>
      </w:r>
      <w:r w:rsidRPr="00E51209">
        <w:t>have been responding to</w:t>
      </w:r>
      <w:r>
        <w:t xml:space="preserve"> price signals from </w:t>
      </w:r>
      <w:r w:rsidRPr="00E51209">
        <w:t>the ISO’s wholesale markets, will help meet future</w:t>
      </w:r>
      <w:r>
        <w:t xml:space="preserve"> </w:t>
      </w:r>
      <w:r w:rsidRPr="00E51209">
        <w:t>requirements</w:t>
      </w:r>
      <w:r>
        <w:t xml:space="preserve">. </w:t>
      </w:r>
      <w:r w:rsidR="00BA4B18">
        <w:t>E</w:t>
      </w:r>
      <w:r w:rsidR="00BA4B18" w:rsidRPr="00E51209">
        <w:t>ncouraged by public policies</w:t>
      </w:r>
      <w:r w:rsidR="00BA4B18">
        <w:t>, t</w:t>
      </w:r>
      <w:r w:rsidR="005239A4">
        <w:t>he growth</w:t>
      </w:r>
      <w:r w:rsidR="005239A4" w:rsidRPr="00E51209">
        <w:t xml:space="preserve"> of EE</w:t>
      </w:r>
      <w:r w:rsidR="008113A4">
        <w:t xml:space="preserve"> </w:t>
      </w:r>
      <w:r w:rsidR="004702BF">
        <w:t xml:space="preserve">resources </w:t>
      </w:r>
      <w:r w:rsidR="008113A4" w:rsidRPr="00E51209">
        <w:t xml:space="preserve">will </w:t>
      </w:r>
      <w:r>
        <w:t xml:space="preserve">also </w:t>
      </w:r>
      <w:r w:rsidR="008113A4" w:rsidRPr="00E51209">
        <w:t>help meet future requirements</w:t>
      </w:r>
      <w:r w:rsidR="008113A4">
        <w:t xml:space="preserve">, while </w:t>
      </w:r>
      <w:r w:rsidR="004702BF">
        <w:t xml:space="preserve">BTM </w:t>
      </w:r>
      <w:r w:rsidR="005239A4" w:rsidRPr="00070FA5">
        <w:t>PV</w:t>
      </w:r>
      <w:r w:rsidR="005239A4" w:rsidRPr="00E51209">
        <w:t xml:space="preserve"> </w:t>
      </w:r>
      <w:r w:rsidR="008113A4">
        <w:t xml:space="preserve">will help reduce future requirements. </w:t>
      </w:r>
    </w:p>
    <w:p w:rsidR="008F2E99" w:rsidRDefault="00320A9B" w:rsidP="00DA4E63">
      <w:r w:rsidRPr="00AD6B62">
        <w:t>The FCM sends market signals for resource development.</w:t>
      </w:r>
      <w:r>
        <w:t xml:space="preserve"> </w:t>
      </w:r>
      <w:r w:rsidR="00F426AB">
        <w:t>The tenth Forward Capacity Auction (</w:t>
      </w:r>
      <w:r w:rsidR="005239A4">
        <w:t>FCA #10</w:t>
      </w:r>
      <w:r w:rsidR="00F426AB">
        <w:t>)</w:t>
      </w:r>
      <w:r w:rsidR="005239A4">
        <w:t xml:space="preserve"> procured sufficient resources to meet demand, with more than 1,400 MW of new generating capacity</w:t>
      </w:r>
      <w:r w:rsidR="00EC1D1C">
        <w:t xml:space="preserve"> entering the market</w:t>
      </w:r>
      <w:r w:rsidR="005239A4">
        <w:t>. Few</w:t>
      </w:r>
      <w:r w:rsidR="0002226F">
        <w:t>er</w:t>
      </w:r>
      <w:r w:rsidR="005239A4">
        <w:t xml:space="preserve"> new resources cleared FCA #11, but existing resources</w:t>
      </w:r>
      <w:r w:rsidR="00225B74">
        <w:t xml:space="preserve">, new passive demand </w:t>
      </w:r>
      <w:r w:rsidR="00225B74" w:rsidRPr="00F8256F">
        <w:t>resources, and smaller generation additions</w:t>
      </w:r>
      <w:r w:rsidR="005239A4" w:rsidRPr="00F8256F">
        <w:t xml:space="preserve"> </w:t>
      </w:r>
      <w:r w:rsidR="00F426AB" w:rsidRPr="00F8256F">
        <w:t xml:space="preserve">were sufficient </w:t>
      </w:r>
      <w:r w:rsidR="005239A4" w:rsidRPr="00F8256F">
        <w:t xml:space="preserve">to meet expected </w:t>
      </w:r>
      <w:r w:rsidR="003609C3" w:rsidRPr="00F8256F">
        <w:t xml:space="preserve">systemwide </w:t>
      </w:r>
      <w:r w:rsidR="005239A4" w:rsidRPr="00F8256F">
        <w:t>demand for</w:t>
      </w:r>
      <w:r w:rsidR="005239A4">
        <w:t xml:space="preserve"> 2020/2021. </w:t>
      </w:r>
      <w:r w:rsidR="005239A4" w:rsidRPr="00BD44D3">
        <w:t>Given the low</w:t>
      </w:r>
      <w:r w:rsidR="005F30DC" w:rsidRPr="00BD44D3">
        <w:t>er</w:t>
      </w:r>
      <w:r w:rsidR="005239A4" w:rsidRPr="00BD44D3">
        <w:t xml:space="preserve"> net load forecast, FCA #11 resources w</w:t>
      </w:r>
      <w:r w:rsidR="00F318A9" w:rsidRPr="00BD44D3">
        <w:t>ill</w:t>
      </w:r>
      <w:r w:rsidR="005239A4" w:rsidRPr="00BD44D3">
        <w:t xml:space="preserve"> be sufficient to meet the region’s projected </w:t>
      </w:r>
      <w:r w:rsidR="00A601E7" w:rsidRPr="00BD44D3">
        <w:t xml:space="preserve">net </w:t>
      </w:r>
      <w:r w:rsidR="00F426AB" w:rsidRPr="00BD44D3">
        <w:t>I</w:t>
      </w:r>
      <w:r w:rsidR="00A601E7" w:rsidRPr="00BD44D3">
        <w:t>CR</w:t>
      </w:r>
      <w:r w:rsidR="005239A4" w:rsidRPr="00BD44D3">
        <w:t>s through 2026.</w:t>
      </w:r>
      <w:r w:rsidR="00624CB0" w:rsidRPr="00BD44D3">
        <w:t xml:space="preserve"> The region is projected </w:t>
      </w:r>
      <w:r w:rsidR="00DD4878" w:rsidRPr="00BD44D3">
        <w:t>to have</w:t>
      </w:r>
      <w:r w:rsidR="00624CB0" w:rsidRPr="00BD44D3">
        <w:t xml:space="preserve"> </w:t>
      </w:r>
      <w:r w:rsidR="003C08BA" w:rsidRPr="00BD44D3">
        <w:t xml:space="preserve">a minimum of </w:t>
      </w:r>
      <w:r w:rsidR="00FA2D94" w:rsidRPr="00BD44D3">
        <w:t>1,717</w:t>
      </w:r>
      <w:r w:rsidR="00624CB0" w:rsidRPr="00BD44D3">
        <w:t xml:space="preserve"> MW </w:t>
      </w:r>
      <w:r w:rsidR="00DD4878" w:rsidRPr="00BD44D3">
        <w:t xml:space="preserve">more </w:t>
      </w:r>
      <w:r w:rsidR="003C08BA" w:rsidRPr="00BD44D3">
        <w:t xml:space="preserve">resources </w:t>
      </w:r>
      <w:r w:rsidR="00624CB0" w:rsidRPr="00BD44D3">
        <w:t>than it</w:t>
      </w:r>
      <w:r w:rsidR="00DD4878" w:rsidRPr="00BD44D3">
        <w:t xml:space="preserve">s </w:t>
      </w:r>
      <w:r w:rsidR="00624CB0" w:rsidRPr="00BD44D3">
        <w:t xml:space="preserve">net ICR requirements </w:t>
      </w:r>
      <w:r w:rsidR="008E7A51" w:rsidRPr="00BD44D3">
        <w:t>throughout the planning horizon</w:t>
      </w:r>
      <w:r w:rsidR="007F135C" w:rsidRPr="00BD44D3">
        <w:t xml:space="preserve">, </w:t>
      </w:r>
      <w:r w:rsidR="00070FA5" w:rsidRPr="001B1807">
        <w:t xml:space="preserve">provided the existing fleet of </w:t>
      </w:r>
      <w:r w:rsidR="00070FA5" w:rsidRPr="001B1807">
        <w:lastRenderedPageBreak/>
        <w:t>resources continues to operate</w:t>
      </w:r>
      <w:r w:rsidR="006B7C0D" w:rsidRPr="00070FA5">
        <w:t>.</w:t>
      </w:r>
      <w:r w:rsidR="006B7C0D">
        <w:t xml:space="preserve"> However, t</w:t>
      </w:r>
      <w:r w:rsidR="00613889">
        <w:t xml:space="preserve">he region will likely </w:t>
      </w:r>
      <w:r w:rsidR="00F318A9" w:rsidRPr="00B1037B">
        <w:t xml:space="preserve">still </w:t>
      </w:r>
      <w:r w:rsidR="00613889" w:rsidRPr="00B1037B">
        <w:t>n</w:t>
      </w:r>
      <w:r w:rsidR="00613889">
        <w:t xml:space="preserve">eed to rely on operating procedures </w:t>
      </w:r>
      <w:r w:rsidR="008E7A51">
        <w:t>that provide load and capacity relief</w:t>
      </w:r>
      <w:r w:rsidR="003D42BB">
        <w:t xml:space="preserve"> every season</w:t>
      </w:r>
      <w:r w:rsidR="008E7A51">
        <w:t xml:space="preserve"> </w:t>
      </w:r>
      <w:r w:rsidR="007871F8">
        <w:t>from</w:t>
      </w:r>
      <w:r w:rsidR="008E7A51">
        <w:t xml:space="preserve"> </w:t>
      </w:r>
      <w:r w:rsidR="003C08BA">
        <w:t>201</w:t>
      </w:r>
      <w:r w:rsidR="000C6A36">
        <w:t>8</w:t>
      </w:r>
      <w:r w:rsidR="003C08BA">
        <w:t xml:space="preserve"> through 2026</w:t>
      </w:r>
      <w:r w:rsidR="00A3274C">
        <w:t xml:space="preserve">, especially under </w:t>
      </w:r>
      <w:r w:rsidR="00613889">
        <w:t xml:space="preserve">extremely </w:t>
      </w:r>
      <w:r w:rsidR="00613889" w:rsidRPr="00B74621">
        <w:t>hot and humid conditions</w:t>
      </w:r>
      <w:r w:rsidR="00241F92" w:rsidRPr="008F0E16">
        <w:t xml:space="preserve">, </w:t>
      </w:r>
      <w:r w:rsidR="00241F92" w:rsidRPr="00B74621">
        <w:t>severe winter weather,</w:t>
      </w:r>
      <w:r w:rsidR="005D0C00" w:rsidRPr="00B74621">
        <w:t xml:space="preserve"> and during infrastructure</w:t>
      </w:r>
      <w:r w:rsidR="002E26E4" w:rsidRPr="00B74621">
        <w:t>-</w:t>
      </w:r>
      <w:r w:rsidR="005D0C00" w:rsidRPr="00B74621">
        <w:t>outage conditions of both</w:t>
      </w:r>
      <w:r w:rsidR="005D0C00">
        <w:t xml:space="preserve"> electric </w:t>
      </w:r>
      <w:r w:rsidR="00964C3C">
        <w:t xml:space="preserve">power </w:t>
      </w:r>
      <w:r w:rsidR="005D0C00">
        <w:t>and natural gas facilities</w:t>
      </w:r>
      <w:r w:rsidR="00613889">
        <w:t xml:space="preserve">. </w:t>
      </w:r>
      <w:r w:rsidR="00876B73">
        <w:t xml:space="preserve">The region </w:t>
      </w:r>
      <w:r w:rsidR="002C2074" w:rsidRPr="00C87390">
        <w:t>also will likely face</w:t>
      </w:r>
      <w:r w:rsidR="00C87390" w:rsidRPr="00C87390">
        <w:t xml:space="preserve"> </w:t>
      </w:r>
      <w:r w:rsidR="00876B73" w:rsidRPr="00C87390">
        <w:t>additional retirements of aging oil, and coal-fired generation.</w:t>
      </w:r>
      <w:r w:rsidR="00876B73" w:rsidRPr="00876B73">
        <w:t xml:space="preserve"> </w:t>
      </w:r>
      <w:r w:rsidR="00DD4878">
        <w:t>In the shorter term,</w:t>
      </w:r>
      <w:r w:rsidR="00980289" w:rsidRPr="00980289">
        <w:t xml:space="preserve"> new demand resources </w:t>
      </w:r>
      <w:r w:rsidR="00980289">
        <w:t xml:space="preserve">have tended to </w:t>
      </w:r>
      <w:r w:rsidR="00980289" w:rsidRPr="00980289">
        <w:t>be available as much as a year in advance of their expected in-service date</w:t>
      </w:r>
      <w:r w:rsidR="00980289">
        <w:t xml:space="preserve">, </w:t>
      </w:r>
      <w:r w:rsidR="00DD4878">
        <w:t>but</w:t>
      </w:r>
      <w:r w:rsidR="00BD44D3">
        <w:t xml:space="preserve"> </w:t>
      </w:r>
      <w:r w:rsidR="00070FA5">
        <w:t xml:space="preserve">historically, some </w:t>
      </w:r>
      <w:r w:rsidR="00980289" w:rsidRPr="005D731D">
        <w:t>generation has been delayed due</w:t>
      </w:r>
      <w:r w:rsidR="00980289" w:rsidRPr="00980289">
        <w:t xml:space="preserve"> to permitting</w:t>
      </w:r>
      <w:r w:rsidR="005151BD">
        <w:t xml:space="preserve"> </w:t>
      </w:r>
      <w:r w:rsidR="00070FA5">
        <w:t xml:space="preserve">and construction </w:t>
      </w:r>
      <w:r w:rsidR="005151BD">
        <w:t>challenges</w:t>
      </w:r>
      <w:r w:rsidR="00980289" w:rsidRPr="00980289">
        <w:t>.</w:t>
      </w:r>
    </w:p>
    <w:p w:rsidR="005F469F" w:rsidRDefault="00980289" w:rsidP="00DA4E63">
      <w:r w:rsidRPr="00B1037B">
        <w:t>When built, t</w:t>
      </w:r>
      <w:r w:rsidR="005239A4" w:rsidRPr="00B1037B">
        <w:t xml:space="preserve">he new capacity procured through the FCAs will help replace retired generators. </w:t>
      </w:r>
      <w:r w:rsidR="00645F8D" w:rsidRPr="00B1037B">
        <w:t xml:space="preserve">As of </w:t>
      </w:r>
      <w:r w:rsidR="00F115B2" w:rsidRPr="00B1037B">
        <w:t>June</w:t>
      </w:r>
      <w:r w:rsidR="00F115B2">
        <w:t> </w:t>
      </w:r>
      <w:r w:rsidR="00645F8D" w:rsidRPr="00B1037B">
        <w:t xml:space="preserve">1, </w:t>
      </w:r>
      <w:r w:rsidR="001D4204" w:rsidRPr="00B1037B">
        <w:t xml:space="preserve">2017, </w:t>
      </w:r>
      <w:r w:rsidR="002B3D4F" w:rsidRPr="00B1037B">
        <w:t xml:space="preserve">another </w:t>
      </w:r>
      <w:r w:rsidR="001D4204" w:rsidRPr="00B1037B">
        <w:t>1</w:t>
      </w:r>
      <w:r w:rsidR="00F859A5" w:rsidRPr="00B1037B">
        <w:t>,</w:t>
      </w:r>
      <w:r w:rsidR="001D4204" w:rsidRPr="00B1037B">
        <w:t>525 MW of coal- and oil-fired</w:t>
      </w:r>
      <w:r w:rsidR="00F426AB" w:rsidRPr="00B1037B">
        <w:t> </w:t>
      </w:r>
      <w:r w:rsidR="001D4204" w:rsidRPr="00B1037B">
        <w:t xml:space="preserve">generation </w:t>
      </w:r>
      <w:r w:rsidR="007E7138" w:rsidRPr="00B1037B">
        <w:t>ha</w:t>
      </w:r>
      <w:r w:rsidR="0087412E">
        <w:t>d</w:t>
      </w:r>
      <w:r w:rsidR="007E7138" w:rsidRPr="00B1037B">
        <w:t xml:space="preserve"> </w:t>
      </w:r>
      <w:r w:rsidR="001D4204" w:rsidRPr="00B1037B">
        <w:t>retired</w:t>
      </w:r>
      <w:r w:rsidR="00F859A5" w:rsidRPr="00B1037B">
        <w:t>,</w:t>
      </w:r>
      <w:r w:rsidR="001D4204" w:rsidRPr="00B1037B">
        <w:t xml:space="preserve"> and another 67</w:t>
      </w:r>
      <w:r w:rsidR="00B30D2D">
        <w:t>7</w:t>
      </w:r>
      <w:r w:rsidR="001D4204" w:rsidRPr="00B1037B">
        <w:t xml:space="preserve"> </w:t>
      </w:r>
      <w:r w:rsidR="005239A4" w:rsidRPr="00B1037B">
        <w:t xml:space="preserve">MW of nuclear </w:t>
      </w:r>
      <w:r w:rsidR="001D4204" w:rsidRPr="00B1037B">
        <w:t>generation is</w:t>
      </w:r>
      <w:r w:rsidR="00A715B7" w:rsidRPr="00B1037B">
        <w:t xml:space="preserve"> </w:t>
      </w:r>
      <w:r w:rsidR="005239A4" w:rsidRPr="00B1037B">
        <w:t>expected</w:t>
      </w:r>
      <w:r w:rsidR="005239A4">
        <w:t xml:space="preserve"> to retire </w:t>
      </w:r>
      <w:r w:rsidR="001D4204">
        <w:t>in</w:t>
      </w:r>
      <w:r w:rsidR="005239A4">
        <w:t xml:space="preserve"> 2019. </w:t>
      </w:r>
      <w:r w:rsidR="005239A4" w:rsidRPr="005E3E04">
        <w:t xml:space="preserve">As </w:t>
      </w:r>
      <w:r w:rsidR="005239A4">
        <w:t xml:space="preserve">these </w:t>
      </w:r>
      <w:r w:rsidR="005239A4" w:rsidRPr="005E3E04">
        <w:t>traditional, non-gas-fired resources retire, sufficient resources will be needed to replace them</w:t>
      </w:r>
      <w:r w:rsidR="005239A4">
        <w:t xml:space="preserve">. </w:t>
      </w:r>
      <w:r w:rsidR="005239A4" w:rsidRPr="00614F90">
        <w:t xml:space="preserve">Most new resources seeking to participate in </w:t>
      </w:r>
      <w:r w:rsidR="005239A4">
        <w:t>the wholesale electric</w:t>
      </w:r>
      <w:r w:rsidR="00F426AB">
        <w:t>ity</w:t>
      </w:r>
      <w:r w:rsidR="005239A4" w:rsidRPr="00614F90">
        <w:t xml:space="preserve"> markets are natural-gas-fired generating units or renewables (wind and solar). </w:t>
      </w:r>
      <w:r w:rsidR="005239A4" w:rsidRPr="009E7948">
        <w:t xml:space="preserve">Since FCA #9, </w:t>
      </w:r>
      <w:r w:rsidR="005239A4">
        <w:t>approximately 2,300 MW of gas-fired combined</w:t>
      </w:r>
      <w:r w:rsidR="00933BA8">
        <w:t>-</w:t>
      </w:r>
      <w:r w:rsidR="005239A4">
        <w:t>cycle and combustion</w:t>
      </w:r>
      <w:r w:rsidR="00634A9F">
        <w:t>-</w:t>
      </w:r>
      <w:r w:rsidR="005239A4">
        <w:t xml:space="preserve">turbine plants have cleared the auctions, and approximately half the projects in the </w:t>
      </w:r>
      <w:r w:rsidR="00634A9F">
        <w:t>ISO Interconnection Request Queue (</w:t>
      </w:r>
      <w:r w:rsidR="005239A4">
        <w:t>queue</w:t>
      </w:r>
      <w:r w:rsidR="00634A9F">
        <w:t>)</w:t>
      </w:r>
      <w:r w:rsidR="005239A4">
        <w:t xml:space="preserve"> are natural gas resources. The increasing amount of natural</w:t>
      </w:r>
      <w:r w:rsidR="00F318A9">
        <w:t>-</w:t>
      </w:r>
      <w:r w:rsidR="005239A4">
        <w:t>gas</w:t>
      </w:r>
      <w:r w:rsidR="00F318A9">
        <w:t>-only</w:t>
      </w:r>
      <w:r w:rsidR="005239A4">
        <w:t xml:space="preserve"> generation puts greater demand on natural gas storage and delivery infrastructure, increasing </w:t>
      </w:r>
      <w:r w:rsidR="005239A4" w:rsidRPr="00320A9B">
        <w:t>the region’s fuel</w:t>
      </w:r>
      <w:r w:rsidR="00634A9F" w:rsidRPr="00DA4E63">
        <w:t>-</w:t>
      </w:r>
      <w:r w:rsidR="005239A4" w:rsidRPr="00320A9B">
        <w:t>security concerns</w:t>
      </w:r>
      <w:r w:rsidR="005F30DC">
        <w:t>, especially at winter seasonal peak conditions</w:t>
      </w:r>
      <w:r w:rsidR="005239A4" w:rsidRPr="00320A9B">
        <w:t>.</w:t>
      </w:r>
    </w:p>
    <w:p w:rsidR="00430F05" w:rsidRDefault="00430F05" w:rsidP="00DA4E63">
      <w:r>
        <w:t xml:space="preserve">Capacity zone configurations </w:t>
      </w:r>
      <w:r w:rsidR="006B7C0D">
        <w:t xml:space="preserve">provide </w:t>
      </w:r>
      <w:r>
        <w:t xml:space="preserve">market signals </w:t>
      </w:r>
      <w:r w:rsidR="00822F41">
        <w:t xml:space="preserve">that </w:t>
      </w:r>
      <w:r w:rsidR="006B7C0D">
        <w:t>encourag</w:t>
      </w:r>
      <w:r w:rsidR="00822F41">
        <w:t>e</w:t>
      </w:r>
      <w:r>
        <w:t xml:space="preserve"> the locational development of resources to address transmission constraints, contingency losses of generation or transmission, and </w:t>
      </w:r>
      <w:r w:rsidR="005D0C00">
        <w:t xml:space="preserve">zonal </w:t>
      </w:r>
      <w:r w:rsidR="00A81C5A">
        <w:t xml:space="preserve">import or </w:t>
      </w:r>
      <w:r>
        <w:t>export constraints</w:t>
      </w:r>
      <w:r w:rsidR="004D05B9">
        <w:t xml:space="preserve">. </w:t>
      </w:r>
      <w:r w:rsidRPr="00A81C5A">
        <w:t>The capacity zones fo</w:t>
      </w:r>
      <w:r w:rsidRPr="00C37E50">
        <w:t>r FCA</w:t>
      </w:r>
      <w:r w:rsidR="007F135C">
        <w:t xml:space="preserve"> </w:t>
      </w:r>
      <w:r w:rsidRPr="00C37E50">
        <w:t>#</w:t>
      </w:r>
      <w:r w:rsidR="0082604F" w:rsidRPr="00C37E50">
        <w:t>12,</w:t>
      </w:r>
      <w:r w:rsidRPr="00C37E50">
        <w:t xml:space="preserve"> which remain the same as </w:t>
      </w:r>
      <w:r w:rsidR="005D0C00">
        <w:t xml:space="preserve">for </w:t>
      </w:r>
      <w:r w:rsidRPr="00C37E50">
        <w:t>FCA</w:t>
      </w:r>
      <w:r w:rsidR="00A43ABC">
        <w:t> </w:t>
      </w:r>
      <w:r w:rsidRPr="00C37E50">
        <w:t xml:space="preserve">#11, will </w:t>
      </w:r>
      <w:r w:rsidRPr="00CE115D">
        <w:t xml:space="preserve">model Southeastern New England (SENE) </w:t>
      </w:r>
      <w:r w:rsidR="00866E6B" w:rsidRPr="00CE115D">
        <w:t>(</w:t>
      </w:r>
      <w:r w:rsidR="000826E8" w:rsidRPr="00CE115D">
        <w:t xml:space="preserve">i.e., </w:t>
      </w:r>
      <w:r w:rsidR="00866E6B" w:rsidRPr="00CE115D">
        <w:t>the combined N</w:t>
      </w:r>
      <w:r w:rsidR="000826E8" w:rsidRPr="00CE115D">
        <w:t>ortheast Massachusetts [N</w:t>
      </w:r>
      <w:r w:rsidR="00866E6B" w:rsidRPr="00CE115D">
        <w:t>EMA</w:t>
      </w:r>
      <w:r w:rsidR="000826E8" w:rsidRPr="00CE115D">
        <w:t>]</w:t>
      </w:r>
      <w:r w:rsidR="00866E6B" w:rsidRPr="00CE115D">
        <w:t>/</w:t>
      </w:r>
      <w:r w:rsidR="000826E8" w:rsidRPr="00CE115D">
        <w:t>Southeast Massachusetts [</w:t>
      </w:r>
      <w:r w:rsidR="00866E6B" w:rsidRPr="00CE115D">
        <w:t>SEMA</w:t>
      </w:r>
      <w:r w:rsidR="000826E8" w:rsidRPr="00CE115D">
        <w:t>]</w:t>
      </w:r>
      <w:r w:rsidR="00866E6B" w:rsidRPr="00CE115D">
        <w:t>/R</w:t>
      </w:r>
      <w:r w:rsidR="000826E8" w:rsidRPr="00CE115D">
        <w:t xml:space="preserve">hode </w:t>
      </w:r>
      <w:r w:rsidR="00866E6B" w:rsidRPr="00CE115D">
        <w:t>I</w:t>
      </w:r>
      <w:r w:rsidR="000826E8" w:rsidRPr="00CE115D">
        <w:t>sland [RI]</w:t>
      </w:r>
      <w:r w:rsidR="00866E6B" w:rsidRPr="00CE115D">
        <w:t xml:space="preserve"> area) </w:t>
      </w:r>
      <w:r w:rsidRPr="00CE115D">
        <w:t>as an import</w:t>
      </w:r>
      <w:r w:rsidR="00933BA8">
        <w:t>-</w:t>
      </w:r>
      <w:r w:rsidRPr="00CE115D">
        <w:t>constrained zone and</w:t>
      </w:r>
      <w:r w:rsidRPr="00C37E50">
        <w:t xml:space="preserve"> Northern New England as an export</w:t>
      </w:r>
      <w:r w:rsidR="00933BA8">
        <w:t>-</w:t>
      </w:r>
      <w:r w:rsidRPr="00C37E50">
        <w:t>constrained zone</w:t>
      </w:r>
      <w:r w:rsidR="004D05B9" w:rsidRPr="00C37E50">
        <w:t xml:space="preserve">. </w:t>
      </w:r>
      <w:r w:rsidRPr="00C37E50">
        <w:t>RSP17 results show FCA</w:t>
      </w:r>
      <w:r w:rsidR="00063D15" w:rsidRPr="00C37E50">
        <w:t xml:space="preserve"> </w:t>
      </w:r>
      <w:r w:rsidRPr="00C37E50">
        <w:t xml:space="preserve">#11 </w:t>
      </w:r>
      <w:r w:rsidR="0082604F" w:rsidRPr="00C37E50">
        <w:t>procured</w:t>
      </w:r>
      <w:r w:rsidRPr="00C37E50">
        <w:t xml:space="preserve"> sufficient resources to meet resource adequacy criteria (</w:t>
      </w:r>
      <w:r w:rsidR="003609C3" w:rsidRPr="00C37E50">
        <w:t xml:space="preserve">i.e., </w:t>
      </w:r>
      <w:r w:rsidR="00624CB0" w:rsidRPr="00C37E50">
        <w:t>l</w:t>
      </w:r>
      <w:r w:rsidRPr="00C37E50">
        <w:t>ocal</w:t>
      </w:r>
      <w:r w:rsidR="00933BA8">
        <w:t>-</w:t>
      </w:r>
      <w:r w:rsidR="00624CB0" w:rsidRPr="00C37E50">
        <w:t>s</w:t>
      </w:r>
      <w:r w:rsidRPr="00C37E50">
        <w:t xml:space="preserve">ourcing </w:t>
      </w:r>
      <w:r w:rsidR="00624CB0" w:rsidRPr="00C37E50">
        <w:t>r</w:t>
      </w:r>
      <w:r w:rsidRPr="00C37E50">
        <w:t>equirements</w:t>
      </w:r>
      <w:r w:rsidR="00624CB0" w:rsidRPr="00C37E50">
        <w:t>; LSRs</w:t>
      </w:r>
      <w:r w:rsidRPr="00C37E50">
        <w:t>)</w:t>
      </w:r>
      <w:r w:rsidR="00DB37AD" w:rsidRPr="00C37E50">
        <w:t xml:space="preserve"> </w:t>
      </w:r>
      <w:r w:rsidRPr="00C37E50">
        <w:t>in import</w:t>
      </w:r>
      <w:r w:rsidR="00063D15" w:rsidRPr="00C37E50">
        <w:t>-</w:t>
      </w:r>
      <w:r w:rsidRPr="00C37E50">
        <w:t>constrained zones through 2026</w:t>
      </w:r>
      <w:r w:rsidR="004D05B9" w:rsidRPr="00C37E50">
        <w:t xml:space="preserve">. </w:t>
      </w:r>
      <w:r w:rsidRPr="003412A6">
        <w:t xml:space="preserve">The region, however, is under risk for further resource retirements that could </w:t>
      </w:r>
      <w:r w:rsidR="00DF5E18" w:rsidRPr="002B3D4F">
        <w:t>change</w:t>
      </w:r>
      <w:r w:rsidR="003412A6">
        <w:t xml:space="preserve"> </w:t>
      </w:r>
      <w:r w:rsidR="00DF5E18" w:rsidRPr="002B3D4F">
        <w:t>the modeling of capacity zones</w:t>
      </w:r>
      <w:r w:rsidR="005F30DC" w:rsidRPr="003412A6">
        <w:t>.</w:t>
      </w:r>
      <w:r w:rsidR="00F90DAD" w:rsidRPr="003412A6">
        <w:t xml:space="preserve"> </w:t>
      </w:r>
      <w:r w:rsidR="00AD4891">
        <w:t>The ISO will review a</w:t>
      </w:r>
      <w:r w:rsidR="005F30DC" w:rsidRPr="003412A6">
        <w:t>ny such major chang</w:t>
      </w:r>
      <w:r w:rsidR="00A81110" w:rsidRPr="003412A6">
        <w:t>es with reg</w:t>
      </w:r>
      <w:r w:rsidR="005F30DC" w:rsidRPr="003412A6">
        <w:t>ional</w:t>
      </w:r>
      <w:r w:rsidR="005F30DC">
        <w:t xml:space="preserve"> stakeholders</w:t>
      </w:r>
      <w:r w:rsidR="009F43D1">
        <w:t xml:space="preserve"> </w:t>
      </w:r>
      <w:r w:rsidR="005F30DC">
        <w:t xml:space="preserve">to determine </w:t>
      </w:r>
      <w:r w:rsidR="00FC17F6">
        <w:t>whether</w:t>
      </w:r>
      <w:r w:rsidR="005F30DC">
        <w:t xml:space="preserve"> a </w:t>
      </w:r>
      <w:r w:rsidR="009F43D1">
        <w:t xml:space="preserve">change </w:t>
      </w:r>
      <w:r w:rsidR="005F30DC">
        <w:t xml:space="preserve">to </w:t>
      </w:r>
      <w:r w:rsidR="00890823">
        <w:t>the zones used in future auctions</w:t>
      </w:r>
      <w:r w:rsidR="005F30DC">
        <w:t xml:space="preserve"> is warranted</w:t>
      </w:r>
      <w:r>
        <w:t>.</w:t>
      </w:r>
    </w:p>
    <w:p w:rsidR="005239A4" w:rsidRPr="005E3E04" w:rsidRDefault="005239A4" w:rsidP="00DA4E63">
      <w:pPr>
        <w:rPr>
          <w:rFonts w:ascii="Times New Roman" w:eastAsia="Times New Roman" w:hAnsi="Times New Roman"/>
        </w:rPr>
      </w:pPr>
      <w:r w:rsidRPr="005E3E04">
        <w:t>The most reliable and economic place for resource development remains in southern New England near load centers</w:t>
      </w:r>
      <w:r>
        <w:t xml:space="preserve">. </w:t>
      </w:r>
      <w:r w:rsidRPr="005E3E04">
        <w:t>Re</w:t>
      </w:r>
      <w:r>
        <w:t>powered generating units at existing sites are</w:t>
      </w:r>
      <w:r w:rsidRPr="005E3E04">
        <w:t xml:space="preserve"> favorably located</w:t>
      </w:r>
      <w:r>
        <w:t xml:space="preserve">. In addition, </w:t>
      </w:r>
      <w:r w:rsidRPr="00EA0DEF">
        <w:t xml:space="preserve">FCA clearing </w:t>
      </w:r>
      <w:r w:rsidRPr="004A53DA">
        <w:t xml:space="preserve">prices for new resources may be locked in for </w:t>
      </w:r>
      <w:r w:rsidR="00A81110" w:rsidRPr="004A53DA">
        <w:t xml:space="preserve">up to </w:t>
      </w:r>
      <w:r w:rsidRPr="004A53DA">
        <w:t xml:space="preserve">seven years, creating </w:t>
      </w:r>
      <w:r w:rsidR="00DD4878" w:rsidRPr="004A53DA">
        <w:t xml:space="preserve">greater </w:t>
      </w:r>
      <w:r w:rsidRPr="004A53DA">
        <w:t xml:space="preserve">financial </w:t>
      </w:r>
      <w:r w:rsidR="00A81110" w:rsidRPr="004A53DA">
        <w:t>certainty</w:t>
      </w:r>
      <w:r w:rsidR="004D05B9" w:rsidRPr="004A53DA">
        <w:t xml:space="preserve">. </w:t>
      </w:r>
      <w:r w:rsidR="00430F05" w:rsidRPr="004A53DA">
        <w:t>Existing f</w:t>
      </w:r>
      <w:r w:rsidRPr="004A53DA">
        <w:t>ast-start res</w:t>
      </w:r>
      <w:r w:rsidR="003F69A9" w:rsidRPr="004A53DA">
        <w:t>ources</w:t>
      </w:r>
      <w:r w:rsidRPr="004A53DA">
        <w:t xml:space="preserve"> near load centers in </w:t>
      </w:r>
      <w:r w:rsidR="00F701C5" w:rsidRPr="004A53DA">
        <w:t xml:space="preserve">the </w:t>
      </w:r>
      <w:r w:rsidRPr="004A53DA">
        <w:t>Greater Southwest Connecticut, Greater</w:t>
      </w:r>
      <w:r w:rsidRPr="005E3E04">
        <w:t xml:space="preserve"> Connecticut, </w:t>
      </w:r>
      <w:r w:rsidRPr="00387034">
        <w:t xml:space="preserve">and Boston </w:t>
      </w:r>
      <w:r w:rsidR="00F701C5" w:rsidRPr="00387034">
        <w:t xml:space="preserve">areas </w:t>
      </w:r>
      <w:r w:rsidRPr="00387034">
        <w:t>provide flexibility</w:t>
      </w:r>
      <w:r w:rsidR="004D05B9" w:rsidRPr="00387034">
        <w:t xml:space="preserve">. </w:t>
      </w:r>
      <w:r w:rsidR="00070FA5" w:rsidRPr="00387034">
        <w:t xml:space="preserve">Representative </w:t>
      </w:r>
      <w:r w:rsidR="00F701C5" w:rsidRPr="00387034">
        <w:t>F</w:t>
      </w:r>
      <w:r w:rsidRPr="00387034">
        <w:t xml:space="preserve">orward </w:t>
      </w:r>
      <w:r w:rsidR="00F701C5" w:rsidRPr="00387034">
        <w:t>R</w:t>
      </w:r>
      <w:r w:rsidRPr="00387034">
        <w:t xml:space="preserve">eserve </w:t>
      </w:r>
      <w:r w:rsidR="00F701C5" w:rsidRPr="00387034">
        <w:t>M</w:t>
      </w:r>
      <w:r w:rsidRPr="00387034">
        <w:t>arket</w:t>
      </w:r>
      <w:r w:rsidR="00F701C5" w:rsidRPr="00387034">
        <w:t xml:space="preserve"> (FRM)</w:t>
      </w:r>
      <w:r w:rsidR="00430F05" w:rsidRPr="00387034">
        <w:t xml:space="preserve"> </w:t>
      </w:r>
      <w:r w:rsidR="00B14AF8" w:rsidRPr="00387034">
        <w:t>analyses</w:t>
      </w:r>
      <w:r w:rsidR="00387034" w:rsidRPr="00387034">
        <w:t xml:space="preserve"> </w:t>
      </w:r>
      <w:r w:rsidR="00D92F48" w:rsidRPr="00387034">
        <w:t>indicate</w:t>
      </w:r>
      <w:r w:rsidR="00430F05" w:rsidRPr="00387034">
        <w:t xml:space="preserve"> that </w:t>
      </w:r>
      <w:r w:rsidR="00890823" w:rsidRPr="00387034">
        <w:t xml:space="preserve">sufficient </w:t>
      </w:r>
      <w:r w:rsidR="003F69A9" w:rsidRPr="00387034">
        <w:t>operating reserves</w:t>
      </w:r>
      <w:r w:rsidR="00890823" w:rsidRPr="00387034">
        <w:t xml:space="preserve"> exist in Greater Boston, Greater Connecticut, and Greater</w:t>
      </w:r>
      <w:r w:rsidR="00890823">
        <w:t xml:space="preserve"> Southwest Connecticut as the result of generation development and transmission improvements planned for th</w:t>
      </w:r>
      <w:r w:rsidR="005D731D">
        <w:t>e</w:t>
      </w:r>
      <w:r w:rsidR="00890823">
        <w:t xml:space="preserve">se areas by 2018 and </w:t>
      </w:r>
      <w:r w:rsidR="003F69A9">
        <w:t>2019</w:t>
      </w:r>
      <w:r w:rsidR="00890823">
        <w:t>.</w:t>
      </w:r>
    </w:p>
    <w:p w:rsidR="005239A4" w:rsidRDefault="005239A4" w:rsidP="00DA4E63">
      <w:r w:rsidRPr="00EF40B0">
        <w:t xml:space="preserve">The 76 active projects in the interconnection queue total 12,899 MW, which </w:t>
      </w:r>
      <w:r w:rsidR="00933BA8">
        <w:t>comprise</w:t>
      </w:r>
      <w:r w:rsidRPr="00EF40B0">
        <w:t xml:space="preserve"> </w:t>
      </w:r>
      <w:r w:rsidR="00183E73" w:rsidRPr="00EF40B0">
        <w:t>6,427</w:t>
      </w:r>
      <w:r w:rsidR="00EF40B0">
        <w:t xml:space="preserve"> </w:t>
      </w:r>
      <w:r w:rsidR="003412A6" w:rsidRPr="00EF40B0">
        <w:t xml:space="preserve">MW </w:t>
      </w:r>
      <w:r w:rsidR="00933BA8">
        <w:t xml:space="preserve">of </w:t>
      </w:r>
      <w:r w:rsidRPr="00EF40B0">
        <w:t xml:space="preserve">natural gas, </w:t>
      </w:r>
      <w:r w:rsidR="00183E73" w:rsidRPr="00EF40B0">
        <w:t>5,397</w:t>
      </w:r>
      <w:r w:rsidR="00EF40B0">
        <w:t xml:space="preserve"> </w:t>
      </w:r>
      <w:r w:rsidR="003412A6" w:rsidRPr="00EF40B0">
        <w:t>MW</w:t>
      </w:r>
      <w:r w:rsidRPr="00EF40B0">
        <w:t xml:space="preserve"> </w:t>
      </w:r>
      <w:r w:rsidR="00933BA8">
        <w:t xml:space="preserve">of </w:t>
      </w:r>
      <w:r w:rsidRPr="00EF40B0">
        <w:t xml:space="preserve">wind generation, </w:t>
      </w:r>
      <w:r w:rsidR="003412A6" w:rsidRPr="00EF40B0">
        <w:t xml:space="preserve">and </w:t>
      </w:r>
      <w:r w:rsidR="003F69A9" w:rsidRPr="00EF40B0">
        <w:t xml:space="preserve">77 MW </w:t>
      </w:r>
      <w:r w:rsidR="00933BA8">
        <w:t xml:space="preserve">of </w:t>
      </w:r>
      <w:r w:rsidR="003F69A9" w:rsidRPr="00EF40B0">
        <w:t xml:space="preserve">batteries, </w:t>
      </w:r>
      <w:r w:rsidR="003412A6" w:rsidRPr="00EF40B0">
        <w:t xml:space="preserve">with </w:t>
      </w:r>
      <w:r w:rsidR="00933BA8">
        <w:t xml:space="preserve">other types of renewable resources making up </w:t>
      </w:r>
      <w:r w:rsidR="007E1412">
        <w:t>most</w:t>
      </w:r>
      <w:r w:rsidR="00933BA8">
        <w:t xml:space="preserve"> </w:t>
      </w:r>
      <w:r w:rsidR="007E1412">
        <w:t xml:space="preserve">of </w:t>
      </w:r>
      <w:r w:rsidRPr="00EF40B0">
        <w:t>the remaining amount</w:t>
      </w:r>
      <w:r>
        <w:t>. Two-thirds of the wind capacity consists of onshore wind projects located in Maine</w:t>
      </w:r>
      <w:r w:rsidR="00F701C5">
        <w:t>,</w:t>
      </w:r>
      <w:r>
        <w:t xml:space="preserve"> and the remaining wind resources are primarily offshore projects located </w:t>
      </w:r>
      <w:r w:rsidR="00C94CF1">
        <w:t>off the southeast coast of</w:t>
      </w:r>
      <w:r>
        <w:t xml:space="preserve"> Massachusetts. Nearly all the </w:t>
      </w:r>
      <w:r w:rsidR="00233218">
        <w:t xml:space="preserve">proposed </w:t>
      </w:r>
      <w:r>
        <w:t>natural</w:t>
      </w:r>
      <w:r w:rsidR="00F701C5">
        <w:t>-</w:t>
      </w:r>
      <w:r>
        <w:t xml:space="preserve">gas-fired resources are located in the southern New England states of Connecticut, Massachusetts, and Rhode Island. </w:t>
      </w:r>
    </w:p>
    <w:p w:rsidR="005239A4" w:rsidRPr="00734BE4" w:rsidRDefault="005239A4" w:rsidP="00DA4E63">
      <w:r w:rsidRPr="00E66572">
        <w:t xml:space="preserve">The processing of the interconnection requests in New England has </w:t>
      </w:r>
      <w:r w:rsidR="00A65868">
        <w:t>substantial</w:t>
      </w:r>
      <w:r w:rsidR="00BC7180">
        <w:t>ly</w:t>
      </w:r>
      <w:r w:rsidR="00A65868">
        <w:t xml:space="preserve"> </w:t>
      </w:r>
      <w:r w:rsidRPr="00E66572">
        <w:t xml:space="preserve">progressed. With the exception of the </w:t>
      </w:r>
      <w:r w:rsidR="00233218">
        <w:t xml:space="preserve">northern and </w:t>
      </w:r>
      <w:r w:rsidR="00233218" w:rsidRPr="008E2AAD">
        <w:t xml:space="preserve">western </w:t>
      </w:r>
      <w:r w:rsidR="00822F41" w:rsidRPr="008E2AAD">
        <w:t xml:space="preserve">areas of </w:t>
      </w:r>
      <w:r w:rsidRPr="008E2AAD">
        <w:t xml:space="preserve">Maine </w:t>
      </w:r>
      <w:r w:rsidR="00BC7180" w:rsidRPr="008E2AAD">
        <w:t xml:space="preserve">(which </w:t>
      </w:r>
      <w:r w:rsidR="00822F41" w:rsidRPr="008E2AAD">
        <w:t xml:space="preserve">have weak transmission infrastructure </w:t>
      </w:r>
      <w:r w:rsidR="00BC7180" w:rsidRPr="008E2AAD">
        <w:t xml:space="preserve">and </w:t>
      </w:r>
      <w:r w:rsidRPr="008E2AAD">
        <w:t>ha</w:t>
      </w:r>
      <w:r w:rsidR="00822F41" w:rsidRPr="008E2AAD">
        <w:t>ve</w:t>
      </w:r>
      <w:r w:rsidRPr="008E2AAD">
        <w:t xml:space="preserve"> experienced a backlog of mostly wind interconnection requests),</w:t>
      </w:r>
      <w:r w:rsidRPr="00E66572">
        <w:t xml:space="preserve"> substantially all the generator interconnection requests made through 2015 have completed the system impact study phase or have </w:t>
      </w:r>
      <w:r w:rsidRPr="00E66572">
        <w:lastRenderedPageBreak/>
        <w:t>moved to the Interconnection Agreement and commercialization phases.</w:t>
      </w:r>
      <w:r>
        <w:t xml:space="preserve"> The ISO </w:t>
      </w:r>
      <w:r w:rsidR="00704FAC">
        <w:t>will be</w:t>
      </w:r>
      <w:r>
        <w:t xml:space="preserve"> </w:t>
      </w:r>
      <w:r w:rsidR="0080602B">
        <w:t xml:space="preserve">introducing an approach for studying  groups of </w:t>
      </w:r>
      <w:r>
        <w:t>resources in the interconnection queue</w:t>
      </w:r>
      <w:r w:rsidR="00BC7180">
        <w:t xml:space="preserve"> </w:t>
      </w:r>
      <w:r w:rsidR="0080602B">
        <w:t xml:space="preserve">seeking to interconnect to the system </w:t>
      </w:r>
      <w:r w:rsidR="00BC7180">
        <w:t xml:space="preserve">(i.e., </w:t>
      </w:r>
      <w:r w:rsidR="0080602B" w:rsidRPr="00D92F48">
        <w:rPr>
          <w:i/>
        </w:rPr>
        <w:t>clustering</w:t>
      </w:r>
      <w:r w:rsidR="00BC7180">
        <w:t xml:space="preserve">) </w:t>
      </w:r>
      <w:r w:rsidR="0080602B">
        <w:t xml:space="preserve">under certain circumstances. Once implemented, the clustering approach will </w:t>
      </w:r>
      <w:r>
        <w:t xml:space="preserve">facilitate </w:t>
      </w:r>
      <w:r w:rsidR="0080602B">
        <w:t xml:space="preserve">the completion of interconnection </w:t>
      </w:r>
      <w:r>
        <w:t>studies</w:t>
      </w:r>
      <w:r w:rsidR="003F69A9">
        <w:t xml:space="preserve"> in Maine and</w:t>
      </w:r>
      <w:r w:rsidR="0080602B">
        <w:t>, in the future,</w:t>
      </w:r>
      <w:r w:rsidR="003F69A9">
        <w:t xml:space="preserve"> other areas of the system</w:t>
      </w:r>
      <w:r w:rsidR="0080602B">
        <w:t xml:space="preserve"> should similar conditions evolve</w:t>
      </w:r>
      <w:r w:rsidR="003F69A9">
        <w:t>.</w:t>
      </w:r>
      <w:r>
        <w:t xml:space="preserve"> </w:t>
      </w:r>
    </w:p>
    <w:p w:rsidR="005239A4" w:rsidRPr="009A1778" w:rsidRDefault="005239A4" w:rsidP="005239A4">
      <w:pPr>
        <w:pStyle w:val="Heading3"/>
      </w:pPr>
      <w:bookmarkStart w:id="43" w:name="_Toc490322995"/>
      <w:r w:rsidRPr="009A1778">
        <w:t>Transmission System Needs, Solutions, and Cost Considerations (</w:t>
      </w:r>
      <w:r w:rsidR="002B0664">
        <w:fldChar w:fldCharType="begin"/>
      </w:r>
      <w:r w:rsidR="002B0664">
        <w:instrText xml:space="preserve"> REF _Ref301345731 \r \h </w:instrText>
      </w:r>
      <w:r w:rsidR="002B0664">
        <w:fldChar w:fldCharType="separate"/>
      </w:r>
      <w:r w:rsidR="00314781">
        <w:t>Section 5</w:t>
      </w:r>
      <w:r w:rsidR="002B0664">
        <w:fldChar w:fldCharType="end"/>
      </w:r>
      <w:r w:rsidRPr="009A1778">
        <w:t>)</w:t>
      </w:r>
      <w:bookmarkEnd w:id="43"/>
      <w:r w:rsidRPr="009A1778">
        <w:t xml:space="preserve"> </w:t>
      </w:r>
    </w:p>
    <w:p w:rsidR="007F327B" w:rsidRDefault="005239A4" w:rsidP="00D51B2E">
      <w:r w:rsidRPr="00F8256F">
        <w:t xml:space="preserve">As a result of transmission expansion in New England, the region has enjoyed a high level of reliability and resiliency, reduced air emissions, and lower wholesale market costs. </w:t>
      </w:r>
      <w:r w:rsidR="00822F41">
        <w:t>The overall need for major additional reliability-based transmission projects is expected to decline</w:t>
      </w:r>
      <w:r w:rsidR="005C7436">
        <w:t xml:space="preserve"> </w:t>
      </w:r>
      <w:r w:rsidR="006F2550">
        <w:t xml:space="preserve">over the planning horizon. </w:t>
      </w:r>
      <w:r w:rsidR="00D51B2E" w:rsidRPr="002B3D4F">
        <w:t xml:space="preserve">The low growth of net peak load </w:t>
      </w:r>
      <w:r w:rsidR="00D51B2E" w:rsidRPr="007F327B">
        <w:t xml:space="preserve">means it no longer </w:t>
      </w:r>
      <w:r w:rsidR="002B3D4F">
        <w:t xml:space="preserve">is a major driver </w:t>
      </w:r>
      <w:r w:rsidR="006F2550">
        <w:t xml:space="preserve">of </w:t>
      </w:r>
      <w:r w:rsidR="00D51B2E" w:rsidRPr="007F327B">
        <w:t xml:space="preserve">the need for new </w:t>
      </w:r>
      <w:r w:rsidR="006F2550">
        <w:t xml:space="preserve">reliability-based </w:t>
      </w:r>
      <w:r w:rsidR="00D51B2E" w:rsidRPr="007F327B">
        <w:t>transmission projects. The development of FC</w:t>
      </w:r>
      <w:r w:rsidR="00FF571A">
        <w:t>M</w:t>
      </w:r>
      <w:r w:rsidR="006F2550">
        <w:t xml:space="preserve"> </w:t>
      </w:r>
      <w:r w:rsidR="00D51B2E" w:rsidRPr="007F327B">
        <w:t>resources in favorable system locations also defers the need for major new projects</w:t>
      </w:r>
      <w:r w:rsidR="00541D33">
        <w:t>.</w:t>
      </w:r>
      <w:r w:rsidR="007F327B" w:rsidRPr="00541D33">
        <w:t xml:space="preserve"> </w:t>
      </w:r>
    </w:p>
    <w:p w:rsidR="00784660" w:rsidRDefault="00822F41" w:rsidP="00D51B2E">
      <w:r>
        <w:t xml:space="preserve">The </w:t>
      </w:r>
      <w:r w:rsidR="003B364B" w:rsidRPr="00074E06">
        <w:t xml:space="preserve">ISO has been working with regional stakeholders to review the criteria and several key input assumptions used in assessing overall system needs in the regional </w:t>
      </w:r>
      <w:r>
        <w:t>t</w:t>
      </w:r>
      <w:r w:rsidR="003B364B" w:rsidRPr="00074E06">
        <w:t xml:space="preserve">ransmission </w:t>
      </w:r>
      <w:r>
        <w:t>p</w:t>
      </w:r>
      <w:r w:rsidR="003B364B" w:rsidRPr="00074E06">
        <w:t xml:space="preserve">lanning process. </w:t>
      </w:r>
      <w:r w:rsidR="002F2665" w:rsidRPr="00074E06">
        <w:t xml:space="preserve">Revised reliability standards </w:t>
      </w:r>
      <w:r w:rsidRPr="00070FA5">
        <w:t>that</w:t>
      </w:r>
      <w:r w:rsidR="002F2665" w:rsidRPr="00070FA5">
        <w:t xml:space="preserve"> </w:t>
      </w:r>
      <w:r w:rsidR="00D92F48" w:rsidRPr="00070FA5">
        <w:t>more closely</w:t>
      </w:r>
      <w:r w:rsidR="002F2665" w:rsidRPr="00BE547E">
        <w:t xml:space="preserve"> align</w:t>
      </w:r>
      <w:r w:rsidR="003B364B" w:rsidRPr="00BE547E">
        <w:t xml:space="preserve"> regional criteria with the latest </w:t>
      </w:r>
      <w:r w:rsidR="00C46BF5">
        <w:t xml:space="preserve">North American Electric </w:t>
      </w:r>
      <w:r w:rsidR="00C46BF5" w:rsidRPr="00CE115D">
        <w:t>Reliability Corporation (</w:t>
      </w:r>
      <w:r w:rsidR="003B364B" w:rsidRPr="00CE115D">
        <w:t>NERC</w:t>
      </w:r>
      <w:r w:rsidR="00C46BF5" w:rsidRPr="00CE115D">
        <w:t>)</w:t>
      </w:r>
      <w:r w:rsidR="003B364B" w:rsidRPr="00CE115D">
        <w:t xml:space="preserve"> </w:t>
      </w:r>
      <w:r w:rsidRPr="00CE115D">
        <w:t>t</w:t>
      </w:r>
      <w:r w:rsidR="003B364B" w:rsidRPr="00CE115D">
        <w:t xml:space="preserve">ransmission </w:t>
      </w:r>
      <w:r w:rsidRPr="00CE115D">
        <w:t>p</w:t>
      </w:r>
      <w:r w:rsidR="003B364B" w:rsidRPr="00CE115D">
        <w:t>lanning standards</w:t>
      </w:r>
      <w:r w:rsidR="002F2665" w:rsidRPr="00CE115D">
        <w:t xml:space="preserve"> are now in place</w:t>
      </w:r>
      <w:r w:rsidR="00BE547E" w:rsidRPr="00CE115D">
        <w:t xml:space="preserve">. In addition, </w:t>
      </w:r>
      <w:r w:rsidRPr="00CE115D">
        <w:t xml:space="preserve">the </w:t>
      </w:r>
      <w:r w:rsidR="00BE547E" w:rsidRPr="00CE115D">
        <w:t xml:space="preserve">ISO has </w:t>
      </w:r>
      <w:r w:rsidR="003B364B" w:rsidRPr="00CE115D">
        <w:t xml:space="preserve">implemented a new </w:t>
      </w:r>
      <w:r w:rsidR="005D0C00">
        <w:t xml:space="preserve">probabilistic </w:t>
      </w:r>
      <w:r w:rsidR="003B364B" w:rsidRPr="00CE115D">
        <w:t>methodology</w:t>
      </w:r>
      <w:r w:rsidR="00BE547E" w:rsidRPr="00CE115D">
        <w:t xml:space="preserve"> </w:t>
      </w:r>
      <w:r w:rsidR="00CE115D">
        <w:t xml:space="preserve">to </w:t>
      </w:r>
      <w:r w:rsidR="003B364B" w:rsidRPr="00CE115D">
        <w:t xml:space="preserve">determine the amount of generation assumed out of service in </w:t>
      </w:r>
      <w:r w:rsidRPr="00CE115D">
        <w:t>its</w:t>
      </w:r>
      <w:r w:rsidR="003B364B" w:rsidRPr="00CE115D">
        <w:t xml:space="preserve"> base case analys</w:t>
      </w:r>
      <w:r w:rsidRPr="00CE115D">
        <w:t>e</w:t>
      </w:r>
      <w:r w:rsidR="003B364B" w:rsidRPr="00CE115D">
        <w:t xml:space="preserve">s. </w:t>
      </w:r>
      <w:r w:rsidR="00BE547E" w:rsidRPr="00CE115D">
        <w:t>In</w:t>
      </w:r>
      <w:r w:rsidR="00BE547E">
        <w:t xml:space="preserve"> combination, these changes will tend to defer or eliminate many transmission reliability needs</w:t>
      </w:r>
      <w:r w:rsidR="00D51B2E">
        <w:t xml:space="preserve">. </w:t>
      </w:r>
    </w:p>
    <w:p w:rsidR="006F2550" w:rsidRDefault="00D258B1" w:rsidP="00D51B2E">
      <w:r>
        <w:t xml:space="preserve">RSP17 </w:t>
      </w:r>
      <w:r w:rsidR="00BE547E">
        <w:t>does show</w:t>
      </w:r>
      <w:r>
        <w:t xml:space="preserve"> the continuing need for certain transmission system upgrades. </w:t>
      </w:r>
      <w:r w:rsidR="00D51B2E" w:rsidRPr="00331DC4">
        <w:t>Approximately $</w:t>
      </w:r>
      <w:r w:rsidR="00CF4D8C" w:rsidRPr="00331DC4">
        <w:t>4</w:t>
      </w:r>
      <w:r w:rsidR="00CF4D8C">
        <w:t> </w:t>
      </w:r>
      <w:r w:rsidR="00D51B2E">
        <w:t>billion</w:t>
      </w:r>
      <w:r w:rsidR="00D51B2E" w:rsidRPr="00331DC4">
        <w:t xml:space="preserve"> of</w:t>
      </w:r>
      <w:r w:rsidR="00D51B2E">
        <w:t xml:space="preserve"> new transmission upgrades are</w:t>
      </w:r>
      <w:r w:rsidR="00D51B2E" w:rsidRPr="00331DC4">
        <w:t xml:space="preserve"> reported in RSP17</w:t>
      </w:r>
      <w:r w:rsidR="00D51B2E">
        <w:t>, many of which</w:t>
      </w:r>
      <w:r w:rsidR="00D51B2E" w:rsidRPr="00331DC4">
        <w:t xml:space="preserve"> are in siting or under construction</w:t>
      </w:r>
      <w:r w:rsidR="00D51B2E">
        <w:t>.</w:t>
      </w:r>
      <w:r w:rsidR="00784660">
        <w:t xml:space="preserve"> Looking ahead,</w:t>
      </w:r>
      <w:r w:rsidR="006A454E">
        <w:t xml:space="preserve"> </w:t>
      </w:r>
      <w:r w:rsidR="00784660">
        <w:t>integratin</w:t>
      </w:r>
      <w:r w:rsidR="006A454E">
        <w:t>g</w:t>
      </w:r>
      <w:r w:rsidR="00784660">
        <w:t xml:space="preserve"> large</w:t>
      </w:r>
      <w:r w:rsidR="007F327B">
        <w:t>-</w:t>
      </w:r>
      <w:r w:rsidR="00784660">
        <w:t>scale renewable energy resources, addressing the dynami</w:t>
      </w:r>
      <w:r w:rsidR="00872E2E">
        <w:t xml:space="preserve">c characteristics of load and the expansion </w:t>
      </w:r>
      <w:r w:rsidR="00F03908">
        <w:t xml:space="preserve">of </w:t>
      </w:r>
      <w:r w:rsidR="00872E2E">
        <w:t>distributed resources</w:t>
      </w:r>
      <w:r w:rsidR="006A454E">
        <w:t xml:space="preserve">, </w:t>
      </w:r>
      <w:r w:rsidR="00F45698">
        <w:t xml:space="preserve">upgrading and refurbishing aging infrastructure, </w:t>
      </w:r>
      <w:r w:rsidR="00872E2E">
        <w:t>addi</w:t>
      </w:r>
      <w:r w:rsidR="006A454E">
        <w:t xml:space="preserve">ng </w:t>
      </w:r>
      <w:r w:rsidR="00872E2E">
        <w:t xml:space="preserve">interchange </w:t>
      </w:r>
      <w:r w:rsidR="00872E2E" w:rsidRPr="006F2550">
        <w:t>capability with neighboring systems</w:t>
      </w:r>
      <w:r w:rsidR="006A454E" w:rsidRPr="006F2550">
        <w:t xml:space="preserve">, </w:t>
      </w:r>
      <w:r w:rsidR="00872E2E" w:rsidRPr="006F2550">
        <w:t xml:space="preserve">and </w:t>
      </w:r>
      <w:r w:rsidR="006A454E" w:rsidRPr="006F2550">
        <w:t xml:space="preserve">complying with </w:t>
      </w:r>
      <w:r w:rsidR="00872E2E" w:rsidRPr="006F2550">
        <w:t>new NERC standards</w:t>
      </w:r>
      <w:r w:rsidR="00F45698">
        <w:t xml:space="preserve"> </w:t>
      </w:r>
      <w:r w:rsidR="00872E2E" w:rsidRPr="006F2550">
        <w:t>are potential drivers</w:t>
      </w:r>
      <w:r w:rsidR="00872E2E">
        <w:t xml:space="preserve"> for transmission.</w:t>
      </w:r>
    </w:p>
    <w:p w:rsidR="00F35F39" w:rsidRPr="00063D15" w:rsidRDefault="004534D2" w:rsidP="00DA4E63">
      <w:pPr>
        <w:pStyle w:val="Heading4"/>
      </w:pPr>
      <w:r w:rsidRPr="00063D15">
        <w:t>Revisions to Transmission Planning Criteria and Assumptions</w:t>
      </w:r>
    </w:p>
    <w:p w:rsidR="005239A4" w:rsidRPr="00EF1A1F" w:rsidRDefault="005239A4" w:rsidP="00A17656">
      <w:r w:rsidRPr="000826E8">
        <w:t xml:space="preserve">Significant changes to criteria and assumptions used in long-term reliability assessments are underway. Planning Procedure </w:t>
      </w:r>
      <w:r w:rsidR="00AD031F">
        <w:t xml:space="preserve">No. </w:t>
      </w:r>
      <w:r w:rsidRPr="000826E8">
        <w:t xml:space="preserve">3 </w:t>
      </w:r>
      <w:r w:rsidR="00A17656" w:rsidRPr="000826E8">
        <w:t xml:space="preserve">(PP 3) </w:t>
      </w:r>
      <w:r w:rsidRPr="000826E8">
        <w:t>now reflects the evolution of the NERC transmission planning standards.</w:t>
      </w:r>
      <w:r w:rsidR="00A17656" w:rsidRPr="000826E8">
        <w:rPr>
          <w:rStyle w:val="FootnoteReference"/>
        </w:rPr>
        <w:footnoteReference w:id="8"/>
      </w:r>
      <w:r w:rsidRPr="000826E8">
        <w:t xml:space="preserve"> Updates to the </w:t>
      </w:r>
      <w:r w:rsidRPr="000826E8">
        <w:rPr>
          <w:i/>
        </w:rPr>
        <w:t>Transmission Planning Technical Guide</w:t>
      </w:r>
      <w:r w:rsidRPr="000826E8">
        <w:t xml:space="preserve"> document new methodologies </w:t>
      </w:r>
      <w:r w:rsidR="00532232">
        <w:t xml:space="preserve">regarding </w:t>
      </w:r>
      <w:r w:rsidRPr="00027085">
        <w:t>the</w:t>
      </w:r>
      <w:r w:rsidRPr="000826E8">
        <w:t xml:space="preserve"> study assumptions used for generator dispatch scenarios based on probabilistic planning analysis.</w:t>
      </w:r>
      <w:r w:rsidR="00A17656" w:rsidRPr="000826E8">
        <w:rPr>
          <w:rStyle w:val="FootnoteReference"/>
        </w:rPr>
        <w:footnoteReference w:id="9"/>
      </w:r>
      <w:r w:rsidR="00D51B2E" w:rsidRPr="00372C91">
        <w:t xml:space="preserve"> </w:t>
      </w:r>
      <w:r w:rsidR="00A17656" w:rsidRPr="00372C91">
        <w:t xml:space="preserve">The Federal Energy Regulatory Commission (FERC) </w:t>
      </w:r>
      <w:r w:rsidRPr="00372C91">
        <w:t xml:space="preserve">Order </w:t>
      </w:r>
      <w:r w:rsidR="00A17656" w:rsidRPr="00372C91">
        <w:t xml:space="preserve">No. </w:t>
      </w:r>
      <w:r w:rsidRPr="00372C91">
        <w:t xml:space="preserve">1000 preserves the status </w:t>
      </w:r>
      <w:r w:rsidR="005D0C00" w:rsidRPr="00372C91">
        <w:t xml:space="preserve">for incumbents </w:t>
      </w:r>
      <w:r w:rsidRPr="00372C91">
        <w:t>of both proposed and planned projects on the ISO’s Regional System Plan project list as of May 18, 2015.</w:t>
      </w:r>
      <w:r w:rsidR="00A17656" w:rsidRPr="00372C91">
        <w:rPr>
          <w:rStyle w:val="FootnoteReference"/>
        </w:rPr>
        <w:footnoteReference w:id="10"/>
      </w:r>
      <w:r>
        <w:t xml:space="preserve"> Material changes </w:t>
      </w:r>
      <w:r w:rsidRPr="00F8256F">
        <w:t>were made to the ISO’s planning process going forward</w:t>
      </w:r>
      <w:r w:rsidR="00D64A6C">
        <w:t xml:space="preserve">. </w:t>
      </w:r>
      <w:r w:rsidR="001C236F">
        <w:t>T</w:t>
      </w:r>
      <w:r w:rsidR="001C236F" w:rsidRPr="00F8256F">
        <w:t xml:space="preserve">he </w:t>
      </w:r>
      <w:r w:rsidR="001C236F" w:rsidRPr="00F8256F">
        <w:rPr>
          <w:i/>
        </w:rPr>
        <w:t>Transmission Planning Process Guide</w:t>
      </w:r>
      <w:r w:rsidR="001C236F">
        <w:t xml:space="preserve"> </w:t>
      </w:r>
      <w:r w:rsidR="00C06FE2">
        <w:t xml:space="preserve">now addresses </w:t>
      </w:r>
      <w:r w:rsidR="001C236F">
        <w:t>t</w:t>
      </w:r>
      <w:r w:rsidR="00D64A6C">
        <w:t xml:space="preserve">he </w:t>
      </w:r>
      <w:r w:rsidR="00D64A6C" w:rsidRPr="00F8256F">
        <w:t>requirement</w:t>
      </w:r>
      <w:r w:rsidR="001C236F">
        <w:t>s</w:t>
      </w:r>
      <w:r w:rsidR="00D64A6C" w:rsidRPr="00F8256F">
        <w:t xml:space="preserve"> for the ISO to solicit proposals for reliability projects </w:t>
      </w:r>
      <w:r w:rsidR="00D64A6C">
        <w:t xml:space="preserve">with </w:t>
      </w:r>
      <w:r w:rsidR="00D64A6C" w:rsidRPr="00F8256F">
        <w:t xml:space="preserve">a greater than three-year planning need and to issue requests for proposals </w:t>
      </w:r>
      <w:r w:rsidR="00D64A6C" w:rsidRPr="00F8256F">
        <w:lastRenderedPageBreak/>
        <w:t>(RFPs)</w:t>
      </w:r>
      <w:r w:rsidR="002E71A1">
        <w:t xml:space="preserve"> for </w:t>
      </w:r>
      <w:r w:rsidR="00D64A6C" w:rsidRPr="00372C91">
        <w:t>market</w:t>
      </w:r>
      <w:r w:rsidR="00054510">
        <w:t>-</w:t>
      </w:r>
      <w:r w:rsidR="00D64A6C" w:rsidRPr="00372C91">
        <w:t xml:space="preserve">efficiency </w:t>
      </w:r>
      <w:r w:rsidR="002E71A1">
        <w:t xml:space="preserve">projects or if </w:t>
      </w:r>
      <w:r w:rsidR="00D64A6C" w:rsidRPr="00372C91">
        <w:t>federal, state, and local public policies drive transmission needs</w:t>
      </w:r>
      <w:r w:rsidRPr="00372C91">
        <w:t>.</w:t>
      </w:r>
      <w:r w:rsidR="004B5DF6" w:rsidRPr="00372C91">
        <w:rPr>
          <w:rStyle w:val="FootnoteReference"/>
        </w:rPr>
        <w:footnoteReference w:id="11"/>
      </w:r>
      <w:r w:rsidRPr="00372C91">
        <w:t xml:space="preserve"> </w:t>
      </w:r>
      <w:r w:rsidR="004B5DF6" w:rsidRPr="00372C91">
        <w:t>T</w:t>
      </w:r>
      <w:r w:rsidRPr="00372C91">
        <w:t xml:space="preserve">he Order </w:t>
      </w:r>
      <w:r w:rsidR="00A17656" w:rsidRPr="00372C91">
        <w:t>No</w:t>
      </w:r>
      <w:r w:rsidR="00063D15" w:rsidRPr="00372C91">
        <w:t>.</w:t>
      </w:r>
      <w:r w:rsidR="00A17656" w:rsidRPr="00372C91">
        <w:t xml:space="preserve"> </w:t>
      </w:r>
      <w:r w:rsidRPr="00372C91">
        <w:t xml:space="preserve">1000 </w:t>
      </w:r>
      <w:r w:rsidR="00E81720" w:rsidRPr="00372C91">
        <w:t>process for p</w:t>
      </w:r>
      <w:r w:rsidRPr="00372C91">
        <w:t xml:space="preserve">lanning for </w:t>
      </w:r>
      <w:r w:rsidR="00E81720" w:rsidRPr="00372C91">
        <w:t>p</w:t>
      </w:r>
      <w:r w:rsidRPr="00372C91">
        <w:t xml:space="preserve">ublic </w:t>
      </w:r>
      <w:r w:rsidR="00E81720" w:rsidRPr="00372C91">
        <w:t>p</w:t>
      </w:r>
      <w:r w:rsidRPr="00372C91">
        <w:t xml:space="preserve">olicy </w:t>
      </w:r>
      <w:r w:rsidR="00296CA4" w:rsidRPr="00372C91">
        <w:t>was used for the first time in 2017</w:t>
      </w:r>
      <w:r w:rsidRPr="00372C91">
        <w:t>.</w:t>
      </w:r>
    </w:p>
    <w:p w:rsidR="00F35F39" w:rsidRPr="00063D15" w:rsidRDefault="00F35F39" w:rsidP="00DA4E63">
      <w:pPr>
        <w:pStyle w:val="Heading4"/>
      </w:pPr>
      <w:r w:rsidRPr="00063D15">
        <w:t>Elective Transmission Upgrades and Market-Efficiency Transmission Upgrades</w:t>
      </w:r>
    </w:p>
    <w:p w:rsidR="005239A4" w:rsidRPr="003E7800" w:rsidRDefault="005239A4" w:rsidP="00DA4E63">
      <w:r w:rsidRPr="003E7800">
        <w:t xml:space="preserve">In </w:t>
      </w:r>
      <w:r w:rsidR="00296CA4">
        <w:t>2015</w:t>
      </w:r>
      <w:r w:rsidRPr="003E7800">
        <w:t xml:space="preserve">, the ISO improved the </w:t>
      </w:r>
      <w:r w:rsidR="000D738D">
        <w:t>i</w:t>
      </w:r>
      <w:r w:rsidRPr="003E7800">
        <w:t xml:space="preserve">nterconnection </w:t>
      </w:r>
      <w:r w:rsidR="000D738D">
        <w:t>q</w:t>
      </w:r>
      <w:r w:rsidRPr="003E7800">
        <w:t xml:space="preserve">ueue process for </w:t>
      </w:r>
      <w:r w:rsidR="000D738D">
        <w:t>e</w:t>
      </w:r>
      <w:r w:rsidRPr="003E7800">
        <w:t xml:space="preserve">lective </w:t>
      </w:r>
      <w:r w:rsidR="000D738D">
        <w:t>t</w:t>
      </w:r>
      <w:r w:rsidRPr="003E7800">
        <w:t xml:space="preserve">ransmission </w:t>
      </w:r>
      <w:r w:rsidR="000D738D">
        <w:t>u</w:t>
      </w:r>
      <w:r w:rsidRPr="003E7800">
        <w:t xml:space="preserve">pgrades (ETUs), which </w:t>
      </w:r>
      <w:r w:rsidR="000D738D">
        <w:t>m</w:t>
      </w:r>
      <w:r w:rsidRPr="003E7800">
        <w:t xml:space="preserve">arket </w:t>
      </w:r>
      <w:r w:rsidR="000D738D">
        <w:t>p</w:t>
      </w:r>
      <w:r w:rsidRPr="003E7800">
        <w:t>articipants</w:t>
      </w:r>
      <w:r w:rsidR="000D738D">
        <w:t xml:space="preserve"> fund</w:t>
      </w:r>
      <w:r w:rsidRPr="003E7800">
        <w:t>. ETUs are in various stages of development</w:t>
      </w:r>
      <w:r w:rsidR="000D738D">
        <w:t>,</w:t>
      </w:r>
      <w:r w:rsidRPr="003E7800">
        <w:t xml:space="preserve"> and their completion would improve </w:t>
      </w:r>
      <w:r w:rsidR="000D738D">
        <w:t xml:space="preserve">the </w:t>
      </w:r>
      <w:r w:rsidRPr="003E7800">
        <w:t>ISO’s ability to import power from neighboring systems or relieve congestion for the large-scale development of onshore wind resources, which are predominantly located in Maine</w:t>
      </w:r>
      <w:r w:rsidR="004D05B9">
        <w:t xml:space="preserve">. </w:t>
      </w:r>
    </w:p>
    <w:p w:rsidR="005239A4" w:rsidRPr="00423173" w:rsidRDefault="005239A4" w:rsidP="00A17656">
      <w:r>
        <w:t xml:space="preserve">To date, the ISO has not identified the need for </w:t>
      </w:r>
      <w:r w:rsidR="000D738D">
        <w:t>m</w:t>
      </w:r>
      <w:r>
        <w:t>arket</w:t>
      </w:r>
      <w:r w:rsidR="000D738D">
        <w:t>-e</w:t>
      </w:r>
      <w:r>
        <w:t xml:space="preserve">fficiency </w:t>
      </w:r>
      <w:r w:rsidR="000D738D">
        <w:t>t</w:t>
      </w:r>
      <w:r>
        <w:t xml:space="preserve">ransmission </w:t>
      </w:r>
      <w:r w:rsidR="000D738D">
        <w:t>u</w:t>
      </w:r>
      <w:r>
        <w:t>pgrades</w:t>
      </w:r>
      <w:r w:rsidR="000D738D">
        <w:t xml:space="preserve"> (METUs)</w:t>
      </w:r>
      <w:r>
        <w:t xml:space="preserve">, </w:t>
      </w:r>
      <w:r w:rsidRPr="007A4A9D">
        <w:t xml:space="preserve">primarily designed to reduce the total net </w:t>
      </w:r>
      <w:r w:rsidRPr="00423173">
        <w:t>production cost to supply the system load, because of the following:</w:t>
      </w:r>
    </w:p>
    <w:p w:rsidR="005239A4" w:rsidRPr="00423173" w:rsidRDefault="005239A4" w:rsidP="00DA4E63">
      <w:pPr>
        <w:pStyle w:val="ListParagraph"/>
        <w:numPr>
          <w:ilvl w:val="0"/>
          <w:numId w:val="27"/>
        </w:numPr>
        <w:rPr>
          <w:szCs w:val="20"/>
        </w:rPr>
      </w:pPr>
      <w:r w:rsidRPr="00423173">
        <w:rPr>
          <w:szCs w:val="20"/>
        </w:rPr>
        <w:t>Reliability transmission upgrades have resulted in</w:t>
      </w:r>
      <w:r w:rsidR="0008080E">
        <w:rPr>
          <w:szCs w:val="20"/>
        </w:rPr>
        <w:t xml:space="preserve"> significant</w:t>
      </w:r>
      <w:r w:rsidRPr="00423173">
        <w:rPr>
          <w:szCs w:val="20"/>
        </w:rPr>
        <w:t xml:space="preserve"> market-efficiency benefits, particularly when out-of-merit operating costs were reduced.</w:t>
      </w:r>
    </w:p>
    <w:p w:rsidR="005239A4" w:rsidRDefault="005239A4" w:rsidP="00DA4E63">
      <w:pPr>
        <w:pStyle w:val="ListParagraph"/>
        <w:numPr>
          <w:ilvl w:val="0"/>
          <w:numId w:val="27"/>
        </w:numPr>
        <w:rPr>
          <w:szCs w:val="20"/>
        </w:rPr>
      </w:pPr>
      <w:r w:rsidRPr="008E2AAD">
        <w:rPr>
          <w:szCs w:val="20"/>
        </w:rPr>
        <w:t>The development of economic and fast-start resources in response to the ISO’s</w:t>
      </w:r>
      <w:r w:rsidRPr="00776403">
        <w:rPr>
          <w:szCs w:val="20"/>
        </w:rPr>
        <w:t xml:space="preserve"> </w:t>
      </w:r>
      <w:r w:rsidRPr="00F8256F">
        <w:rPr>
          <w:szCs w:val="20"/>
        </w:rPr>
        <w:t xml:space="preserve">wholesale electricity markets has also helped </w:t>
      </w:r>
      <w:r w:rsidR="00296CA4" w:rsidRPr="00F8256F">
        <w:rPr>
          <w:szCs w:val="20"/>
        </w:rPr>
        <w:t xml:space="preserve">reduce </w:t>
      </w:r>
      <w:r w:rsidRPr="00F8256F">
        <w:rPr>
          <w:szCs w:val="20"/>
        </w:rPr>
        <w:t>congestion and Net Commitment-Period</w:t>
      </w:r>
      <w:r w:rsidRPr="00776403">
        <w:rPr>
          <w:szCs w:val="20"/>
        </w:rPr>
        <w:t xml:space="preserve"> </w:t>
      </w:r>
      <w:r w:rsidR="0008080E">
        <w:rPr>
          <w:szCs w:val="20"/>
        </w:rPr>
        <w:t xml:space="preserve">Compensation </w:t>
      </w:r>
      <w:r w:rsidRPr="00776403">
        <w:rPr>
          <w:szCs w:val="20"/>
        </w:rPr>
        <w:t>(NCPC).</w:t>
      </w:r>
      <w:r w:rsidRPr="00776403">
        <w:rPr>
          <w:rStyle w:val="FootnoteReference"/>
          <w:szCs w:val="20"/>
        </w:rPr>
        <w:footnoteReference w:id="12"/>
      </w:r>
    </w:p>
    <w:p w:rsidR="005239A4" w:rsidRDefault="006B37E8" w:rsidP="00A17656">
      <w:r>
        <w:t>T</w:t>
      </w:r>
      <w:r w:rsidRPr="006B37E8">
        <w:t>he system overall lacks congestion and the need for make-whole payments</w:t>
      </w:r>
      <w:r>
        <w:t>. How</w:t>
      </w:r>
      <w:r w:rsidR="00F8256F">
        <w:t>e</w:t>
      </w:r>
      <w:r>
        <w:t>ver i</w:t>
      </w:r>
      <w:r w:rsidR="005239A4">
        <w:t>n 2016, the ISO performed an economic evaluation of the potential benefits of upgrading the Keene Road Export Interface in 2020, 2025, and 2030. The needs assessment showed that increasing the capability across this interface would provide minimal savings in productions costs</w:t>
      </w:r>
      <w:r w:rsidR="005239A4" w:rsidRPr="00372C91">
        <w:t xml:space="preserve">. After discussing these findings with stakeholders, the ISO determined that the savings in production costs were not sufficient to move forward with the </w:t>
      </w:r>
      <w:r w:rsidR="006A454E" w:rsidRPr="00372C91">
        <w:t xml:space="preserve">Order No. 1000 </w:t>
      </w:r>
      <w:r w:rsidR="005239A4" w:rsidRPr="00372C91">
        <w:t>Competitive Solutions Process.</w:t>
      </w:r>
    </w:p>
    <w:p w:rsidR="005239A4" w:rsidRDefault="005239A4" w:rsidP="00DA4E63">
      <w:pPr>
        <w:pStyle w:val="Heading4"/>
      </w:pPr>
      <w:r w:rsidRPr="00D424C2">
        <w:t>Project Update</w:t>
      </w:r>
      <w:r w:rsidR="00AC180E">
        <w:t>s</w:t>
      </w:r>
    </w:p>
    <w:p w:rsidR="005239A4" w:rsidRDefault="00D64A6C" w:rsidP="005239A4">
      <w:r>
        <w:t>S</w:t>
      </w:r>
      <w:r w:rsidRPr="00EF7FFB">
        <w:t>ince 2002</w:t>
      </w:r>
      <w:r>
        <w:t xml:space="preserve">, </w:t>
      </w:r>
      <w:r w:rsidR="005239A4">
        <w:t>7</w:t>
      </w:r>
      <w:r w:rsidR="00A15180">
        <w:t>30</w:t>
      </w:r>
      <w:r w:rsidR="005239A4" w:rsidRPr="00EF7FFB">
        <w:t xml:space="preserve"> </w:t>
      </w:r>
      <w:r w:rsidR="008A47F7">
        <w:t xml:space="preserve">transmission </w:t>
      </w:r>
      <w:r w:rsidR="005239A4" w:rsidRPr="00EF7FFB">
        <w:t xml:space="preserve">project components </w:t>
      </w:r>
      <w:r w:rsidR="00AC180E">
        <w:t xml:space="preserve">have been </w:t>
      </w:r>
      <w:r w:rsidR="005239A4" w:rsidRPr="00EF7FFB">
        <w:t>placed in service across the region</w:t>
      </w:r>
      <w:r w:rsidR="008A47F7">
        <w:t>; another</w:t>
      </w:r>
      <w:r w:rsidR="005239A4">
        <w:t xml:space="preserve"> </w:t>
      </w:r>
      <w:r w:rsidR="005239A4" w:rsidRPr="00EF7FFB">
        <w:t>13</w:t>
      </w:r>
      <w:r w:rsidR="00A15180">
        <w:t>7</w:t>
      </w:r>
      <w:r w:rsidR="005239A4" w:rsidRPr="00EF7FFB">
        <w:t xml:space="preserve"> project components </w:t>
      </w:r>
      <w:r w:rsidR="00AC180E">
        <w:t xml:space="preserve">have </w:t>
      </w:r>
      <w:r w:rsidR="005239A4">
        <w:t xml:space="preserve">a status of </w:t>
      </w:r>
      <w:r w:rsidR="005239A4" w:rsidRPr="00EF7FFB">
        <w:t>planned, proposed, or under construction</w:t>
      </w:r>
      <w:r w:rsidR="005239A4">
        <w:t xml:space="preserve">. Overall, the estimated investment in New England to maintain reliability </w:t>
      </w:r>
      <w:r w:rsidR="00D8242E">
        <w:t xml:space="preserve">was </w:t>
      </w:r>
      <w:r w:rsidR="005239A4">
        <w:t>$</w:t>
      </w:r>
      <w:r w:rsidR="00D8242E">
        <w:t>8.</w:t>
      </w:r>
      <w:r w:rsidR="00A15180">
        <w:t>4</w:t>
      </w:r>
      <w:r w:rsidR="005239A4">
        <w:t xml:space="preserve"> billion </w:t>
      </w:r>
      <w:r w:rsidR="00AC180E">
        <w:t xml:space="preserve">from </w:t>
      </w:r>
      <w:r w:rsidR="005239A4">
        <w:t>2002</w:t>
      </w:r>
      <w:r w:rsidR="00AC180E">
        <w:t xml:space="preserve"> to </w:t>
      </w:r>
      <w:r w:rsidR="00A15180">
        <w:t>June</w:t>
      </w:r>
      <w:r w:rsidR="00D01839" w:rsidRPr="00250BE4">
        <w:t xml:space="preserve"> </w:t>
      </w:r>
      <w:r w:rsidR="00AC180E" w:rsidRPr="00250BE4">
        <w:t>20</w:t>
      </w:r>
      <w:r w:rsidR="00D01839" w:rsidRPr="00250BE4">
        <w:t>17</w:t>
      </w:r>
      <w:r w:rsidR="00D8242E">
        <w:t>, and another $4.03 billion is planned over the planning horizon</w:t>
      </w:r>
      <w:r w:rsidR="005239A4" w:rsidRPr="00430ABC">
        <w:t>.</w:t>
      </w:r>
      <w:r w:rsidR="005239A4">
        <w:t xml:space="preserve"> Since the publication of the </w:t>
      </w:r>
      <w:r w:rsidR="005239A4" w:rsidRPr="00DA4E63">
        <w:rPr>
          <w:i/>
        </w:rPr>
        <w:t>2015 Regional System Plan</w:t>
      </w:r>
      <w:r w:rsidR="005239A4">
        <w:t>, the following major projects have been completed or are near completion:</w:t>
      </w:r>
      <w:r w:rsidR="00AC180E">
        <w:rPr>
          <w:rStyle w:val="FootnoteReference"/>
        </w:rPr>
        <w:footnoteReference w:id="13"/>
      </w:r>
    </w:p>
    <w:p w:rsidR="005239A4" w:rsidRDefault="005239A4" w:rsidP="00DA4E63">
      <w:pPr>
        <w:pStyle w:val="ListParagraph"/>
        <w:numPr>
          <w:ilvl w:val="0"/>
          <w:numId w:val="28"/>
        </w:numPr>
      </w:pPr>
      <w:r w:rsidRPr="00021AD8">
        <w:t>The Maine Power Reliability Program (MPRP)</w:t>
      </w:r>
      <w:r>
        <w:t xml:space="preserve"> </w:t>
      </w:r>
      <w:r w:rsidRPr="00021AD8">
        <w:t xml:space="preserve">included the addition of significant new 345 kV and 115 kV transmission </w:t>
      </w:r>
      <w:r>
        <w:t>lines</w:t>
      </w:r>
      <w:r w:rsidRPr="00021AD8">
        <w:t xml:space="preserve"> and new 345 kV autotransformers at key locations in Maine.</w:t>
      </w:r>
      <w:r>
        <w:t xml:space="preserve"> The majority of MPRP is in</w:t>
      </w:r>
      <w:r w:rsidR="00936907">
        <w:t xml:space="preserve"> </w:t>
      </w:r>
      <w:r>
        <w:t>service with the exception of the 115 kV Lewiston Loop projects</w:t>
      </w:r>
      <w:r w:rsidR="00936907">
        <w:t>,</w:t>
      </w:r>
      <w:r>
        <w:t xml:space="preserve"> which are anticipated to be in</w:t>
      </w:r>
      <w:r w:rsidR="00936907">
        <w:t xml:space="preserve"> </w:t>
      </w:r>
      <w:r>
        <w:t>service by mid</w:t>
      </w:r>
      <w:r w:rsidR="00936907">
        <w:t>-</w:t>
      </w:r>
      <w:r>
        <w:t>2018.</w:t>
      </w:r>
    </w:p>
    <w:p w:rsidR="005239A4" w:rsidRPr="00603517" w:rsidRDefault="005239A4" w:rsidP="00DA4E63">
      <w:pPr>
        <w:pStyle w:val="ListParagraph"/>
        <w:numPr>
          <w:ilvl w:val="0"/>
          <w:numId w:val="28"/>
        </w:numPr>
      </w:pPr>
      <w:r>
        <w:t xml:space="preserve">The </w:t>
      </w:r>
      <w:r w:rsidRPr="00021AD8">
        <w:t>New Hampshire/Vermont 2020 Upgrades</w:t>
      </w:r>
      <w:r>
        <w:t xml:space="preserve"> </w:t>
      </w:r>
      <w:r w:rsidRPr="00021AD8">
        <w:t>included the addition of a new 345/115 kV autotransformer</w:t>
      </w:r>
      <w:r>
        <w:t>,</w:t>
      </w:r>
      <w:r w:rsidRPr="00021AD8">
        <w:t xml:space="preserve"> a new 230/115 kV autotransformer, several new 115 kV transmission lines, upgrades and rebuilds of several existing 115 kV lines, and several reactive device additions and substation upgrades.</w:t>
      </w:r>
      <w:r>
        <w:t xml:space="preserve"> </w:t>
      </w:r>
      <w:r w:rsidR="00AD4891">
        <w:t xml:space="preserve">Most </w:t>
      </w:r>
      <w:r>
        <w:t xml:space="preserve">of the </w:t>
      </w:r>
      <w:r w:rsidRPr="003E535C">
        <w:t>New Hampshire/Vermont 2020 Upgrades</w:t>
      </w:r>
      <w:r>
        <w:t xml:space="preserve"> are in</w:t>
      </w:r>
      <w:r w:rsidR="00936907">
        <w:t xml:space="preserve"> </w:t>
      </w:r>
      <w:r>
        <w:t xml:space="preserve">service with </w:t>
      </w:r>
      <w:r>
        <w:lastRenderedPageBreak/>
        <w:t>the exception of a new 115 kV line from Madbury to Portsmouth</w:t>
      </w:r>
      <w:r w:rsidR="00936907">
        <w:t>,</w:t>
      </w:r>
      <w:r>
        <w:t xml:space="preserve"> which is anticipated to be in</w:t>
      </w:r>
      <w:r w:rsidR="00936907">
        <w:t xml:space="preserve"> </w:t>
      </w:r>
      <w:r>
        <w:t>service by the end of 2018, and the addition of reactive support at the Amherst station in NH</w:t>
      </w:r>
      <w:r w:rsidR="00936907">
        <w:t>,</w:t>
      </w:r>
      <w:r>
        <w:t xml:space="preserve"> </w:t>
      </w:r>
      <w:r w:rsidRPr="00603517">
        <w:t>which is the subject of an ongoing reevaluation</w:t>
      </w:r>
      <w:r w:rsidR="00603517" w:rsidRPr="00603517">
        <w:t xml:space="preserve"> due </w:t>
      </w:r>
      <w:r w:rsidR="009C4062">
        <w:t xml:space="preserve">to </w:t>
      </w:r>
      <w:r w:rsidR="00603517" w:rsidRPr="00603517">
        <w:t>concerns with its implementation.</w:t>
      </w:r>
    </w:p>
    <w:p w:rsidR="005239A4" w:rsidRDefault="005239A4" w:rsidP="00DA4E63">
      <w:pPr>
        <w:pStyle w:val="ListParagraph"/>
        <w:numPr>
          <w:ilvl w:val="0"/>
          <w:numId w:val="28"/>
        </w:numPr>
        <w:spacing w:after="240"/>
      </w:pPr>
      <w:r w:rsidRPr="00021AD8">
        <w:t>The Interstate Reliability Project (IRP)</w:t>
      </w:r>
      <w:r>
        <w:t xml:space="preserve"> component of the New England East</w:t>
      </w:r>
      <w:r w:rsidR="00936907">
        <w:t>–</w:t>
      </w:r>
      <w:r>
        <w:t>West Solution (NEEWS) included the addition of significant 345 kV facilities in central Massachusetts, eastern Connecticut</w:t>
      </w:r>
      <w:r w:rsidR="00936907">
        <w:t>,</w:t>
      </w:r>
      <w:r>
        <w:t xml:space="preserve"> and northern Rhode Island. The IRP was placed in</w:t>
      </w:r>
      <w:r w:rsidR="00936907">
        <w:t xml:space="preserve"> </w:t>
      </w:r>
      <w:r>
        <w:t>service in December 2015.</w:t>
      </w:r>
    </w:p>
    <w:p w:rsidR="005239A4" w:rsidRDefault="005239A4" w:rsidP="005239A4">
      <w:r>
        <w:t>In addition, the ISO</w:t>
      </w:r>
      <w:r w:rsidR="00936907">
        <w:t xml:space="preserve"> </w:t>
      </w:r>
      <w:r>
        <w:t>identified projects in Southwest Connecticut, Greater Hartford Central Connecticut, Pittsfield and Greenfield, Greater Boston, and S</w:t>
      </w:r>
      <w:r w:rsidR="00936907">
        <w:t>outheast Massachusetts/Rhode Island (S</w:t>
      </w:r>
      <w:r>
        <w:t>EMA</w:t>
      </w:r>
      <w:r w:rsidR="00936907">
        <w:t>/</w:t>
      </w:r>
      <w:r>
        <w:t>RI</w:t>
      </w:r>
      <w:r w:rsidR="00936907">
        <w:t>)</w:t>
      </w:r>
      <w:r>
        <w:t xml:space="preserve"> to solve </w:t>
      </w:r>
      <w:r w:rsidRPr="006B293E">
        <w:t xml:space="preserve">system needs. The </w:t>
      </w:r>
      <w:r w:rsidR="00BA7475" w:rsidRPr="006B293E">
        <w:t xml:space="preserve">identification of </w:t>
      </w:r>
      <w:r w:rsidRPr="006B293E">
        <w:t>long-term needs of SEMA/RI ha</w:t>
      </w:r>
      <w:r w:rsidR="00BA7475" w:rsidRPr="006B293E">
        <w:t>s</w:t>
      </w:r>
      <w:r w:rsidRPr="006B293E">
        <w:t xml:space="preserve"> been initiated. These reliability</w:t>
      </w:r>
      <w:r>
        <w:t xml:space="preserve"> upgrade projects will bolster the 345 kV and 115 kV facilities of the New England transmission system. </w:t>
      </w:r>
      <w:r w:rsidR="00040E74" w:rsidRPr="00F8256F">
        <w:t xml:space="preserve">The ISO </w:t>
      </w:r>
      <w:r w:rsidRPr="00F8256F">
        <w:t xml:space="preserve">still </w:t>
      </w:r>
      <w:r w:rsidR="00040E74" w:rsidRPr="00F8256F">
        <w:t xml:space="preserve">must modify </w:t>
      </w:r>
      <w:r w:rsidRPr="00F8256F">
        <w:t>the Maine, New Hampshire, Western and Central Massachusetts, and the Eastern Connecticut area</w:t>
      </w:r>
      <w:r w:rsidR="00040E74" w:rsidRPr="00F8256F">
        <w:t xml:space="preserve"> </w:t>
      </w:r>
      <w:r w:rsidRPr="00F8256F">
        <w:t>s</w:t>
      </w:r>
      <w:r w:rsidR="00040E74" w:rsidRPr="00F8256F">
        <w:t>tudies</w:t>
      </w:r>
      <w:r w:rsidRPr="00F8256F">
        <w:t xml:space="preserve"> to</w:t>
      </w:r>
      <w:r>
        <w:t xml:space="preserve"> reflect the revised study assumptions and processes. </w:t>
      </w:r>
    </w:p>
    <w:p w:rsidR="00EF1A1F" w:rsidRPr="00637D71" w:rsidRDefault="00EF1A1F" w:rsidP="00637D71">
      <w:pPr>
        <w:pStyle w:val="Heading3"/>
      </w:pPr>
      <w:bookmarkStart w:id="44" w:name="_Toc490322996"/>
      <w:r w:rsidRPr="00637D71">
        <w:t xml:space="preserve">Interregional Planning Requirements </w:t>
      </w:r>
      <w:r w:rsidR="00074AF6">
        <w:t xml:space="preserve">and Activities </w:t>
      </w:r>
      <w:r w:rsidRPr="00637D71">
        <w:t>(</w:t>
      </w:r>
      <w:r w:rsidR="002B0664">
        <w:fldChar w:fldCharType="begin"/>
      </w:r>
      <w:r w:rsidR="002B0664">
        <w:instrText xml:space="preserve"> REF _Ref418860292 \r \h </w:instrText>
      </w:r>
      <w:r w:rsidR="002B0664">
        <w:fldChar w:fldCharType="separate"/>
      </w:r>
      <w:r w:rsidR="00314781">
        <w:t>Section 6</w:t>
      </w:r>
      <w:r w:rsidR="002B0664">
        <w:fldChar w:fldCharType="end"/>
      </w:r>
      <w:r w:rsidRPr="00637D71">
        <w:t>)</w:t>
      </w:r>
      <w:bookmarkEnd w:id="44"/>
    </w:p>
    <w:p w:rsidR="00EF1A1F" w:rsidRPr="00637D71" w:rsidRDefault="00074AF6" w:rsidP="005239A4">
      <w:pPr>
        <w:rPr>
          <w:b/>
        </w:rPr>
      </w:pPr>
      <w:r>
        <w:t xml:space="preserve">Through the </w:t>
      </w:r>
      <w:r w:rsidRPr="00637D71">
        <w:t>Northeastern ISO/RTO Planning Protocol</w:t>
      </w:r>
      <w:r>
        <w:t xml:space="preserve">, </w:t>
      </w:r>
      <w:r w:rsidRPr="00637D71">
        <w:t>ISO New England coordinates interregional studies</w:t>
      </w:r>
      <w:r>
        <w:t>, including</w:t>
      </w:r>
      <w:r w:rsidRPr="00637D71">
        <w:t xml:space="preserve"> </w:t>
      </w:r>
      <w:r>
        <w:t xml:space="preserve">interconnection queue studies, and </w:t>
      </w:r>
      <w:r w:rsidR="00EF1A1F" w:rsidRPr="00637D71">
        <w:t>satisfies interregional planning requirements under Order No. 1000.</w:t>
      </w:r>
      <w:r w:rsidR="00EF1A1F" w:rsidRPr="00637D71">
        <w:rPr>
          <w:rStyle w:val="FootnoteReference"/>
        </w:rPr>
        <w:footnoteReference w:id="14"/>
      </w:r>
      <w:r w:rsidR="00EF1A1F" w:rsidRPr="00637D71">
        <w:t xml:space="preserve"> ISO</w:t>
      </w:r>
      <w:r w:rsidR="00100433">
        <w:t xml:space="preserve"> New England</w:t>
      </w:r>
      <w:r w:rsidR="00EF1A1F" w:rsidRPr="00637D71">
        <w:t>, the New York ISO (NYISO), and PJM presented system needs to the Interregional Planning Stakeholder Advisory Committee, but the ISO/RTOs and stakeholders have not identified the need for new ties with New England.</w:t>
      </w:r>
      <w:r w:rsidR="00EF1A1F" w:rsidRPr="00637D71">
        <w:rPr>
          <w:rStyle w:val="FootnoteReference"/>
        </w:rPr>
        <w:footnoteReference w:id="15"/>
      </w:r>
      <w:r w:rsidR="00EF1A1F" w:rsidRPr="00637D71">
        <w:t xml:space="preserve"> </w:t>
      </w:r>
      <w:r w:rsidR="00637D71">
        <w:t>P</w:t>
      </w:r>
      <w:r w:rsidR="00EF1A1F" w:rsidRPr="00637D71">
        <w:t xml:space="preserve">lanning activities </w:t>
      </w:r>
      <w:r>
        <w:t xml:space="preserve">also occur </w:t>
      </w:r>
      <w:r w:rsidR="00EF1A1F" w:rsidRPr="00637D71">
        <w:t>under the NPCC, NERC, and the Eastern Interconnection Planning Collaborative (EIPC).</w:t>
      </w:r>
    </w:p>
    <w:p w:rsidR="005239A4" w:rsidRPr="00541D33" w:rsidRDefault="005239A4" w:rsidP="005239A4">
      <w:pPr>
        <w:pStyle w:val="Heading3"/>
      </w:pPr>
      <w:bookmarkStart w:id="45" w:name="_Toc490322997"/>
      <w:r w:rsidRPr="00541D33">
        <w:t>Fuel-Related Risks to System Reliability and Solutions (</w:t>
      </w:r>
      <w:r w:rsidR="002B0664">
        <w:fldChar w:fldCharType="begin"/>
      </w:r>
      <w:r w:rsidR="002B0664">
        <w:instrText xml:space="preserve"> REF _Ref418883760 \r \h </w:instrText>
      </w:r>
      <w:r w:rsidR="002B0664">
        <w:fldChar w:fldCharType="separate"/>
      </w:r>
      <w:r w:rsidR="00314781">
        <w:t>Section 7</w:t>
      </w:r>
      <w:r w:rsidR="002B0664">
        <w:fldChar w:fldCharType="end"/>
      </w:r>
      <w:r w:rsidRPr="00541D33">
        <w:t>)</w:t>
      </w:r>
      <w:bookmarkEnd w:id="45"/>
      <w:r w:rsidRPr="00541D33">
        <w:t xml:space="preserve"> </w:t>
      </w:r>
    </w:p>
    <w:p w:rsidR="00E45EBD" w:rsidRPr="00E45EBD" w:rsidRDefault="00A411E2" w:rsidP="00E45EBD">
      <w:r>
        <w:t xml:space="preserve">Although the region is projected to have sufficient resources to meet capacity requirements and enough transmission facilities to meet reliability </w:t>
      </w:r>
      <w:r w:rsidR="00EF1A1F">
        <w:t>criteria</w:t>
      </w:r>
      <w:r>
        <w:t>, fuel security remains a primary issue the region must resolve to meet its energy</w:t>
      </w:r>
      <w:r w:rsidR="00C634DE">
        <w:t>-</w:t>
      </w:r>
      <w:r>
        <w:t xml:space="preserve">supply needs. </w:t>
      </w:r>
      <w:r w:rsidR="00E54224" w:rsidRPr="00541D33">
        <w:t>T</w:t>
      </w:r>
      <w:r w:rsidR="005239A4" w:rsidRPr="00541D33">
        <w:t>he li</w:t>
      </w:r>
      <w:r w:rsidR="00E45EBD" w:rsidRPr="00541D33">
        <w:t>m</w:t>
      </w:r>
      <w:r w:rsidR="005239A4" w:rsidRPr="00541D33">
        <w:t xml:space="preserve">ited availability of the natural gas </w:t>
      </w:r>
      <w:r w:rsidR="00E54224" w:rsidRPr="00541D33">
        <w:t xml:space="preserve">transportation infrastructure to </w:t>
      </w:r>
      <w:r w:rsidR="005239A4" w:rsidRPr="00541D33">
        <w:t xml:space="preserve">supply </w:t>
      </w:r>
      <w:r w:rsidR="00E54224" w:rsidRPr="00541D33">
        <w:t xml:space="preserve">gas </w:t>
      </w:r>
      <w:r w:rsidR="005239A4" w:rsidRPr="00541D33">
        <w:t xml:space="preserve">to generating units </w:t>
      </w:r>
      <w:r w:rsidR="00E54224" w:rsidRPr="00541D33">
        <w:t xml:space="preserve">can </w:t>
      </w:r>
      <w:r w:rsidR="005239A4" w:rsidRPr="00541D33">
        <w:t>present</w:t>
      </w:r>
      <w:r w:rsidR="00E54224" w:rsidRPr="00541D33">
        <w:t xml:space="preserve"> </w:t>
      </w:r>
      <w:r w:rsidR="005239A4" w:rsidRPr="00541D33">
        <w:t>fuel</w:t>
      </w:r>
      <w:r w:rsidR="00C46DC1" w:rsidRPr="00541D33">
        <w:t>-security</w:t>
      </w:r>
      <w:r w:rsidR="005239A4" w:rsidRPr="00541D33">
        <w:t xml:space="preserve"> risks to the region</w:t>
      </w:r>
      <w:r w:rsidR="00C46DC1" w:rsidRPr="00541D33">
        <w:t xml:space="preserve">, </w:t>
      </w:r>
      <w:r w:rsidR="00D61A62" w:rsidRPr="00541D33">
        <w:t>especially during winter operating periods</w:t>
      </w:r>
      <w:r w:rsidR="00E54224" w:rsidRPr="00541D33">
        <w:t>, even as New England’s current reliance on natural gas as a primary fuel for generating units is projected to grow</w:t>
      </w:r>
      <w:r w:rsidR="00D61A62" w:rsidRPr="00541D33">
        <w:t xml:space="preserve">. </w:t>
      </w:r>
      <w:r w:rsidR="00241F92">
        <w:t>T</w:t>
      </w:r>
      <w:r w:rsidR="00D61A62" w:rsidRPr="002D30C2">
        <w:t xml:space="preserve">he ISO </w:t>
      </w:r>
      <w:r w:rsidR="005239A4" w:rsidRPr="002D30C2">
        <w:t>is assessing the extent of th</w:t>
      </w:r>
      <w:r w:rsidR="00A04E4F" w:rsidRPr="002D30C2">
        <w:t xml:space="preserve">e region’s top </w:t>
      </w:r>
      <w:r w:rsidR="005239A4" w:rsidRPr="002D30C2">
        <w:t xml:space="preserve">reliability </w:t>
      </w:r>
      <w:r w:rsidR="00A04E4F" w:rsidRPr="002D30C2">
        <w:t>risks</w:t>
      </w:r>
      <w:r w:rsidR="002D40B3" w:rsidRPr="002D30C2">
        <w:t xml:space="preserve"> </w:t>
      </w:r>
      <w:r w:rsidR="005239A4" w:rsidRPr="002D30C2">
        <w:t xml:space="preserve">and </w:t>
      </w:r>
      <w:r w:rsidR="00A04E4F" w:rsidRPr="002D30C2">
        <w:t>developing solutions</w:t>
      </w:r>
      <w:r w:rsidR="00B45EBA" w:rsidRPr="002D30C2">
        <w:t xml:space="preserve"> to </w:t>
      </w:r>
      <w:r w:rsidR="00A04E4F" w:rsidRPr="002D30C2">
        <w:t>ensur</w:t>
      </w:r>
      <w:r w:rsidR="00B45EBA" w:rsidRPr="002D30C2">
        <w:t>e</w:t>
      </w:r>
      <w:r w:rsidR="00A04E4F" w:rsidRPr="002D30C2">
        <w:t xml:space="preserve"> tha</w:t>
      </w:r>
      <w:r w:rsidR="00A04E4F" w:rsidRPr="00541D33">
        <w:t xml:space="preserve">t system reliability can be sustained during extreme cold winter </w:t>
      </w:r>
      <w:r w:rsidR="00A04E4F" w:rsidRPr="00070FA5">
        <w:t>conditions beyond</w:t>
      </w:r>
      <w:r w:rsidR="00070FA5" w:rsidRPr="00070FA5">
        <w:t xml:space="preserve"> 2018</w:t>
      </w:r>
      <w:r w:rsidR="00A04E4F" w:rsidRPr="00070FA5">
        <w:t>.</w:t>
      </w:r>
      <w:r w:rsidR="003443E7" w:rsidRPr="00070FA5">
        <w:t xml:space="preserve"> </w:t>
      </w:r>
    </w:p>
    <w:p w:rsidR="005239A4" w:rsidRPr="006F39DE" w:rsidRDefault="005239A4" w:rsidP="00DA4E63">
      <w:pPr>
        <w:pStyle w:val="Heading4"/>
      </w:pPr>
      <w:r>
        <w:t>Regional Dependence on Natural Gas as the Primary Fuel</w:t>
      </w:r>
    </w:p>
    <w:p w:rsidR="005239A4" w:rsidRPr="00C02175" w:rsidRDefault="005239A4" w:rsidP="005239A4">
      <w:r w:rsidRPr="00C02175">
        <w:t xml:space="preserve">New </w:t>
      </w:r>
      <w:r w:rsidRPr="00AA3B31">
        <w:t>England</w:t>
      </w:r>
      <w:r w:rsidRPr="00DA4E63">
        <w:t xml:space="preserve"> relies</w:t>
      </w:r>
      <w:r w:rsidRPr="00AA3B31">
        <w:t xml:space="preserve"> on</w:t>
      </w:r>
      <w:r w:rsidRPr="00C02175">
        <w:t xml:space="preserve"> natural gas as a primary fuel for generating electric energy and is decreasing its reliance on oil and coal. In 2016, the approximate percentages of the region’s generation capacity and electric energy production by fuel type were as follows:</w:t>
      </w:r>
      <w:r w:rsidR="004C524E">
        <w:rPr>
          <w:rStyle w:val="FootnoteReference"/>
        </w:rPr>
        <w:footnoteReference w:id="16"/>
      </w:r>
      <w:r>
        <w:t xml:space="preserve"> </w:t>
      </w:r>
    </w:p>
    <w:p w:rsidR="005239A4" w:rsidRPr="0082604F" w:rsidRDefault="005239A4" w:rsidP="00DA4E63">
      <w:pPr>
        <w:spacing w:after="120"/>
        <w:ind w:left="720" w:hanging="360"/>
      </w:pPr>
      <w:r w:rsidRPr="00C02175">
        <w:lastRenderedPageBreak/>
        <w:t>•</w:t>
      </w:r>
      <w:r w:rsidRPr="00C02175">
        <w:tab/>
      </w:r>
      <w:r w:rsidRPr="0082604F">
        <w:t xml:space="preserve">Natural gas: </w:t>
      </w:r>
      <w:r w:rsidR="00D01839" w:rsidRPr="0082604F">
        <w:t>44.5</w:t>
      </w:r>
      <w:r w:rsidRPr="0082604F">
        <w:t xml:space="preserve">% capacity and </w:t>
      </w:r>
      <w:r w:rsidR="00D01839" w:rsidRPr="0082604F">
        <w:t>48.</w:t>
      </w:r>
      <w:r w:rsidR="00FA2D94">
        <w:t>8</w:t>
      </w:r>
      <w:r w:rsidRPr="0082604F">
        <w:t>% electric energy</w:t>
      </w:r>
    </w:p>
    <w:p w:rsidR="005239A4" w:rsidRPr="0082604F" w:rsidRDefault="005239A4" w:rsidP="00DA4E63">
      <w:pPr>
        <w:spacing w:after="120"/>
        <w:ind w:left="720" w:hanging="360"/>
      </w:pPr>
      <w:r w:rsidRPr="0082604F">
        <w:t>•</w:t>
      </w:r>
      <w:r w:rsidRPr="0082604F">
        <w:tab/>
        <w:t xml:space="preserve">Oil: </w:t>
      </w:r>
      <w:r w:rsidR="00D01839" w:rsidRPr="0082604F">
        <w:t>21.6</w:t>
      </w:r>
      <w:r w:rsidRPr="0082604F">
        <w:t xml:space="preserve">% capacity and </w:t>
      </w:r>
      <w:r w:rsidR="00D01839" w:rsidRPr="0082604F">
        <w:t>0.9</w:t>
      </w:r>
      <w:r w:rsidRPr="0082604F">
        <w:t>% electric energy</w:t>
      </w:r>
    </w:p>
    <w:p w:rsidR="005239A4" w:rsidRPr="0082604F" w:rsidRDefault="005239A4" w:rsidP="00DA4E63">
      <w:pPr>
        <w:tabs>
          <w:tab w:val="left" w:pos="720"/>
          <w:tab w:val="left" w:pos="1440"/>
          <w:tab w:val="left" w:pos="2160"/>
          <w:tab w:val="left" w:pos="2880"/>
          <w:tab w:val="left" w:pos="3600"/>
          <w:tab w:val="left" w:pos="4320"/>
          <w:tab w:val="left" w:pos="5148"/>
        </w:tabs>
        <w:spacing w:after="120"/>
        <w:ind w:left="720" w:hanging="360"/>
      </w:pPr>
      <w:r w:rsidRPr="0082604F">
        <w:t>•</w:t>
      </w:r>
      <w:r w:rsidRPr="0082604F">
        <w:tab/>
        <w:t>Coal: 6.</w:t>
      </w:r>
      <w:r w:rsidR="00D01839" w:rsidRPr="0082604F">
        <w:t>4</w:t>
      </w:r>
      <w:r w:rsidRPr="0082604F">
        <w:t xml:space="preserve">% capacity and </w:t>
      </w:r>
      <w:r w:rsidR="00D01839" w:rsidRPr="0082604F">
        <w:t>2.4</w:t>
      </w:r>
      <w:r w:rsidRPr="0082604F">
        <w:t>% electric energy</w:t>
      </w:r>
      <w:r w:rsidRPr="0082604F">
        <w:tab/>
      </w:r>
    </w:p>
    <w:p w:rsidR="005239A4" w:rsidRPr="0082604F" w:rsidRDefault="005239A4" w:rsidP="00DA4E63">
      <w:pPr>
        <w:spacing w:after="120"/>
        <w:ind w:left="720" w:hanging="360"/>
      </w:pPr>
      <w:r w:rsidRPr="0082604F">
        <w:t>•</w:t>
      </w:r>
      <w:r w:rsidRPr="0082604F">
        <w:tab/>
        <w:t xml:space="preserve">Nuclear: </w:t>
      </w:r>
      <w:r w:rsidR="00D01839" w:rsidRPr="0082604F">
        <w:t>13.1</w:t>
      </w:r>
      <w:r w:rsidRPr="0082604F">
        <w:t xml:space="preserve">% capacity and </w:t>
      </w:r>
      <w:r w:rsidR="00D01839" w:rsidRPr="0082604F">
        <w:t>31</w:t>
      </w:r>
      <w:r w:rsidRPr="0082604F">
        <w:t>.0% electric energy</w:t>
      </w:r>
    </w:p>
    <w:p w:rsidR="005239A4" w:rsidRDefault="005239A4" w:rsidP="00DA4E63">
      <w:pPr>
        <w:ind w:left="720" w:hanging="360"/>
      </w:pPr>
      <w:r w:rsidRPr="0082604F">
        <w:t>•</w:t>
      </w:r>
      <w:r w:rsidRPr="0082604F">
        <w:tab/>
        <w:t xml:space="preserve">Hydro, pumped storage, and renewable resources: </w:t>
      </w:r>
      <w:r w:rsidR="008419D6" w:rsidRPr="0082604F">
        <w:t>14.4</w:t>
      </w:r>
      <w:r w:rsidRPr="0082604F">
        <w:t xml:space="preserve">% capacity and </w:t>
      </w:r>
      <w:r w:rsidR="008419D6" w:rsidRPr="0082604F">
        <w:t>16.9</w:t>
      </w:r>
      <w:r w:rsidRPr="0082604F">
        <w:t>% electric energy</w:t>
      </w:r>
      <w:r w:rsidRPr="00C02175">
        <w:t xml:space="preserve"> </w:t>
      </w:r>
    </w:p>
    <w:p w:rsidR="005239A4" w:rsidRPr="00C02175" w:rsidRDefault="005239A4" w:rsidP="005239A4">
      <w:r w:rsidRPr="00C02175">
        <w:t xml:space="preserve">The high regional use of natural-gas-fired generation </w:t>
      </w:r>
      <w:r w:rsidR="00D61A62">
        <w:t xml:space="preserve">reflects </w:t>
      </w:r>
      <w:r w:rsidRPr="00C02175">
        <w:t>the addition of new, efficient natural-gas-</w:t>
      </w:r>
      <w:r w:rsidRPr="00250BE4">
        <w:t>fired units over the past 1</w:t>
      </w:r>
      <w:r w:rsidR="007F1ED4" w:rsidRPr="00250BE4">
        <w:t>6</w:t>
      </w:r>
      <w:r w:rsidRPr="00250BE4">
        <w:t xml:space="preserve"> years</w:t>
      </w:r>
      <w:r w:rsidR="00E9316C" w:rsidRPr="00250BE4">
        <w:t>;</w:t>
      </w:r>
      <w:r w:rsidR="00D61A62" w:rsidRPr="00250BE4">
        <w:t xml:space="preserve"> </w:t>
      </w:r>
      <w:r w:rsidRPr="00250BE4">
        <w:t>the generally low price of natural gas</w:t>
      </w:r>
      <w:r w:rsidR="00E9316C" w:rsidRPr="00B61F81">
        <w:t>;</w:t>
      </w:r>
      <w:r w:rsidR="0034509A" w:rsidRPr="00250BE4">
        <w:t xml:space="preserve"> and the greater ease with which these </w:t>
      </w:r>
      <w:r w:rsidR="00E9316C" w:rsidRPr="00250BE4">
        <w:t xml:space="preserve">new, efficient </w:t>
      </w:r>
      <w:r w:rsidR="0034509A" w:rsidRPr="00250BE4">
        <w:t xml:space="preserve">units can comply with emissions requirements. </w:t>
      </w:r>
      <w:r w:rsidR="00D61A62" w:rsidRPr="00250BE4">
        <w:t>This change in the fuel mix</w:t>
      </w:r>
      <w:r w:rsidRPr="00250BE4">
        <w:t xml:space="preserve"> </w:t>
      </w:r>
      <w:r w:rsidR="00AA3F5C" w:rsidRPr="00250BE4">
        <w:t>reduces</w:t>
      </w:r>
      <w:r w:rsidR="00AA3F5C">
        <w:t xml:space="preserve"> the economic dispatch </w:t>
      </w:r>
      <w:r w:rsidRPr="00C02175">
        <w:t>of older, less efficient oil- and coal-fired units</w:t>
      </w:r>
      <w:r w:rsidR="00AA3F5C">
        <w:t>.</w:t>
      </w:r>
      <w:r w:rsidR="00F90DAD">
        <w:t xml:space="preserve"> </w:t>
      </w:r>
      <w:r w:rsidR="00AA3F5C">
        <w:t>T</w:t>
      </w:r>
      <w:r w:rsidRPr="00C02175">
        <w:t>he recent retirements of non-natural-gas-fired generation, including nuclear units</w:t>
      </w:r>
      <w:r w:rsidR="00AA3F5C">
        <w:t>, further increases the regional dependence on natural-gas-fired generation</w:t>
      </w:r>
      <w:r w:rsidRPr="00C02175">
        <w:t xml:space="preserve">. </w:t>
      </w:r>
    </w:p>
    <w:p w:rsidR="005239A4" w:rsidRDefault="005239A4" w:rsidP="005239A4">
      <w:r w:rsidRPr="00C02175">
        <w:t xml:space="preserve">Natural-gas-fired generation’s proportion of the system capacity mix is expected to grow </w:t>
      </w:r>
      <w:r w:rsidR="000F165E">
        <w:t xml:space="preserve">from 44.5 % in 2017 </w:t>
      </w:r>
      <w:r w:rsidRPr="00C02175">
        <w:t xml:space="preserve">to approximately </w:t>
      </w:r>
      <w:r w:rsidR="003E1393" w:rsidRPr="0082604F">
        <w:t>50.9</w:t>
      </w:r>
      <w:r w:rsidRPr="0082604F">
        <w:t>% by 20</w:t>
      </w:r>
      <w:r w:rsidR="003E1393" w:rsidRPr="0082604F">
        <w:t>20</w:t>
      </w:r>
      <w:r w:rsidRPr="0082604F">
        <w:t xml:space="preserve"> and 56.</w:t>
      </w:r>
      <w:r w:rsidR="003E1393" w:rsidRPr="0082604F">
        <w:t>0</w:t>
      </w:r>
      <w:r w:rsidRPr="0082604F">
        <w:t>% by 202</w:t>
      </w:r>
      <w:r w:rsidR="003E1393" w:rsidRPr="0082604F">
        <w:t>6</w:t>
      </w:r>
      <w:r w:rsidRPr="0082604F">
        <w:t>.</w:t>
      </w:r>
      <w:r w:rsidRPr="00C02175">
        <w:t xml:space="preserve"> </w:t>
      </w:r>
      <w:r w:rsidRPr="00071085">
        <w:t>Further retirements of coal and oil generators are expected after 20</w:t>
      </w:r>
      <w:r w:rsidR="00C50870" w:rsidRPr="00071085">
        <w:t>20</w:t>
      </w:r>
      <w:r w:rsidRPr="00071085">
        <w:t xml:space="preserve"> due to generally low natural gas prices, renewable energy additions, and pending environmental regulations.</w:t>
      </w:r>
      <w:r w:rsidRPr="00C02175">
        <w:t xml:space="preserve"> </w:t>
      </w:r>
      <w:r w:rsidR="0090664A">
        <w:t xml:space="preserve">The </w:t>
      </w:r>
      <w:r w:rsidRPr="00C02175">
        <w:t xml:space="preserve">Pilgrim nuclear plant </w:t>
      </w:r>
      <w:r w:rsidR="006A7DA6">
        <w:t xml:space="preserve">in Massachusetts </w:t>
      </w:r>
      <w:r w:rsidRPr="00C02175">
        <w:t>is scheduled for retirement in 2019</w:t>
      </w:r>
      <w:r>
        <w:t>,</w:t>
      </w:r>
      <w:r w:rsidRPr="00C02175">
        <w:t xml:space="preserve"> and uncertainty surrounds the future of 3,300 MW from the region's remaining nuclear plants. Therefore, the current situation where natural gas fuel prices typically set the marginal price for wholesale electricity is projected to continue over the planning horizon.</w:t>
      </w:r>
    </w:p>
    <w:p w:rsidR="005239A4" w:rsidRPr="00A87161" w:rsidRDefault="005239A4" w:rsidP="00DA4E63">
      <w:pPr>
        <w:pStyle w:val="Heading4"/>
      </w:pPr>
      <w:r w:rsidRPr="00A87161">
        <w:t>The Fuel</w:t>
      </w:r>
      <w:r w:rsidR="005D7796" w:rsidRPr="00A87161">
        <w:t>-</w:t>
      </w:r>
      <w:r w:rsidR="009026B8" w:rsidRPr="00A87161">
        <w:t>Security</w:t>
      </w:r>
      <w:r w:rsidRPr="00A87161">
        <w:t xml:space="preserve"> Risk</w:t>
      </w:r>
    </w:p>
    <w:p w:rsidR="005239A4" w:rsidRDefault="005239A4" w:rsidP="005239A4">
      <w:r w:rsidRPr="00C02175">
        <w:t xml:space="preserve">The region’s reliance on the natural gas fuel-delivery system, however, exposes the regional electric power system to potential reliability problems and an associated increased cost of electricity </w:t>
      </w:r>
      <w:r w:rsidRPr="003A4FBE">
        <w:t>when natural gas prices are high. This is the result of limited gas pipeline capacity in New England,</w:t>
      </w:r>
      <w:r w:rsidRPr="00C02175">
        <w:t xml:space="preserve"> largely built to serve natural gas customers other than electric power generators. Pipelines can be constrained any time of the year, but cold-weather conditions and the subsequent heavy demand for </w:t>
      </w:r>
      <w:r w:rsidRPr="00430ABC">
        <w:t>space heating fueled by natural gas can exacerbate regional fuel-</w:t>
      </w:r>
      <w:r w:rsidR="009026B8">
        <w:t>secur</w:t>
      </w:r>
      <w:r w:rsidR="006F3A2D">
        <w:t>it</w:t>
      </w:r>
      <w:r w:rsidR="009026B8">
        <w:t>y</w:t>
      </w:r>
      <w:r w:rsidRPr="00430ABC">
        <w:t xml:space="preserve"> issues when electric</w:t>
      </w:r>
      <w:r w:rsidR="006F3A2D">
        <w:t xml:space="preserve"> power</w:t>
      </w:r>
      <w:r w:rsidRPr="00430ABC">
        <w:t xml:space="preserve"> imports</w:t>
      </w:r>
      <w:r w:rsidRPr="00C02175">
        <w:t xml:space="preserve"> from neighboring regions may not be readily available. </w:t>
      </w:r>
    </w:p>
    <w:p w:rsidR="005239A4" w:rsidRPr="00C02175" w:rsidRDefault="005239A4" w:rsidP="005239A4">
      <w:r w:rsidRPr="00C02175">
        <w:t xml:space="preserve">Liquefied </w:t>
      </w:r>
      <w:r>
        <w:t>n</w:t>
      </w:r>
      <w:r w:rsidRPr="00C02175">
        <w:t xml:space="preserve">atural </w:t>
      </w:r>
      <w:r>
        <w:t>g</w:t>
      </w:r>
      <w:r w:rsidRPr="00C02175">
        <w:t xml:space="preserve">as deliveries are also subject to risk. LNG is a global commodity imported to New England by ocean tanker, so it must be contracted for months in advance—an option most generators elect not to pursue. The arrivals of any spot LNG cargoes depend on global prices and vary </w:t>
      </w:r>
      <w:r w:rsidR="009F28D7">
        <w:t xml:space="preserve">monthly and </w:t>
      </w:r>
      <w:r w:rsidRPr="00C02175">
        <w:t xml:space="preserve">from year to year; they also supply the entire Northeast and beyond—not just New England generators. </w:t>
      </w:r>
      <w:r w:rsidR="005D7796">
        <w:t>Additionally, s</w:t>
      </w:r>
      <w:r w:rsidRPr="00C02175">
        <w:t>evere weather could prevent the timely arrival of ships. Constraints on the regional gas supply (pipeline gas plus LNG) also result in higher spot prices for the limited amounts of natural gas capacity available to generators within the New England region</w:t>
      </w:r>
      <w:r>
        <w:t xml:space="preserve">. </w:t>
      </w:r>
    </w:p>
    <w:p w:rsidR="005239A4" w:rsidRDefault="005239A4" w:rsidP="005239A4">
      <w:r w:rsidRPr="00C02175">
        <w:t>Renewable resources play a valuable, but limited, role in offsetting natural gas consumption</w:t>
      </w:r>
      <w:r w:rsidR="003040EE">
        <w:t xml:space="preserve"> because they </w:t>
      </w:r>
      <w:r w:rsidRPr="00C02175">
        <w:t xml:space="preserve">may not be available during extreme weather conditions or be able to respond to emergencies on the system. </w:t>
      </w:r>
      <w:r w:rsidRPr="00AD6B62">
        <w:t>Although renewable resources can offset some natural gas use during the winter, their contribution is limited under adverse winter weather conditions. Wind speeds are variable, creating a need for natural-gas-fired generators that can ramp up and down quickly to balance fluctuations in supply or demand</w:t>
      </w:r>
      <w:r>
        <w:t xml:space="preserve">. </w:t>
      </w:r>
      <w:r w:rsidR="00E9316C">
        <w:t xml:space="preserve">Most </w:t>
      </w:r>
      <w:r>
        <w:t>PV</w:t>
      </w:r>
      <w:r w:rsidRPr="00AD6B62">
        <w:t xml:space="preserve"> </w:t>
      </w:r>
      <w:r w:rsidR="00155DD5">
        <w:t xml:space="preserve">is </w:t>
      </w:r>
      <w:r w:rsidR="006A7DA6">
        <w:t>neither visible to nor</w:t>
      </w:r>
      <w:r w:rsidRPr="00AD6B62">
        <w:t xml:space="preserve"> dispatchable by the ISO</w:t>
      </w:r>
      <w:r w:rsidR="00E9316C">
        <w:t xml:space="preserve">, and none of it </w:t>
      </w:r>
      <w:r w:rsidRPr="00AD6B62">
        <w:t>help</w:t>
      </w:r>
      <w:r w:rsidR="00E9316C">
        <w:t>s</w:t>
      </w:r>
      <w:r w:rsidRPr="00AD6B62">
        <w:t xml:space="preserve"> meet peak winter demand, which happens after the sun has set. Moreover, winter conditions, with snowfall and fewer daylight hours, also dampen solar output.</w:t>
      </w:r>
      <w:r>
        <w:t xml:space="preserve"> </w:t>
      </w:r>
    </w:p>
    <w:p w:rsidR="005239A4" w:rsidRDefault="005239A4" w:rsidP="005239A4">
      <w:r w:rsidRPr="003A4FBE">
        <w:lastRenderedPageBreak/>
        <w:t>Environmental permitting for dual-fuel capability is becoming more difficult</w:t>
      </w:r>
      <w:r w:rsidR="00CD14F1">
        <w:t>,</w:t>
      </w:r>
      <w:r w:rsidRPr="003A4FBE">
        <w:t xml:space="preserve"> and when allowed, the </w:t>
      </w:r>
      <w:r w:rsidR="009F28D7" w:rsidRPr="003A4FBE">
        <w:t>energy production</w:t>
      </w:r>
      <w:r w:rsidRPr="003A4FBE">
        <w:t xml:space="preserve"> for </w:t>
      </w:r>
      <w:r w:rsidR="008924E6" w:rsidRPr="003A4FBE">
        <w:t xml:space="preserve">back-up </w:t>
      </w:r>
      <w:r w:rsidRPr="003A4FBE">
        <w:t xml:space="preserve">oil </w:t>
      </w:r>
      <w:r w:rsidR="008924E6" w:rsidRPr="003A4FBE">
        <w:t xml:space="preserve">units </w:t>
      </w:r>
      <w:r w:rsidR="003609C3" w:rsidRPr="003A4FBE">
        <w:t>is</w:t>
      </w:r>
      <w:r w:rsidRPr="003A4FBE">
        <w:t xml:space="preserve"> restricted, as is the case for the existing oil fleet. </w:t>
      </w:r>
      <w:r w:rsidR="003040EE" w:rsidRPr="003A4FBE">
        <w:t>Limited access</w:t>
      </w:r>
      <w:r w:rsidR="003040EE">
        <w:t xml:space="preserve"> </w:t>
      </w:r>
      <w:r w:rsidR="003040EE" w:rsidRPr="003206FC">
        <w:t xml:space="preserve">to dual-fuel capability across the region </w:t>
      </w:r>
      <w:r w:rsidR="003206FC" w:rsidRPr="003206FC">
        <w:t xml:space="preserve">exacerbates </w:t>
      </w:r>
      <w:r w:rsidR="003040EE" w:rsidRPr="003206FC">
        <w:t>progress on fuel-</w:t>
      </w:r>
      <w:r w:rsidR="003040EE">
        <w:t>security issues.</w:t>
      </w:r>
    </w:p>
    <w:p w:rsidR="005239A4" w:rsidRPr="00EF40B0" w:rsidRDefault="005239A4" w:rsidP="00DA4E63">
      <w:pPr>
        <w:pStyle w:val="Heading4"/>
      </w:pPr>
      <w:r w:rsidRPr="00EF40B0">
        <w:t xml:space="preserve">Working </w:t>
      </w:r>
      <w:r w:rsidR="00040E74" w:rsidRPr="00EF40B0">
        <w:t>t</w:t>
      </w:r>
      <w:r w:rsidRPr="00EF40B0">
        <w:t>oward a Solution</w:t>
      </w:r>
    </w:p>
    <w:p w:rsidR="00A04E4F" w:rsidRDefault="008C67B2" w:rsidP="0049171C">
      <w:r w:rsidRPr="00CE115D">
        <w:t xml:space="preserve">For </w:t>
      </w:r>
      <w:r w:rsidR="005C3795" w:rsidRPr="00CE115D">
        <w:t xml:space="preserve">well </w:t>
      </w:r>
      <w:r w:rsidRPr="00CE115D">
        <w:t>over a decade</w:t>
      </w:r>
      <w:r w:rsidR="00BF51D4" w:rsidRPr="00CE115D">
        <w:t xml:space="preserve">, the ISO has worked closely with the natural gas </w:t>
      </w:r>
      <w:r w:rsidR="00E7011C" w:rsidRPr="00CE115D">
        <w:t xml:space="preserve">industry </w:t>
      </w:r>
      <w:r w:rsidR="00BF51D4" w:rsidRPr="00CE115D">
        <w:t xml:space="preserve">to </w:t>
      </w:r>
      <w:r w:rsidR="00E7011C" w:rsidRPr="00CE115D">
        <w:t xml:space="preserve">improve coordination between </w:t>
      </w:r>
      <w:r w:rsidR="00BF51D4" w:rsidRPr="00CE115D">
        <w:t xml:space="preserve">gas and </w:t>
      </w:r>
      <w:r w:rsidRPr="00CE115D">
        <w:t>electricity</w:t>
      </w:r>
      <w:r w:rsidR="00BF51D4" w:rsidRPr="00CE115D">
        <w:t xml:space="preserve"> sector</w:t>
      </w:r>
      <w:r w:rsidR="00E7011C" w:rsidRPr="00CE115D">
        <w:t xml:space="preserve"> </w:t>
      </w:r>
      <w:r w:rsidR="00BF51D4" w:rsidRPr="00CE115D">
        <w:t xml:space="preserve">operations </w:t>
      </w:r>
      <w:r w:rsidRPr="00CE115D">
        <w:t xml:space="preserve">and communications. </w:t>
      </w:r>
      <w:r w:rsidR="00BF51D4" w:rsidRPr="00CE115D">
        <w:t>More</w:t>
      </w:r>
      <w:r w:rsidR="005239A4" w:rsidRPr="00CE115D">
        <w:t xml:space="preserve"> recent</w:t>
      </w:r>
      <w:r w:rsidR="00BF51D4" w:rsidRPr="00CE115D">
        <w:t>ly</w:t>
      </w:r>
      <w:r w:rsidR="005239A4" w:rsidRPr="00CE115D">
        <w:t xml:space="preserve">, the ISO’s Winter Reliability Program has provided incentives to a small number of generators to secure contracts for winter deliveries of </w:t>
      </w:r>
      <w:r w:rsidR="008D42EF" w:rsidRPr="00CE115D">
        <w:t xml:space="preserve">oil and </w:t>
      </w:r>
      <w:r w:rsidR="005239A4" w:rsidRPr="00CE115D">
        <w:t>LNG</w:t>
      </w:r>
      <w:r w:rsidR="001E0E0B" w:rsidRPr="00CE115D">
        <w:t>, although</w:t>
      </w:r>
      <w:r w:rsidR="00746314" w:rsidRPr="00CE115D">
        <w:t xml:space="preserve"> t</w:t>
      </w:r>
      <w:r w:rsidR="00A04E4F" w:rsidRPr="00CE115D">
        <w:t xml:space="preserve">he 2017/2018 </w:t>
      </w:r>
      <w:r w:rsidR="00746314" w:rsidRPr="00CE115D">
        <w:t>p</w:t>
      </w:r>
      <w:r w:rsidR="00A04E4F" w:rsidRPr="00CE115D">
        <w:t xml:space="preserve">rogram will be the last because </w:t>
      </w:r>
      <w:r w:rsidR="00A04E4F" w:rsidRPr="00D06C91">
        <w:t>the pay-for-performance market design (see Section</w:t>
      </w:r>
      <w:r w:rsidR="00D06C91" w:rsidRPr="00D06C91">
        <w:t xml:space="preserve"> </w:t>
      </w:r>
      <w:r w:rsidR="00D06C91" w:rsidRPr="00D06C91">
        <w:fldChar w:fldCharType="begin"/>
      </w:r>
      <w:r w:rsidR="00D06C91" w:rsidRPr="00D06C91">
        <w:instrText xml:space="preserve"> REF _Ref487018898 \r \h </w:instrText>
      </w:r>
      <w:r w:rsidR="00D06C91">
        <w:instrText xml:space="preserve"> \* MERGEFORMAT </w:instrText>
      </w:r>
      <w:r w:rsidR="00D06C91" w:rsidRPr="00D06C91">
        <w:fldChar w:fldCharType="separate"/>
      </w:r>
      <w:r w:rsidR="00314781">
        <w:t>10.3.3.2</w:t>
      </w:r>
      <w:r w:rsidR="00D06C91" w:rsidRPr="00D06C91">
        <w:fldChar w:fldCharType="end"/>
      </w:r>
      <w:r w:rsidR="00A04E4F" w:rsidRPr="00D06C91">
        <w:t>) becomes effective in June 2018.</w:t>
      </w:r>
      <w:r w:rsidR="001E0E0B" w:rsidRPr="00D06C91">
        <w:t xml:space="preserve"> </w:t>
      </w:r>
      <w:r w:rsidR="005C3795" w:rsidRPr="00D06C91">
        <w:t>The types of</w:t>
      </w:r>
      <w:r w:rsidR="005C3795" w:rsidRPr="00CE115D">
        <w:t xml:space="preserve"> </w:t>
      </w:r>
      <w:r w:rsidR="000F165E" w:rsidRPr="00CE115D">
        <w:t xml:space="preserve">fuel </w:t>
      </w:r>
      <w:r w:rsidR="005C3795" w:rsidRPr="00CE115D">
        <w:t>contracts</w:t>
      </w:r>
      <w:r w:rsidR="005C3795">
        <w:t xml:space="preserve"> used in the </w:t>
      </w:r>
      <w:r w:rsidR="006E4B80">
        <w:t>Winter Reliability Programs</w:t>
      </w:r>
      <w:r w:rsidR="005C3795" w:rsidRPr="005C3795">
        <w:t xml:space="preserve">, as well as the building of on-site </w:t>
      </w:r>
      <w:r w:rsidR="00924B6B">
        <w:t xml:space="preserve">LNG or </w:t>
      </w:r>
      <w:r w:rsidR="005C3795" w:rsidRPr="005C3795">
        <w:t>compressed natural gas (CNG) storage, are among the options generato</w:t>
      </w:r>
      <w:r w:rsidR="006E4B80">
        <w:t>rs could invest in</w:t>
      </w:r>
      <w:r w:rsidR="005C3795" w:rsidRPr="005C3795">
        <w:t xml:space="preserve"> to satisfy upcoming performance requirements in the capacity market. </w:t>
      </w:r>
      <w:r w:rsidR="006E4B80">
        <w:t>Th</w:t>
      </w:r>
      <w:r w:rsidR="00A04E4F" w:rsidRPr="00AC52BF">
        <w:t>e greater development of renewable resources, energy efficiency, imports from neighboring regions, and continued investment in gas-efficiency measures are also part of the solution.</w:t>
      </w:r>
    </w:p>
    <w:p w:rsidR="005239A4" w:rsidRPr="00C02175" w:rsidRDefault="005239A4" w:rsidP="0049171C">
      <w:r>
        <w:t>The r</w:t>
      </w:r>
      <w:r w:rsidRPr="00C02175">
        <w:t xml:space="preserve">ecent </w:t>
      </w:r>
      <w:r w:rsidR="008D42EF">
        <w:t>expansion</w:t>
      </w:r>
      <w:r w:rsidRPr="00C02175">
        <w:t xml:space="preserve"> of natural gas pipelines ar</w:t>
      </w:r>
      <w:r w:rsidR="006E4B80">
        <w:t>e</w:t>
      </w:r>
      <w:r w:rsidRPr="00C02175">
        <w:t xml:space="preserve"> meant to serve </w:t>
      </w:r>
      <w:r w:rsidR="005D7796">
        <w:t xml:space="preserve">local distribution company </w:t>
      </w:r>
      <w:r w:rsidR="005D7796" w:rsidRPr="005D7796">
        <w:t>(</w:t>
      </w:r>
      <w:r w:rsidRPr="00DA4E63">
        <w:t>LDC</w:t>
      </w:r>
      <w:r w:rsidR="005D7796" w:rsidRPr="005D7796">
        <w:t>)</w:t>
      </w:r>
      <w:r w:rsidRPr="00C02175">
        <w:t xml:space="preserve"> loads but also some</w:t>
      </w:r>
      <w:r>
        <w:t>what</w:t>
      </w:r>
      <w:r w:rsidRPr="00C02175">
        <w:t xml:space="preserve"> help the electric </w:t>
      </w:r>
      <w:r>
        <w:t xml:space="preserve">power </w:t>
      </w:r>
      <w:r w:rsidRPr="00C02175">
        <w:t>sector</w:t>
      </w:r>
      <w:r>
        <w:t xml:space="preserve">. </w:t>
      </w:r>
      <w:r w:rsidRPr="00C02175">
        <w:t xml:space="preserve">Spectra Energy put </w:t>
      </w:r>
      <w:r w:rsidR="00CD14F1">
        <w:t xml:space="preserve">most </w:t>
      </w:r>
      <w:r w:rsidRPr="00C02175">
        <w:t xml:space="preserve">of the AIM project (245,000 </w:t>
      </w:r>
      <w:r w:rsidR="00F26FCA">
        <w:t>dekatherms/day [</w:t>
      </w:r>
      <w:r w:rsidRPr="00C02175">
        <w:t>Dth/d</w:t>
      </w:r>
      <w:r w:rsidR="00F26FCA">
        <w:t>]</w:t>
      </w:r>
      <w:r w:rsidRPr="00C02175">
        <w:t>) into service on November 1, 2016, and subsequently put the final piece (the Hudson River crossing</w:t>
      </w:r>
      <w:r>
        <w:t>, which</w:t>
      </w:r>
      <w:r w:rsidRPr="00C02175">
        <w:t xml:space="preserve"> increased the total capability to New England </w:t>
      </w:r>
      <w:r w:rsidR="008D42EF">
        <w:t>by</w:t>
      </w:r>
      <w:r w:rsidRPr="00C02175">
        <w:t xml:space="preserve"> 342,000 Dth/d) into service on January 7, 2017.</w:t>
      </w:r>
      <w:r w:rsidR="00E318CA">
        <w:rPr>
          <w:rStyle w:val="FootnoteReference"/>
        </w:rPr>
        <w:footnoteReference w:id="17"/>
      </w:r>
      <w:r w:rsidRPr="00C02175">
        <w:t xml:space="preserve"> The Connecticut Expansion project (72,000 Dth/d) on the Tennessee Pipeline is planning for commercial </w:t>
      </w:r>
      <w:r w:rsidRPr="00250BE4">
        <w:t xml:space="preserve">operation by late </w:t>
      </w:r>
      <w:r w:rsidRPr="00070FA5">
        <w:t>2017</w:t>
      </w:r>
      <w:r w:rsidR="00EC22C9" w:rsidRPr="00070FA5">
        <w:t>, and the Atlantic Bridge project is expected to be in service no earlier than late 2017</w:t>
      </w:r>
      <w:r w:rsidRPr="00070FA5">
        <w:t>. The realization of o</w:t>
      </w:r>
      <w:r w:rsidRPr="00250BE4">
        <w:t xml:space="preserve">ther pipelines in various stages of </w:t>
      </w:r>
      <w:r w:rsidR="004F6EE0" w:rsidRPr="00250BE4">
        <w:t xml:space="preserve">planning and siting </w:t>
      </w:r>
      <w:r w:rsidR="008924E6" w:rsidRPr="00250BE4">
        <w:t>seems unlikely</w:t>
      </w:r>
      <w:r w:rsidRPr="00250BE4">
        <w:t xml:space="preserve">, </w:t>
      </w:r>
      <w:r w:rsidR="008924E6" w:rsidRPr="00250BE4">
        <w:t xml:space="preserve">although </w:t>
      </w:r>
      <w:r w:rsidRPr="00250BE4">
        <w:t>their development would improve the availability of natural gas to generating units.</w:t>
      </w:r>
      <w:r>
        <w:t xml:space="preserve"> </w:t>
      </w:r>
    </w:p>
    <w:p w:rsidR="005239A4" w:rsidRDefault="00AC52BF" w:rsidP="0049171C">
      <w:r w:rsidRPr="00541D33">
        <w:t>T</w:t>
      </w:r>
      <w:r w:rsidR="00895580" w:rsidRPr="00541D33">
        <w:t xml:space="preserve">he </w:t>
      </w:r>
      <w:r w:rsidRPr="00541D33">
        <w:t xml:space="preserve">ISO is conducting a </w:t>
      </w:r>
      <w:r w:rsidR="00895580" w:rsidRPr="00541D33">
        <w:t>fuel-security study</w:t>
      </w:r>
      <w:r w:rsidRPr="00541D33">
        <w:t xml:space="preserve"> in 2017 to </w:t>
      </w:r>
      <w:r w:rsidR="00895580" w:rsidRPr="00541D33">
        <w:t>examin</w:t>
      </w:r>
      <w:r w:rsidRPr="00541D33">
        <w:t xml:space="preserve">e </w:t>
      </w:r>
      <w:r w:rsidR="00895580" w:rsidRPr="00541D33">
        <w:t>how anticipated generating resource and fuel-mix combinations in the 2025 timeframe could impact reliable winter operations of the power system.</w:t>
      </w:r>
      <w:r w:rsidR="00895580" w:rsidRPr="00541D33">
        <w:rPr>
          <w:vertAlign w:val="superscript"/>
        </w:rPr>
        <w:footnoteReference w:id="18"/>
      </w:r>
      <w:r w:rsidR="00895580" w:rsidRPr="00541D33">
        <w:t xml:space="preserve"> The ISO will present the results of the analysis during the fourth quarter of 2017</w:t>
      </w:r>
      <w:r w:rsidR="00E7011C" w:rsidRPr="00541D33">
        <w:t xml:space="preserve"> </w:t>
      </w:r>
      <w:r w:rsidRPr="00541D33">
        <w:t>and will work with stakeholders to identify any needs for market or operational changes.</w:t>
      </w:r>
      <w:r w:rsidR="00A04E4F">
        <w:t xml:space="preserve"> </w:t>
      </w:r>
    </w:p>
    <w:p w:rsidR="005239A4" w:rsidRPr="007774C6" w:rsidRDefault="005239A4" w:rsidP="005239A4">
      <w:pPr>
        <w:pStyle w:val="Heading3"/>
      </w:pPr>
      <w:bookmarkStart w:id="46" w:name="_Toc490322998"/>
      <w:r w:rsidRPr="007774C6">
        <w:t>Existing and Pending Environmental Regulations, Emissions Analyses, and Other Studies (</w:t>
      </w:r>
      <w:r w:rsidR="002B0664">
        <w:fldChar w:fldCharType="begin"/>
      </w:r>
      <w:r w:rsidR="002B0664">
        <w:instrText xml:space="preserve"> REF _Ref418883784 \r \h </w:instrText>
      </w:r>
      <w:r w:rsidR="002B0664">
        <w:fldChar w:fldCharType="separate"/>
      </w:r>
      <w:r w:rsidR="00314781">
        <w:t>Section 8</w:t>
      </w:r>
      <w:r w:rsidR="002B0664">
        <w:fldChar w:fldCharType="end"/>
      </w:r>
      <w:r w:rsidRPr="007774C6">
        <w:t>)</w:t>
      </w:r>
      <w:bookmarkEnd w:id="46"/>
    </w:p>
    <w:p w:rsidR="005239A4" w:rsidRPr="0020374A" w:rsidRDefault="005239A4" w:rsidP="005239A4">
      <w:r w:rsidRPr="0020374A">
        <w:t xml:space="preserve">Federal air, water, endangered species, and greenhouse gas standards could affect the economic </w:t>
      </w:r>
      <w:r w:rsidRPr="003E4436">
        <w:t>performance of nuclear, renewable, and fossil-fired (coal, oil, and natural gas) generators by imposing</w:t>
      </w:r>
      <w:r w:rsidRPr="0020374A">
        <w:t xml:space="preserve"> operational constraints and additional capital costs for environmental controls. Other state and regional air, water, and carbon </w:t>
      </w:r>
      <w:r w:rsidR="00361142">
        <w:t>dioxide (CO</w:t>
      </w:r>
      <w:r w:rsidR="00361142" w:rsidRPr="00361142">
        <w:rPr>
          <w:vertAlign w:val="subscript"/>
        </w:rPr>
        <w:t>2</w:t>
      </w:r>
      <w:r w:rsidR="00361142">
        <w:t xml:space="preserve">) </w:t>
      </w:r>
      <w:r w:rsidRPr="0020374A">
        <w:t>standards could require certain generators to minimize adverse environmental impacts, such as to reduce emissions, through the extended operation of pollution control devices or reduced electric energy production. Various elements of the power system are also subject to state, regional, federal, and international environmental land-use, permitting, and siting regulations, many of which have protracted review periods that can complicate or delay planning, development, or the implementation of proposed transmission and generation improvements.</w:t>
      </w:r>
      <w:r w:rsidR="00C0118D">
        <w:t xml:space="preserve"> </w:t>
      </w:r>
    </w:p>
    <w:p w:rsidR="005239A4" w:rsidRPr="0020374A" w:rsidRDefault="005239A4" w:rsidP="005239A4">
      <w:r w:rsidRPr="0020374A">
        <w:t xml:space="preserve">The ISO </w:t>
      </w:r>
      <w:r>
        <w:t>continues</w:t>
      </w:r>
      <w:r w:rsidRPr="0020374A">
        <w:t xml:space="preserve"> assessing the potential impact of existing and proposed US Environmental Protection Agency (EPA) and state regulations on the operation of existing fossil steam units and other types of </w:t>
      </w:r>
      <w:r w:rsidRPr="0020374A">
        <w:lastRenderedPageBreak/>
        <w:t xml:space="preserve">generation in the region. </w:t>
      </w:r>
      <w:r w:rsidR="00C0118D">
        <w:t>S</w:t>
      </w:r>
      <w:r>
        <w:t xml:space="preserve">everal regulations are currently subject to </w:t>
      </w:r>
      <w:r w:rsidR="00C0118D">
        <w:t xml:space="preserve">delay and </w:t>
      </w:r>
      <w:r>
        <w:t>change,</w:t>
      </w:r>
      <w:r w:rsidR="00C0118D">
        <w:t xml:space="preserve"> especially those by EPA</w:t>
      </w:r>
      <w:r w:rsidR="004D05B9">
        <w:t xml:space="preserve">. </w:t>
      </w:r>
      <w:r w:rsidR="00C0118D">
        <w:t>A</w:t>
      </w:r>
      <w:r>
        <w:t>ffected</w:t>
      </w:r>
      <w:r w:rsidRPr="0020374A">
        <w:t xml:space="preserve"> capacity</w:t>
      </w:r>
      <w:r w:rsidR="00C0118D">
        <w:t>, however,</w:t>
      </w:r>
      <w:r>
        <w:t xml:space="preserve"> will likely </w:t>
      </w:r>
      <w:r w:rsidRPr="0020374A">
        <w:t>face compliance or retirement decisions later this decade</w:t>
      </w:r>
      <w:r w:rsidR="00A07B60">
        <w:t>,</w:t>
      </w:r>
      <w:r w:rsidRPr="0020374A">
        <w:t xml:space="preserve"> extending into the early part of the next decade. </w:t>
      </w:r>
      <w:r>
        <w:t xml:space="preserve">Many regional and state environmental regulations are likely to have a greater potential impact on generating units than national requirements. </w:t>
      </w:r>
      <w:r w:rsidRPr="0020374A">
        <w:t xml:space="preserve">The </w:t>
      </w:r>
      <w:r w:rsidR="00F067B8">
        <w:t xml:space="preserve">ISO will </w:t>
      </w:r>
      <w:r w:rsidR="00F067B8" w:rsidRPr="00F8256F">
        <w:t xml:space="preserve">update stakeholders on the </w:t>
      </w:r>
      <w:r w:rsidR="00A07B60" w:rsidRPr="00F8256F">
        <w:t xml:space="preserve">status of existing and pending regulations, as follows, as well as the </w:t>
      </w:r>
      <w:r w:rsidRPr="00F8256F">
        <w:t xml:space="preserve">amounts of capacity affected by </w:t>
      </w:r>
      <w:r w:rsidR="00A07B60" w:rsidRPr="001913A8">
        <w:t xml:space="preserve">these </w:t>
      </w:r>
      <w:r w:rsidRPr="00F8256F">
        <w:t>regulations:</w:t>
      </w:r>
      <w:r w:rsidRPr="0020374A">
        <w:t xml:space="preserve"> </w:t>
      </w:r>
    </w:p>
    <w:p w:rsidR="005239A4" w:rsidRPr="0020374A" w:rsidRDefault="005239A4" w:rsidP="00DA4E63">
      <w:pPr>
        <w:spacing w:after="120"/>
        <w:ind w:left="720" w:hanging="360"/>
      </w:pPr>
      <w:r w:rsidRPr="0020374A">
        <w:t>•</w:t>
      </w:r>
      <w:r w:rsidRPr="0020374A">
        <w:tab/>
      </w:r>
      <w:r w:rsidR="00F067B8">
        <w:t>E</w:t>
      </w:r>
      <w:r w:rsidRPr="0020374A">
        <w:t>xisting fossil and nuclear capacity in New England may need to modify their cooling water intake structures for mitigating impingement.</w:t>
      </w:r>
    </w:p>
    <w:p w:rsidR="005239A4" w:rsidRPr="0020374A" w:rsidRDefault="005239A4" w:rsidP="00DA4E63">
      <w:pPr>
        <w:spacing w:after="120"/>
        <w:ind w:left="720" w:hanging="360"/>
      </w:pPr>
      <w:r w:rsidRPr="0020374A">
        <w:t>•</w:t>
      </w:r>
      <w:r w:rsidRPr="0020374A">
        <w:tab/>
        <w:t xml:space="preserve">Effluent Limitation Guidelines under the </w:t>
      </w:r>
      <w:r w:rsidRPr="00DA4E63">
        <w:rPr>
          <w:i/>
        </w:rPr>
        <w:t>Clean Water Act</w:t>
      </w:r>
      <w:r w:rsidRPr="0020374A">
        <w:t xml:space="preserve"> (CWA) could affect</w:t>
      </w:r>
      <w:r w:rsidR="00F067B8">
        <w:t xml:space="preserve"> steam generators</w:t>
      </w:r>
      <w:r w:rsidR="0011730B">
        <w:t>.</w:t>
      </w:r>
    </w:p>
    <w:p w:rsidR="005239A4" w:rsidRPr="0020374A" w:rsidRDefault="005239A4" w:rsidP="00DA4E63">
      <w:pPr>
        <w:spacing w:after="120"/>
        <w:ind w:left="720" w:hanging="360"/>
      </w:pPr>
      <w:r w:rsidRPr="0020374A">
        <w:t>•</w:t>
      </w:r>
      <w:r w:rsidRPr="0020374A">
        <w:tab/>
        <w:t>EPA</w:t>
      </w:r>
      <w:r w:rsidR="00F067B8">
        <w:t>’s</w:t>
      </w:r>
      <w:r w:rsidRPr="0020374A">
        <w:t xml:space="preserve"> more stringent ozone standard and implementation regulations on fine particulate matter could require operational changes and potential pollution control retrofits </w:t>
      </w:r>
      <w:r>
        <w:t>at</w:t>
      </w:r>
      <w:r w:rsidRPr="0020374A">
        <w:t xml:space="preserve"> </w:t>
      </w:r>
      <w:r w:rsidR="000C1616">
        <w:t xml:space="preserve">several </w:t>
      </w:r>
      <w:r w:rsidRPr="0020374A">
        <w:t>fossil-fueled generators across New England.</w:t>
      </w:r>
      <w:r w:rsidR="0011730B">
        <w:rPr>
          <w:rStyle w:val="FootnoteReference"/>
        </w:rPr>
        <w:footnoteReference w:id="19"/>
      </w:r>
      <w:r w:rsidRPr="0020374A">
        <w:t xml:space="preserve"> </w:t>
      </w:r>
    </w:p>
    <w:p w:rsidR="005239A4" w:rsidRPr="0020374A" w:rsidRDefault="005239A4" w:rsidP="00DA4E63">
      <w:pPr>
        <w:spacing w:after="120"/>
        <w:ind w:left="720" w:hanging="360"/>
      </w:pPr>
      <w:r w:rsidRPr="0020374A">
        <w:t>•</w:t>
      </w:r>
      <w:r w:rsidRPr="0020374A">
        <w:tab/>
      </w:r>
      <w:r>
        <w:t>T</w:t>
      </w:r>
      <w:r w:rsidRPr="0020374A">
        <w:t xml:space="preserve">he </w:t>
      </w:r>
      <w:r>
        <w:t xml:space="preserve">remaining </w:t>
      </w:r>
      <w:r w:rsidRPr="0020374A">
        <w:t xml:space="preserve">coal- and </w:t>
      </w:r>
      <w:r>
        <w:t xml:space="preserve">residual </w:t>
      </w:r>
      <w:r w:rsidRPr="0020374A">
        <w:t xml:space="preserve">oil-fired generators </w:t>
      </w:r>
      <w:r>
        <w:t xml:space="preserve">subject to </w:t>
      </w:r>
      <w:r w:rsidRPr="0020374A">
        <w:t>the Mercury and Air Toxics Standards</w:t>
      </w:r>
      <w:r w:rsidR="00F067B8">
        <w:t xml:space="preserve"> can</w:t>
      </w:r>
      <w:r>
        <w:t xml:space="preserve"> comply </w:t>
      </w:r>
      <w:r w:rsidR="008621C9">
        <w:t xml:space="preserve">by </w:t>
      </w:r>
      <w:r>
        <w:t>us</w:t>
      </w:r>
      <w:r w:rsidR="008621C9">
        <w:t>ing</w:t>
      </w:r>
      <w:r>
        <w:t xml:space="preserve"> air toxic pollution controls or low</w:t>
      </w:r>
      <w:r w:rsidR="0011730B">
        <w:t>-</w:t>
      </w:r>
      <w:r>
        <w:t>capacity</w:t>
      </w:r>
      <w:r w:rsidR="0011730B">
        <w:t>-</w:t>
      </w:r>
      <w:r>
        <w:t>factor exemptions</w:t>
      </w:r>
      <w:r w:rsidRPr="0020374A">
        <w:t>.</w:t>
      </w:r>
      <w:r w:rsidR="0011730B">
        <w:rPr>
          <w:rStyle w:val="FootnoteReference"/>
        </w:rPr>
        <w:footnoteReference w:id="20"/>
      </w:r>
      <w:r w:rsidRPr="0020374A">
        <w:t xml:space="preserve"> </w:t>
      </w:r>
    </w:p>
    <w:p w:rsidR="006E4B80" w:rsidRPr="0020374A" w:rsidRDefault="005239A4" w:rsidP="003D7E66">
      <w:pPr>
        <w:ind w:left="720" w:hanging="360"/>
      </w:pPr>
      <w:r w:rsidRPr="0020374A">
        <w:t>•</w:t>
      </w:r>
      <w:r w:rsidRPr="0020374A">
        <w:tab/>
      </w:r>
      <w:r>
        <w:t xml:space="preserve">Regardless of the outcome </w:t>
      </w:r>
      <w:r w:rsidR="0011730B">
        <w:t>of</w:t>
      </w:r>
      <w:r w:rsidRPr="0020374A">
        <w:t xml:space="preserve"> the Clean Power Plan</w:t>
      </w:r>
      <w:r>
        <w:t xml:space="preserve"> and other federal greenhouse gas requirements, fossil</w:t>
      </w:r>
      <w:r w:rsidR="008924E6">
        <w:t>-fueled</w:t>
      </w:r>
      <w:r>
        <w:t xml:space="preserve"> generators in the region remain subject to the</w:t>
      </w:r>
      <w:r w:rsidRPr="0020374A">
        <w:t xml:space="preserve"> Regional Greenhouse Gas Initiative</w:t>
      </w:r>
      <w:r>
        <w:t xml:space="preserve"> and individual state carbon reduction requirements</w:t>
      </w:r>
      <w:r w:rsidR="003D7E66">
        <w:t xml:space="preserve">, such as the Massachusetts </w:t>
      </w:r>
      <w:r w:rsidR="003D7E66" w:rsidRPr="001E0E0B">
        <w:rPr>
          <w:i/>
        </w:rPr>
        <w:t>Global Warming Solutions Act</w:t>
      </w:r>
      <w:r w:rsidR="003D7E66" w:rsidRPr="001E0E0B">
        <w:t>.</w:t>
      </w:r>
      <w:r w:rsidR="0011730B" w:rsidRPr="001E0E0B">
        <w:rPr>
          <w:rStyle w:val="FootnoteReference"/>
        </w:rPr>
        <w:footnoteReference w:id="21"/>
      </w:r>
      <w:r w:rsidRPr="0020374A">
        <w:t xml:space="preserve"> </w:t>
      </w:r>
    </w:p>
    <w:p w:rsidR="00EA422E" w:rsidRPr="00D82F2A" w:rsidRDefault="00430882" w:rsidP="005239A4">
      <w:r w:rsidRPr="00387034">
        <w:t>As the result of a court decision, Massachusetts issue</w:t>
      </w:r>
      <w:r w:rsidR="003F1E87" w:rsidRPr="00387034">
        <w:t>d</w:t>
      </w:r>
      <w:r w:rsidRPr="00387034">
        <w:t xml:space="preserve"> a final environmental regulation under the </w:t>
      </w:r>
      <w:r w:rsidRPr="00387034">
        <w:rPr>
          <w:i/>
        </w:rPr>
        <w:t>Global Warming Solutions Act</w:t>
      </w:r>
      <w:r w:rsidRPr="00387034">
        <w:t xml:space="preserve"> in August 2017.</w:t>
      </w:r>
      <w:r w:rsidR="003F1E87" w:rsidRPr="00387034">
        <w:rPr>
          <w:rStyle w:val="FootnoteReference"/>
        </w:rPr>
        <w:footnoteReference w:id="22"/>
      </w:r>
      <w:r w:rsidR="003F1E87" w:rsidRPr="00387034">
        <w:t xml:space="preserve"> </w:t>
      </w:r>
      <w:r w:rsidRPr="00387034">
        <w:t>As part of the state decision-making process, the ISO filed comments requesting that Massachusetts account for market and reliability considerations in its final</w:t>
      </w:r>
      <w:r w:rsidRPr="007C23B0">
        <w:t xml:space="preserve"> decision.</w:t>
      </w:r>
      <w:r w:rsidRPr="007C23B0">
        <w:rPr>
          <w:rStyle w:val="FootnoteReference"/>
        </w:rPr>
        <w:footnoteReference w:id="23"/>
      </w:r>
    </w:p>
    <w:p w:rsidR="005239A4" w:rsidRDefault="005239A4" w:rsidP="005239A4">
      <w:r w:rsidRPr="0020374A">
        <w:t xml:space="preserve">The ISO has calculated historical systemwide emissions for several years. </w:t>
      </w:r>
      <w:r>
        <w:t>From 2014 to 2015, t</w:t>
      </w:r>
      <w:r w:rsidRPr="00C30FD8">
        <w:t xml:space="preserve">otal </w:t>
      </w:r>
      <w:r w:rsidR="00361142">
        <w:t>nitrogen oxide (</w:t>
      </w:r>
      <w:r w:rsidR="00A07B60" w:rsidRPr="00C30FD8">
        <w:t>NO</w:t>
      </w:r>
      <w:r w:rsidR="00A07B60">
        <w:rPr>
          <w:vertAlign w:val="subscript"/>
        </w:rPr>
        <w:t>X</w:t>
      </w:r>
      <w:r w:rsidR="00361142">
        <w:t>)</w:t>
      </w:r>
      <w:r w:rsidR="00A07B60" w:rsidRPr="00C30FD8">
        <w:t xml:space="preserve"> </w:t>
      </w:r>
      <w:r w:rsidRPr="00C30FD8">
        <w:t xml:space="preserve">system emissions </w:t>
      </w:r>
      <w:r>
        <w:t>decreased by 8%</w:t>
      </w:r>
      <w:r w:rsidR="0011730B">
        <w:t>,</w:t>
      </w:r>
      <w:r>
        <w:t xml:space="preserve"> and </w:t>
      </w:r>
      <w:r w:rsidR="00361142">
        <w:t>sulfur dioxide (</w:t>
      </w:r>
      <w:r w:rsidRPr="00C30FD8">
        <w:t>SO</w:t>
      </w:r>
      <w:r w:rsidRPr="00C30FD8">
        <w:rPr>
          <w:vertAlign w:val="subscript"/>
        </w:rPr>
        <w:t>2</w:t>
      </w:r>
      <w:r w:rsidR="00361142">
        <w:t>)</w:t>
      </w:r>
      <w:r>
        <w:t xml:space="preserve"> system emissions </w:t>
      </w:r>
      <w:r>
        <w:lastRenderedPageBreak/>
        <w:t>decreased 22%</w:t>
      </w:r>
      <w:r w:rsidR="00C87390">
        <w:t>,</w:t>
      </w:r>
      <w:r w:rsidR="006B7C0D">
        <w:t xml:space="preserve"> primarily as </w:t>
      </w:r>
      <w:r w:rsidR="00C87390">
        <w:t xml:space="preserve">a </w:t>
      </w:r>
      <w:r w:rsidR="006B7C0D">
        <w:t xml:space="preserve">result </w:t>
      </w:r>
      <w:r w:rsidR="006B7C0D" w:rsidRPr="000B4A84">
        <w:t xml:space="preserve">of the </w:t>
      </w:r>
      <w:r w:rsidR="00C87390" w:rsidRPr="000B4A84">
        <w:t xml:space="preserve">23% </w:t>
      </w:r>
      <w:r w:rsidR="006B7C0D" w:rsidRPr="000B4A84">
        <w:t>reduction of coal</w:t>
      </w:r>
      <w:r w:rsidR="00C87390" w:rsidRPr="000B4A84">
        <w:t>-</w:t>
      </w:r>
      <w:r w:rsidR="006B7C0D" w:rsidRPr="000B4A84">
        <w:t>fired generation in 2015</w:t>
      </w:r>
      <w:r w:rsidR="00775AAF" w:rsidRPr="000B4A84">
        <w:t>.</w:t>
      </w:r>
      <w:r w:rsidR="00C87390" w:rsidRPr="000B4A84">
        <w:rPr>
          <w:rStyle w:val="FootnoteReference"/>
        </w:rPr>
        <w:footnoteReference w:id="24"/>
      </w:r>
      <w:r w:rsidR="006B7C0D" w:rsidRPr="000B4A84">
        <w:t xml:space="preserve"> </w:t>
      </w:r>
      <w:r w:rsidRPr="000B4A84">
        <w:t>CO</w:t>
      </w:r>
      <w:r w:rsidRPr="000B4A84">
        <w:rPr>
          <w:vertAlign w:val="subscript"/>
        </w:rPr>
        <w:t>2</w:t>
      </w:r>
      <w:r w:rsidRPr="000B4A84">
        <w:t xml:space="preserve"> system emissions increased 3%</w:t>
      </w:r>
      <w:r w:rsidR="00964C3C">
        <w:t>,</w:t>
      </w:r>
      <w:r w:rsidR="00C87390" w:rsidRPr="000B4A84">
        <w:t xml:space="preserve"> </w:t>
      </w:r>
      <w:r w:rsidR="000B4A84" w:rsidRPr="000B4A84">
        <w:t xml:space="preserve">primarily </w:t>
      </w:r>
      <w:r w:rsidR="006B7C0D" w:rsidRPr="000B4A84">
        <w:t>because</w:t>
      </w:r>
      <w:r w:rsidR="00C87390" w:rsidRPr="000B4A84">
        <w:t xml:space="preserve"> Vermont Yankee Nuclear Power Station retired in December 2014, decreasing </w:t>
      </w:r>
      <w:r w:rsidR="0011730B" w:rsidRPr="000B4A84">
        <w:t xml:space="preserve">the </w:t>
      </w:r>
      <w:r w:rsidRPr="000B4A84">
        <w:t xml:space="preserve">production from nonemitting generators </w:t>
      </w:r>
      <w:r w:rsidR="00C87390" w:rsidRPr="000B4A84">
        <w:t xml:space="preserve">by 15% </w:t>
      </w:r>
      <w:r w:rsidRPr="000B4A84">
        <w:t>in 2015</w:t>
      </w:r>
      <w:r w:rsidR="000B4A84" w:rsidRPr="000B4A84">
        <w:t>.</w:t>
      </w:r>
      <w:r w:rsidRPr="000B4A84">
        <w:t xml:space="preserve"> </w:t>
      </w:r>
      <w:r w:rsidR="00A07B60" w:rsidRPr="000B4A84">
        <w:t>E</w:t>
      </w:r>
      <w:r w:rsidRPr="000B4A84">
        <w:t>mitting generators, largely those fueled by natural gas, which increased production by 12%</w:t>
      </w:r>
      <w:r w:rsidR="00A07B60" w:rsidRPr="000B4A84">
        <w:t>, filled the resulting energy gap</w:t>
      </w:r>
      <w:r w:rsidRPr="000B4A84">
        <w:t xml:space="preserve">. </w:t>
      </w:r>
      <w:r w:rsidR="001311EB" w:rsidRPr="000B4A84">
        <w:t>A</w:t>
      </w:r>
      <w:r w:rsidR="008E3892" w:rsidRPr="000B4A84">
        <w:t>l</w:t>
      </w:r>
      <w:r w:rsidRPr="000B4A84">
        <w:t>so</w:t>
      </w:r>
      <w:r w:rsidR="001311EB" w:rsidRPr="000B4A84">
        <w:t>,</w:t>
      </w:r>
      <w:r w:rsidRPr="000B4A84">
        <w:t xml:space="preserve"> oil-fired generation </w:t>
      </w:r>
      <w:r w:rsidR="001311EB" w:rsidRPr="000B4A84">
        <w:t xml:space="preserve">increased 10% </w:t>
      </w:r>
      <w:r w:rsidRPr="000B4A84">
        <w:t>in 2015</w:t>
      </w:r>
      <w:r w:rsidR="00964C3C">
        <w:t xml:space="preserve"> because of </w:t>
      </w:r>
      <w:r w:rsidR="00CA57D3" w:rsidRPr="00CA57D3">
        <w:t>relatively high natural gas prices and constraints on natural gas availability for power generation during the winter months</w:t>
      </w:r>
      <w:r w:rsidR="005B146A">
        <w:t xml:space="preserve">. </w:t>
      </w:r>
    </w:p>
    <w:p w:rsidR="00BF51D4" w:rsidRDefault="008E1AEA" w:rsidP="005239A4">
      <w:r w:rsidRPr="000E7021">
        <w:t>T</w:t>
      </w:r>
      <w:r w:rsidR="005239A4" w:rsidRPr="000E7021">
        <w:t>he remaining system fuel mix and individual state environmental regulations</w:t>
      </w:r>
      <w:r w:rsidRPr="000E7021">
        <w:t xml:space="preserve"> affecting unit operations will have an impact on future emission levels</w:t>
      </w:r>
      <w:r w:rsidR="005239A4" w:rsidRPr="000E7021">
        <w:t>.</w:t>
      </w:r>
      <w:r w:rsidR="005239A4">
        <w:t xml:space="preserve"> Additional nonfossil retirements, or delays in </w:t>
      </w:r>
      <w:r>
        <w:t xml:space="preserve">the </w:t>
      </w:r>
      <w:r w:rsidR="005239A4">
        <w:t>development of low</w:t>
      </w:r>
      <w:r w:rsidR="0011730B">
        <w:t>-</w:t>
      </w:r>
      <w:r w:rsidR="005239A4">
        <w:t>emitting resources</w:t>
      </w:r>
      <w:r w:rsidR="0011730B">
        <w:t>,</w:t>
      </w:r>
      <w:r w:rsidR="005239A4">
        <w:t xml:space="preserve"> could require </w:t>
      </w:r>
      <w:r>
        <w:t xml:space="preserve">a </w:t>
      </w:r>
      <w:r w:rsidR="005239A4">
        <w:t>greater reliance on older, less-efficient fossil generators that generate higher emissions</w:t>
      </w:r>
      <w:r w:rsidR="005239A4" w:rsidRPr="0020374A">
        <w:t xml:space="preserve">. </w:t>
      </w:r>
      <w:r>
        <w:t>Alternately, i</w:t>
      </w:r>
      <w:r w:rsidR="005239A4">
        <w:t xml:space="preserve">ncreased reliance on generators firing </w:t>
      </w:r>
      <w:r w:rsidR="005239A4" w:rsidRPr="0020374A">
        <w:t>lower-emitting fuels,</w:t>
      </w:r>
      <w:r w:rsidR="005239A4">
        <w:t xml:space="preserve"> continued investment in</w:t>
      </w:r>
      <w:r w:rsidR="005239A4" w:rsidRPr="0020374A">
        <w:t xml:space="preserve"> energy efficiency, </w:t>
      </w:r>
      <w:r w:rsidR="005239A4">
        <w:t xml:space="preserve">and </w:t>
      </w:r>
      <w:r w:rsidR="0011730B">
        <w:t xml:space="preserve">the </w:t>
      </w:r>
      <w:r w:rsidR="005239A4">
        <w:t xml:space="preserve">development </w:t>
      </w:r>
      <w:r w:rsidR="0011730B">
        <w:t xml:space="preserve">of </w:t>
      </w:r>
      <w:r w:rsidR="005239A4" w:rsidRPr="0020374A">
        <w:t xml:space="preserve">wind and photovoltaic resources, </w:t>
      </w:r>
      <w:r w:rsidR="005239A4">
        <w:t xml:space="preserve">along with </w:t>
      </w:r>
      <w:r w:rsidR="003D42BB">
        <w:t>more</w:t>
      </w:r>
      <w:r w:rsidR="00155DD5">
        <w:t xml:space="preserve"> </w:t>
      </w:r>
      <w:r w:rsidR="005239A4" w:rsidRPr="0020374A">
        <w:t>imports from neighboring systems</w:t>
      </w:r>
      <w:r w:rsidR="0011730B">
        <w:t xml:space="preserve"> </w:t>
      </w:r>
      <w:r w:rsidR="005239A4" w:rsidRPr="0020374A">
        <w:t xml:space="preserve">and </w:t>
      </w:r>
      <w:r w:rsidR="003D42BB">
        <w:t xml:space="preserve">the </w:t>
      </w:r>
      <w:r w:rsidR="00155DD5">
        <w:t xml:space="preserve">use of </w:t>
      </w:r>
      <w:r w:rsidR="00233218">
        <w:t xml:space="preserve">new </w:t>
      </w:r>
      <w:r w:rsidR="005239A4" w:rsidRPr="0020374A">
        <w:t>environmental controls could decrea</w:t>
      </w:r>
      <w:r w:rsidR="005239A4">
        <w:t>se regional emissions further. Increase</w:t>
      </w:r>
      <w:r w:rsidR="001311EB">
        <w:t>d</w:t>
      </w:r>
      <w:r w:rsidR="005239A4">
        <w:t xml:space="preserve"> </w:t>
      </w:r>
      <w:r w:rsidR="00BF51D4">
        <w:t xml:space="preserve">access to </w:t>
      </w:r>
      <w:r w:rsidR="005239A4">
        <w:t xml:space="preserve">natural gas would </w:t>
      </w:r>
      <w:r w:rsidR="00BF51D4">
        <w:t xml:space="preserve">also </w:t>
      </w:r>
      <w:r w:rsidR="005239A4">
        <w:t xml:space="preserve">reduce </w:t>
      </w:r>
      <w:r w:rsidR="00BF51D4">
        <w:t xml:space="preserve">regional </w:t>
      </w:r>
      <w:r w:rsidR="005239A4">
        <w:t xml:space="preserve">emissions </w:t>
      </w:r>
      <w:r w:rsidR="00BF51D4">
        <w:t xml:space="preserve">due to decreased reliance on oil-and coal-burning generation, </w:t>
      </w:r>
      <w:r w:rsidR="005239A4">
        <w:t xml:space="preserve">but </w:t>
      </w:r>
      <w:r w:rsidR="00BF51D4">
        <w:t xml:space="preserve">this would </w:t>
      </w:r>
      <w:r w:rsidR="005239A4">
        <w:t>require</w:t>
      </w:r>
      <w:r w:rsidR="00BF51D4">
        <w:t xml:space="preserve"> </w:t>
      </w:r>
      <w:r w:rsidR="00BF51D4" w:rsidRPr="00055AEF">
        <w:t xml:space="preserve">improved delivery of </w:t>
      </w:r>
      <w:r w:rsidR="005239A4" w:rsidRPr="00055AEF">
        <w:t>natural gas to New England’s generating resources</w:t>
      </w:r>
      <w:r w:rsidR="00BF51D4" w:rsidRPr="00055AEF">
        <w:t xml:space="preserve"> when the natural gas pipelines are </w:t>
      </w:r>
      <w:r w:rsidR="00BF51D4" w:rsidRPr="007C23B0">
        <w:t>constrained</w:t>
      </w:r>
      <w:r w:rsidR="00EC22C9" w:rsidRPr="007C23B0">
        <w:t xml:space="preserve"> or increased</w:t>
      </w:r>
      <w:r w:rsidR="00EC22C9" w:rsidRPr="00055AEF">
        <w:t xml:space="preserve"> LNG storage</w:t>
      </w:r>
      <w:r w:rsidR="005239A4" w:rsidRPr="00055AEF">
        <w:t>.</w:t>
      </w:r>
      <w:r w:rsidR="005239A4">
        <w:t xml:space="preserve"> </w:t>
      </w:r>
    </w:p>
    <w:p w:rsidR="005239A4" w:rsidRDefault="00233218" w:rsidP="005239A4">
      <w:r w:rsidRPr="00293F21">
        <w:t xml:space="preserve">Difficulties in obtaining </w:t>
      </w:r>
      <w:r w:rsidR="002568C5" w:rsidRPr="00293F21">
        <w:t>s</w:t>
      </w:r>
      <w:r w:rsidR="005239A4" w:rsidRPr="00293F21">
        <w:t>iting and permitting approvals present risks to infrastructure development. As a</w:t>
      </w:r>
      <w:r w:rsidR="005239A4">
        <w:t xml:space="preserve"> result, the region may be subject to construction delays of natural gas pipelines, generation resources, and transmission facilities</w:t>
      </w:r>
      <w:r w:rsidR="00361142">
        <w:t>.</w:t>
      </w:r>
      <w:r w:rsidR="00227A3A">
        <w:t xml:space="preserve"> </w:t>
      </w:r>
    </w:p>
    <w:p w:rsidR="005239A4" w:rsidRDefault="005239A4" w:rsidP="005239A4">
      <w:r w:rsidRPr="0020374A">
        <w:t>FERC is pursuing an</w:t>
      </w:r>
      <w:r w:rsidR="000C1616">
        <w:t xml:space="preserve"> </w:t>
      </w:r>
      <w:r w:rsidR="00DC65AA">
        <w:t>ongoing</w:t>
      </w:r>
      <w:r w:rsidRPr="0020374A">
        <w:t xml:space="preserve"> integrated relicensing review for several hydroelectric projects located on the Connecticut River. In addition to energy production, relicensing must take into consideration the requirements for protecting fish and wildlife and the recommendations of state and federal fish and wildlife agencies. The ISO is </w:t>
      </w:r>
      <w:r w:rsidRPr="00D7381E">
        <w:t xml:space="preserve">monitoring such proceedings to assess the impacts of operational </w:t>
      </w:r>
      <w:r w:rsidRPr="00387034">
        <w:t>restrictions, including the</w:t>
      </w:r>
      <w:r w:rsidR="0009611E" w:rsidRPr="00387034">
        <w:t xml:space="preserve"> need for minimum flows </w:t>
      </w:r>
      <w:r w:rsidR="00EC22C9" w:rsidRPr="00387034">
        <w:t xml:space="preserve">without bypass turbines </w:t>
      </w:r>
      <w:r w:rsidR="0009611E" w:rsidRPr="00387034">
        <w:t>or spillage (i.e., water allowed to pass through the dam without generating electricity)</w:t>
      </w:r>
      <w:r w:rsidR="00D7381E" w:rsidRPr="00387034">
        <w:t xml:space="preserve"> </w:t>
      </w:r>
      <w:r w:rsidRPr="00387034">
        <w:t>on the ability of hydroelectric</w:t>
      </w:r>
      <w:r w:rsidRPr="0020374A">
        <w:t xml:space="preserve"> generators to offer regulation and reserve services.</w:t>
      </w:r>
      <w:r>
        <w:t xml:space="preserve"> </w:t>
      </w:r>
    </w:p>
    <w:p w:rsidR="005239A4" w:rsidRDefault="005239A4" w:rsidP="005239A4">
      <w:pPr>
        <w:pStyle w:val="Heading3"/>
      </w:pPr>
      <w:bookmarkStart w:id="47" w:name="_Toc490322999"/>
      <w:r w:rsidRPr="0065380F">
        <w:t>Integrating Renewable and Other Resources to Meet System Needs (</w:t>
      </w:r>
      <w:r w:rsidR="002B0664">
        <w:fldChar w:fldCharType="begin"/>
      </w:r>
      <w:r w:rsidR="002B0664">
        <w:instrText xml:space="preserve"> REF _Ref418883814 \r \h </w:instrText>
      </w:r>
      <w:r w:rsidR="002B0664">
        <w:fldChar w:fldCharType="separate"/>
      </w:r>
      <w:r w:rsidR="00314781">
        <w:t>Section 9</w:t>
      </w:r>
      <w:r w:rsidR="002B0664">
        <w:fldChar w:fldCharType="end"/>
      </w:r>
      <w:r w:rsidRPr="0065380F">
        <w:t>)</w:t>
      </w:r>
      <w:bookmarkEnd w:id="47"/>
    </w:p>
    <w:p w:rsidR="003C6FAF" w:rsidRPr="00957ED1" w:rsidRDefault="005239A4" w:rsidP="003C6FAF">
      <w:r w:rsidRPr="00957ED1">
        <w:t xml:space="preserve">Regional and industry efforts are assisting in integrating renewable resources, demand resources, and smart grid technologies into the system. </w:t>
      </w:r>
      <w:r w:rsidR="003C6FAF" w:rsidRPr="00957ED1">
        <w:t>The region boasts the first offshore wind resource in the</w:t>
      </w:r>
      <w:r w:rsidR="003C6FAF" w:rsidRPr="00734BE4">
        <w:t xml:space="preserve"> Western Hemisphere</w:t>
      </w:r>
      <w:r w:rsidR="003C6FAF">
        <w:t xml:space="preserve">; the </w:t>
      </w:r>
      <w:r w:rsidR="003C6FAF" w:rsidRPr="00734BE4">
        <w:t xml:space="preserve">Deepwater facility </w:t>
      </w:r>
      <w:r w:rsidR="003C6FAF">
        <w:t>located near Block Island consists of five</w:t>
      </w:r>
      <w:r w:rsidR="003C6FAF" w:rsidRPr="00734BE4">
        <w:t xml:space="preserve"> </w:t>
      </w:r>
      <w:r w:rsidR="003C6FAF">
        <w:t xml:space="preserve">wind </w:t>
      </w:r>
      <w:r w:rsidR="003C6FAF" w:rsidRPr="00734BE4">
        <w:t>turbines</w:t>
      </w:r>
      <w:r w:rsidR="003C6FAF">
        <w:t xml:space="preserve"> with </w:t>
      </w:r>
      <w:r w:rsidR="003C6FAF" w:rsidRPr="00957ED1">
        <w:t>a total nameplate capacity of 30 MW.</w:t>
      </w:r>
    </w:p>
    <w:p w:rsidR="008D5DE2" w:rsidRDefault="008D5DE2" w:rsidP="005239A4">
      <w:r w:rsidRPr="00957ED1">
        <w:t xml:space="preserve">The implementation of wind forecasting and dispatch have improved the operation of the system, although </w:t>
      </w:r>
      <w:r w:rsidR="00F77D01">
        <w:t xml:space="preserve">more work is needed </w:t>
      </w:r>
      <w:r w:rsidR="006A7DA6">
        <w:t>to</w:t>
      </w:r>
      <w:r w:rsidR="00F77D01">
        <w:t xml:space="preserve"> </w:t>
      </w:r>
      <w:r w:rsidRPr="00957ED1">
        <w:t>incorporat</w:t>
      </w:r>
      <w:r w:rsidR="006A7DA6">
        <w:t>e</w:t>
      </w:r>
      <w:r w:rsidRPr="00957ED1">
        <w:t xml:space="preserve"> the effects of PV in short-term load-forecasting tools </w:t>
      </w:r>
      <w:r w:rsidR="00F77D01">
        <w:t xml:space="preserve">used by </w:t>
      </w:r>
      <w:r w:rsidRPr="00957ED1">
        <w:t xml:space="preserve">system operators and </w:t>
      </w:r>
      <w:r w:rsidR="006A7DA6">
        <w:t>to</w:t>
      </w:r>
      <w:r w:rsidR="00F77D01">
        <w:t xml:space="preserve"> </w:t>
      </w:r>
      <w:r w:rsidRPr="00957ED1">
        <w:t xml:space="preserve">fully address the potential reliability </w:t>
      </w:r>
      <w:r w:rsidR="00377090">
        <w:t xml:space="preserve">impacts of </w:t>
      </w:r>
      <w:r w:rsidRPr="00957ED1">
        <w:t xml:space="preserve">growing penetrations of PV. The addition of a clustering </w:t>
      </w:r>
      <w:r w:rsidR="0080602B">
        <w:t xml:space="preserve">approach in </w:t>
      </w:r>
      <w:r w:rsidRPr="00957ED1">
        <w:t>the ISO’s interconnection procedures will facilitate the addition of new resources, including wind generation projects.</w:t>
      </w:r>
    </w:p>
    <w:p w:rsidR="008D5DE2" w:rsidRDefault="008D5DE2" w:rsidP="005239A4">
      <w:r w:rsidRPr="008D5DE2">
        <w:t xml:space="preserve">The ISO actively participates </w:t>
      </w:r>
      <w:r w:rsidR="003C6FAF">
        <w:t xml:space="preserve">in </w:t>
      </w:r>
      <w:r>
        <w:t>developing</w:t>
      </w:r>
      <w:r w:rsidR="003C6FAF">
        <w:t xml:space="preserve"> </w:t>
      </w:r>
      <w:r>
        <w:t>industry standard</w:t>
      </w:r>
      <w:r w:rsidR="003C6FAF">
        <w:t xml:space="preserve">s, including </w:t>
      </w:r>
      <w:r w:rsidRPr="008D5DE2">
        <w:t>IEEE 1547</w:t>
      </w:r>
      <w:r>
        <w:t>—</w:t>
      </w:r>
      <w:r w:rsidRPr="008D5DE2">
        <w:rPr>
          <w:i/>
        </w:rPr>
        <w:t>Standard for the Interconnection of Distributed Resources with Electric Power Systems</w:t>
      </w:r>
      <w:r w:rsidRPr="008D5DE2">
        <w:t xml:space="preserve">, </w:t>
      </w:r>
      <w:r w:rsidR="003C6FAF">
        <w:t xml:space="preserve">which </w:t>
      </w:r>
      <w:r w:rsidRPr="008D5DE2">
        <w:t>ensure</w:t>
      </w:r>
      <w:r w:rsidR="003C6FAF">
        <w:t>s</w:t>
      </w:r>
      <w:r w:rsidRPr="008D5DE2">
        <w:t xml:space="preserve"> that increased </w:t>
      </w:r>
      <w:r w:rsidRPr="008D5DE2">
        <w:lastRenderedPageBreak/>
        <w:t>amounts of PV can be reliably and economically interconnected to the system.</w:t>
      </w:r>
      <w:r w:rsidRPr="008D5DE2">
        <w:rPr>
          <w:vertAlign w:val="superscript"/>
        </w:rPr>
        <w:footnoteReference w:id="25"/>
      </w:r>
      <w:r w:rsidR="003C6FAF">
        <w:t xml:space="preserve"> </w:t>
      </w:r>
      <w:r>
        <w:t>Th</w:t>
      </w:r>
      <w:r w:rsidR="003C6FAF">
        <w:t xml:space="preserve">is </w:t>
      </w:r>
      <w:r w:rsidRPr="008D5DE2">
        <w:t>standard</w:t>
      </w:r>
      <w:r w:rsidR="003C6FAF">
        <w:t xml:space="preserve"> </w:t>
      </w:r>
      <w:r w:rsidRPr="008D5DE2">
        <w:t>is being revised</w:t>
      </w:r>
      <w:r w:rsidR="003C6FAF">
        <w:t xml:space="preserve"> and is </w:t>
      </w:r>
      <w:r w:rsidRPr="008D5DE2">
        <w:t xml:space="preserve">scheduled for completion by December 2017. </w:t>
      </w:r>
    </w:p>
    <w:p w:rsidR="00957ED1" w:rsidRDefault="003C6FAF" w:rsidP="005239A4">
      <w:r>
        <w:t xml:space="preserve">The ISO also has </w:t>
      </w:r>
      <w:r w:rsidR="005239A4" w:rsidRPr="00B578A6">
        <w:t>conducted studies that inform developers and policymakers on how renewable resource development affects system performance.</w:t>
      </w:r>
      <w:r w:rsidR="005239A4">
        <w:t xml:space="preserve"> </w:t>
      </w:r>
      <w:r w:rsidR="008D5DE2" w:rsidRPr="008D5DE2">
        <w:t xml:space="preserve">The </w:t>
      </w:r>
      <w:r w:rsidR="008D5DE2" w:rsidRPr="008D5DE2">
        <w:rPr>
          <w:i/>
        </w:rPr>
        <w:t>Strategic Transmission Analysis: Wind Integration Study</w:t>
      </w:r>
      <w:r w:rsidR="00293F21">
        <w:t>, for example,</w:t>
      </w:r>
      <w:r w:rsidR="008D5DE2" w:rsidRPr="008D5DE2">
        <w:t xml:space="preserve"> developed conceptual additions to the transmission system that would enable onshore wind resources to reliably serve load.</w:t>
      </w:r>
      <w:r w:rsidR="008D5DE2" w:rsidRPr="008D5DE2">
        <w:rPr>
          <w:vertAlign w:val="superscript"/>
        </w:rPr>
        <w:footnoteReference w:id="26"/>
      </w:r>
      <w:r w:rsidR="00957ED1">
        <w:t xml:space="preserve"> </w:t>
      </w:r>
    </w:p>
    <w:p w:rsidR="005239A4" w:rsidRDefault="005239A4" w:rsidP="005239A4">
      <w:r>
        <w:t>Economic studies have examined various scenarios of changes in transfer capabilities, resource expansion, and retirement scenarios. The 2015 economic studies of the Keene Road area, onshore wind expansion, and offshore wind expansion provided information to stakeholders on the potential need for transmission upgrades that would facilitate the development of wind resources.</w:t>
      </w:r>
      <w:r w:rsidR="003321B8">
        <w:rPr>
          <w:rStyle w:val="FootnoteReference"/>
        </w:rPr>
        <w:footnoteReference w:id="27"/>
      </w:r>
      <w:r>
        <w:t xml:space="preserve"> </w:t>
      </w:r>
      <w:r w:rsidR="00293F21">
        <w:t>The stud</w:t>
      </w:r>
      <w:r w:rsidR="009E5006">
        <w:t>ies</w:t>
      </w:r>
      <w:r w:rsidR="00293F21">
        <w:t xml:space="preserve"> showed </w:t>
      </w:r>
      <w:r w:rsidR="009E5006">
        <w:t xml:space="preserve">little need for transmission improvements in the Keene Road area, but </w:t>
      </w:r>
      <w:r w:rsidR="00293F21">
        <w:t>s</w:t>
      </w:r>
      <w:r>
        <w:t>ignificant transmission improvements would be required to fully integrate the large</w:t>
      </w:r>
      <w:r w:rsidR="003321B8">
        <w:t>-</w:t>
      </w:r>
      <w:r>
        <w:t>scale development of onshore wind in northern New England</w:t>
      </w:r>
      <w:r w:rsidR="009E5006">
        <w:t xml:space="preserve">. </w:t>
      </w:r>
      <w:r w:rsidR="00866E6B">
        <w:t>Also, o</w:t>
      </w:r>
      <w:r>
        <w:t xml:space="preserve">ffshore wind development near SEMA/RI is well located near load centers and could avoid major transmission improvements if it is judiciously interconnected to the system. </w:t>
      </w:r>
    </w:p>
    <w:p w:rsidR="005239A4" w:rsidRDefault="005239A4" w:rsidP="005239A4">
      <w:r>
        <w:t>The 2016 Economic Stud</w:t>
      </w:r>
      <w:r w:rsidR="007047C7">
        <w:t>y</w:t>
      </w:r>
      <w:r>
        <w:t xml:space="preserve"> provides a common framework for future discussions on several issues facing the New England region and the need for physical infrastructure and improvements to the wholesale electric markets.</w:t>
      </w:r>
      <w:r w:rsidR="003321B8">
        <w:rPr>
          <w:rStyle w:val="FootnoteReference"/>
        </w:rPr>
        <w:footnoteReference w:id="28"/>
      </w:r>
      <w:r>
        <w:t xml:space="preserve"> The study shows</w:t>
      </w:r>
      <w:r w:rsidR="00CE115D">
        <w:t xml:space="preserve"> the following</w:t>
      </w:r>
      <w:r>
        <w:t>:</w:t>
      </w:r>
    </w:p>
    <w:p w:rsidR="005239A4" w:rsidRPr="00D33B44" w:rsidRDefault="005239A4" w:rsidP="00DA4E63">
      <w:pPr>
        <w:pStyle w:val="ListParagraph"/>
        <w:numPr>
          <w:ilvl w:val="0"/>
          <w:numId w:val="29"/>
        </w:numPr>
      </w:pPr>
      <w:r w:rsidRPr="00D33B44">
        <w:t xml:space="preserve">Natural gas will remain an important source of fuel for electric power generators. </w:t>
      </w:r>
    </w:p>
    <w:p w:rsidR="005239A4" w:rsidRPr="00D33B44" w:rsidRDefault="00987404" w:rsidP="00DA4E63">
      <w:pPr>
        <w:pStyle w:val="ListParagraph"/>
        <w:numPr>
          <w:ilvl w:val="0"/>
          <w:numId w:val="29"/>
        </w:numPr>
      </w:pPr>
      <w:r w:rsidRPr="00D33B44">
        <w:t>Similar to the results for the 2015 Economic Studies, t</w:t>
      </w:r>
      <w:r w:rsidR="005239A4" w:rsidRPr="00D33B44">
        <w:t xml:space="preserve">he development of resources close to load centers, such as at existing generation sites, requires little transmission development. Conversely, </w:t>
      </w:r>
      <w:r w:rsidR="00780AD8">
        <w:t xml:space="preserve">significant </w:t>
      </w:r>
      <w:r w:rsidR="005239A4" w:rsidRPr="00D33B44">
        <w:t>transmission investment will be required to incorporate large amounts of remote renewable energy resources</w:t>
      </w:r>
      <w:r w:rsidR="00276133">
        <w:t>.</w:t>
      </w:r>
      <w:r w:rsidRPr="00D33B44">
        <w:t xml:space="preserve"> </w:t>
      </w:r>
    </w:p>
    <w:p w:rsidR="005239A4" w:rsidRDefault="005239A4" w:rsidP="00701205">
      <w:pPr>
        <w:pStyle w:val="ListParagraph"/>
        <w:numPr>
          <w:ilvl w:val="0"/>
          <w:numId w:val="29"/>
        </w:numPr>
      </w:pPr>
      <w:r w:rsidRPr="00D33B44">
        <w:t xml:space="preserve">Meeting carbon emission targets may prove challenging for the New England region without the widespread development of renewable resources, EE, and interconnections with neighboring systems. </w:t>
      </w:r>
    </w:p>
    <w:p w:rsidR="009E5006" w:rsidRPr="00F8256F" w:rsidRDefault="00CE115D" w:rsidP="009E5006">
      <w:pPr>
        <w:pStyle w:val="ListParagraph"/>
        <w:numPr>
          <w:ilvl w:val="0"/>
          <w:numId w:val="29"/>
        </w:numPr>
      </w:pPr>
      <w:r>
        <w:t>D</w:t>
      </w:r>
      <w:r w:rsidR="009E5006" w:rsidRPr="00F8256F">
        <w:t xml:space="preserve">ecreasing amounts of traditional resources (e.g., coal, oil, nuclear) and increasing amounts of renewable resources will </w:t>
      </w:r>
      <w:r w:rsidR="009E5006">
        <w:t>require significant technical and structural changes, f</w:t>
      </w:r>
      <w:r w:rsidR="009E5006" w:rsidRPr="00F8256F">
        <w:t>or example:</w:t>
      </w:r>
    </w:p>
    <w:p w:rsidR="009E5006" w:rsidRPr="005F469F" w:rsidRDefault="009E5006" w:rsidP="009E5006">
      <w:pPr>
        <w:pStyle w:val="ListParagraph"/>
        <w:numPr>
          <w:ilvl w:val="1"/>
          <w:numId w:val="29"/>
        </w:numPr>
      </w:pPr>
      <w:r w:rsidRPr="00D33B44">
        <w:t>The equipment must meet established performance requirements, such as power factor, voltage and frequency response capability, and voltage and frequency ride-through capability.</w:t>
      </w:r>
      <w:r w:rsidRPr="005F469F">
        <w:t xml:space="preserve"> </w:t>
      </w:r>
    </w:p>
    <w:p w:rsidR="009E5006" w:rsidRDefault="009E5006" w:rsidP="009E5006">
      <w:pPr>
        <w:pStyle w:val="ListParagraph"/>
        <w:numPr>
          <w:ilvl w:val="1"/>
          <w:numId w:val="29"/>
        </w:numPr>
      </w:pPr>
      <w:r w:rsidRPr="00D33B44">
        <w:lastRenderedPageBreak/>
        <w:t xml:space="preserve">The large-scale development of asynchronous resources will require the addition of special controls on power system resources and </w:t>
      </w:r>
      <w:r w:rsidR="00A71165">
        <w:t xml:space="preserve">new </w:t>
      </w:r>
      <w:r w:rsidRPr="00D33B44">
        <w:t>transmission equipment.</w:t>
      </w:r>
    </w:p>
    <w:p w:rsidR="009E5006" w:rsidRDefault="009E5006" w:rsidP="009E5006">
      <w:pPr>
        <w:pStyle w:val="ListParagraph"/>
        <w:numPr>
          <w:ilvl w:val="1"/>
          <w:numId w:val="29"/>
        </w:numPr>
      </w:pPr>
      <w:r w:rsidRPr="008E3892">
        <w:t xml:space="preserve">Observability, controllability, and interconnection performance are key technical issues that must be addressed for distributed resources and the large-scale development of wind generation resources. </w:t>
      </w:r>
    </w:p>
    <w:p w:rsidR="009E5006" w:rsidRPr="00D33B44" w:rsidRDefault="009E5006" w:rsidP="0009611E">
      <w:pPr>
        <w:pStyle w:val="ListParagraph"/>
        <w:numPr>
          <w:ilvl w:val="1"/>
          <w:numId w:val="29"/>
        </w:numPr>
        <w:spacing w:after="240"/>
      </w:pPr>
      <w:r>
        <w:t xml:space="preserve">Energy market revenues to resources will decrease </w:t>
      </w:r>
      <w:r w:rsidR="006A7DA6">
        <w:t>at the same time that</w:t>
      </w:r>
      <w:r>
        <w:t xml:space="preserve"> major capital investment in resources will be needed.</w:t>
      </w:r>
    </w:p>
    <w:p w:rsidR="005239A4" w:rsidRDefault="005239A4" w:rsidP="005239A4">
      <w:r w:rsidRPr="00CE115D">
        <w:t xml:space="preserve">Efficient </w:t>
      </w:r>
      <w:r w:rsidR="0032181D">
        <w:t>energy</w:t>
      </w:r>
      <w:r w:rsidR="00273B73">
        <w:t>-</w:t>
      </w:r>
      <w:r w:rsidRPr="00CE115D">
        <w:t>storage technologies, such as pumped</w:t>
      </w:r>
      <w:r w:rsidR="000B4A84" w:rsidRPr="00CE115D">
        <w:t>-</w:t>
      </w:r>
      <w:r w:rsidRPr="00CE115D">
        <w:t xml:space="preserve">storage </w:t>
      </w:r>
      <w:r w:rsidR="00775AAF" w:rsidRPr="00CE115D">
        <w:t xml:space="preserve">hydro </w:t>
      </w:r>
      <w:r w:rsidRPr="00CE115D">
        <w:t>and distributed storage</w:t>
      </w:r>
      <w:r w:rsidR="00BC731C" w:rsidRPr="00CE115D">
        <w:t>;</w:t>
      </w:r>
      <w:r w:rsidRPr="00CE115D">
        <w:t xml:space="preserve"> demand response resources</w:t>
      </w:r>
      <w:r w:rsidR="00BC731C" w:rsidRPr="00CE115D">
        <w:t>;</w:t>
      </w:r>
      <w:r w:rsidRPr="00CE115D">
        <w:t xml:space="preserve"> and changes in tie schedules can provide systemwide flexibility and facilitate the integration of </w:t>
      </w:r>
      <w:r w:rsidRPr="003B0E8A">
        <w:t xml:space="preserve">variable </w:t>
      </w:r>
      <w:r w:rsidR="008976E3" w:rsidRPr="003B0E8A">
        <w:t xml:space="preserve">energy </w:t>
      </w:r>
      <w:r w:rsidRPr="003B0E8A">
        <w:t>resources</w:t>
      </w:r>
      <w:r w:rsidR="008976E3" w:rsidRPr="003B0E8A">
        <w:t xml:space="preserve"> (VERs)</w:t>
      </w:r>
      <w:r w:rsidRPr="003B0E8A">
        <w:t>, which provide clean energy but increase the need for regulation,</w:t>
      </w:r>
      <w:r w:rsidRPr="00CE115D">
        <w:t xml:space="preserve"> ramping, and reserves. </w:t>
      </w:r>
      <w:r w:rsidR="00540372" w:rsidRPr="00CE115D">
        <w:t>The region’s first grid-scale battery system, a 16 MW facility at Yarmouth Station, was placed on line in 2016.</w:t>
      </w:r>
      <w:r w:rsidR="00CE115D">
        <w:t xml:space="preserve"> </w:t>
      </w:r>
      <w:r w:rsidRPr="00CE115D">
        <w:t xml:space="preserve">The efficient processing of </w:t>
      </w:r>
      <w:r w:rsidR="005719FC" w:rsidRPr="00CE115D">
        <w:t>i</w:t>
      </w:r>
      <w:r w:rsidRPr="00CE115D">
        <w:t xml:space="preserve">nterconnection </w:t>
      </w:r>
      <w:r w:rsidR="005719FC" w:rsidRPr="00CE115D">
        <w:t>r</w:t>
      </w:r>
      <w:r w:rsidRPr="00CE115D">
        <w:t xml:space="preserve">equests </w:t>
      </w:r>
      <w:r w:rsidRPr="0009611E">
        <w:t xml:space="preserve">for inverter-based technologies </w:t>
      </w:r>
      <w:r w:rsidR="006A7DA6" w:rsidRPr="0009611E">
        <w:t>(</w:t>
      </w:r>
      <w:r w:rsidR="0009611E" w:rsidRPr="0009611E">
        <w:t xml:space="preserve">e.g., </w:t>
      </w:r>
      <w:r w:rsidR="006A7DA6" w:rsidRPr="0009611E">
        <w:t>wind</w:t>
      </w:r>
      <w:r w:rsidR="0009611E" w:rsidRPr="0009611E">
        <w:t xml:space="preserve">, </w:t>
      </w:r>
      <w:r w:rsidR="006A7DA6" w:rsidRPr="0009611E">
        <w:t>solar</w:t>
      </w:r>
      <w:r w:rsidR="0009611E" w:rsidRPr="0009611E">
        <w:t>, and battery storage</w:t>
      </w:r>
      <w:r w:rsidR="006A7DA6" w:rsidRPr="0009611E">
        <w:t xml:space="preserve">) </w:t>
      </w:r>
      <w:r w:rsidRPr="0009611E">
        <w:t>is dependent on the provision of appropriately detailed models and robust equipment design.</w:t>
      </w:r>
    </w:p>
    <w:p w:rsidR="005239A4" w:rsidRDefault="00387C83" w:rsidP="005239A4">
      <w:pPr>
        <w:pStyle w:val="Heading3"/>
      </w:pPr>
      <w:bookmarkStart w:id="48" w:name="_Toc490323000"/>
      <w:r>
        <w:t xml:space="preserve">Multistate, ISO, and </w:t>
      </w:r>
      <w:r w:rsidR="005239A4" w:rsidRPr="00677358">
        <w:t>State</w:t>
      </w:r>
      <w:r>
        <w:t xml:space="preserve"> </w:t>
      </w:r>
      <w:r w:rsidR="005239A4" w:rsidRPr="00677358">
        <w:t>Initiatives that Affect System Planning (</w:t>
      </w:r>
      <w:r w:rsidR="002B0664">
        <w:fldChar w:fldCharType="begin"/>
      </w:r>
      <w:r w:rsidR="002B0664">
        <w:instrText xml:space="preserve"> REF _Ref485718449 \r \h </w:instrText>
      </w:r>
      <w:r w:rsidR="002B0664">
        <w:fldChar w:fldCharType="separate"/>
      </w:r>
      <w:r w:rsidR="00314781">
        <w:t>Section 10</w:t>
      </w:r>
      <w:r w:rsidR="002B0664">
        <w:fldChar w:fldCharType="end"/>
      </w:r>
      <w:r w:rsidR="005239A4" w:rsidRPr="00677358">
        <w:t>)</w:t>
      </w:r>
      <w:bookmarkEnd w:id="48"/>
    </w:p>
    <w:p w:rsidR="005239A4" w:rsidRPr="00BC731C" w:rsidRDefault="005239A4" w:rsidP="007774C6">
      <w:pPr>
        <w:tabs>
          <w:tab w:val="left" w:pos="7020"/>
        </w:tabs>
      </w:pPr>
      <w:r>
        <w:t xml:space="preserve">The ISO continuously works with a wide variety of policymakers and other regional and interregional stakeholders on initiatives that influence electric power system planning. These groups include the New England Conference of Public Utilities Commissioners (NECPUC), the New England States Committee on Electricity (NESCOE), the New England </w:t>
      </w:r>
      <w:r w:rsidR="00C50870">
        <w:t>G</w:t>
      </w:r>
      <w:r>
        <w:t>overnors</w:t>
      </w:r>
      <w:r w:rsidR="00C50870">
        <w:t>’ Conference</w:t>
      </w:r>
      <w:r>
        <w:t>, the Consumer Liaison Group (CLG), and others. The planning process has evolved in response to compliance with FERC orders and other policy developments, especially under FERC Order No. 1000. For example, Renewable Portfolio Standards promote the development of wind energy, and economic studies inform policymakers of the potential benefits of transmission expansion</w:t>
      </w:r>
      <w:r w:rsidR="00780AD8">
        <w:t xml:space="preserve"> to support delivery of the wind energy</w:t>
      </w:r>
      <w:r>
        <w:t>.</w:t>
      </w:r>
      <w:r w:rsidR="007774C6">
        <w:t xml:space="preserve"> </w:t>
      </w:r>
      <w:r>
        <w:t xml:space="preserve">In addition, the states </w:t>
      </w:r>
      <w:r w:rsidR="00377090">
        <w:t xml:space="preserve">have </w:t>
      </w:r>
      <w:r w:rsidRPr="00BC731C">
        <w:t>encourage</w:t>
      </w:r>
      <w:r w:rsidR="00377090">
        <w:t>d</w:t>
      </w:r>
      <w:r w:rsidRPr="00BC731C">
        <w:t xml:space="preserve"> the development of energy storage. Massachusetts set energy</w:t>
      </w:r>
      <w:r w:rsidR="00273B73">
        <w:t>-</w:t>
      </w:r>
      <w:r w:rsidRPr="00BC731C">
        <w:t xml:space="preserve">storage targets and released a solicitation for up to $10 million of new projects. </w:t>
      </w:r>
    </w:p>
    <w:p w:rsidR="005239A4" w:rsidRPr="00F8256F" w:rsidRDefault="0032181D" w:rsidP="005239A4">
      <w:r>
        <w:t>Energy</w:t>
      </w:r>
      <w:r w:rsidR="00273B73">
        <w:t>-</w:t>
      </w:r>
      <w:r>
        <w:t>s</w:t>
      </w:r>
      <w:r w:rsidR="005239A4" w:rsidRPr="00BC731C">
        <w:t xml:space="preserve">torage technology is developing rapidly and is expected to have increased levels of participation in the markets </w:t>
      </w:r>
      <w:r w:rsidR="006A7DA6">
        <w:t xml:space="preserve">over the planning period </w:t>
      </w:r>
      <w:r w:rsidR="005239A4" w:rsidRPr="00BC731C">
        <w:t xml:space="preserve">as costs associated with </w:t>
      </w:r>
      <w:r>
        <w:t xml:space="preserve">energy </w:t>
      </w:r>
      <w:r w:rsidR="005239A4" w:rsidRPr="00BC731C">
        <w:t xml:space="preserve">storage continue to decline and levels of </w:t>
      </w:r>
      <w:r w:rsidR="00254D63" w:rsidRPr="00BC731C">
        <w:t>variable</w:t>
      </w:r>
      <w:r w:rsidR="005239A4" w:rsidRPr="00BC731C">
        <w:t xml:space="preserve"> renewable resources in the markets continue to </w:t>
      </w:r>
      <w:r w:rsidR="005239A4" w:rsidRPr="00CE115D">
        <w:t xml:space="preserve">increase. ISO New England assisted stakeholders </w:t>
      </w:r>
      <w:r w:rsidR="007E0B13" w:rsidRPr="00CE115D">
        <w:t xml:space="preserve">with integrating </w:t>
      </w:r>
      <w:r>
        <w:t>energy</w:t>
      </w:r>
      <w:r w:rsidR="00273B73">
        <w:t>-</w:t>
      </w:r>
      <w:r w:rsidR="007E0B13" w:rsidRPr="00CE115D">
        <w:t xml:space="preserve">storage facilities </w:t>
      </w:r>
      <w:r w:rsidR="005239A4" w:rsidRPr="00CE115D">
        <w:t>by clarifying market rules in documents</w:t>
      </w:r>
      <w:r w:rsidR="005239A4">
        <w:t xml:space="preserve"> and providing training. The ISO </w:t>
      </w:r>
      <w:r w:rsidR="00E37C7A">
        <w:t xml:space="preserve">continues </w:t>
      </w:r>
      <w:r w:rsidR="007E0B13">
        <w:t xml:space="preserve">identifying and addressing other issues to </w:t>
      </w:r>
      <w:r w:rsidR="005239A4">
        <w:t>prepar</w:t>
      </w:r>
      <w:r w:rsidR="007E0B13">
        <w:t>e for the large</w:t>
      </w:r>
      <w:r w:rsidR="008A14EB">
        <w:t>-</w:t>
      </w:r>
      <w:r w:rsidR="007E0B13">
        <w:t xml:space="preserve">scale </w:t>
      </w:r>
      <w:r w:rsidR="007E0B13" w:rsidRPr="00F8256F">
        <w:t xml:space="preserve">development of </w:t>
      </w:r>
      <w:r>
        <w:t>energy</w:t>
      </w:r>
      <w:r w:rsidR="00273B73">
        <w:t>-</w:t>
      </w:r>
      <w:r w:rsidR="007E0B13" w:rsidRPr="00F8256F">
        <w:t xml:space="preserve">storage </w:t>
      </w:r>
      <w:r w:rsidR="0082604F" w:rsidRPr="00F8256F">
        <w:t>technology</w:t>
      </w:r>
      <w:r w:rsidR="004D05B9" w:rsidRPr="00F8256F">
        <w:t xml:space="preserve">. </w:t>
      </w:r>
    </w:p>
    <w:p w:rsidR="005239A4" w:rsidRDefault="006D3AD3" w:rsidP="005239A4">
      <w:r>
        <w:t xml:space="preserve">Several additional technology developments and challenges affect the planning of the New England region. </w:t>
      </w:r>
      <w:r w:rsidR="00A766B4">
        <w:t>As t</w:t>
      </w:r>
      <w:r w:rsidR="005239A4" w:rsidRPr="00F8256F">
        <w:t xml:space="preserve">he </w:t>
      </w:r>
      <w:r w:rsidR="00BA4F28" w:rsidRPr="00F8256F">
        <w:t>power system</w:t>
      </w:r>
      <w:r w:rsidR="005239A4" w:rsidRPr="00F8256F">
        <w:t xml:space="preserve"> evolv</w:t>
      </w:r>
      <w:r w:rsidR="00A766B4">
        <w:t>es</w:t>
      </w:r>
      <w:r w:rsidR="005239A4" w:rsidRPr="00F8256F">
        <w:t xml:space="preserve"> into a hybrid grid</w:t>
      </w:r>
      <w:r w:rsidR="00A766B4">
        <w:t xml:space="preserve">, </w:t>
      </w:r>
      <w:r w:rsidR="005239A4" w:rsidRPr="00F8256F">
        <w:t xml:space="preserve">the widespread addition of variable wind resources connected to the transmission system </w:t>
      </w:r>
      <w:r w:rsidR="00A766B4">
        <w:t xml:space="preserve">must coordinate </w:t>
      </w:r>
      <w:r w:rsidR="005239A4" w:rsidRPr="00F8256F">
        <w:t>with smart grid resources connected to the distribution system.</w:t>
      </w:r>
      <w:r w:rsidR="005239A4">
        <w:t xml:space="preserve"> </w:t>
      </w:r>
      <w:r w:rsidR="00976B0A">
        <w:t xml:space="preserve">Distributed </w:t>
      </w:r>
      <w:r w:rsidR="0032181D">
        <w:t xml:space="preserve">energy </w:t>
      </w:r>
      <w:r w:rsidR="00976B0A">
        <w:t>s</w:t>
      </w:r>
      <w:r w:rsidR="00825215" w:rsidRPr="00825215">
        <w:t>torage, microgrids</w:t>
      </w:r>
      <w:r w:rsidR="00976B0A">
        <w:t>, and distributed generation</w:t>
      </w:r>
      <w:r w:rsidR="00825215" w:rsidRPr="00825215">
        <w:t xml:space="preserve"> provide local </w:t>
      </w:r>
      <w:r w:rsidR="00976B0A">
        <w:t xml:space="preserve">distribution system </w:t>
      </w:r>
      <w:r w:rsidR="00825215" w:rsidRPr="00825215">
        <w:t>reliability and flexibility</w:t>
      </w:r>
      <w:r w:rsidR="00976B0A">
        <w:t xml:space="preserve"> but </w:t>
      </w:r>
      <w:r w:rsidR="00E37C7A">
        <w:t>pose</w:t>
      </w:r>
      <w:r w:rsidR="00976B0A">
        <w:t xml:space="preserve"> reliability issues because the</w:t>
      </w:r>
      <w:r w:rsidR="001F797E">
        <w:t xml:space="preserve"> ISO cannot observe or </w:t>
      </w:r>
      <w:r w:rsidR="00976B0A">
        <w:t>control</w:t>
      </w:r>
      <w:r w:rsidR="001F797E">
        <w:t xml:space="preserve"> them</w:t>
      </w:r>
      <w:r w:rsidR="00976B0A">
        <w:t xml:space="preserve">. </w:t>
      </w:r>
      <w:r>
        <w:t xml:space="preserve">Other </w:t>
      </w:r>
      <w:r w:rsidR="00D82F2A">
        <w:t xml:space="preserve">transmission and distribution </w:t>
      </w:r>
      <w:r w:rsidR="00A766B4">
        <w:t xml:space="preserve">technologies </w:t>
      </w:r>
      <w:r w:rsidR="005239A4">
        <w:t>involve integrating smart grid equipment, improving operator awareness and system modeling through the use of high</w:t>
      </w:r>
      <w:r w:rsidR="00254D63">
        <w:t>-</w:t>
      </w:r>
      <w:r w:rsidR="005239A4">
        <w:t>speed cloud computing</w:t>
      </w:r>
      <w:r w:rsidR="00254D63">
        <w:t xml:space="preserve"> and</w:t>
      </w:r>
      <w:r w:rsidR="005239A4">
        <w:t xml:space="preserve"> phasor measurement units (PMUs), and using </w:t>
      </w:r>
      <w:r w:rsidR="00387034">
        <w:t>high-voltage direct-current (</w:t>
      </w:r>
      <w:r w:rsidR="005239A4" w:rsidRPr="003E4436">
        <w:t>HVDC</w:t>
      </w:r>
      <w:r w:rsidR="00387034">
        <w:t>)</w:t>
      </w:r>
      <w:r w:rsidR="005239A4" w:rsidRPr="003E4436">
        <w:t xml:space="preserve"> facilities and </w:t>
      </w:r>
      <w:r w:rsidR="003E4436" w:rsidRPr="003E4436">
        <w:t>flexible alternating-current transmission system (</w:t>
      </w:r>
      <w:r w:rsidR="005239A4" w:rsidRPr="003E4436">
        <w:t>FACTS</w:t>
      </w:r>
      <w:r w:rsidR="003E4436" w:rsidRPr="003E4436">
        <w:t>)</w:t>
      </w:r>
      <w:r w:rsidR="005239A4" w:rsidRPr="003E4436">
        <w:t xml:space="preserve"> devices.</w:t>
      </w:r>
      <w:r w:rsidR="005239A4">
        <w:t xml:space="preserve"> </w:t>
      </w:r>
      <w:r>
        <w:t>The ISO is working to improve the f</w:t>
      </w:r>
      <w:r w:rsidRPr="00790DAB">
        <w:t xml:space="preserve">orecasting and </w:t>
      </w:r>
      <w:r>
        <w:t>d</w:t>
      </w:r>
      <w:r w:rsidRPr="00790DAB">
        <w:t>ispatch</w:t>
      </w:r>
      <w:r>
        <w:t xml:space="preserve"> of resources, enhance markets, and create new </w:t>
      </w:r>
      <w:r w:rsidRPr="00790DAB">
        <w:t xml:space="preserve">systems and tools </w:t>
      </w:r>
      <w:r>
        <w:t>to improve</w:t>
      </w:r>
      <w:r w:rsidRPr="00790DAB">
        <w:t xml:space="preserve"> operational and planning</w:t>
      </w:r>
      <w:r>
        <w:t xml:space="preserve"> study capabilities</w:t>
      </w:r>
      <w:r w:rsidRPr="00790DAB">
        <w:t xml:space="preserve"> and </w:t>
      </w:r>
      <w:r>
        <w:t>p</w:t>
      </w:r>
      <w:r w:rsidRPr="00790DAB">
        <w:t>erformance</w:t>
      </w:r>
      <w:r>
        <w:t>.</w:t>
      </w:r>
    </w:p>
    <w:p w:rsidR="005239A4" w:rsidRDefault="005239A4" w:rsidP="005239A4">
      <w:r>
        <w:lastRenderedPageBreak/>
        <w:t xml:space="preserve">Market designs will also be needed to help </w:t>
      </w:r>
      <w:r w:rsidR="00241F92">
        <w:t xml:space="preserve">as </w:t>
      </w:r>
      <w:r>
        <w:t>New England transition</w:t>
      </w:r>
      <w:r w:rsidR="00241F92">
        <w:t>s</w:t>
      </w:r>
      <w:r>
        <w:t xml:space="preserve"> from a capacity-limited </w:t>
      </w:r>
      <w:r w:rsidR="0082604F">
        <w:t>system</w:t>
      </w:r>
      <w:r>
        <w:t xml:space="preserve"> to an energy</w:t>
      </w:r>
      <w:r w:rsidR="00254D63">
        <w:t>-</w:t>
      </w:r>
      <w:r>
        <w:t xml:space="preserve">limited system. Appropriate price formation is critical to resource retention, investment, and performance incentives. As states contract for new resources, the wholesale market rules will </w:t>
      </w:r>
      <w:r w:rsidR="00C56F89">
        <w:t xml:space="preserve">be reviewed and </w:t>
      </w:r>
      <w:r>
        <w:t xml:space="preserve">revised </w:t>
      </w:r>
      <w:r w:rsidR="00C56F89">
        <w:t xml:space="preserve">as necessary </w:t>
      </w:r>
      <w:r>
        <w:t xml:space="preserve">to ensure efficient </w:t>
      </w:r>
      <w:r w:rsidRPr="00055AEF">
        <w:t>price formation.</w:t>
      </w:r>
    </w:p>
    <w:p w:rsidR="005239A4" w:rsidRDefault="00450493" w:rsidP="00254D63">
      <w:pPr>
        <w:pStyle w:val="Heading2"/>
      </w:pPr>
      <w:bookmarkStart w:id="49" w:name="_Toc490323001"/>
      <w:r>
        <w:t xml:space="preserve">Key Findings and </w:t>
      </w:r>
      <w:r w:rsidR="005239A4">
        <w:t>Conclusions</w:t>
      </w:r>
      <w:bookmarkEnd w:id="49"/>
      <w:r w:rsidR="005239A4">
        <w:t xml:space="preserve"> </w:t>
      </w:r>
    </w:p>
    <w:p w:rsidR="00834658" w:rsidRPr="00AC6628" w:rsidRDefault="00834658" w:rsidP="00834658">
      <w:r>
        <w:t xml:space="preserve">The </w:t>
      </w:r>
      <w:r w:rsidRPr="00BD131B">
        <w:rPr>
          <w:i/>
        </w:rPr>
        <w:t>201</w:t>
      </w:r>
      <w:r>
        <w:rPr>
          <w:i/>
        </w:rPr>
        <w:t>7</w:t>
      </w:r>
      <w:r w:rsidRPr="00BD131B">
        <w:rPr>
          <w:i/>
        </w:rPr>
        <w:t xml:space="preserve"> Regional System Plan</w:t>
      </w:r>
      <w:r>
        <w:t xml:space="preserve"> identifies system needs and plans for meeting these needs</w:t>
      </w:r>
      <w:r w:rsidRPr="00EB1CE8">
        <w:t xml:space="preserve"> </w:t>
      </w:r>
      <w:r w:rsidRPr="00387A19">
        <w:t>for 201</w:t>
      </w:r>
      <w:r>
        <w:t>7</w:t>
      </w:r>
      <w:r w:rsidRPr="00387A19">
        <w:t xml:space="preserve"> through 202</w:t>
      </w:r>
      <w:r>
        <w:t xml:space="preserve">6. RSP17 also discusses risks to the regional electric power system; the likelihood, timing, and potential consequences of these risks; and mitigating actions. </w:t>
      </w:r>
      <w:r w:rsidRPr="00AC6628">
        <w:t>Some of the highlights of RSP1</w:t>
      </w:r>
      <w:r>
        <w:t>7</w:t>
      </w:r>
      <w:r w:rsidR="00720862">
        <w:t xml:space="preserve">, as </w:t>
      </w:r>
      <w:r w:rsidRPr="009A1778">
        <w:t>discussed in</w:t>
      </w:r>
      <w:r w:rsidR="00064DB5" w:rsidRPr="009A1778">
        <w:t xml:space="preserve"> Section </w:t>
      </w:r>
      <w:r w:rsidR="00064DB5" w:rsidRPr="00276133">
        <w:t>12</w:t>
      </w:r>
      <w:r w:rsidRPr="009A1778">
        <w:t>, are as follows:</w:t>
      </w:r>
      <w:r>
        <w:t xml:space="preserve"> </w:t>
      </w:r>
    </w:p>
    <w:p w:rsidR="00834658" w:rsidRPr="005E27D8" w:rsidRDefault="00834658" w:rsidP="003D70FB">
      <w:pPr>
        <w:numPr>
          <w:ilvl w:val="0"/>
          <w:numId w:val="31"/>
        </w:numPr>
        <w:spacing w:after="120"/>
        <w:rPr>
          <w:rFonts w:eastAsia="Times New Roman"/>
        </w:rPr>
      </w:pPr>
      <w:r w:rsidRPr="005E27D8">
        <w:rPr>
          <w:rFonts w:eastAsia="Times New Roman"/>
        </w:rPr>
        <w:t xml:space="preserve">Forecasts of the regional net peak and annual energy show </w:t>
      </w:r>
      <w:r>
        <w:rPr>
          <w:rFonts w:eastAsia="Times New Roman"/>
        </w:rPr>
        <w:t>flat to negative</w:t>
      </w:r>
      <w:r w:rsidRPr="005E27D8">
        <w:rPr>
          <w:rFonts w:eastAsia="Times New Roman"/>
        </w:rPr>
        <w:t xml:space="preserve"> growth resulting from the additions of PV and EE, which are reflected in the planning processes.</w:t>
      </w:r>
      <w:r>
        <w:rPr>
          <w:rFonts w:eastAsia="Times New Roman"/>
        </w:rPr>
        <w:t xml:space="preserve"> Net peak demand, thus, is less of a key driver of new infrastructure needs</w:t>
      </w:r>
      <w:r w:rsidR="004D05B9">
        <w:rPr>
          <w:rFonts w:eastAsia="Times New Roman"/>
        </w:rPr>
        <w:t xml:space="preserve">. </w:t>
      </w:r>
    </w:p>
    <w:p w:rsidR="00834658" w:rsidRPr="00915078" w:rsidRDefault="00834658" w:rsidP="003D70FB">
      <w:pPr>
        <w:pStyle w:val="CommentText"/>
        <w:numPr>
          <w:ilvl w:val="0"/>
          <w:numId w:val="30"/>
        </w:numPr>
        <w:spacing w:after="120" w:line="260" w:lineRule="atLeast"/>
      </w:pPr>
      <w:r w:rsidRPr="005E27D8">
        <w:t xml:space="preserve">Needed capacity and operating reserves are provided through the wholesale markets, but </w:t>
      </w:r>
      <w:r w:rsidRPr="000E7CC5">
        <w:t xml:space="preserve">resource retirements and the successful integration of variable </w:t>
      </w:r>
      <w:r w:rsidR="008976E3" w:rsidRPr="000E7CC5">
        <w:t xml:space="preserve">energy </w:t>
      </w:r>
      <w:r w:rsidRPr="000E7CC5">
        <w:t>resources pose future</w:t>
      </w:r>
      <w:r w:rsidRPr="005E27D8">
        <w:t xml:space="preserve"> challenges </w:t>
      </w:r>
      <w:r w:rsidRPr="00E44270">
        <w:t>to the reliable and economic operation of the system. Studies of expected system conditions</w:t>
      </w:r>
      <w:r w:rsidRPr="005E27D8">
        <w:t xml:space="preserve"> </w:t>
      </w:r>
      <w:r w:rsidRPr="00866E6B">
        <w:t xml:space="preserve">show that developing new resources </w:t>
      </w:r>
      <w:r w:rsidR="00720862" w:rsidRPr="00866E6B">
        <w:t>near load centers</w:t>
      </w:r>
      <w:r w:rsidR="00450493" w:rsidRPr="00866E6B">
        <w:t>,</w:t>
      </w:r>
      <w:r w:rsidR="00720862" w:rsidRPr="00866E6B">
        <w:t xml:space="preserve"> particularly </w:t>
      </w:r>
      <w:r w:rsidRPr="00866E6B">
        <w:t xml:space="preserve">in the </w:t>
      </w:r>
      <w:r w:rsidR="00503013" w:rsidRPr="00866E6B">
        <w:t xml:space="preserve">Southeastern New </w:t>
      </w:r>
      <w:r w:rsidR="00503013" w:rsidRPr="00915078">
        <w:t>England zone</w:t>
      </w:r>
      <w:r w:rsidR="00450493" w:rsidRPr="00915078">
        <w:t>,</w:t>
      </w:r>
      <w:r w:rsidRPr="00915078">
        <w:t xml:space="preserve"> would provide the greatest reliability benefit. </w:t>
      </w:r>
    </w:p>
    <w:p w:rsidR="00E52B27" w:rsidRDefault="00450493" w:rsidP="003D70FB">
      <w:pPr>
        <w:pStyle w:val="ListParagraph"/>
        <w:numPr>
          <w:ilvl w:val="0"/>
          <w:numId w:val="30"/>
        </w:numPr>
      </w:pPr>
      <w:r w:rsidRPr="00915078">
        <w:t>T</w:t>
      </w:r>
      <w:r w:rsidR="00720862" w:rsidRPr="00915078">
        <w:t>ransmission expansion in New England</w:t>
      </w:r>
      <w:r w:rsidRPr="00915078">
        <w:t xml:space="preserve"> has improved the overall </w:t>
      </w:r>
      <w:r w:rsidR="00720862" w:rsidRPr="00915078">
        <w:t>level of reliability and resiliency, reduced air emissions, and lower</w:t>
      </w:r>
      <w:r w:rsidRPr="00915078">
        <w:t>ed</w:t>
      </w:r>
      <w:r w:rsidR="00720862" w:rsidRPr="00915078">
        <w:t xml:space="preserve"> wholesale market costs</w:t>
      </w:r>
      <w:r w:rsidRPr="00915078">
        <w:t xml:space="preserve"> by </w:t>
      </w:r>
      <w:r w:rsidR="006A7DA6" w:rsidRPr="00915078">
        <w:t xml:space="preserve">nearly </w:t>
      </w:r>
      <w:r w:rsidRPr="00915078">
        <w:t xml:space="preserve">eliminating congestion </w:t>
      </w:r>
      <w:r w:rsidR="00E52B27" w:rsidRPr="00915078">
        <w:t>(</w:t>
      </w:r>
      <w:r w:rsidR="00915078" w:rsidRPr="00915078">
        <w:t xml:space="preserve">total for 2016 was </w:t>
      </w:r>
      <w:r w:rsidR="00E52B27" w:rsidRPr="00915078">
        <w:t xml:space="preserve">$38. 9 million) </w:t>
      </w:r>
      <w:r w:rsidRPr="00915078">
        <w:t>and Net Commitment-Period Compensation</w:t>
      </w:r>
      <w:r w:rsidR="00E52B27" w:rsidRPr="00915078">
        <w:t xml:space="preserve"> ($32.</w:t>
      </w:r>
      <w:r w:rsidR="00701205" w:rsidRPr="00915078">
        <w:t>6</w:t>
      </w:r>
      <w:r w:rsidR="00701205">
        <w:t> </w:t>
      </w:r>
      <w:r w:rsidR="00E52B27" w:rsidRPr="00915078">
        <w:t>million for voltage and second-contingency NCPC in 2016) (</w:t>
      </w:r>
      <w:r w:rsidR="00915078" w:rsidRPr="00915078">
        <w:t xml:space="preserve">of the </w:t>
      </w:r>
      <w:r w:rsidR="00E52B27" w:rsidRPr="00915078">
        <w:t>$5.4 billion total wholesale electricity markets in 2016)</w:t>
      </w:r>
      <w:r w:rsidR="00720862" w:rsidRPr="00915078">
        <w:t xml:space="preserve">. </w:t>
      </w:r>
      <w:r w:rsidR="004D05B9" w:rsidRPr="00915078">
        <w:t>Generator</w:t>
      </w:r>
      <w:r w:rsidR="004D05B9">
        <w:t xml:space="preserve"> r</w:t>
      </w:r>
      <w:r w:rsidR="005C160E">
        <w:t>etirements, o</w:t>
      </w:r>
      <w:r w:rsidR="0011087D">
        <w:t>ff</w:t>
      </w:r>
      <w:r w:rsidR="004D05B9">
        <w:t>-</w:t>
      </w:r>
      <w:r w:rsidR="0011087D">
        <w:t>peak system needs, the growth of asynchronous resources, and changes to mandatory planning criteria promulgated by NERC and NPCC will drive the need for longer-term transmission projects</w:t>
      </w:r>
      <w:r w:rsidR="004D05B9">
        <w:t xml:space="preserve">. </w:t>
      </w:r>
    </w:p>
    <w:p w:rsidR="00834658" w:rsidRPr="00A04097" w:rsidRDefault="00834658" w:rsidP="003D70FB">
      <w:pPr>
        <w:pStyle w:val="ListParagraph"/>
        <w:numPr>
          <w:ilvl w:val="0"/>
          <w:numId w:val="30"/>
        </w:numPr>
        <w:rPr>
          <w:szCs w:val="20"/>
        </w:rPr>
      </w:pPr>
      <w:r w:rsidRPr="00834658">
        <w:t>RSP1</w:t>
      </w:r>
      <w:r w:rsidR="00450493">
        <w:t>7</w:t>
      </w:r>
      <w:r w:rsidRPr="00834658">
        <w:t xml:space="preserve"> complies with the intraregional and interregional planning p</w:t>
      </w:r>
      <w:r w:rsidR="00450493">
        <w:t>rocesses required by the ISO</w:t>
      </w:r>
      <w:r w:rsidR="004D05B9">
        <w:t>’s</w:t>
      </w:r>
      <w:r w:rsidR="00450493">
        <w:t xml:space="preserve"> </w:t>
      </w:r>
      <w:r w:rsidR="00450493" w:rsidRPr="00D33B44">
        <w:rPr>
          <w:i/>
        </w:rPr>
        <w:t>Open Access Transmission Tariff</w:t>
      </w:r>
      <w:r w:rsidR="00450493">
        <w:t xml:space="preserve">. Revisions to the ISO planning processes now reflect </w:t>
      </w:r>
      <w:r w:rsidR="00276133">
        <w:t>Order </w:t>
      </w:r>
      <w:r w:rsidR="004D05B9">
        <w:t xml:space="preserve">No. </w:t>
      </w:r>
      <w:r w:rsidR="00450493">
        <w:t>1000</w:t>
      </w:r>
      <w:r w:rsidR="0011087D">
        <w:t xml:space="preserve"> requirements</w:t>
      </w:r>
      <w:r w:rsidR="0082604F">
        <w:t>, probabilistic</w:t>
      </w:r>
      <w:r w:rsidR="00450493">
        <w:t xml:space="preserve"> study </w:t>
      </w:r>
      <w:r w:rsidR="00450493" w:rsidRPr="00D33B44">
        <w:t xml:space="preserve">assumptions, and </w:t>
      </w:r>
      <w:r w:rsidR="0011087D" w:rsidRPr="00D33B44">
        <w:t>changes to national and regional criteria</w:t>
      </w:r>
      <w:r w:rsidR="004D05B9" w:rsidRPr="00D33B44">
        <w:t xml:space="preserve">. </w:t>
      </w:r>
      <w:r w:rsidR="004B24C7" w:rsidRPr="00D33B44">
        <w:t>C</w:t>
      </w:r>
      <w:r w:rsidR="0011087D" w:rsidRPr="00D33B44">
        <w:rPr>
          <w:szCs w:val="20"/>
        </w:rPr>
        <w:t>oordinate</w:t>
      </w:r>
      <w:r w:rsidR="004B24C7" w:rsidRPr="00D33B44">
        <w:rPr>
          <w:szCs w:val="20"/>
        </w:rPr>
        <w:t>d</w:t>
      </w:r>
      <w:r w:rsidR="0011087D" w:rsidRPr="00D33B44">
        <w:rPr>
          <w:szCs w:val="20"/>
        </w:rPr>
        <w:t xml:space="preserve"> planning</w:t>
      </w:r>
      <w:r w:rsidR="0011087D" w:rsidRPr="0011087D">
        <w:rPr>
          <w:szCs w:val="20"/>
        </w:rPr>
        <w:t xml:space="preserve"> activities with other systems will continue growing, </w:t>
      </w:r>
      <w:r w:rsidR="0011087D" w:rsidRPr="00A04097">
        <w:rPr>
          <w:szCs w:val="20"/>
        </w:rPr>
        <w:t xml:space="preserve">particularly to provide access to a greater diversity of resources, including </w:t>
      </w:r>
      <w:r w:rsidR="00D92F66" w:rsidRPr="00A04097">
        <w:rPr>
          <w:szCs w:val="20"/>
        </w:rPr>
        <w:t xml:space="preserve">hydro imports </w:t>
      </w:r>
      <w:r w:rsidR="0011087D" w:rsidRPr="00A04097">
        <w:rPr>
          <w:szCs w:val="20"/>
        </w:rPr>
        <w:t xml:space="preserve">and variable </w:t>
      </w:r>
      <w:r w:rsidR="000E7CC5">
        <w:rPr>
          <w:szCs w:val="20"/>
        </w:rPr>
        <w:t xml:space="preserve">energy </w:t>
      </w:r>
      <w:r w:rsidR="0011087D" w:rsidRPr="00A04097">
        <w:rPr>
          <w:szCs w:val="20"/>
        </w:rPr>
        <w:t>resources, and to meet environmental compliance obligations.</w:t>
      </w:r>
    </w:p>
    <w:p w:rsidR="00EB1647" w:rsidRPr="00055AEF" w:rsidRDefault="00EB1647" w:rsidP="003D70FB">
      <w:pPr>
        <w:pStyle w:val="ListParagraph"/>
        <w:numPr>
          <w:ilvl w:val="0"/>
          <w:numId w:val="30"/>
        </w:numPr>
        <w:rPr>
          <w:szCs w:val="20"/>
        </w:rPr>
      </w:pPr>
      <w:r w:rsidRPr="00541D33">
        <w:rPr>
          <w:szCs w:val="20"/>
        </w:rPr>
        <w:t xml:space="preserve">The regional reliance on natural-gas-fired generation, coupled with natural gas pipeline </w:t>
      </w:r>
      <w:r w:rsidR="00A04097" w:rsidRPr="00541D33">
        <w:rPr>
          <w:szCs w:val="20"/>
        </w:rPr>
        <w:t xml:space="preserve">constraints </w:t>
      </w:r>
      <w:r w:rsidR="00EA6A00" w:rsidRPr="00541D33">
        <w:rPr>
          <w:szCs w:val="20"/>
        </w:rPr>
        <w:t xml:space="preserve">and </w:t>
      </w:r>
      <w:r w:rsidR="00A04097" w:rsidRPr="00541D33">
        <w:rPr>
          <w:szCs w:val="20"/>
        </w:rPr>
        <w:t xml:space="preserve">uncertain </w:t>
      </w:r>
      <w:r w:rsidR="00EA6A00" w:rsidRPr="00541D33">
        <w:rPr>
          <w:szCs w:val="20"/>
        </w:rPr>
        <w:t xml:space="preserve">LNG </w:t>
      </w:r>
      <w:r w:rsidR="00A04097" w:rsidRPr="00541D33">
        <w:rPr>
          <w:szCs w:val="20"/>
        </w:rPr>
        <w:t xml:space="preserve">deliveries can </w:t>
      </w:r>
      <w:r w:rsidRPr="00541D33">
        <w:rPr>
          <w:szCs w:val="20"/>
        </w:rPr>
        <w:t xml:space="preserve">pose reliability issues and lead to price spikes in </w:t>
      </w:r>
      <w:r w:rsidRPr="00055AEF">
        <w:rPr>
          <w:szCs w:val="20"/>
        </w:rPr>
        <w:t xml:space="preserve">the wholesale electricity markets. </w:t>
      </w:r>
      <w:r w:rsidR="00A04097" w:rsidRPr="00055AEF">
        <w:rPr>
          <w:szCs w:val="20"/>
        </w:rPr>
        <w:t xml:space="preserve">The ISO is quantifying this risk in its fuel-security study, which will be discussed with stakeholders in the </w:t>
      </w:r>
      <w:r w:rsidR="00957ED1" w:rsidRPr="00055AEF">
        <w:rPr>
          <w:szCs w:val="20"/>
        </w:rPr>
        <w:t xml:space="preserve">last quarter of </w:t>
      </w:r>
      <w:r w:rsidR="00A04097" w:rsidRPr="00055AEF">
        <w:rPr>
          <w:szCs w:val="20"/>
        </w:rPr>
        <w:t>2017.</w:t>
      </w:r>
    </w:p>
    <w:p w:rsidR="00D31332" w:rsidRPr="00055AEF" w:rsidRDefault="00834658" w:rsidP="003D70FB">
      <w:pPr>
        <w:pStyle w:val="CommentText"/>
        <w:numPr>
          <w:ilvl w:val="0"/>
          <w:numId w:val="30"/>
        </w:numPr>
        <w:spacing w:after="120" w:line="260" w:lineRule="atLeast"/>
      </w:pPr>
      <w:r w:rsidRPr="00055AEF">
        <w:t xml:space="preserve">Environmental regulations, other public policies, and economic considerations, all will affect the future mix of regional resources, such as to influence the retirement of oil and coal generators and the addition of natural-gas-fired generation. </w:t>
      </w:r>
      <w:r w:rsidR="00594887" w:rsidRPr="00055AEF">
        <w:t xml:space="preserve">Delays in </w:t>
      </w:r>
      <w:r w:rsidR="00D31332" w:rsidRPr="00055AEF">
        <w:t>EPA</w:t>
      </w:r>
      <w:r w:rsidR="00594887" w:rsidRPr="00055AEF">
        <w:t xml:space="preserve"> regulations and changes in regional and state </w:t>
      </w:r>
      <w:r w:rsidR="0082604F" w:rsidRPr="00055AEF">
        <w:t>regulations</w:t>
      </w:r>
      <w:r w:rsidR="00D31332" w:rsidRPr="00055AEF">
        <w:t>, however, create additional uncertainty in the shorter</w:t>
      </w:r>
      <w:r w:rsidR="002159A6" w:rsidRPr="00055AEF">
        <w:t xml:space="preserve"> </w:t>
      </w:r>
      <w:r w:rsidR="00D31332" w:rsidRPr="00055AEF">
        <w:t xml:space="preserve">term. </w:t>
      </w:r>
      <w:r w:rsidR="00594887" w:rsidRPr="00055AEF">
        <w:t xml:space="preserve">Generators needing to make major investments in environmental compliance measures may become uneconomical and retire, but others can recover their capital investment by locking into FCM prices for up to seven years. Carbon emissions targets will likely be the key </w:t>
      </w:r>
      <w:r w:rsidR="00EB1647" w:rsidRPr="00055AEF">
        <w:t xml:space="preserve">regional </w:t>
      </w:r>
      <w:r w:rsidR="00594887" w:rsidRPr="00055AEF">
        <w:t>environmental constraint</w:t>
      </w:r>
      <w:r w:rsidR="004617FE" w:rsidRPr="00055AEF">
        <w:t xml:space="preserve"> on energy production</w:t>
      </w:r>
      <w:r w:rsidR="004D05B9" w:rsidRPr="00055AEF">
        <w:t xml:space="preserve">. </w:t>
      </w:r>
    </w:p>
    <w:p w:rsidR="00594887" w:rsidRPr="00055AEF" w:rsidRDefault="00594887" w:rsidP="00C555C4">
      <w:pPr>
        <w:numPr>
          <w:ilvl w:val="0"/>
          <w:numId w:val="31"/>
        </w:numPr>
        <w:rPr>
          <w:rFonts w:eastAsia="Times New Roman"/>
        </w:rPr>
      </w:pPr>
      <w:r w:rsidRPr="00055AEF">
        <w:rPr>
          <w:rFonts w:eastAsia="Times New Roman"/>
        </w:rPr>
        <w:t>The region has</w:t>
      </w:r>
      <w:r w:rsidR="0050177D" w:rsidRPr="00055AEF">
        <w:rPr>
          <w:rFonts w:eastAsia="Times New Roman"/>
        </w:rPr>
        <w:t xml:space="preserve"> </w:t>
      </w:r>
      <w:r w:rsidR="00224F05" w:rsidRPr="00055AEF">
        <w:rPr>
          <w:rFonts w:eastAsia="Times New Roman"/>
        </w:rPr>
        <w:t>significant</w:t>
      </w:r>
      <w:r w:rsidRPr="00055AEF">
        <w:rPr>
          <w:rFonts w:eastAsia="Times New Roman"/>
        </w:rPr>
        <w:t xml:space="preserve"> potential for developing renewable resources and is actively addressing several key technical challenges to the successful integration of these resources. For </w:t>
      </w:r>
      <w:r w:rsidRPr="00055AEF">
        <w:rPr>
          <w:rFonts w:eastAsia="Times New Roman"/>
        </w:rPr>
        <w:lastRenderedPageBreak/>
        <w:t xml:space="preserve">example, interconnection queue processes that use clustering </w:t>
      </w:r>
      <w:r w:rsidR="006A7DA6" w:rsidRPr="00055AEF">
        <w:rPr>
          <w:rFonts w:eastAsia="Times New Roman"/>
        </w:rPr>
        <w:t xml:space="preserve">studies </w:t>
      </w:r>
      <w:r w:rsidRPr="00055AEF">
        <w:rPr>
          <w:rFonts w:eastAsia="Times New Roman"/>
        </w:rPr>
        <w:t xml:space="preserve">and new forecasting methods </w:t>
      </w:r>
      <w:r w:rsidR="008C763A" w:rsidRPr="00055AEF">
        <w:rPr>
          <w:rFonts w:eastAsia="Times New Roman"/>
        </w:rPr>
        <w:t xml:space="preserve">will </w:t>
      </w:r>
      <w:r w:rsidRPr="00055AEF">
        <w:rPr>
          <w:rFonts w:eastAsia="Times New Roman"/>
        </w:rPr>
        <w:t xml:space="preserve">improve the reliable and economical operation of the system with increasing amounts of wind resources. </w:t>
      </w:r>
      <w:r w:rsidR="00EA6A00" w:rsidRPr="00055AEF">
        <w:rPr>
          <w:rFonts w:eastAsia="Times New Roman"/>
        </w:rPr>
        <w:t>The addition of renewables</w:t>
      </w:r>
      <w:r w:rsidR="00071085" w:rsidRPr="00A01253">
        <w:rPr>
          <w:rFonts w:eastAsia="Times New Roman"/>
        </w:rPr>
        <w:t xml:space="preserve"> a</w:t>
      </w:r>
      <w:r w:rsidR="00C56F89" w:rsidRPr="00A01253">
        <w:rPr>
          <w:rFonts w:eastAsia="Times New Roman"/>
        </w:rPr>
        <w:t xml:space="preserve">nd continued low natural gas prices, among other factors, could dampen </w:t>
      </w:r>
      <w:r w:rsidR="00EA6A00" w:rsidRPr="00055AEF">
        <w:rPr>
          <w:rFonts w:eastAsia="Times New Roman"/>
        </w:rPr>
        <w:t>energy market prices</w:t>
      </w:r>
      <w:r w:rsidR="00C56F89" w:rsidRPr="00A01253">
        <w:rPr>
          <w:rFonts w:eastAsia="Times New Roman"/>
        </w:rPr>
        <w:t>, which</w:t>
      </w:r>
      <w:r w:rsidR="00EA6A00" w:rsidRPr="00055AEF">
        <w:rPr>
          <w:rFonts w:eastAsia="Times New Roman"/>
        </w:rPr>
        <w:t xml:space="preserve"> may encourage the retirement of traditional generating units. </w:t>
      </w:r>
      <w:r w:rsidR="004D05B9" w:rsidRPr="00055AEF">
        <w:rPr>
          <w:rFonts w:eastAsia="Times New Roman"/>
        </w:rPr>
        <w:t>The l</w:t>
      </w:r>
      <w:r w:rsidR="00E37C7A" w:rsidRPr="00055AEF">
        <w:rPr>
          <w:rFonts w:eastAsia="Times New Roman"/>
        </w:rPr>
        <w:t xml:space="preserve">arge-scale development of wind resources in northern New England would require </w:t>
      </w:r>
      <w:r w:rsidR="006A7DA6" w:rsidRPr="00055AEF">
        <w:rPr>
          <w:rFonts w:eastAsia="Times New Roman"/>
        </w:rPr>
        <w:t xml:space="preserve">major </w:t>
      </w:r>
      <w:r w:rsidR="00E37C7A" w:rsidRPr="00055AEF">
        <w:rPr>
          <w:rFonts w:eastAsia="Times New Roman"/>
        </w:rPr>
        <w:t>transmission system improvements</w:t>
      </w:r>
      <w:r w:rsidR="004D05B9" w:rsidRPr="00055AEF">
        <w:rPr>
          <w:rFonts w:eastAsia="Times New Roman"/>
        </w:rPr>
        <w:t>.</w:t>
      </w:r>
    </w:p>
    <w:p w:rsidR="004617FE" w:rsidRPr="00C515C7" w:rsidRDefault="004617FE" w:rsidP="003D70FB">
      <w:pPr>
        <w:pStyle w:val="ListParagraph"/>
        <w:numPr>
          <w:ilvl w:val="0"/>
          <w:numId w:val="31"/>
        </w:numPr>
        <w:rPr>
          <w:szCs w:val="20"/>
        </w:rPr>
      </w:pPr>
      <w:r w:rsidRPr="00566261">
        <w:rPr>
          <w:szCs w:val="20"/>
        </w:rPr>
        <w:t>New England is transform</w:t>
      </w:r>
      <w:r w:rsidR="006B37E8" w:rsidRPr="00566261">
        <w:rPr>
          <w:szCs w:val="20"/>
        </w:rPr>
        <w:t>ing</w:t>
      </w:r>
      <w:r w:rsidRPr="00566261">
        <w:rPr>
          <w:szCs w:val="20"/>
        </w:rPr>
        <w:t xml:space="preserve"> to a </w:t>
      </w:r>
      <w:r w:rsidR="00C31960" w:rsidRPr="00566261">
        <w:rPr>
          <w:szCs w:val="20"/>
        </w:rPr>
        <w:t>sustainable</w:t>
      </w:r>
      <w:r w:rsidRPr="00566261">
        <w:rPr>
          <w:szCs w:val="20"/>
        </w:rPr>
        <w:t>, hybrid grid that supports the connection of more renewable energy and the transition to the smart grid, which will make more effective use of distributed energy resources.</w:t>
      </w:r>
      <w:r w:rsidRPr="00C515C7">
        <w:rPr>
          <w:szCs w:val="20"/>
        </w:rPr>
        <w:t xml:space="preserve"> Issues of observability and controllability of variable and </w:t>
      </w:r>
      <w:r w:rsidRPr="00273B73">
        <w:rPr>
          <w:szCs w:val="20"/>
        </w:rPr>
        <w:t xml:space="preserve">distributed </w:t>
      </w:r>
      <w:r w:rsidR="008976E3" w:rsidRPr="00273B73">
        <w:rPr>
          <w:szCs w:val="20"/>
        </w:rPr>
        <w:t xml:space="preserve">energy </w:t>
      </w:r>
      <w:r w:rsidRPr="00273B73">
        <w:rPr>
          <w:szCs w:val="20"/>
        </w:rPr>
        <w:t>resources</w:t>
      </w:r>
      <w:r w:rsidRPr="00C515C7">
        <w:rPr>
          <w:szCs w:val="20"/>
        </w:rPr>
        <w:t xml:space="preserve"> will need to be addressed to realize the full benefits of </w:t>
      </w:r>
      <w:r w:rsidR="0032181D">
        <w:rPr>
          <w:szCs w:val="20"/>
        </w:rPr>
        <w:t xml:space="preserve">energy </w:t>
      </w:r>
      <w:r w:rsidRPr="00C515C7">
        <w:rPr>
          <w:szCs w:val="20"/>
        </w:rPr>
        <w:t>storage, microgrids, and smart grid technologies. The rapid implementation of revised interconnection standards</w:t>
      </w:r>
      <w:r w:rsidR="00D963AA" w:rsidRPr="00C515C7">
        <w:rPr>
          <w:szCs w:val="20"/>
        </w:rPr>
        <w:t xml:space="preserve"> </w:t>
      </w:r>
      <w:r w:rsidRPr="00C515C7">
        <w:rPr>
          <w:szCs w:val="20"/>
        </w:rPr>
        <w:t xml:space="preserve">for distributed resources, including </w:t>
      </w:r>
      <w:r w:rsidR="00C515C7" w:rsidRPr="00C515C7">
        <w:rPr>
          <w:szCs w:val="20"/>
        </w:rPr>
        <w:t>the IEEE 1547</w:t>
      </w:r>
      <w:r w:rsidR="002110D7">
        <w:rPr>
          <w:szCs w:val="20"/>
        </w:rPr>
        <w:t>,</w:t>
      </w:r>
      <w:r w:rsidR="00C515C7" w:rsidRPr="00C515C7">
        <w:rPr>
          <w:szCs w:val="20"/>
        </w:rPr>
        <w:t xml:space="preserve"> </w:t>
      </w:r>
      <w:r w:rsidR="0082604F" w:rsidRPr="00C515C7">
        <w:rPr>
          <w:szCs w:val="20"/>
        </w:rPr>
        <w:t>is</w:t>
      </w:r>
      <w:r w:rsidR="00D963AA" w:rsidRPr="00C515C7">
        <w:rPr>
          <w:szCs w:val="20"/>
        </w:rPr>
        <w:t xml:space="preserve"> vital for ensuring </w:t>
      </w:r>
      <w:r w:rsidRPr="00C515C7">
        <w:rPr>
          <w:szCs w:val="20"/>
        </w:rPr>
        <w:t>overall system reliability and facilitat</w:t>
      </w:r>
      <w:r w:rsidR="00D963AA" w:rsidRPr="00C515C7">
        <w:rPr>
          <w:szCs w:val="20"/>
        </w:rPr>
        <w:t>ing</w:t>
      </w:r>
      <w:r w:rsidRPr="00C515C7">
        <w:rPr>
          <w:szCs w:val="20"/>
        </w:rPr>
        <w:t xml:space="preserve"> the </w:t>
      </w:r>
      <w:r w:rsidR="00D963AA" w:rsidRPr="00C515C7">
        <w:rPr>
          <w:szCs w:val="20"/>
        </w:rPr>
        <w:t xml:space="preserve">economical </w:t>
      </w:r>
      <w:r w:rsidRPr="00C515C7">
        <w:rPr>
          <w:szCs w:val="20"/>
        </w:rPr>
        <w:t xml:space="preserve">development of renewable </w:t>
      </w:r>
      <w:r w:rsidR="00D963AA" w:rsidRPr="00C515C7">
        <w:rPr>
          <w:szCs w:val="20"/>
        </w:rPr>
        <w:t>resources</w:t>
      </w:r>
      <w:r w:rsidRPr="00C515C7">
        <w:rPr>
          <w:szCs w:val="20"/>
        </w:rPr>
        <w:t>, such as PV</w:t>
      </w:r>
      <w:r w:rsidR="004D05B9" w:rsidRPr="00C515C7">
        <w:rPr>
          <w:szCs w:val="20"/>
        </w:rPr>
        <w:t>.</w:t>
      </w:r>
    </w:p>
    <w:p w:rsidR="00834658" w:rsidRDefault="00834658" w:rsidP="003D70FB">
      <w:pPr>
        <w:numPr>
          <w:ilvl w:val="0"/>
          <w:numId w:val="31"/>
        </w:numPr>
        <w:spacing w:after="120"/>
        <w:rPr>
          <w:rFonts w:eastAsia="Times New Roman"/>
        </w:rPr>
      </w:pPr>
      <w:r w:rsidRPr="005E27D8">
        <w:rPr>
          <w:rFonts w:eastAsia="Times New Roman"/>
        </w:rPr>
        <w:t xml:space="preserve">Federal and state policies and initiatives will continue to affect the planning process, such as </w:t>
      </w:r>
      <w:r w:rsidR="006A7DA6">
        <w:rPr>
          <w:rFonts w:eastAsia="Times New Roman"/>
        </w:rPr>
        <w:t>those</w:t>
      </w:r>
      <w:r w:rsidRPr="005E27D8">
        <w:rPr>
          <w:rFonts w:eastAsia="Times New Roman"/>
        </w:rPr>
        <w:t xml:space="preserve"> promoting EE, PV, and wind resources.</w:t>
      </w:r>
      <w:r w:rsidR="004617FE">
        <w:rPr>
          <w:rFonts w:eastAsia="Times New Roman"/>
        </w:rPr>
        <w:t xml:space="preserve"> The ISO remains a leader in technological innovation</w:t>
      </w:r>
      <w:r w:rsidR="004333B3">
        <w:rPr>
          <w:rFonts w:eastAsia="Times New Roman"/>
        </w:rPr>
        <w:t>,</w:t>
      </w:r>
      <w:r w:rsidR="004617FE">
        <w:rPr>
          <w:rFonts w:eastAsia="Times New Roman"/>
        </w:rPr>
        <w:t xml:space="preserve"> as shown by the widespread use of phasor measurement units, </w:t>
      </w:r>
      <w:r w:rsidR="003B1BEB">
        <w:rPr>
          <w:rFonts w:eastAsia="Times New Roman"/>
        </w:rPr>
        <w:t>extensive</w:t>
      </w:r>
      <w:r w:rsidR="004617FE">
        <w:rPr>
          <w:rFonts w:eastAsia="Times New Roman"/>
        </w:rPr>
        <w:t xml:space="preserve"> application of flexible alternating</w:t>
      </w:r>
      <w:r w:rsidR="000678ED">
        <w:rPr>
          <w:rFonts w:eastAsia="Times New Roman"/>
        </w:rPr>
        <w:t>-</w:t>
      </w:r>
      <w:r w:rsidR="004617FE">
        <w:rPr>
          <w:rFonts w:eastAsia="Times New Roman"/>
        </w:rPr>
        <w:t xml:space="preserve">current transmission systems, and the implementation of state-of-the-art forecasting methods </w:t>
      </w:r>
      <w:r w:rsidR="00D963AA">
        <w:rPr>
          <w:rFonts w:eastAsia="Times New Roman"/>
        </w:rPr>
        <w:t>for wind resources and PV</w:t>
      </w:r>
      <w:r w:rsidR="004D05B9">
        <w:rPr>
          <w:rFonts w:eastAsia="Times New Roman"/>
        </w:rPr>
        <w:t xml:space="preserve">. </w:t>
      </w:r>
    </w:p>
    <w:p w:rsidR="0097142E" w:rsidRPr="005E27D8" w:rsidRDefault="0097142E" w:rsidP="003D70FB">
      <w:pPr>
        <w:numPr>
          <w:ilvl w:val="0"/>
          <w:numId w:val="31"/>
        </w:numPr>
        <w:rPr>
          <w:rFonts w:eastAsia="Times New Roman"/>
        </w:rPr>
      </w:pPr>
      <w:r w:rsidRPr="0097142E">
        <w:rPr>
          <w:rFonts w:eastAsia="Times New Roman"/>
        </w:rPr>
        <w:t>The nature of the New England electric power system is undergoing major change as the system evolves from a capacity</w:t>
      </w:r>
      <w:r w:rsidR="004333B3">
        <w:rPr>
          <w:rFonts w:eastAsia="Times New Roman"/>
        </w:rPr>
        <w:t>-</w:t>
      </w:r>
      <w:r w:rsidRPr="0097142E">
        <w:rPr>
          <w:rFonts w:eastAsia="Times New Roman"/>
        </w:rPr>
        <w:t>limited system to an energy</w:t>
      </w:r>
      <w:r w:rsidR="004333B3">
        <w:rPr>
          <w:rFonts w:eastAsia="Times New Roman"/>
        </w:rPr>
        <w:t>-</w:t>
      </w:r>
      <w:r w:rsidRPr="0097142E">
        <w:rPr>
          <w:rFonts w:eastAsia="Times New Roman"/>
        </w:rPr>
        <w:t>limited system.</w:t>
      </w:r>
    </w:p>
    <w:p w:rsidR="001D4B69" w:rsidRDefault="00834658" w:rsidP="00DA4E63">
      <w:pPr>
        <w:rPr>
          <w:rFonts w:asciiTheme="majorHAnsi" w:eastAsia="Times New Roman" w:hAnsiTheme="majorHAnsi"/>
        </w:rPr>
      </w:pPr>
      <w:r>
        <w:t>Through an open process, regional stakeholders and the ISO are addressing these issues, which could include further infrastructure development, as well as changes to the wholesale electricity market design and the system planning process. Through current and planned activities, the region is working toward meeting all challenges for planning and operating the system in accordance with all requirements.</w:t>
      </w:r>
      <w:r w:rsidR="00E37C7A" w:rsidDel="00E37C7A">
        <w:rPr>
          <w:rFonts w:asciiTheme="majorHAnsi" w:eastAsia="Times New Roman" w:hAnsiTheme="majorHAnsi"/>
        </w:rPr>
        <w:t xml:space="preserve"> </w:t>
      </w:r>
      <w:bookmarkStart w:id="50" w:name="_Toc201669910"/>
      <w:bookmarkStart w:id="51" w:name="_Toc201670756"/>
      <w:bookmarkStart w:id="52" w:name="_Toc201671447"/>
      <w:bookmarkStart w:id="53" w:name="RANGE!A26"/>
      <w:bookmarkStart w:id="54" w:name="_Toc271552420"/>
      <w:bookmarkStart w:id="55" w:name="_Toc303086947"/>
      <w:bookmarkStart w:id="56" w:name="_Ref262120425"/>
      <w:bookmarkEnd w:id="33"/>
      <w:bookmarkEnd w:id="34"/>
      <w:bookmarkEnd w:id="35"/>
      <w:bookmarkEnd w:id="36"/>
      <w:bookmarkEnd w:id="37"/>
      <w:bookmarkEnd w:id="38"/>
      <w:bookmarkEnd w:id="50"/>
      <w:bookmarkEnd w:id="51"/>
      <w:bookmarkEnd w:id="52"/>
      <w:bookmarkEnd w:id="53"/>
      <w:bookmarkEnd w:id="54"/>
      <w:bookmarkEnd w:id="55"/>
      <w:bookmarkEnd w:id="56"/>
    </w:p>
    <w:p w:rsidR="00F273F3" w:rsidRPr="00F273F3" w:rsidRDefault="00F273F3" w:rsidP="00F273F3">
      <w:pPr>
        <w:pStyle w:val="Heading1"/>
      </w:pPr>
      <w:r w:rsidRPr="00F273F3">
        <w:lastRenderedPageBreak/>
        <w:br/>
      </w:r>
      <w:bookmarkStart w:id="57" w:name="_Toc484973048"/>
      <w:bookmarkStart w:id="58" w:name="_Toc490323002"/>
      <w:r w:rsidRPr="00F273F3">
        <w:t>Overview of RSP1</w:t>
      </w:r>
      <w:r w:rsidR="009C4062">
        <w:t>7</w:t>
      </w:r>
      <w:r w:rsidRPr="00F273F3">
        <w:t>, the Power System,</w:t>
      </w:r>
      <w:r w:rsidRPr="00F273F3">
        <w:br/>
        <w:t>and Regional System Planning</w:t>
      </w:r>
      <w:bookmarkEnd w:id="57"/>
      <w:bookmarkEnd w:id="58"/>
      <w:r w:rsidRPr="00F273F3">
        <w:t xml:space="preserve"> </w:t>
      </w:r>
    </w:p>
    <w:p w:rsidR="00F273F3" w:rsidRPr="00F273F3" w:rsidRDefault="00F273F3" w:rsidP="00F273F3">
      <w:r w:rsidRPr="00F273F3">
        <w:t>As the Regional Transmission Organization (RTO) for New England, ISO New England (ISO) operates the region’s electric power system, administers the region’s competitive wholesale electricity markets, and conducts the regional system planning process, which includes coordinating planning efforts with neighboring areas. The main objectives of the ISO’s system planning process are as follows:</w:t>
      </w:r>
    </w:p>
    <w:p w:rsidR="00F273F3" w:rsidRPr="00F273F3" w:rsidRDefault="00F273F3" w:rsidP="003D70FB">
      <w:pPr>
        <w:numPr>
          <w:ilvl w:val="0"/>
          <w:numId w:val="45"/>
        </w:numPr>
        <w:spacing w:after="120"/>
        <w:ind w:left="720"/>
      </w:pPr>
      <w:r w:rsidRPr="00F273F3">
        <w:t>Identify system needs and potential solutions for ensuring the short-term and long-term reliability of the system</w:t>
      </w:r>
    </w:p>
    <w:p w:rsidR="00F273F3" w:rsidRPr="00F273F3" w:rsidRDefault="00F273F3" w:rsidP="003D70FB">
      <w:pPr>
        <w:numPr>
          <w:ilvl w:val="0"/>
          <w:numId w:val="45"/>
        </w:numPr>
        <w:spacing w:after="120"/>
        <w:ind w:left="720"/>
      </w:pPr>
      <w:r w:rsidRPr="00F273F3">
        <w:t>Facilitate the efficient operation of the markets through resource additions and transmission upgrades that serve to reliably move power from various internal and external sources to the region’s load centers</w:t>
      </w:r>
      <w:r w:rsidRPr="00F273F3">
        <w:rPr>
          <w:vertAlign w:val="superscript"/>
        </w:rPr>
        <w:footnoteReference w:id="29"/>
      </w:r>
    </w:p>
    <w:p w:rsidR="00F273F3" w:rsidRPr="00F273F3" w:rsidRDefault="00F273F3" w:rsidP="003D70FB">
      <w:pPr>
        <w:numPr>
          <w:ilvl w:val="0"/>
          <w:numId w:val="45"/>
        </w:numPr>
        <w:ind w:left="720"/>
      </w:pPr>
      <w:r w:rsidRPr="00F273F3">
        <w:t>Provide information to regional stakeholders, who can further develop system improvements</w:t>
      </w:r>
    </w:p>
    <w:p w:rsidR="00F273F3" w:rsidRPr="00F273F3" w:rsidRDefault="00F273F3" w:rsidP="00F273F3">
      <w:r w:rsidRPr="00F273F3">
        <w:t xml:space="preserve">To meet these objectives and in compliance with all portions of the ISO’s </w:t>
      </w:r>
      <w:r w:rsidRPr="00F273F3">
        <w:rPr>
          <w:i/>
        </w:rPr>
        <w:t xml:space="preserve">Transmission, Markets, and Services Tariff </w:t>
      </w:r>
      <w:r w:rsidRPr="00F273F3">
        <w:t xml:space="preserve">(ISO tariff), including the </w:t>
      </w:r>
      <w:r w:rsidRPr="00F273F3">
        <w:rPr>
          <w:i/>
        </w:rPr>
        <w:t>Open Access Transmission Tariff</w:t>
      </w:r>
      <w:r w:rsidRPr="00F273F3">
        <w:t xml:space="preserve"> (OATT), the </w:t>
      </w:r>
      <w:r w:rsidRPr="00F273F3">
        <w:rPr>
          <w:i/>
        </w:rPr>
        <w:t>2017 Regional System Plan</w:t>
      </w:r>
      <w:r w:rsidRPr="00F273F3">
        <w:t xml:space="preserve"> (RSP17) describes the ISO’s ongoing system resource and transmission planning activities covering the 10-year period to 2026.</w:t>
      </w:r>
      <w:r w:rsidRPr="00F273F3">
        <w:rPr>
          <w:vertAlign w:val="superscript"/>
        </w:rPr>
        <w:footnoteReference w:id="30"/>
      </w:r>
      <w:r w:rsidRPr="00F273F3">
        <w:t xml:space="preserve"> </w:t>
      </w:r>
    </w:p>
    <w:p w:rsidR="00F273F3" w:rsidRPr="00F273F3" w:rsidRDefault="00F273F3" w:rsidP="00F273F3">
      <w:r w:rsidRPr="00F273F3">
        <w:t xml:space="preserve">This section provides an overview of RSP17 and the ISO’s regional system planning process required by the ISO’s tariff. For background, the section also provides highlights of the power system and the wholesale electricity market structure in New England. A summary of the various regional subdivisions the ISO uses in system planning studies is also provided. </w:t>
      </w:r>
    </w:p>
    <w:p w:rsidR="00F273F3" w:rsidRPr="00F273F3" w:rsidRDefault="00F273F3" w:rsidP="00F273F3">
      <w:r w:rsidRPr="00F273F3">
        <w:t>Throughout RSP17, italicized terms indicate that a definition for the term is included within the text or footnotes; links to other documents that more fully define the more complex terms are provided. Links to relevant technical reports; presentations; and other, more detailed materials also are included throughout the report. All website addresses are current as of the time of publication. Appendix A is a list of acronyms and abbreviations used in RSP17.</w:t>
      </w:r>
      <w:r w:rsidRPr="00F273F3">
        <w:rPr>
          <w:szCs w:val="36"/>
        </w:rPr>
        <w:t xml:space="preserve"> </w:t>
      </w:r>
    </w:p>
    <w:p w:rsidR="00F273F3" w:rsidRPr="00F273F3" w:rsidRDefault="00F273F3" w:rsidP="00E64DE8">
      <w:pPr>
        <w:pStyle w:val="Heading2"/>
      </w:pPr>
      <w:bookmarkStart w:id="59" w:name="_Ref364760449"/>
      <w:bookmarkStart w:id="60" w:name="_Toc396807600"/>
      <w:bookmarkStart w:id="61" w:name="_Toc484973049"/>
      <w:bookmarkStart w:id="62" w:name="_Toc490323003"/>
      <w:r w:rsidRPr="00F273F3">
        <w:t>Overview of the System Planning Process and RSP1</w:t>
      </w:r>
      <w:bookmarkEnd w:id="59"/>
      <w:bookmarkEnd w:id="60"/>
      <w:r w:rsidRPr="00F273F3">
        <w:t>7</w:t>
      </w:r>
      <w:bookmarkEnd w:id="61"/>
      <w:bookmarkEnd w:id="62"/>
    </w:p>
    <w:p w:rsidR="00F273F3" w:rsidRPr="00F273F3" w:rsidRDefault="00F273F3" w:rsidP="00F273F3">
      <w:r w:rsidRPr="00F273F3">
        <w:t xml:space="preserve">For maintaining the reliability of the New England power system, while promoting the operation of efficient wholesale electricity markets, the ISO and its stakeholders analyze the system and its components as a whole. They account for the performance of these individual elements and the many </w:t>
      </w:r>
      <w:r w:rsidRPr="00F273F3">
        <w:lastRenderedPageBreak/>
        <w:t xml:space="preserve">varied and complex interactions that occur among the components that affect the overall performance of the system. </w:t>
      </w:r>
    </w:p>
    <w:p w:rsidR="00F273F3" w:rsidRPr="00F273F3" w:rsidRDefault="00F273F3" w:rsidP="00F273F3">
      <w:r w:rsidRPr="00F273F3">
        <w:t xml:space="preserve">Using information on defined system needs, a variety of established signals from ISO-administered markets, and other factors, stakeholders responsible for developing needed resources can assess their options for satisfying these needs and commit to developing market resource projects. For example, stakeholders can build a new power plant to provide additional system capacity and produce electric </w:t>
      </w:r>
      <w:r w:rsidRPr="00C76C35">
        <w:t xml:space="preserve">energy. Similarly, market participants can provide </w:t>
      </w:r>
      <w:r w:rsidRPr="00C76C35">
        <w:rPr>
          <w:i/>
        </w:rPr>
        <w:t xml:space="preserve">active demand resources </w:t>
      </w:r>
      <w:r w:rsidRPr="00C76C35">
        <w:t xml:space="preserve">and </w:t>
      </w:r>
      <w:r w:rsidRPr="00C76C35">
        <w:rPr>
          <w:i/>
        </w:rPr>
        <w:t>passive demand resources</w:t>
      </w:r>
      <w:r w:rsidRPr="00F273F3">
        <w:t xml:space="preserve"> (PDRs) to meet capacity needs and reduce the amount of electric energy used.</w:t>
      </w:r>
      <w:r w:rsidRPr="00F273F3">
        <w:rPr>
          <w:vertAlign w:val="superscript"/>
        </w:rPr>
        <w:footnoteReference w:id="31"/>
      </w:r>
      <w:r w:rsidRPr="00F273F3">
        <w:t xml:space="preserve"> They also can develop and independently fund transmission upgrades to interconnect a merchant transmission facility (MTF) to the ISO system</w:t>
      </w:r>
      <w:r w:rsidRPr="00F273F3">
        <w:rPr>
          <w:vertAlign w:val="superscript"/>
        </w:rPr>
        <w:footnoteReference w:id="32"/>
      </w:r>
      <w:r w:rsidRPr="00F273F3">
        <w:t xml:space="preserve"> These upgrades and supply and demand resource alternatives could result in modifying, offsetting, or deferring proposed regulated transmission upgrades. </w:t>
      </w:r>
    </w:p>
    <w:p w:rsidR="00F273F3" w:rsidRDefault="00F273F3" w:rsidP="00F273F3">
      <w:r w:rsidRPr="00F273F3">
        <w:t>To the extent that stakeholder responses to market signals are not forthcoming or adequate to meet identified system needs, the planning process requires the ISO either to acquire transmission solutions through a competitive solicitation or to work with incumbent transmission owners to develop their own transmission solutions, depending on the identified year of need. All transmission upgrades must meet reliability performance requirements.</w:t>
      </w:r>
    </w:p>
    <w:p w:rsidR="00F273F3" w:rsidRPr="00F273F3" w:rsidRDefault="00F273F3" w:rsidP="00E64DE8">
      <w:pPr>
        <w:pStyle w:val="Heading3"/>
      </w:pPr>
      <w:bookmarkStart w:id="63" w:name="_Ref418856844"/>
      <w:bookmarkStart w:id="64" w:name="_Toc484973050"/>
      <w:bookmarkStart w:id="65" w:name="_Toc490323004"/>
      <w:r w:rsidRPr="00F273F3">
        <w:t>Types of Transmission Upgrades</w:t>
      </w:r>
      <w:bookmarkEnd w:id="63"/>
      <w:bookmarkEnd w:id="64"/>
      <w:bookmarkEnd w:id="65"/>
    </w:p>
    <w:p w:rsidR="00F273F3" w:rsidRPr="00F273F3" w:rsidRDefault="00F273F3" w:rsidP="00F273F3">
      <w:r w:rsidRPr="00F273F3">
        <w:t>Attachment N of the OATT, “Procedures for Regional System Plan Upgrades,” defines several categories of transmission upgrades that can be developed to address various types of defined system needs, such as reliability and market efficiency.</w:t>
      </w:r>
      <w:r w:rsidRPr="00F273F3">
        <w:rPr>
          <w:vertAlign w:val="superscript"/>
        </w:rPr>
        <w:footnoteReference w:id="33"/>
      </w:r>
      <w:r w:rsidRPr="00F273F3">
        <w:t xml:space="preserve"> Transmission upgrades resulting from system changes proposed by individual proponents include, for example, generator-interconnection-related upgrades and e</w:t>
      </w:r>
      <w:r w:rsidRPr="00F273F3">
        <w:rPr>
          <w:color w:val="000000"/>
        </w:rPr>
        <w:t>lective transmission upgrades (</w:t>
      </w:r>
      <w:r w:rsidRPr="00F273F3">
        <w:t xml:space="preserve">ETUs). Section </w:t>
      </w:r>
      <w:r w:rsidR="002B0664">
        <w:fldChar w:fldCharType="begin"/>
      </w:r>
      <w:r w:rsidR="002B0664">
        <w:instrText xml:space="preserve"> REF _Ref485718515 \r \h </w:instrText>
      </w:r>
      <w:r w:rsidR="002B0664">
        <w:fldChar w:fldCharType="separate"/>
      </w:r>
      <w:r w:rsidR="00314781">
        <w:t>5.5</w:t>
      </w:r>
      <w:r w:rsidR="002B0664">
        <w:fldChar w:fldCharType="end"/>
      </w:r>
      <w:r w:rsidRPr="00F273F3">
        <w:t xml:space="preserve"> discusses specific transmission upgrades.</w:t>
      </w:r>
    </w:p>
    <w:p w:rsidR="00F273F3" w:rsidRPr="00E64DE8" w:rsidRDefault="00F273F3" w:rsidP="00E64DE8">
      <w:pPr>
        <w:pStyle w:val="Heading4"/>
      </w:pPr>
      <w:r w:rsidRPr="00E64DE8">
        <w:t>Reliability Transmission Upgrades</w:t>
      </w:r>
    </w:p>
    <w:p w:rsidR="00F273F3" w:rsidRPr="00F273F3" w:rsidRDefault="00F273F3" w:rsidP="00F273F3">
      <w:r w:rsidRPr="00F273F3">
        <w:rPr>
          <w:i/>
        </w:rPr>
        <w:t>Reliability transmission upgrades</w:t>
      </w:r>
      <w:r w:rsidRPr="00F273F3">
        <w:t xml:space="preserve"> (RTUs) are necessary to ensure the continued reliability of the New England transmission system, in compliance with applicable reliability standards. An RTU also may provide market-efficiency benefits. To identify the transmission system facilities required to maintain reliability and system performance, the ISO evaluates the following factors using reasonable assumptions for forecasted load and the availability of generation and transmission facilities:</w:t>
      </w:r>
    </w:p>
    <w:p w:rsidR="00F273F3" w:rsidRPr="00F273F3" w:rsidRDefault="00F273F3" w:rsidP="003D70FB">
      <w:pPr>
        <w:numPr>
          <w:ilvl w:val="0"/>
          <w:numId w:val="43"/>
        </w:numPr>
        <w:spacing w:after="120"/>
        <w:rPr>
          <w:color w:val="000000"/>
        </w:rPr>
      </w:pPr>
      <w:r w:rsidRPr="00F273F3">
        <w:rPr>
          <w:color w:val="000000"/>
        </w:rPr>
        <w:t xml:space="preserve">Known changes in available supply resources and transmission facilities, such as anticipated transmission enhancements, considering elective transmission upgrades and merchant </w:t>
      </w:r>
      <w:r w:rsidRPr="002B0664">
        <w:rPr>
          <w:color w:val="000000"/>
        </w:rPr>
        <w:t xml:space="preserve">transmission facilities </w:t>
      </w:r>
      <w:r w:rsidRPr="002B0664">
        <w:t xml:space="preserve">(see Section </w:t>
      </w:r>
      <w:r w:rsidR="002B0664" w:rsidRPr="002B0664">
        <w:fldChar w:fldCharType="begin"/>
      </w:r>
      <w:r w:rsidR="002B0664" w:rsidRPr="002B0664">
        <w:instrText xml:space="preserve"> REF _Ref423460892 \r \h </w:instrText>
      </w:r>
      <w:r w:rsidR="002B0664">
        <w:instrText xml:space="preserve"> \* MERGEFORMAT </w:instrText>
      </w:r>
      <w:r w:rsidR="002B0664" w:rsidRPr="002B0664">
        <w:fldChar w:fldCharType="separate"/>
      </w:r>
      <w:r w:rsidR="00314781">
        <w:t>2.1.1.5</w:t>
      </w:r>
      <w:r w:rsidR="002B0664" w:rsidRPr="002B0664">
        <w:fldChar w:fldCharType="end"/>
      </w:r>
      <w:r w:rsidRPr="002B0664">
        <w:t>)</w:t>
      </w:r>
      <w:r w:rsidRPr="002B0664">
        <w:rPr>
          <w:color w:val="000000"/>
        </w:rPr>
        <w:t>; the addition of demand resources or new or</w:t>
      </w:r>
      <w:r w:rsidRPr="00F273F3">
        <w:rPr>
          <w:color w:val="000000"/>
        </w:rPr>
        <w:t xml:space="preserve"> </w:t>
      </w:r>
      <w:r w:rsidRPr="00F273F3">
        <w:rPr>
          <w:color w:val="000000"/>
        </w:rPr>
        <w:lastRenderedPageBreak/>
        <w:t xml:space="preserve">previously unavailable generators; generator retirements; and maintenance schedules, forced outages, and other unavailability factors </w:t>
      </w:r>
    </w:p>
    <w:p w:rsidR="00F273F3" w:rsidRPr="00F273F3" w:rsidRDefault="00F273F3" w:rsidP="003D70FB">
      <w:pPr>
        <w:numPr>
          <w:ilvl w:val="0"/>
          <w:numId w:val="40"/>
        </w:numPr>
        <w:spacing w:after="120"/>
        <w:rPr>
          <w:color w:val="000000"/>
        </w:rPr>
      </w:pPr>
      <w:r w:rsidRPr="00F273F3">
        <w:rPr>
          <w:color w:val="000000"/>
        </w:rPr>
        <w:t>Forecasted load, which accounts for growth, reductions, and redistribution throughout the grid</w:t>
      </w:r>
    </w:p>
    <w:p w:rsidR="00F273F3" w:rsidRPr="00F273F3" w:rsidRDefault="00F273F3" w:rsidP="003D70FB">
      <w:pPr>
        <w:numPr>
          <w:ilvl w:val="0"/>
          <w:numId w:val="40"/>
        </w:numPr>
        <w:spacing w:after="120"/>
        <w:rPr>
          <w:color w:val="000000"/>
        </w:rPr>
      </w:pPr>
      <w:r w:rsidRPr="00F273F3">
        <w:rPr>
          <w:color w:val="000000"/>
        </w:rPr>
        <w:t>Acceptable stability response</w:t>
      </w:r>
    </w:p>
    <w:p w:rsidR="00F273F3" w:rsidRPr="00F273F3" w:rsidRDefault="00F273F3" w:rsidP="003D70FB">
      <w:pPr>
        <w:numPr>
          <w:ilvl w:val="0"/>
          <w:numId w:val="40"/>
        </w:numPr>
        <w:spacing w:after="120"/>
        <w:rPr>
          <w:color w:val="000000"/>
        </w:rPr>
      </w:pPr>
      <w:r w:rsidRPr="00F273F3">
        <w:rPr>
          <w:color w:val="000000"/>
        </w:rPr>
        <w:t>Acceptable short-circuit performance</w:t>
      </w:r>
    </w:p>
    <w:p w:rsidR="00F273F3" w:rsidRPr="00F273F3" w:rsidRDefault="00F273F3" w:rsidP="003D70FB">
      <w:pPr>
        <w:numPr>
          <w:ilvl w:val="0"/>
          <w:numId w:val="40"/>
        </w:numPr>
        <w:spacing w:after="120"/>
        <w:rPr>
          <w:color w:val="000000"/>
        </w:rPr>
      </w:pPr>
      <w:r w:rsidRPr="00F273F3">
        <w:rPr>
          <w:color w:val="000000"/>
        </w:rPr>
        <w:t>Acceptable voltage levels</w:t>
      </w:r>
    </w:p>
    <w:p w:rsidR="00F273F3" w:rsidRPr="00F273F3" w:rsidRDefault="00F273F3" w:rsidP="003D70FB">
      <w:pPr>
        <w:numPr>
          <w:ilvl w:val="0"/>
          <w:numId w:val="40"/>
        </w:numPr>
        <w:spacing w:after="120"/>
        <w:rPr>
          <w:color w:val="000000"/>
        </w:rPr>
      </w:pPr>
      <w:r w:rsidRPr="00F273F3">
        <w:rPr>
          <w:color w:val="000000"/>
        </w:rPr>
        <w:t>Adequate thermal capability</w:t>
      </w:r>
    </w:p>
    <w:p w:rsidR="00F273F3" w:rsidRPr="00F273F3" w:rsidRDefault="00F273F3" w:rsidP="003D70FB">
      <w:pPr>
        <w:numPr>
          <w:ilvl w:val="0"/>
          <w:numId w:val="40"/>
        </w:numPr>
        <w:rPr>
          <w:color w:val="000000"/>
        </w:rPr>
      </w:pPr>
      <w:r w:rsidRPr="00F273F3">
        <w:rPr>
          <w:color w:val="000000"/>
        </w:rPr>
        <w:t>Acceptable system operability and responses (e.g., automatic operations, voltage changes)</w:t>
      </w:r>
    </w:p>
    <w:p w:rsidR="00F273F3" w:rsidRPr="00F273F3" w:rsidRDefault="00F273F3" w:rsidP="00E64DE8">
      <w:pPr>
        <w:pStyle w:val="Heading4"/>
      </w:pPr>
      <w:bookmarkStart w:id="66" w:name="_Ref418965112"/>
      <w:r w:rsidRPr="00F273F3">
        <w:t>Market Efficiency Transmission Upgrades</w:t>
      </w:r>
      <w:bookmarkEnd w:id="66"/>
    </w:p>
    <w:p w:rsidR="00F273F3" w:rsidRPr="00F273F3" w:rsidRDefault="00F273F3" w:rsidP="00F273F3">
      <w:r w:rsidRPr="00F273F3">
        <w:rPr>
          <w:i/>
        </w:rPr>
        <w:t>Market efficiency transmission upgrades</w:t>
      </w:r>
      <w:r w:rsidRPr="00F273F3">
        <w:t xml:space="preserve"> (METUs) are primarily designed to reduce the total net production cost to supply the system load. The ISO categorizes a proposed transmission upgrade as a METU when it determines that the net present value of the net savings in the total cost to supply system load with and without the METU is greater than the net present value of the carrying cost of the identified upgrade. Analyses can include historical information from market reports and special studies, for example, and they report on cumulative net present value annually over the study period.</w:t>
      </w:r>
    </w:p>
    <w:p w:rsidR="00F273F3" w:rsidRPr="00E64DE8" w:rsidRDefault="00F273F3" w:rsidP="00E64DE8">
      <w:pPr>
        <w:pStyle w:val="Heading4"/>
      </w:pPr>
      <w:r w:rsidRPr="00E64DE8">
        <w:t>Public Policy Transmission Upgrades</w:t>
      </w:r>
    </w:p>
    <w:p w:rsidR="00F273F3" w:rsidRPr="00F273F3" w:rsidRDefault="00F273F3" w:rsidP="00F273F3">
      <w:r w:rsidRPr="00F273F3">
        <w:t xml:space="preserve">A </w:t>
      </w:r>
      <w:r w:rsidRPr="00F273F3">
        <w:rPr>
          <w:rFonts w:asciiTheme="majorHAnsi" w:hAnsiTheme="majorHAnsi"/>
          <w:i/>
        </w:rPr>
        <w:t>pu</w:t>
      </w:r>
      <w:r w:rsidRPr="00F273F3">
        <w:rPr>
          <w:i/>
        </w:rPr>
        <w:t>blic policy transmission upgrade</w:t>
      </w:r>
      <w:r w:rsidRPr="00F273F3">
        <w:t xml:space="preserve"> (PPTU) is an addition or upgrade designed to meet transmission needs driven by public policy requirements. The planning process for PPTUs includes opportunities for input from the New England States Committee on Electricity (NESCOE; see Section </w:t>
      </w:r>
      <w:r w:rsidRPr="00F273F3">
        <w:fldChar w:fldCharType="begin"/>
      </w:r>
      <w:r w:rsidRPr="00F273F3">
        <w:instrText xml:space="preserve"> REF _Ref419639926 \r \h  \* MERGEFORMAT </w:instrText>
      </w:r>
      <w:r w:rsidRPr="00F273F3">
        <w:fldChar w:fldCharType="separate"/>
      </w:r>
      <w:r w:rsidR="00314781">
        <w:t>10.2.1</w:t>
      </w:r>
      <w:r w:rsidRPr="00F273F3">
        <w:fldChar w:fldCharType="end"/>
      </w:r>
      <w:r w:rsidRPr="00F273F3">
        <w:t xml:space="preserve">) and the Planning Advisory Committee (PAC; see Section </w:t>
      </w:r>
      <w:r w:rsidRPr="00F273F3">
        <w:fldChar w:fldCharType="begin"/>
      </w:r>
      <w:r w:rsidRPr="00F273F3">
        <w:instrText xml:space="preserve"> REF _Ref419640002 \r \h  \* MERGEFORMAT </w:instrText>
      </w:r>
      <w:r w:rsidRPr="00F273F3">
        <w:fldChar w:fldCharType="separate"/>
      </w:r>
      <w:r w:rsidR="00314781">
        <w:t>2.1.5</w:t>
      </w:r>
      <w:r w:rsidRPr="00F273F3">
        <w:fldChar w:fldCharType="end"/>
      </w:r>
      <w:r w:rsidRPr="00F273F3">
        <w:t xml:space="preserve">). The ISO has initiated the public policy planning </w:t>
      </w:r>
      <w:r w:rsidRPr="00FB3D05">
        <w:t xml:space="preserve">process, as set out in Attachment K, in accordance with its compliance filing for FERC Order No. 1000 (see </w:t>
      </w:r>
      <w:r w:rsidR="00711D32">
        <w:t xml:space="preserve">Section </w:t>
      </w:r>
      <w:r w:rsidR="00711D32">
        <w:fldChar w:fldCharType="begin"/>
      </w:r>
      <w:r w:rsidR="00711D32">
        <w:instrText xml:space="preserve"> REF _Ref485807737 \r \h </w:instrText>
      </w:r>
      <w:r w:rsidR="00711D32">
        <w:fldChar w:fldCharType="separate"/>
      </w:r>
      <w:r w:rsidR="00711D32">
        <w:t>5.3</w:t>
      </w:r>
      <w:r w:rsidR="00711D32">
        <w:fldChar w:fldCharType="end"/>
      </w:r>
      <w:r w:rsidR="00EC65F1" w:rsidRPr="00387034">
        <w:fldChar w:fldCharType="begin"/>
      </w:r>
      <w:r w:rsidR="00EC65F1" w:rsidRPr="00387034">
        <w:instrText xml:space="preserve"> REF _Ref418860292 \r \h </w:instrText>
      </w:r>
      <w:r w:rsidR="00FB3D05" w:rsidRPr="00387034">
        <w:instrText xml:space="preserve"> \* MERGEFORMAT </w:instrText>
      </w:r>
      <w:r w:rsidR="00EC65F1" w:rsidRPr="00387034">
        <w:fldChar w:fldCharType="end"/>
      </w:r>
      <w:r w:rsidRPr="00387034">
        <w:t>).</w:t>
      </w:r>
      <w:r w:rsidRPr="00387034">
        <w:rPr>
          <w:vertAlign w:val="superscript"/>
        </w:rPr>
        <w:footnoteReference w:id="34"/>
      </w:r>
    </w:p>
    <w:p w:rsidR="00F273F3" w:rsidRPr="00F273F3" w:rsidRDefault="00F273F3" w:rsidP="00E64DE8">
      <w:pPr>
        <w:pStyle w:val="Heading4"/>
      </w:pPr>
      <w:r w:rsidRPr="00F273F3">
        <w:t>Generator Interconnection Upgrades and Generator-Interconnection-Related Upgrades</w:t>
      </w:r>
    </w:p>
    <w:p w:rsidR="00F273F3" w:rsidRPr="00F273F3" w:rsidRDefault="00F273F3" w:rsidP="00F273F3">
      <w:r w:rsidRPr="00F273F3">
        <w:t xml:space="preserve">A </w:t>
      </w:r>
      <w:r w:rsidRPr="00F273F3">
        <w:rPr>
          <w:i/>
        </w:rPr>
        <w:t>generator interconnection upgrade</w:t>
      </w:r>
      <w:r w:rsidRPr="00F273F3">
        <w:t xml:space="preserve"> is an addition or modification to the New England transmission system for interconnecting a new or existing generating unit whose capability to provide energy or capacity is materially changing and increasing, whether or not the interconnection is for meeting the Network Capability Interconnection Standard or the Capacity Capability Interconnection Standard.</w:t>
      </w:r>
      <w:r w:rsidRPr="00F273F3">
        <w:rPr>
          <w:vertAlign w:val="superscript"/>
        </w:rPr>
        <w:footnoteReference w:id="35"/>
      </w:r>
      <w:r w:rsidRPr="00F273F3">
        <w:t xml:space="preserve"> </w:t>
      </w:r>
      <w:r w:rsidRPr="00F273F3">
        <w:lastRenderedPageBreak/>
        <w:t xml:space="preserve">Costs of </w:t>
      </w:r>
      <w:r w:rsidRPr="00F273F3">
        <w:rPr>
          <w:i/>
        </w:rPr>
        <w:t>generator-interconnection-related upgrades</w:t>
      </w:r>
      <w:r w:rsidRPr="00F273F3">
        <w:t xml:space="preserve"> typically are allocated to the generator owner in accordance with the OATT.</w:t>
      </w:r>
    </w:p>
    <w:p w:rsidR="00F273F3" w:rsidRPr="00F273F3" w:rsidRDefault="00F273F3" w:rsidP="00E64DE8">
      <w:pPr>
        <w:pStyle w:val="Heading4"/>
      </w:pPr>
      <w:bookmarkStart w:id="67" w:name="_Ref423460892"/>
      <w:r w:rsidRPr="00F273F3">
        <w:t>Elective Transmission Upgrades and Merchant Transmission Facilities</w:t>
      </w:r>
      <w:bookmarkEnd w:id="67"/>
    </w:p>
    <w:p w:rsidR="001A1874" w:rsidRPr="003043A5" w:rsidRDefault="00F273F3" w:rsidP="003043A5">
      <w:pPr>
        <w:rPr>
          <w:color w:val="000000"/>
          <w:highlight w:val="green"/>
        </w:rPr>
      </w:pPr>
      <w:r w:rsidRPr="00F273F3">
        <w:rPr>
          <w:color w:val="000000"/>
        </w:rPr>
        <w:t xml:space="preserve">An </w:t>
      </w:r>
      <w:r w:rsidRPr="00F273F3">
        <w:rPr>
          <w:i/>
          <w:color w:val="000000"/>
        </w:rPr>
        <w:t>elective transmission upgrade</w:t>
      </w:r>
      <w:r w:rsidRPr="00F273F3">
        <w:rPr>
          <w:color w:val="000000"/>
        </w:rPr>
        <w:t xml:space="preserve"> is an interconnection or upgrade to the pool transmission facilities (PTFs) that are part of the New England transmission system and subject to the ISO’s operational control pursuant to an operating agreement.</w:t>
      </w:r>
      <w:r w:rsidRPr="00F273F3">
        <w:rPr>
          <w:color w:val="000000"/>
          <w:vertAlign w:val="superscript"/>
        </w:rPr>
        <w:footnoteReference w:id="36"/>
      </w:r>
      <w:r w:rsidRPr="00F273F3">
        <w:rPr>
          <w:color w:val="000000"/>
        </w:rPr>
        <w:t xml:space="preserve"> ETUs are independently developed facilities funded by one or more entities that have agreed to pay for all the costs of the upgrade and thus assume the full market risk of development.</w:t>
      </w:r>
      <w:r w:rsidRPr="00F273F3">
        <w:rPr>
          <w:color w:val="000000"/>
          <w:vertAlign w:val="superscript"/>
        </w:rPr>
        <w:footnoteReference w:id="37"/>
      </w:r>
    </w:p>
    <w:p w:rsidR="00F273F3" w:rsidRPr="00F273F3" w:rsidRDefault="00F273F3" w:rsidP="00F273F3">
      <w:pPr>
        <w:rPr>
          <w:color w:val="000000"/>
        </w:rPr>
      </w:pPr>
      <w:r w:rsidRPr="00F273F3">
        <w:rPr>
          <w:color w:val="000000"/>
        </w:rPr>
        <w:t xml:space="preserve">The ETU process is the mechanism available to integrate new merchant transmission facilities into the regional transmission system. </w:t>
      </w:r>
      <w:r w:rsidRPr="00F273F3">
        <w:rPr>
          <w:rFonts w:eastAsia="Calibri"/>
          <w:color w:val="000000"/>
        </w:rPr>
        <w:t xml:space="preserve">The process provides an option for project sponsors to propose, develop, </w:t>
      </w:r>
      <w:r w:rsidRPr="00A01253">
        <w:rPr>
          <w:rFonts w:eastAsia="Calibri"/>
          <w:color w:val="000000"/>
        </w:rPr>
        <w:t>and fund transmission development within New England or connecting to neighboring systems.</w:t>
      </w:r>
      <w:r w:rsidR="00C2343B" w:rsidRPr="00A01253">
        <w:rPr>
          <w:rStyle w:val="FootnoteReference"/>
          <w:rFonts w:eastAsia="Calibri"/>
          <w:color w:val="000000"/>
        </w:rPr>
        <w:footnoteReference w:id="38"/>
      </w:r>
      <w:r w:rsidRPr="00A01253">
        <w:rPr>
          <w:rFonts w:eastAsia="Calibri"/>
          <w:color w:val="000000"/>
        </w:rPr>
        <w:t xml:space="preserve"> Such</w:t>
      </w:r>
      <w:r w:rsidRPr="00F273F3">
        <w:rPr>
          <w:rFonts w:eastAsia="Calibri"/>
          <w:color w:val="000000"/>
        </w:rPr>
        <w:t xml:space="preserve"> transmission may result in strengthening electrically weak portions of the regional transmission network, enhancing generator deliverability, or facilitating the integration of renewable resources. </w:t>
      </w:r>
    </w:p>
    <w:p w:rsidR="00F273F3" w:rsidRPr="00F273F3" w:rsidRDefault="00F273F3" w:rsidP="00F273F3">
      <w:r w:rsidRPr="00F273F3">
        <w:t xml:space="preserve">The ETU interconnection procedures have requirements and obligations similar to those of generators, so that ETUs can establish and maintain a meaningful position in the ISO Interconnection </w:t>
      </w:r>
      <w:r w:rsidR="002B0664">
        <w:t xml:space="preserve">Request </w:t>
      </w:r>
      <w:r w:rsidRPr="00F273F3">
        <w:t>Queue (the queue).</w:t>
      </w:r>
      <w:r w:rsidRPr="00F273F3">
        <w:rPr>
          <w:vertAlign w:val="superscript"/>
        </w:rPr>
        <w:footnoteReference w:id="39"/>
      </w:r>
      <w:r w:rsidRPr="00F273F3">
        <w:t xml:space="preserve"> The ETU interconnection service allows certain tie lines with neighboring areas to be designed to deliver capacity into New England and have these interconnection service rights preserved as the New England system changes over time. The market rules ensure that these resources can deliver capacity and energy into the wholesale power markets. </w:t>
      </w:r>
    </w:p>
    <w:p w:rsidR="00F273F3" w:rsidRPr="00F273F3" w:rsidRDefault="00F273F3" w:rsidP="00E64DE8">
      <w:pPr>
        <w:pStyle w:val="Heading3"/>
      </w:pPr>
      <w:bookmarkStart w:id="68" w:name="_Ref418972745"/>
      <w:bookmarkStart w:id="69" w:name="_Toc484973051"/>
      <w:bookmarkStart w:id="70" w:name="_Toc490323005"/>
      <w:r w:rsidRPr="00F273F3">
        <w:t>Transmission Planning Guides</w:t>
      </w:r>
      <w:bookmarkEnd w:id="68"/>
      <w:bookmarkEnd w:id="69"/>
      <w:bookmarkEnd w:id="70"/>
    </w:p>
    <w:p w:rsidR="00F273F3" w:rsidRPr="00F273F3" w:rsidRDefault="00F273F3" w:rsidP="00F273F3">
      <w:r w:rsidRPr="00F273F3">
        <w:t>The ISO developed guides that document both the implementation of the regional planning process described in Attachment K of the OATT and the associated technical assumptions.</w:t>
      </w:r>
      <w:r w:rsidRPr="00F273F3">
        <w:rPr>
          <w:vertAlign w:val="superscript"/>
        </w:rPr>
        <w:footnoteReference w:id="40"/>
      </w:r>
      <w:r w:rsidRPr="00F273F3">
        <w:t xml:space="preserve"> The </w:t>
      </w:r>
      <w:r w:rsidRPr="00F273F3">
        <w:rPr>
          <w:i/>
        </w:rPr>
        <w:t>Transmission Planning Process Guide</w:t>
      </w:r>
      <w:r w:rsidRPr="00F273F3">
        <w:t xml:space="preserve"> (Process Guide) contains details on the existing regional system planning process </w:t>
      </w:r>
      <w:r w:rsidRPr="00F273F3">
        <w:lastRenderedPageBreak/>
        <w:t>and how transmission planning studies are performed through the open regional stakeholder process.</w:t>
      </w:r>
      <w:r w:rsidRPr="00F273F3">
        <w:rPr>
          <w:vertAlign w:val="superscript"/>
        </w:rPr>
        <w:footnoteReference w:id="41"/>
      </w:r>
      <w:r w:rsidRPr="00F273F3">
        <w:t xml:space="preserve"> It discusses the development of needs assessments and solution studies, including the opportunities for stakeholder involvement. The guide includes more recent modifications required by FERC Order No. 1000 for the use of qualified transmission project sponsors (QTPSs), planning for public policy, and interregional planning.</w:t>
      </w:r>
      <w:r w:rsidRPr="00F273F3">
        <w:rPr>
          <w:vertAlign w:val="superscript"/>
        </w:rPr>
        <w:footnoteReference w:id="42"/>
      </w:r>
      <w:r w:rsidRPr="00F273F3">
        <w:t xml:space="preserve"> The </w:t>
      </w:r>
      <w:r w:rsidRPr="00F273F3">
        <w:rPr>
          <w:i/>
        </w:rPr>
        <w:t>Transmission Planning Technical Guide</w:t>
      </w:r>
      <w:r w:rsidRPr="00F273F3">
        <w:t xml:space="preserve"> (Technical Guide) describes the current standards, criteria, and assumptions used in transmission planning studies of the regional power system.</w:t>
      </w:r>
      <w:r w:rsidRPr="00F273F3">
        <w:rPr>
          <w:vertAlign w:val="superscript"/>
        </w:rPr>
        <w:footnoteReference w:id="43"/>
      </w:r>
      <w:r w:rsidRPr="00F273F3">
        <w:t xml:space="preserve"> Both guides include stakeholder input.</w:t>
      </w:r>
    </w:p>
    <w:p w:rsidR="00F273F3" w:rsidRPr="00DB6EC8" w:rsidRDefault="00F273F3" w:rsidP="00E64DE8">
      <w:pPr>
        <w:pStyle w:val="Heading3"/>
      </w:pPr>
      <w:bookmarkStart w:id="71" w:name="_Toc396807601"/>
      <w:bookmarkStart w:id="72" w:name="_Toc484973052"/>
      <w:bookmarkStart w:id="73" w:name="_Ref485979082"/>
      <w:bookmarkStart w:id="74" w:name="_Ref485981494"/>
      <w:bookmarkStart w:id="75" w:name="_Toc490323006"/>
      <w:r w:rsidRPr="00DB6EC8">
        <w:t>Planning Studies Conducted for and Summarized in RSP1</w:t>
      </w:r>
      <w:bookmarkEnd w:id="71"/>
      <w:r w:rsidRPr="00DB6EC8">
        <w:t>7</w:t>
      </w:r>
      <w:bookmarkEnd w:id="72"/>
      <w:bookmarkEnd w:id="73"/>
      <w:bookmarkEnd w:id="74"/>
      <w:bookmarkEnd w:id="75"/>
    </w:p>
    <w:p w:rsidR="00F273F3" w:rsidRPr="00F273F3" w:rsidRDefault="00F273F3" w:rsidP="00F273F3">
      <w:r w:rsidRPr="00F273F3">
        <w:t xml:space="preserve">The ISO continually conducts numerous regional and local-area studies during all stages of planning for ensuring the reliability of the power system. FERC, interregional entities, the states, and others, also sponsor planning initiatives for improving the power system and interregional coordination. Throughout RSP17, the ISO’s major studies and initiatives, as well as those conducted by others, both individually and </w:t>
      </w:r>
      <w:r w:rsidRPr="00C512A9">
        <w:t>jointly with the ISO, are summarized consistent with the steps used in the planning process:</w:t>
      </w:r>
    </w:p>
    <w:p w:rsidR="00F273F3" w:rsidRPr="00F273F3" w:rsidRDefault="00F273F3" w:rsidP="003D70FB">
      <w:pPr>
        <w:numPr>
          <w:ilvl w:val="0"/>
          <w:numId w:val="44"/>
        </w:numPr>
        <w:spacing w:after="120"/>
        <w:ind w:left="720"/>
      </w:pPr>
      <w:r w:rsidRPr="00F273F3">
        <w:t xml:space="preserve">Ten-year load forecasts through 2026 of peak demand and the annual use of electric energy </w:t>
      </w:r>
    </w:p>
    <w:p w:rsidR="00F273F3" w:rsidRPr="00F273F3" w:rsidRDefault="00F273F3" w:rsidP="003D70FB">
      <w:pPr>
        <w:numPr>
          <w:ilvl w:val="0"/>
          <w:numId w:val="44"/>
        </w:numPr>
        <w:spacing w:after="120"/>
        <w:ind w:left="720"/>
      </w:pPr>
      <w:r w:rsidRPr="00F273F3">
        <w:t>Regional passive demand resources for 2017 to 2020 and an energy-efficiency (EE) forecast from 2021 to 2026</w:t>
      </w:r>
    </w:p>
    <w:p w:rsidR="00F273F3" w:rsidRPr="00F273F3" w:rsidRDefault="00F273F3" w:rsidP="003D70FB">
      <w:pPr>
        <w:numPr>
          <w:ilvl w:val="0"/>
          <w:numId w:val="44"/>
        </w:numPr>
        <w:spacing w:after="120"/>
        <w:ind w:left="720"/>
      </w:pPr>
      <w:r w:rsidRPr="00F273F3">
        <w:t>Forecasts of photovoltaic (PV) development in the region and its effect on annual energy use and summer peak demand</w:t>
      </w:r>
    </w:p>
    <w:p w:rsidR="00F273F3" w:rsidRPr="00F273F3" w:rsidRDefault="00F273F3" w:rsidP="003D70FB">
      <w:pPr>
        <w:numPr>
          <w:ilvl w:val="0"/>
          <w:numId w:val="44"/>
        </w:numPr>
        <w:spacing w:after="120"/>
        <w:ind w:left="720"/>
      </w:pPr>
      <w:r w:rsidRPr="00F273F3">
        <w:t>The development of a net forecast</w:t>
      </w:r>
    </w:p>
    <w:p w:rsidR="00F273F3" w:rsidRPr="00F273F3" w:rsidRDefault="00F273F3" w:rsidP="003D70FB">
      <w:pPr>
        <w:numPr>
          <w:ilvl w:val="0"/>
          <w:numId w:val="44"/>
        </w:numPr>
        <w:spacing w:after="120"/>
        <w:ind w:left="720"/>
      </w:pPr>
      <w:r w:rsidRPr="00F273F3">
        <w:t>Analyses of the amount, operating characteristics, and locations of needed capacity and operating reserves</w:t>
      </w:r>
    </w:p>
    <w:p w:rsidR="00F273F3" w:rsidRPr="00F273F3" w:rsidRDefault="00F273F3" w:rsidP="003D70FB">
      <w:pPr>
        <w:numPr>
          <w:ilvl w:val="0"/>
          <w:numId w:val="44"/>
        </w:numPr>
        <w:spacing w:after="120"/>
        <w:ind w:left="720"/>
      </w:pPr>
      <w:r w:rsidRPr="00F273F3">
        <w:t>Analyses of Forward Capacity Market and locational Forward Reserve Market resources that meet system needs</w:t>
      </w:r>
    </w:p>
    <w:p w:rsidR="00F273F3" w:rsidRPr="00F273F3" w:rsidRDefault="00F273F3" w:rsidP="003D70FB">
      <w:pPr>
        <w:numPr>
          <w:ilvl w:val="0"/>
          <w:numId w:val="44"/>
        </w:numPr>
        <w:spacing w:after="120"/>
        <w:ind w:left="720"/>
      </w:pPr>
      <w:r w:rsidRPr="00F273F3">
        <w:rPr>
          <w:color w:val="000000"/>
        </w:rPr>
        <w:t xml:space="preserve">Implications of generator retirements on transmission system requirements and potential locations for developing new resources </w:t>
      </w:r>
    </w:p>
    <w:p w:rsidR="00F273F3" w:rsidRPr="00F273F3" w:rsidRDefault="00F273F3" w:rsidP="003D70FB">
      <w:pPr>
        <w:numPr>
          <w:ilvl w:val="0"/>
          <w:numId w:val="44"/>
        </w:numPr>
        <w:spacing w:after="120"/>
        <w:ind w:left="720"/>
        <w:rPr>
          <w:color w:val="000000"/>
        </w:rPr>
      </w:pPr>
      <w:r w:rsidRPr="00F273F3">
        <w:rPr>
          <w:color w:val="000000"/>
        </w:rPr>
        <w:t>Assessments of systemwide and local-area needs (i.e., needs assessments), and transmission solutions to meet these needs (i.e., solution studies)</w:t>
      </w:r>
      <w:r w:rsidRPr="00F273F3">
        <w:rPr>
          <w:color w:val="000000"/>
          <w:vertAlign w:val="superscript"/>
        </w:rPr>
        <w:footnoteReference w:id="44"/>
      </w:r>
      <w:r w:rsidRPr="00F273F3">
        <w:rPr>
          <w:color w:val="000000"/>
          <w:vertAlign w:val="superscript"/>
        </w:rPr>
        <w:t xml:space="preserve"> </w:t>
      </w:r>
    </w:p>
    <w:p w:rsidR="00F273F3" w:rsidRPr="00F273F3" w:rsidRDefault="00F273F3" w:rsidP="003D70FB">
      <w:pPr>
        <w:numPr>
          <w:ilvl w:val="0"/>
          <w:numId w:val="44"/>
        </w:numPr>
        <w:spacing w:after="120"/>
        <w:ind w:left="720"/>
      </w:pPr>
      <w:r w:rsidRPr="00F273F3">
        <w:t>Planning coordination studies and initiatives affecting the planning of the system</w:t>
      </w:r>
    </w:p>
    <w:p w:rsidR="00F273F3" w:rsidRPr="00F273F3" w:rsidRDefault="00F273F3" w:rsidP="003D70FB">
      <w:pPr>
        <w:numPr>
          <w:ilvl w:val="0"/>
          <w:numId w:val="50"/>
        </w:numPr>
        <w:spacing w:after="120"/>
      </w:pPr>
      <w:r w:rsidRPr="00F273F3">
        <w:t>Northeastern ISO/RTO planning coordination studies</w:t>
      </w:r>
    </w:p>
    <w:p w:rsidR="00F273F3" w:rsidRPr="00F273F3" w:rsidRDefault="00F273F3" w:rsidP="003D70FB">
      <w:pPr>
        <w:numPr>
          <w:ilvl w:val="0"/>
          <w:numId w:val="50"/>
        </w:numPr>
        <w:spacing w:after="120"/>
      </w:pPr>
      <w:r w:rsidRPr="00F273F3">
        <w:t>Eastern Interconnection Planning Collaborative (EIPC) activities</w:t>
      </w:r>
      <w:r w:rsidR="0082193C">
        <w:rPr>
          <w:rStyle w:val="FootnoteReference"/>
        </w:rPr>
        <w:footnoteReference w:id="45"/>
      </w:r>
    </w:p>
    <w:p w:rsidR="00F273F3" w:rsidRPr="00F273F3" w:rsidRDefault="00F273F3" w:rsidP="003D70FB">
      <w:pPr>
        <w:numPr>
          <w:ilvl w:val="0"/>
          <w:numId w:val="50"/>
        </w:numPr>
        <w:spacing w:after="120"/>
      </w:pPr>
      <w:r w:rsidRPr="00F273F3">
        <w:lastRenderedPageBreak/>
        <w:t>Other joint planning studies with neighboring regions</w:t>
      </w:r>
    </w:p>
    <w:p w:rsidR="00F273F3" w:rsidRPr="00F273F3" w:rsidRDefault="00F273F3" w:rsidP="003D70FB">
      <w:pPr>
        <w:numPr>
          <w:ilvl w:val="0"/>
          <w:numId w:val="50"/>
        </w:numPr>
        <w:spacing w:after="120"/>
      </w:pPr>
      <w:r w:rsidRPr="00F273F3">
        <w:t>Discussions of regional strategic planning needs and solutions to resource adequacy and the regional fuel-security issue</w:t>
      </w:r>
    </w:p>
    <w:p w:rsidR="00F273F3" w:rsidRPr="00F273F3" w:rsidRDefault="00F273F3" w:rsidP="003D70FB">
      <w:pPr>
        <w:numPr>
          <w:ilvl w:val="0"/>
          <w:numId w:val="50"/>
        </w:numPr>
        <w:spacing w:after="120"/>
      </w:pPr>
      <w:r w:rsidRPr="00F273F3">
        <w:t>Effects of generator compliance with environmental regulations on generator operating requirements and the need for remediation measures</w:t>
      </w:r>
    </w:p>
    <w:p w:rsidR="00F273F3" w:rsidRPr="00C512A9" w:rsidRDefault="00F273F3" w:rsidP="003D70FB">
      <w:pPr>
        <w:numPr>
          <w:ilvl w:val="1"/>
          <w:numId w:val="44"/>
        </w:numPr>
        <w:spacing w:after="120"/>
        <w:ind w:left="1440"/>
      </w:pPr>
      <w:r w:rsidRPr="00F273F3">
        <w:t xml:space="preserve">Operating and planning for expansion of renewable resources, including the potential need for transmission development for wind generation and the identification of </w:t>
      </w:r>
      <w:r w:rsidRPr="00C512A9">
        <w:t>interconnection issues for distributed generation (DG)</w:t>
      </w:r>
      <w:r w:rsidR="00FB02F1" w:rsidRPr="00C512A9">
        <w:t xml:space="preserve"> and distributed energy resources (DERs)</w:t>
      </w:r>
      <w:r w:rsidR="00704FAC" w:rsidRPr="00C512A9">
        <w:t>.</w:t>
      </w:r>
      <w:r w:rsidRPr="00C512A9">
        <w:rPr>
          <w:vertAlign w:val="superscript"/>
        </w:rPr>
        <w:footnoteReference w:id="46"/>
      </w:r>
    </w:p>
    <w:p w:rsidR="00F273F3" w:rsidRPr="00F273F3" w:rsidRDefault="00F273F3" w:rsidP="003D70FB">
      <w:pPr>
        <w:numPr>
          <w:ilvl w:val="1"/>
          <w:numId w:val="44"/>
        </w:numPr>
        <w:spacing w:after="120"/>
        <w:ind w:left="1440"/>
      </w:pPr>
      <w:r w:rsidRPr="00F273F3">
        <w:t>Studies of the economic and environmental performance of the system for various future resource- and transmission-expansion scenarios</w:t>
      </w:r>
    </w:p>
    <w:p w:rsidR="00F273F3" w:rsidRPr="00F273F3" w:rsidRDefault="00F273F3" w:rsidP="003D70FB">
      <w:pPr>
        <w:numPr>
          <w:ilvl w:val="0"/>
          <w:numId w:val="44"/>
        </w:numPr>
        <w:spacing w:after="120"/>
        <w:ind w:left="720"/>
      </w:pPr>
      <w:r w:rsidRPr="00F273F3">
        <w:t>ISO development and integration of new technologies and enhancements to operating and planning procedures to improve system reliability</w:t>
      </w:r>
    </w:p>
    <w:p w:rsidR="00F273F3" w:rsidRPr="00F273F3" w:rsidRDefault="00F273F3" w:rsidP="003D70FB">
      <w:pPr>
        <w:numPr>
          <w:ilvl w:val="0"/>
          <w:numId w:val="44"/>
        </w:numPr>
        <w:ind w:left="720"/>
      </w:pPr>
      <w:r w:rsidRPr="00F273F3">
        <w:t xml:space="preserve">Federal, state, and regional initiatives and governmental activities and policies affecting the planning </w:t>
      </w:r>
      <w:r w:rsidR="009C4062">
        <w:t>process</w:t>
      </w:r>
    </w:p>
    <w:p w:rsidR="00F273F3" w:rsidRPr="00F273F3" w:rsidRDefault="00CD569C" w:rsidP="00F273F3">
      <w:r>
        <w:t>A</w:t>
      </w:r>
      <w:r w:rsidRPr="00F273F3">
        <w:t>ll RSP analyses, including the following</w:t>
      </w:r>
      <w:r>
        <w:t>, reflect t</w:t>
      </w:r>
      <w:r w:rsidR="00F273F3" w:rsidRPr="00F273F3">
        <w:t>he material effects of the energy-efficiency forecast and the PV forecast:</w:t>
      </w:r>
    </w:p>
    <w:p w:rsidR="00F273F3" w:rsidRPr="00F273F3" w:rsidRDefault="00F273F3" w:rsidP="003D70FB">
      <w:pPr>
        <w:numPr>
          <w:ilvl w:val="0"/>
          <w:numId w:val="55"/>
        </w:numPr>
        <w:spacing w:after="120"/>
        <w:rPr>
          <w:rFonts w:eastAsia="Times New Roman"/>
          <w:color w:val="000000"/>
          <w:sz w:val="24"/>
          <w:szCs w:val="24"/>
        </w:rPr>
      </w:pPr>
      <w:r w:rsidRPr="00F273F3">
        <w:rPr>
          <w:rFonts w:eastAsia="Times New Roman"/>
          <w:color w:val="000000"/>
        </w:rPr>
        <w:t>Resource adequacy assessments</w:t>
      </w:r>
    </w:p>
    <w:p w:rsidR="00F273F3" w:rsidRPr="00F273F3" w:rsidRDefault="00F273F3" w:rsidP="003D70FB">
      <w:pPr>
        <w:numPr>
          <w:ilvl w:val="0"/>
          <w:numId w:val="55"/>
        </w:numPr>
        <w:spacing w:after="120"/>
        <w:rPr>
          <w:rFonts w:eastAsia="Times New Roman"/>
          <w:color w:val="000000"/>
          <w:sz w:val="24"/>
          <w:szCs w:val="24"/>
        </w:rPr>
      </w:pPr>
      <w:r w:rsidRPr="00F273F3">
        <w:rPr>
          <w:rFonts w:eastAsia="Times New Roman"/>
          <w:color w:val="000000"/>
        </w:rPr>
        <w:t>Transmission needs assessments</w:t>
      </w:r>
    </w:p>
    <w:p w:rsidR="00F273F3" w:rsidRPr="00F273F3" w:rsidRDefault="00F273F3" w:rsidP="003D70FB">
      <w:pPr>
        <w:numPr>
          <w:ilvl w:val="0"/>
          <w:numId w:val="55"/>
        </w:numPr>
        <w:spacing w:after="120"/>
        <w:rPr>
          <w:color w:val="000000"/>
        </w:rPr>
      </w:pPr>
      <w:r w:rsidRPr="00F273F3">
        <w:rPr>
          <w:color w:val="000000"/>
        </w:rPr>
        <w:t>Transmission solutions studies</w:t>
      </w:r>
    </w:p>
    <w:p w:rsidR="00F273F3" w:rsidRPr="00F273F3" w:rsidRDefault="00F273F3" w:rsidP="003D70FB">
      <w:pPr>
        <w:numPr>
          <w:ilvl w:val="0"/>
          <w:numId w:val="55"/>
        </w:numPr>
        <w:spacing w:after="120"/>
        <w:rPr>
          <w:color w:val="000000"/>
        </w:rPr>
      </w:pPr>
      <w:r w:rsidRPr="00F273F3">
        <w:rPr>
          <w:color w:val="000000"/>
        </w:rPr>
        <w:t>Proposed Plan Application (PPA) studies</w:t>
      </w:r>
    </w:p>
    <w:p w:rsidR="00F273F3" w:rsidRPr="00F273F3" w:rsidRDefault="00F273F3" w:rsidP="003D70FB">
      <w:pPr>
        <w:numPr>
          <w:ilvl w:val="0"/>
          <w:numId w:val="55"/>
        </w:numPr>
        <w:spacing w:after="120"/>
        <w:rPr>
          <w:color w:val="000000"/>
        </w:rPr>
      </w:pPr>
      <w:r w:rsidRPr="00F273F3">
        <w:rPr>
          <w:color w:val="000000"/>
        </w:rPr>
        <w:t>System impact studies</w:t>
      </w:r>
    </w:p>
    <w:p w:rsidR="00F273F3" w:rsidRPr="00F273F3" w:rsidRDefault="00F273F3" w:rsidP="003D70FB">
      <w:pPr>
        <w:numPr>
          <w:ilvl w:val="0"/>
          <w:numId w:val="55"/>
        </w:numPr>
        <w:spacing w:after="120"/>
        <w:rPr>
          <w:color w:val="000000"/>
        </w:rPr>
      </w:pPr>
      <w:r w:rsidRPr="00F273F3">
        <w:rPr>
          <w:color w:val="000000"/>
        </w:rPr>
        <w:t>Economic studies</w:t>
      </w:r>
    </w:p>
    <w:p w:rsidR="00F273F3" w:rsidRPr="00F273F3" w:rsidRDefault="00F273F3" w:rsidP="003D70FB">
      <w:pPr>
        <w:numPr>
          <w:ilvl w:val="0"/>
          <w:numId w:val="55"/>
        </w:numPr>
        <w:rPr>
          <w:color w:val="000000"/>
        </w:rPr>
      </w:pPr>
      <w:r w:rsidRPr="00F273F3">
        <w:rPr>
          <w:color w:val="000000"/>
        </w:rPr>
        <w:t>Interregional studies</w:t>
      </w:r>
    </w:p>
    <w:p w:rsidR="00F273F3" w:rsidRPr="00F273F3" w:rsidRDefault="00F273F3" w:rsidP="00E64DE8">
      <w:pPr>
        <w:pStyle w:val="Heading3"/>
      </w:pPr>
      <w:bookmarkStart w:id="76" w:name="_Toc484973053"/>
      <w:bookmarkStart w:id="77" w:name="_Toc490323007"/>
      <w:r w:rsidRPr="00F273F3">
        <w:t>Accounting for Uncertainty</w:t>
      </w:r>
      <w:bookmarkEnd w:id="76"/>
      <w:bookmarkEnd w:id="77"/>
    </w:p>
    <w:p w:rsidR="00F273F3" w:rsidRPr="00F273F3" w:rsidRDefault="00F273F3" w:rsidP="00F273F3">
      <w:r w:rsidRPr="00F273F3">
        <w:t xml:space="preserve">Regional system planning must account for the uncertainty in assumptions made about the next 10 years stemming from changing demand, fuel prices, technologies, market rules, planning processes, and environmental requirements; the development and retirement of resources; the physical conditions </w:t>
      </w:r>
      <w:r w:rsidRPr="00F273F3">
        <w:lastRenderedPageBreak/>
        <w:t xml:space="preserve">under which the system might be operating; and other relevant events. The following major factors may vary RSP17 results and conclusions and ultimately affect the development and timing of needed transmission facilities and generation, demand, and market resources: </w:t>
      </w:r>
    </w:p>
    <w:p w:rsidR="00F273F3" w:rsidRPr="00F273F3" w:rsidRDefault="00F273F3" w:rsidP="003D70FB">
      <w:pPr>
        <w:numPr>
          <w:ilvl w:val="0"/>
          <w:numId w:val="52"/>
        </w:numPr>
        <w:spacing w:after="120"/>
        <w:rPr>
          <w:rFonts w:eastAsia="Times New Roman"/>
        </w:rPr>
      </w:pPr>
      <w:r w:rsidRPr="00F273F3">
        <w:rPr>
          <w:rFonts w:eastAsia="Times New Roman"/>
        </w:rPr>
        <w:t>Forecasts of demand, energy efficiency, and distributed generation, which are dependent on the economy, new building and federal appliance-efficiency standards, state goals for the implementation of EE and DG programs, and other considerations</w:t>
      </w:r>
    </w:p>
    <w:p w:rsidR="00F273F3" w:rsidRPr="00F273F3" w:rsidRDefault="00F273F3" w:rsidP="003D70FB">
      <w:pPr>
        <w:numPr>
          <w:ilvl w:val="0"/>
          <w:numId w:val="52"/>
        </w:numPr>
        <w:spacing w:after="120"/>
        <w:rPr>
          <w:rFonts w:eastAsia="Times New Roman"/>
        </w:rPr>
      </w:pPr>
      <w:r w:rsidRPr="00F273F3">
        <w:rPr>
          <w:rFonts w:eastAsia="Times New Roman"/>
        </w:rPr>
        <w:t>Resource availability, which is dependent on physical and economic parameters that affect the performance, development, and retirement of resources</w:t>
      </w:r>
    </w:p>
    <w:p w:rsidR="00F273F3" w:rsidRPr="00F273F3" w:rsidRDefault="00F273F3" w:rsidP="003D70FB">
      <w:pPr>
        <w:numPr>
          <w:ilvl w:val="0"/>
          <w:numId w:val="52"/>
        </w:numPr>
        <w:spacing w:after="120"/>
        <w:rPr>
          <w:rFonts w:eastAsia="Times New Roman"/>
        </w:rPr>
      </w:pPr>
      <w:r w:rsidRPr="00F273F3">
        <w:rPr>
          <w:rFonts w:eastAsia="Times New Roman"/>
        </w:rPr>
        <w:t xml:space="preserve">Environmental regulations and compliance strategies, which can vary with changes in public policies, economic parameters, and technology development </w:t>
      </w:r>
    </w:p>
    <w:p w:rsidR="00F273F3" w:rsidRPr="00F273F3" w:rsidRDefault="00F273F3" w:rsidP="003D70FB">
      <w:pPr>
        <w:numPr>
          <w:ilvl w:val="0"/>
          <w:numId w:val="52"/>
        </w:numPr>
        <w:spacing w:after="120"/>
        <w:rPr>
          <w:rFonts w:eastAsia="Times New Roman"/>
        </w:rPr>
      </w:pPr>
      <w:r w:rsidRPr="00F273F3">
        <w:rPr>
          <w:rFonts w:eastAsia="Times New Roman"/>
        </w:rPr>
        <w:t>The deployment of new technologies, which may affect the physical ability and economic viability of new types of power system equipment and the efficiency of operating the power system</w:t>
      </w:r>
    </w:p>
    <w:p w:rsidR="00F273F3" w:rsidRPr="00F273F3" w:rsidRDefault="00F273F3" w:rsidP="003D70FB">
      <w:pPr>
        <w:numPr>
          <w:ilvl w:val="0"/>
          <w:numId w:val="52"/>
        </w:numPr>
        <w:spacing w:after="120"/>
        <w:rPr>
          <w:rFonts w:eastAsia="Times New Roman"/>
        </w:rPr>
      </w:pPr>
      <w:r w:rsidRPr="00F273F3">
        <w:rPr>
          <w:rFonts w:eastAsia="Times New Roman"/>
        </w:rPr>
        <w:t>Fuel price forecasts, which change with world markets and infrastructure development</w:t>
      </w:r>
    </w:p>
    <w:p w:rsidR="00F273F3" w:rsidRPr="00F273F3" w:rsidRDefault="00F273F3" w:rsidP="003D70FB">
      <w:pPr>
        <w:numPr>
          <w:ilvl w:val="0"/>
          <w:numId w:val="52"/>
        </w:numPr>
        <w:spacing w:after="120"/>
        <w:rPr>
          <w:rFonts w:eastAsia="Times New Roman"/>
        </w:rPr>
      </w:pPr>
      <w:r w:rsidRPr="00F273F3">
        <w:rPr>
          <w:rFonts w:eastAsia="Times New Roman"/>
        </w:rPr>
        <w:t>Market rules and public policies, which can alter the development of market resources</w:t>
      </w:r>
    </w:p>
    <w:p w:rsidR="00F273F3" w:rsidRPr="00F273F3" w:rsidRDefault="00F273F3" w:rsidP="003D70FB">
      <w:pPr>
        <w:numPr>
          <w:ilvl w:val="0"/>
          <w:numId w:val="52"/>
        </w:numPr>
        <w:rPr>
          <w:rFonts w:eastAsia="Times New Roman"/>
          <w:szCs w:val="24"/>
        </w:rPr>
      </w:pPr>
      <w:r w:rsidRPr="00F273F3">
        <w:rPr>
          <w:rFonts w:eastAsia="Times New Roman"/>
        </w:rPr>
        <w:t>Siting and construction delays and changes to the system</w:t>
      </w:r>
    </w:p>
    <w:p w:rsidR="00F273F3" w:rsidRPr="00F273F3" w:rsidRDefault="00F273F3" w:rsidP="00F273F3">
      <w:r w:rsidRPr="00F273F3">
        <w:t xml:space="preserve">While each RSP represents a snapshot in time, the planning process is continuous; the ISO revisits the results as needed when new information becomes available. The ISO has been improving the information provided to stakeholders, especially the required timing of transmission projects. </w:t>
      </w:r>
    </w:p>
    <w:p w:rsidR="00F273F3" w:rsidRPr="00F273F3" w:rsidRDefault="00F273F3" w:rsidP="00E64DE8">
      <w:pPr>
        <w:pStyle w:val="Heading3"/>
      </w:pPr>
      <w:bookmarkStart w:id="78" w:name="_Ref419640002"/>
      <w:bookmarkStart w:id="79" w:name="_Toc484973054"/>
      <w:bookmarkStart w:id="80" w:name="_Toc490323008"/>
      <w:r w:rsidRPr="00F273F3">
        <w:t>Working with the Planning Advisory Committee and Other Committees</w:t>
      </w:r>
      <w:bookmarkEnd w:id="78"/>
      <w:bookmarkEnd w:id="79"/>
      <w:bookmarkEnd w:id="80"/>
    </w:p>
    <w:p w:rsidR="00F273F3" w:rsidRPr="00F273F3" w:rsidRDefault="00F273F3" w:rsidP="00F273F3">
      <w:r w:rsidRPr="00F273F3">
        <w:t>To conduct the system planning process, the ISO holds an open and transparent stakeholder forum with the Planning Advisory Committee (PAC).</w:t>
      </w:r>
      <w:r w:rsidRPr="00F273F3">
        <w:rPr>
          <w:vertAlign w:val="superscript"/>
        </w:rPr>
        <w:footnoteReference w:id="47"/>
      </w:r>
      <w:r w:rsidRPr="00F273F3">
        <w:t xml:space="preserve"> PAC membership is open to all and currently includes representatives from state and federal governmental agencies; participating transmission owners (PTOs); ISO market participants; other New England Power Pool (NEPOOL) members; consulting companies; manufacturers; and other organizations, such as universities and environmental groups.</w:t>
      </w:r>
      <w:r w:rsidRPr="00F273F3">
        <w:rPr>
          <w:vertAlign w:val="superscript"/>
        </w:rPr>
        <w:footnoteReference w:id="48"/>
      </w:r>
      <w:r w:rsidRPr="00F273F3">
        <w:t xml:space="preserve"> </w:t>
      </w:r>
      <w:r w:rsidRPr="004D34D9">
        <w:t xml:space="preserve">The PAC has met </w:t>
      </w:r>
      <w:r w:rsidR="00A15180" w:rsidRPr="004D34D9">
        <w:t>30</w:t>
      </w:r>
      <w:r w:rsidRPr="004D34D9">
        <w:t xml:space="preserve"> times from fall 2015 to summer 2017 to discuss draft scopes of work, assumptions,</w:t>
      </w:r>
      <w:r w:rsidRPr="00F273F3">
        <w:t xml:space="preserve"> and draft and final study results on a wide range of issues. In addition, subgroups of the PAC have discussed the energy-efficiency forecast, the distributed generation forecast, environmental issues, and economic studies.</w:t>
      </w:r>
    </w:p>
    <w:p w:rsidR="00F273F3" w:rsidRPr="00F273F3" w:rsidRDefault="00F273F3" w:rsidP="00F273F3">
      <w:r w:rsidRPr="00F273F3">
        <w:t xml:space="preserve">Other committees are involved in the system planning process. The Reliability Committee (RC) provides advisory input on planning procedures, final Proposed Plan Applications, regional transmission cost allocations, and other activities that affect the design and oversight of reliability standards for the power system. The Transmission Committee </w:t>
      </w:r>
      <w:r w:rsidR="00E406E5">
        <w:t xml:space="preserve">(TC) </w:t>
      </w:r>
      <w:r w:rsidRPr="00F273F3">
        <w:t xml:space="preserve">provides advisory input on the general tariff provisions of the </w:t>
      </w:r>
      <w:r w:rsidRPr="00F273F3">
        <w:lastRenderedPageBreak/>
        <w:t>OATT and amendments to the Transmission Owner Agreement.</w:t>
      </w:r>
      <w:r w:rsidRPr="00F273F3">
        <w:rPr>
          <w:vertAlign w:val="superscript"/>
        </w:rPr>
        <w:footnoteReference w:id="49"/>
      </w:r>
      <w:r w:rsidRPr="00F273F3">
        <w:t xml:space="preserve"> The Markets Committee provides advisory input on changes proposed by the ISO to </w:t>
      </w:r>
      <w:r w:rsidRPr="00F273F3">
        <w:rPr>
          <w:i/>
        </w:rPr>
        <w:t>Market Rule 1</w:t>
      </w:r>
      <w:r w:rsidRPr="00F273F3">
        <w:t xml:space="preserve"> and market procedures.</w:t>
      </w:r>
      <w:r w:rsidRPr="00F273F3">
        <w:rPr>
          <w:vertAlign w:val="superscript"/>
        </w:rPr>
        <w:footnoteReference w:id="50"/>
      </w:r>
      <w:r w:rsidRPr="00F273F3">
        <w:t xml:space="preserve"> Stakeholders who advise ISO New England or its neighboring ISO/RTOs on system planning matters have the opportunity to meet as a unified group through the Interregional Planning Stakeholder Advisory Committee (IPSAC; see Section </w:t>
      </w:r>
      <w:r w:rsidR="00AB066D">
        <w:fldChar w:fldCharType="begin"/>
      </w:r>
      <w:r w:rsidR="00AB066D">
        <w:instrText xml:space="preserve"> REF _Ref360798959 \r \h </w:instrText>
      </w:r>
      <w:r w:rsidR="00AB066D">
        <w:fldChar w:fldCharType="separate"/>
      </w:r>
      <w:r w:rsidR="00314781">
        <w:t>6.5</w:t>
      </w:r>
      <w:r w:rsidR="00AB066D">
        <w:fldChar w:fldCharType="end"/>
      </w:r>
      <w:r w:rsidRPr="00F273F3">
        <w:t>).</w:t>
      </w:r>
    </w:p>
    <w:p w:rsidR="00F273F3" w:rsidRPr="00F273F3" w:rsidRDefault="00F273F3" w:rsidP="00E64DE8">
      <w:pPr>
        <w:pStyle w:val="Heading3"/>
      </w:pPr>
      <w:bookmarkStart w:id="81" w:name="_Toc303086353"/>
      <w:bookmarkStart w:id="82" w:name="_Ref418890076"/>
      <w:bookmarkStart w:id="83" w:name="_Ref418890526"/>
      <w:bookmarkStart w:id="84" w:name="_Toc484973055"/>
      <w:bookmarkStart w:id="85" w:name="_Ref485718934"/>
      <w:bookmarkStart w:id="86" w:name="_Ref485804489"/>
      <w:bookmarkStart w:id="87" w:name="_Toc490323009"/>
      <w:r w:rsidRPr="00F273F3">
        <w:t>Providing Information to Stakeholders</w:t>
      </w:r>
      <w:bookmarkEnd w:id="81"/>
      <w:bookmarkEnd w:id="82"/>
      <w:bookmarkEnd w:id="83"/>
      <w:bookmarkEnd w:id="84"/>
      <w:bookmarkEnd w:id="85"/>
      <w:bookmarkEnd w:id="86"/>
      <w:bookmarkEnd w:id="87"/>
    </w:p>
    <w:p w:rsidR="00F273F3" w:rsidRPr="00F273F3" w:rsidRDefault="00F273F3" w:rsidP="00F273F3">
      <w:r w:rsidRPr="00F273F3">
        <w:t xml:space="preserve">In addition to publishing the Regional System Plan and specific needs assessments and solutions studies to provide information to stakeholders, the ISO issues the </w:t>
      </w:r>
      <w:r w:rsidRPr="00F273F3">
        <w:rPr>
          <w:i/>
        </w:rPr>
        <w:t>RSP Project List</w:t>
      </w:r>
      <w:r w:rsidRPr="00F273F3">
        <w:t>. The list includes the status of transmission upgrades during a project’s lifecycle and is updated several times per year</w:t>
      </w:r>
      <w:r w:rsidRPr="00F273F3">
        <w:rPr>
          <w:i/>
        </w:rPr>
        <w:t xml:space="preserve"> </w:t>
      </w:r>
      <w:r w:rsidRPr="00F273F3">
        <w:t xml:space="preserve">(see </w:t>
      </w:r>
      <w:r w:rsidRPr="00A15180">
        <w:t>Section </w:t>
      </w:r>
      <w:r w:rsidR="001C59E8">
        <w:fldChar w:fldCharType="begin"/>
      </w:r>
      <w:r w:rsidR="001C59E8">
        <w:instrText xml:space="preserve"> REF _Ref485720285 \w \h </w:instrText>
      </w:r>
      <w:r w:rsidR="001C59E8">
        <w:fldChar w:fldCharType="separate"/>
      </w:r>
      <w:r w:rsidR="00314781">
        <w:t>5.9</w:t>
      </w:r>
      <w:r w:rsidR="001C59E8">
        <w:fldChar w:fldCharType="end"/>
      </w:r>
      <w:r w:rsidRPr="00A15180">
        <w:t>).</w:t>
      </w:r>
      <w:r w:rsidRPr="00A15180">
        <w:rPr>
          <w:vertAlign w:val="superscript"/>
        </w:rPr>
        <w:footnoteReference w:id="51"/>
      </w:r>
      <w:r w:rsidRPr="00A15180">
        <w:t xml:space="preserve"> RSP17 incorporates information from the </w:t>
      </w:r>
      <w:r w:rsidRPr="00AA1399">
        <w:t>June</w:t>
      </w:r>
      <w:r w:rsidRPr="00A15180">
        <w:t xml:space="preserve"> 2017 list.</w:t>
      </w:r>
      <w:r w:rsidRPr="00F273F3">
        <w:t xml:space="preserve"> </w:t>
      </w:r>
    </w:p>
    <w:p w:rsidR="00F273F3" w:rsidRPr="00F273F3" w:rsidRDefault="00F273F3" w:rsidP="00F273F3">
      <w:r w:rsidRPr="00F273F3">
        <w:t>Additionally, the ISO posts on its website detailed information supplemental to the RSP process, such as the Regional Electricity Outlook (REO), Annual Markets Report (AMR), Wholesale Markets Project Plan (WMPP), presentations, and other reports.</w:t>
      </w:r>
      <w:r w:rsidRPr="00F273F3">
        <w:rPr>
          <w:vertAlign w:val="superscript"/>
        </w:rPr>
        <w:footnoteReference w:id="52"/>
      </w:r>
      <w:r w:rsidRPr="00F273F3">
        <w:t xml:space="preserve"> The ISO also makes available databases used in its analyses and related information required to perform simulations consistent with FERC policies and the ISO Information Policy requirements pertaining to both confidential information and critical energy infrastructure information (CEII) requirements.</w:t>
      </w:r>
      <w:r w:rsidRPr="00F273F3">
        <w:rPr>
          <w:vertAlign w:val="superscript"/>
        </w:rPr>
        <w:footnoteReference w:id="53"/>
      </w:r>
      <w:r w:rsidRPr="00F273F3">
        <w:t xml:space="preserve"> Stakeholders can use this information and data to conduct their own independent studies. </w:t>
      </w:r>
    </w:p>
    <w:p w:rsidR="00F273F3" w:rsidRPr="00F273F3" w:rsidRDefault="00F273F3" w:rsidP="00E64DE8">
      <w:pPr>
        <w:pStyle w:val="Heading3"/>
      </w:pPr>
      <w:bookmarkStart w:id="88" w:name="_Toc303086355"/>
      <w:bookmarkStart w:id="89" w:name="_Ref365471084"/>
      <w:bookmarkStart w:id="90" w:name="_Toc484973056"/>
      <w:bookmarkStart w:id="91" w:name="_Ref485806625"/>
      <w:bookmarkStart w:id="92" w:name="_Toc490323010"/>
      <w:r w:rsidRPr="00F273F3">
        <w:t>Meeting All Requirements</w:t>
      </w:r>
      <w:bookmarkEnd w:id="88"/>
      <w:bookmarkEnd w:id="89"/>
      <w:bookmarkEnd w:id="90"/>
      <w:bookmarkEnd w:id="91"/>
      <w:bookmarkEnd w:id="92"/>
    </w:p>
    <w:p w:rsidR="00F273F3" w:rsidRPr="00F273F3" w:rsidRDefault="00F273F3" w:rsidP="00F273F3">
      <w:r w:rsidRPr="00F273F3">
        <w:t>In addition to complying with the ISO tariff, which reflects the requirements of FERC orders, RSP17 complies with North American Electric Reliability Corporation (NERC) and Northeast Power Coordinating Council (NPCC) criteria and standards, as well as ISO planning and operating procedures.</w:t>
      </w:r>
      <w:r w:rsidRPr="00F273F3">
        <w:rPr>
          <w:vertAlign w:val="superscript"/>
        </w:rPr>
        <w:footnoteReference w:id="54"/>
      </w:r>
      <w:r w:rsidRPr="00F273F3">
        <w:t xml:space="preserve"> </w:t>
      </w:r>
      <w:r w:rsidRPr="00F273F3">
        <w:lastRenderedPageBreak/>
        <w:t>RSP17 also conforms to transmission owner criteria, rules, standards, guides, and policies consistent with NERC, NPCC, and ISO criteria, standards, and procedures.</w:t>
      </w:r>
      <w:r w:rsidRPr="00F273F3">
        <w:rPr>
          <w:vertAlign w:val="superscript"/>
        </w:rPr>
        <w:footnoteReference w:id="55"/>
      </w:r>
      <w:r w:rsidRPr="00F273F3">
        <w:t xml:space="preserve"> </w:t>
      </w:r>
    </w:p>
    <w:p w:rsidR="00F273F3" w:rsidRPr="00F273F3" w:rsidRDefault="00F273F3" w:rsidP="00E64DE8">
      <w:pPr>
        <w:pStyle w:val="Heading2"/>
      </w:pPr>
      <w:bookmarkStart w:id="93" w:name="_Ref173210348"/>
      <w:bookmarkStart w:id="94" w:name="_Toc176244985"/>
      <w:bookmarkStart w:id="95" w:name="_Toc201669902"/>
      <w:bookmarkStart w:id="96" w:name="_Toc207531802"/>
      <w:bookmarkStart w:id="97" w:name="_Toc239157046"/>
      <w:bookmarkStart w:id="98" w:name="_Toc271632205"/>
      <w:bookmarkStart w:id="99" w:name="_Toc303086356"/>
      <w:bookmarkStart w:id="100" w:name="_Toc396807603"/>
      <w:bookmarkStart w:id="101" w:name="_Toc484973057"/>
      <w:bookmarkStart w:id="102" w:name="_Toc490323011"/>
      <w:r w:rsidRPr="00F273F3">
        <w:t>Overview of the New England Electric Power System</w:t>
      </w:r>
      <w:bookmarkEnd w:id="93"/>
      <w:bookmarkEnd w:id="94"/>
      <w:bookmarkEnd w:id="95"/>
      <w:bookmarkEnd w:id="96"/>
      <w:bookmarkEnd w:id="97"/>
      <w:bookmarkEnd w:id="98"/>
      <w:bookmarkEnd w:id="99"/>
      <w:bookmarkEnd w:id="100"/>
      <w:bookmarkEnd w:id="101"/>
      <w:bookmarkEnd w:id="102"/>
    </w:p>
    <w:p w:rsidR="006E531A" w:rsidRPr="00F273F3" w:rsidRDefault="00F273F3" w:rsidP="006E531A">
      <w:r w:rsidRPr="00F273F3">
        <w:t>New England’s electric power grid has been planned and operated as a unified system of its participating transmission owners and market participants.</w:t>
      </w:r>
      <w:r w:rsidRPr="00F273F3">
        <w:rPr>
          <w:vertAlign w:val="superscript"/>
        </w:rPr>
        <w:footnoteReference w:id="56"/>
      </w:r>
      <w:r w:rsidRPr="00F273F3">
        <w:t xml:space="preserve"> The New England system integrates resources with the transmission system to serve all regional load regardless of state boundaries. Most of the transmission lines are relatively short and networked as a grid. Therefore, the electrical performance in one part of the system affects all areas of the system. </w:t>
      </w:r>
      <w:r w:rsidRPr="00F273F3">
        <w:fldChar w:fldCharType="begin"/>
      </w:r>
      <w:r w:rsidRPr="00F273F3">
        <w:instrText xml:space="preserve"> REF _Ref173207023 \h  \* MERGEFORMAT </w:instrText>
      </w:r>
      <w:r w:rsidRPr="00F273F3">
        <w:fldChar w:fldCharType="separate"/>
      </w:r>
      <w:r w:rsidR="00314781" w:rsidRPr="00A01253">
        <w:t>Figure 2</w:t>
      </w:r>
      <w:r w:rsidR="00314781" w:rsidRPr="00A01253">
        <w:noBreakHyphen/>
        <w:t>1</w:t>
      </w:r>
      <w:r w:rsidRPr="00F273F3">
        <w:fldChar w:fldCharType="end"/>
      </w:r>
      <w:r w:rsidRPr="00F273F3">
        <w:t xml:space="preserve"> shows key facts about the New England regional electric power system.</w:t>
      </w:r>
    </w:p>
    <w:p w:rsidR="00DC00D3" w:rsidRDefault="00DC00D3" w:rsidP="00DC00D3">
      <w:pPr>
        <w:keepNext/>
        <w:keepLines/>
        <w:spacing w:after="0" w:line="240" w:lineRule="auto"/>
      </w:pPr>
      <w:bookmarkStart w:id="103" w:name="_Ref173207023"/>
      <w:bookmarkStart w:id="104" w:name="_Toc176244955"/>
      <w:bookmarkStart w:id="105" w:name="_Toc200440095"/>
      <w:bookmarkStart w:id="106" w:name="_Toc207531926"/>
      <w:bookmarkStart w:id="107" w:name="_Toc239157181"/>
      <w:bookmarkStart w:id="108" w:name="_Toc271552366"/>
      <w:bookmarkStart w:id="109" w:name="_Toc303086720"/>
      <w:bookmarkStart w:id="110" w:name="_Toc429063512"/>
      <w:bookmarkStart w:id="111" w:name="_Toc486233196"/>
      <w:r w:rsidRPr="00DC00D3">
        <w:rPr>
          <w:noProof/>
        </w:rPr>
        <w:lastRenderedPageBreak/>
        <w:drawing>
          <wp:inline distT="0" distB="0" distL="0" distR="0" wp14:anchorId="7D052E7D" wp14:editId="4AD56121">
            <wp:extent cx="5715000" cy="4022869"/>
            <wp:effectExtent l="19050" t="19050" r="19050" b="1587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15000" cy="4022869"/>
                    </a:xfrm>
                    <a:prstGeom prst="rect">
                      <a:avLst/>
                    </a:prstGeom>
                    <a:noFill/>
                    <a:ln w="3175">
                      <a:solidFill>
                        <a:srgbClr val="000000"/>
                      </a:solidFill>
                    </a:ln>
                  </pic:spPr>
                </pic:pic>
              </a:graphicData>
            </a:graphic>
          </wp:inline>
        </w:drawing>
      </w:r>
    </w:p>
    <w:p w:rsidR="00F273F3" w:rsidRPr="00E47E55" w:rsidRDefault="00F273F3" w:rsidP="00DC00D3">
      <w:pPr>
        <w:keepNext/>
        <w:keepLines/>
        <w:spacing w:before="120" w:after="80" w:line="240" w:lineRule="auto"/>
        <w:ind w:left="86"/>
        <w:rPr>
          <w:rFonts w:ascii="Calibri" w:hAnsi="Calibri"/>
          <w:b/>
        </w:rPr>
      </w:pPr>
      <w:r w:rsidRPr="00E47E55">
        <w:rPr>
          <w:rFonts w:ascii="Calibri" w:hAnsi="Calibri"/>
          <w:b/>
        </w:rPr>
        <w:t xml:space="preserve">Figure </w:t>
      </w:r>
      <w:r w:rsidRPr="00E47E55">
        <w:rPr>
          <w:rFonts w:ascii="Calibri" w:hAnsi="Calibri"/>
          <w:b/>
        </w:rPr>
        <w:fldChar w:fldCharType="begin"/>
      </w:r>
      <w:r w:rsidRPr="00E47E55">
        <w:rPr>
          <w:rFonts w:ascii="Calibri" w:hAnsi="Calibri"/>
          <w:b/>
        </w:rPr>
        <w:instrText xml:space="preserve"> STYLEREF 1 \s </w:instrText>
      </w:r>
      <w:r w:rsidRPr="00E47E55">
        <w:rPr>
          <w:rFonts w:ascii="Calibri" w:hAnsi="Calibri"/>
          <w:b/>
        </w:rPr>
        <w:fldChar w:fldCharType="separate"/>
      </w:r>
      <w:r w:rsidR="00314781">
        <w:rPr>
          <w:rFonts w:ascii="Calibri" w:hAnsi="Calibri"/>
          <w:b/>
          <w:noProof/>
        </w:rPr>
        <w:t>2</w:t>
      </w:r>
      <w:r w:rsidRPr="00E47E55">
        <w:rPr>
          <w:rFonts w:ascii="Calibri" w:hAnsi="Calibri"/>
          <w:b/>
        </w:rPr>
        <w:fldChar w:fldCharType="end"/>
      </w:r>
      <w:r w:rsidRPr="00E47E55">
        <w:rPr>
          <w:rFonts w:ascii="Calibri" w:hAnsi="Calibri"/>
          <w:b/>
        </w:rPr>
        <w:noBreakHyphen/>
      </w:r>
      <w:r w:rsidRPr="00E47E55">
        <w:rPr>
          <w:rFonts w:ascii="Calibri" w:hAnsi="Calibri"/>
          <w:b/>
        </w:rPr>
        <w:fldChar w:fldCharType="begin"/>
      </w:r>
      <w:r w:rsidRPr="00E47E55">
        <w:rPr>
          <w:rFonts w:ascii="Calibri" w:hAnsi="Calibri"/>
          <w:b/>
        </w:rPr>
        <w:instrText xml:space="preserve"> SEQ Figure \* ARABIC \s 1 </w:instrText>
      </w:r>
      <w:r w:rsidRPr="00E47E55">
        <w:rPr>
          <w:rFonts w:ascii="Calibri" w:hAnsi="Calibri"/>
          <w:b/>
        </w:rPr>
        <w:fldChar w:fldCharType="separate"/>
      </w:r>
      <w:r w:rsidR="00314781">
        <w:rPr>
          <w:rFonts w:ascii="Calibri" w:hAnsi="Calibri"/>
          <w:b/>
          <w:noProof/>
        </w:rPr>
        <w:t>1</w:t>
      </w:r>
      <w:r w:rsidRPr="00E47E55">
        <w:rPr>
          <w:rFonts w:ascii="Calibri" w:hAnsi="Calibri"/>
          <w:b/>
        </w:rPr>
        <w:fldChar w:fldCharType="end"/>
      </w:r>
      <w:bookmarkEnd w:id="103"/>
      <w:r w:rsidRPr="00E47E55">
        <w:rPr>
          <w:rFonts w:ascii="Calibri" w:hAnsi="Calibri"/>
          <w:b/>
        </w:rPr>
        <w:t>: Key facts about New England’s electric power system and wholesale electricity markets</w:t>
      </w:r>
      <w:bookmarkEnd w:id="104"/>
      <w:bookmarkEnd w:id="105"/>
      <w:bookmarkEnd w:id="106"/>
      <w:bookmarkEnd w:id="107"/>
      <w:r w:rsidRPr="00E47E55">
        <w:rPr>
          <w:rFonts w:ascii="Calibri" w:hAnsi="Calibri"/>
          <w:b/>
        </w:rPr>
        <w:t>.</w:t>
      </w:r>
      <w:bookmarkEnd w:id="108"/>
      <w:bookmarkEnd w:id="109"/>
      <w:bookmarkEnd w:id="110"/>
      <w:bookmarkEnd w:id="111"/>
    </w:p>
    <w:p w:rsidR="00F273F3" w:rsidRPr="00E47E55" w:rsidRDefault="00F273F3" w:rsidP="00DC00D3">
      <w:pPr>
        <w:keepNext/>
        <w:keepLines/>
        <w:autoSpaceDE w:val="0"/>
        <w:autoSpaceDN w:val="0"/>
        <w:adjustRightInd w:val="0"/>
        <w:spacing w:after="80" w:line="240" w:lineRule="auto"/>
        <w:ind w:left="86" w:right="86"/>
        <w:rPr>
          <w:rFonts w:asciiTheme="minorHAnsi" w:eastAsia="Times New Roman" w:hAnsiTheme="minorHAnsi" w:cs="Arial"/>
          <w:sz w:val="16"/>
          <w:szCs w:val="16"/>
        </w:rPr>
      </w:pPr>
      <w:r w:rsidRPr="00E47E55">
        <w:rPr>
          <w:rFonts w:asciiTheme="minorHAnsi" w:eastAsia="Times New Roman" w:hAnsiTheme="minorHAnsi" w:cs="Arial"/>
          <w:b/>
          <w:color w:val="000000"/>
          <w:sz w:val="16"/>
          <w:szCs w:val="16"/>
        </w:rPr>
        <w:t xml:space="preserve">Sources: </w:t>
      </w:r>
      <w:r w:rsidRPr="00E47E55">
        <w:rPr>
          <w:rFonts w:asciiTheme="minorHAnsi" w:eastAsia="Times New Roman" w:hAnsiTheme="minorHAnsi" w:cs="Arial"/>
          <w:color w:val="000000"/>
          <w:sz w:val="16"/>
          <w:szCs w:val="16"/>
        </w:rPr>
        <w:t xml:space="preserve">The </w:t>
      </w:r>
      <w:r w:rsidRPr="00E47E55">
        <w:rPr>
          <w:rFonts w:asciiTheme="minorHAnsi" w:eastAsia="Times New Roman" w:hAnsiTheme="minorHAnsi" w:cs="Arial"/>
          <w:i/>
          <w:color w:val="000000"/>
          <w:sz w:val="16"/>
          <w:szCs w:val="16"/>
        </w:rPr>
        <w:t>2017–2026 Forecast Report of Capacity, Energy, Loads, and Transmission</w:t>
      </w:r>
      <w:r w:rsidRPr="00E47E55">
        <w:rPr>
          <w:rFonts w:asciiTheme="minorHAnsi" w:eastAsia="Times New Roman" w:hAnsiTheme="minorHAnsi" w:cs="Arial"/>
          <w:color w:val="000000"/>
          <w:sz w:val="16"/>
          <w:szCs w:val="16"/>
        </w:rPr>
        <w:t xml:space="preserve"> (2017 CELT Report) (May 1, 2017), </w:t>
      </w:r>
      <w:hyperlink r:id="rId28" w:history="1">
        <w:r w:rsidRPr="00E47E55">
          <w:rPr>
            <w:rFonts w:asciiTheme="minorHAnsi" w:eastAsia="Times New Roman" w:hAnsiTheme="minorHAnsi" w:cs="Arial"/>
            <w:sz w:val="16"/>
            <w:szCs w:val="16"/>
          </w:rPr>
          <w:t>http://www.iso-ne.com/system-planning/system-plans-studies/celt#</w:t>
        </w:r>
      </w:hyperlink>
      <w:r w:rsidRPr="00E47E55">
        <w:rPr>
          <w:rFonts w:asciiTheme="minorHAnsi" w:eastAsia="Times New Roman" w:hAnsiTheme="minorHAnsi" w:cs="Arial"/>
          <w:sz w:val="16"/>
          <w:szCs w:val="16"/>
        </w:rPr>
        <w:t xml:space="preserve">, </w:t>
      </w:r>
      <w:r w:rsidRPr="00E47E55">
        <w:rPr>
          <w:rFonts w:asciiTheme="minorHAnsi" w:eastAsia="Times New Roman" w:hAnsiTheme="minorHAnsi" w:cs="Arial"/>
          <w:color w:val="000000"/>
          <w:sz w:val="16"/>
          <w:szCs w:val="16"/>
        </w:rPr>
        <w:t xml:space="preserve">the </w:t>
      </w:r>
      <w:r w:rsidRPr="00E47E55">
        <w:rPr>
          <w:rFonts w:asciiTheme="minorHAnsi" w:eastAsia="Times New Roman" w:hAnsiTheme="minorHAnsi" w:cs="Arial"/>
          <w:i/>
          <w:color w:val="000000"/>
          <w:sz w:val="16"/>
          <w:szCs w:val="16"/>
        </w:rPr>
        <w:t>RSP Project List</w:t>
      </w:r>
      <w:r w:rsidRPr="00E47E55">
        <w:rPr>
          <w:rFonts w:asciiTheme="minorHAnsi" w:eastAsia="Times New Roman" w:hAnsiTheme="minorHAnsi" w:cs="Arial"/>
          <w:color w:val="000000"/>
          <w:sz w:val="16"/>
          <w:szCs w:val="16"/>
        </w:rPr>
        <w:t xml:space="preserve"> for June 2017; and </w:t>
      </w:r>
      <w:r w:rsidRPr="00E47E55">
        <w:rPr>
          <w:rFonts w:asciiTheme="minorHAnsi" w:eastAsia="Times New Roman" w:hAnsiTheme="minorHAnsi" w:cs="Arial"/>
          <w:sz w:val="16"/>
          <w:szCs w:val="16"/>
        </w:rPr>
        <w:t>ISO market analysis and settlements data.</w:t>
      </w:r>
      <w:r w:rsidRPr="00E47E55">
        <w:rPr>
          <w:rFonts w:asciiTheme="minorHAnsi" w:eastAsia="Times New Roman" w:hAnsiTheme="minorHAnsi"/>
          <w:color w:val="000000"/>
          <w:sz w:val="16"/>
          <w:szCs w:val="16"/>
        </w:rPr>
        <w:t xml:space="preserve"> ISO-N</w:t>
      </w:r>
      <w:r w:rsidR="0050177D">
        <w:rPr>
          <w:rFonts w:asciiTheme="minorHAnsi" w:eastAsia="Times New Roman" w:hAnsiTheme="minorHAnsi"/>
          <w:color w:val="000000"/>
          <w:sz w:val="16"/>
          <w:szCs w:val="16"/>
        </w:rPr>
        <w:t>E</w:t>
      </w:r>
      <w:r w:rsidRPr="00E47E55">
        <w:rPr>
          <w:rFonts w:asciiTheme="minorHAnsi" w:eastAsia="Times New Roman" w:hAnsiTheme="minorHAnsi"/>
          <w:color w:val="000000"/>
          <w:sz w:val="16"/>
          <w:szCs w:val="16"/>
        </w:rPr>
        <w:t xml:space="preserve"> Internal Market Monitor, </w:t>
      </w:r>
      <w:r w:rsidRPr="00E47E55">
        <w:rPr>
          <w:rFonts w:asciiTheme="minorHAnsi" w:eastAsia="Times New Roman" w:hAnsiTheme="minorHAnsi"/>
          <w:i/>
          <w:color w:val="000000"/>
          <w:sz w:val="16"/>
          <w:szCs w:val="16"/>
        </w:rPr>
        <w:t>2016 Annual Markets Report</w:t>
      </w:r>
      <w:r w:rsidRPr="00E47E55">
        <w:rPr>
          <w:rFonts w:asciiTheme="minorHAnsi" w:eastAsia="Times New Roman" w:hAnsiTheme="minorHAnsi"/>
          <w:color w:val="000000"/>
          <w:sz w:val="16"/>
          <w:szCs w:val="16"/>
        </w:rPr>
        <w:t xml:space="preserve"> (May 30. 2017), </w:t>
      </w:r>
      <w:hyperlink r:id="rId29" w:history="1">
        <w:r w:rsidR="00A05705" w:rsidRPr="00A05705">
          <w:rPr>
            <w:rStyle w:val="Hyperlink"/>
            <w:rFonts w:asciiTheme="minorHAnsi" w:eastAsia="Times New Roman" w:hAnsiTheme="minorHAnsi" w:cs="Arial"/>
            <w:sz w:val="16"/>
            <w:szCs w:val="16"/>
          </w:rPr>
          <w:t>https://www.iso-ne.com/static-assets/documents/2017/05/annual_markets_report_2016.pdf</w:t>
        </w:r>
      </w:hyperlink>
      <w:r w:rsidRPr="00E47E55">
        <w:rPr>
          <w:rFonts w:asciiTheme="minorHAnsi" w:eastAsia="Times New Roman" w:hAnsiTheme="minorHAnsi" w:cs="Arial"/>
          <w:sz w:val="16"/>
          <w:szCs w:val="16"/>
        </w:rPr>
        <w:t xml:space="preserve">; “Key Grid and Market Stats,” website (2017), </w:t>
      </w:r>
      <w:hyperlink r:id="rId30" w:history="1">
        <w:r w:rsidRPr="00E47E55">
          <w:rPr>
            <w:rFonts w:asciiTheme="minorHAnsi" w:eastAsia="Times New Roman" w:hAnsiTheme="minorHAnsi" w:cs="Arial"/>
            <w:color w:val="000000"/>
            <w:sz w:val="16"/>
            <w:szCs w:val="16"/>
          </w:rPr>
          <w:t>https://www.iso-ne.com/about/key-stats</w:t>
        </w:r>
      </w:hyperlink>
      <w:r w:rsidRPr="00E47E55">
        <w:rPr>
          <w:rFonts w:asciiTheme="minorHAnsi" w:eastAsia="Times New Roman" w:hAnsiTheme="minorHAnsi" w:cs="Arial"/>
          <w:sz w:val="16"/>
          <w:szCs w:val="16"/>
        </w:rPr>
        <w:t>.</w:t>
      </w:r>
    </w:p>
    <w:p w:rsidR="00F273F3" w:rsidRDefault="00F273F3" w:rsidP="00DC00D3">
      <w:pPr>
        <w:keepNext/>
        <w:keepLines/>
        <w:autoSpaceDE w:val="0"/>
        <w:autoSpaceDN w:val="0"/>
        <w:adjustRightInd w:val="0"/>
        <w:spacing w:line="240" w:lineRule="auto"/>
        <w:ind w:left="86" w:right="86"/>
        <w:rPr>
          <w:rFonts w:asciiTheme="minorHAnsi" w:eastAsia="Times New Roman" w:hAnsiTheme="minorHAnsi" w:cs="Arial"/>
          <w:sz w:val="16"/>
          <w:szCs w:val="16"/>
        </w:rPr>
      </w:pPr>
      <w:r w:rsidRPr="00E47E55">
        <w:rPr>
          <w:rFonts w:asciiTheme="minorHAnsi" w:eastAsia="Times New Roman" w:hAnsiTheme="minorHAnsi" w:cs="Arial"/>
          <w:b/>
          <w:sz w:val="16"/>
          <w:szCs w:val="16"/>
        </w:rPr>
        <w:t>Notes:</w:t>
      </w:r>
      <w:r w:rsidRPr="00E47E55">
        <w:rPr>
          <w:rFonts w:asciiTheme="minorHAnsi" w:eastAsia="Times New Roman" w:hAnsiTheme="minorHAnsi" w:cs="Arial"/>
          <w:sz w:val="16"/>
          <w:szCs w:val="16"/>
        </w:rPr>
        <w:t xml:space="preserve"> </w:t>
      </w:r>
      <w:r w:rsidR="001A4201" w:rsidRPr="00A01253">
        <w:rPr>
          <w:rFonts w:asciiTheme="majorHAnsi" w:eastAsia="Times New Roman" w:hAnsiTheme="majorHAnsi" w:cs="Arial"/>
          <w:i/>
          <w:sz w:val="16"/>
          <w:szCs w:val="16"/>
        </w:rPr>
        <w:t>Se</w:t>
      </w:r>
      <w:r w:rsidR="001A4201" w:rsidRPr="00A01253">
        <w:rPr>
          <w:rFonts w:asciiTheme="majorHAnsi" w:hAnsiTheme="majorHAnsi"/>
          <w:i/>
          <w:iCs/>
          <w:sz w:val="16"/>
          <w:szCs w:val="16"/>
        </w:rPr>
        <w:t>ttlement-only resources</w:t>
      </w:r>
      <w:r w:rsidR="001A4201" w:rsidRPr="00A01253">
        <w:rPr>
          <w:rFonts w:asciiTheme="majorHAnsi" w:hAnsiTheme="majorHAnsi"/>
          <w:sz w:val="16"/>
          <w:szCs w:val="16"/>
        </w:rPr>
        <w:t xml:space="preserve"> (SORs)</w:t>
      </w:r>
      <w:r w:rsidR="001A4201">
        <w:rPr>
          <w:rFonts w:asciiTheme="majorHAnsi" w:hAnsiTheme="majorHAnsi"/>
          <w:sz w:val="16"/>
          <w:szCs w:val="16"/>
        </w:rPr>
        <w:t xml:space="preserve"> </w:t>
      </w:r>
      <w:r w:rsidR="001A4201" w:rsidRPr="00A01253">
        <w:rPr>
          <w:rFonts w:asciiTheme="majorHAnsi" w:hAnsiTheme="majorHAnsi"/>
          <w:sz w:val="16"/>
          <w:szCs w:val="16"/>
        </w:rPr>
        <w:t>are less than 5 MW but not centrally dispatched by the ISO control room and not monitored in real time.</w:t>
      </w:r>
      <w:r w:rsidR="001A4201">
        <w:rPr>
          <w:sz w:val="18"/>
          <w:szCs w:val="18"/>
        </w:rPr>
        <w:t xml:space="preserve"> </w:t>
      </w:r>
      <w:r w:rsidRPr="00E47E55">
        <w:rPr>
          <w:rFonts w:asciiTheme="minorHAnsi" w:eastAsia="Times New Roman" w:hAnsiTheme="minorHAnsi" w:cs="Arial"/>
          <w:color w:val="000000"/>
          <w:sz w:val="16"/>
          <w:szCs w:val="16"/>
        </w:rPr>
        <w:t xml:space="preserve">The 2,800 MW of ISO demand resources do not include </w:t>
      </w:r>
      <w:r w:rsidRPr="00E47E55">
        <w:rPr>
          <w:rFonts w:asciiTheme="minorHAnsi" w:eastAsia="Times New Roman" w:hAnsiTheme="minorHAnsi" w:cs="Arial"/>
          <w:sz w:val="16"/>
          <w:szCs w:val="16"/>
        </w:rPr>
        <w:t xml:space="preserve">behind-the-meter photovoltaic resources (BTM PV) </w:t>
      </w:r>
      <w:r w:rsidRPr="00E47E55">
        <w:rPr>
          <w:rFonts w:asciiTheme="minorHAnsi" w:eastAsia="Times New Roman" w:hAnsiTheme="minorHAnsi" w:cs="Arial"/>
          <w:color w:val="000000"/>
          <w:sz w:val="16"/>
          <w:szCs w:val="16"/>
        </w:rPr>
        <w:t xml:space="preserve">and energy efficiency provided by other customer-based programs outside the ISO markets or are otherwise unknown to the ISO. The total load on August 2, 2006, would have been 28,770 MW had it not been reduced by approximately 640 MW, which included a 490 MW demand reduction in response to ISO Operating Procedure No. 4 (OP 4), </w:t>
      </w:r>
      <w:r w:rsidRPr="00E47E55">
        <w:rPr>
          <w:rFonts w:asciiTheme="minorHAnsi" w:eastAsia="Times New Roman" w:hAnsiTheme="minorHAnsi" w:cs="Arial"/>
          <w:i/>
          <w:color w:val="000000"/>
          <w:sz w:val="16"/>
          <w:szCs w:val="16"/>
        </w:rPr>
        <w:t>Action during a Capacity Deficiency</w:t>
      </w:r>
      <w:r w:rsidRPr="00E47E55">
        <w:rPr>
          <w:rFonts w:asciiTheme="minorHAnsi" w:eastAsia="Times New Roman" w:hAnsiTheme="minorHAnsi" w:cs="Arial"/>
          <w:color w:val="000000"/>
          <w:sz w:val="16"/>
          <w:szCs w:val="16"/>
        </w:rPr>
        <w:t>; a 45 MW reduction of other interruptible OP 4 loads; and a 107 MW reduction of load as a result of price-response programs, which are outside of OP 4 actions.</w:t>
      </w:r>
      <w:r w:rsidRPr="00E47E55">
        <w:rPr>
          <w:rFonts w:ascii="Times New Roman" w:eastAsia="Times New Roman" w:hAnsi="Times New Roman"/>
          <w:color w:val="000000"/>
          <w:sz w:val="16"/>
          <w:szCs w:val="16"/>
        </w:rPr>
        <w:t xml:space="preserve"> </w:t>
      </w:r>
      <w:r w:rsidRPr="00E47E55">
        <w:rPr>
          <w:rFonts w:asciiTheme="minorHAnsi" w:eastAsia="Times New Roman" w:hAnsiTheme="minorHAnsi" w:cs="Arial"/>
          <w:color w:val="000000"/>
          <w:sz w:val="16"/>
          <w:szCs w:val="16"/>
        </w:rPr>
        <w:t xml:space="preserve">(OP 4 guidelines contain 11 actions in total that can be implemented individually or in groups, depending on the severity of the situation.) More information on OP 4 is </w:t>
      </w:r>
      <w:r w:rsidRPr="00E47E55">
        <w:rPr>
          <w:rFonts w:asciiTheme="minorHAnsi" w:eastAsia="Times New Roman" w:hAnsiTheme="minorHAnsi" w:cs="Arial"/>
          <w:sz w:val="16"/>
          <w:szCs w:val="16"/>
        </w:rPr>
        <w:t>available at</w:t>
      </w:r>
      <w:r w:rsidRPr="00E47E55">
        <w:rPr>
          <w:rFonts w:asciiTheme="minorHAnsi" w:eastAsia="Times New Roman" w:hAnsiTheme="minorHAnsi" w:cs="Arial"/>
          <w:color w:val="62777F" w:themeColor="text1"/>
          <w:sz w:val="16"/>
          <w:szCs w:val="16"/>
        </w:rPr>
        <w:t xml:space="preserve"> </w:t>
      </w:r>
      <w:hyperlink r:id="rId31" w:history="1">
        <w:r w:rsidRPr="00E47E55">
          <w:rPr>
            <w:rFonts w:asciiTheme="minorHAnsi" w:eastAsia="Times New Roman" w:hAnsiTheme="minorHAnsi"/>
            <w:sz w:val="16"/>
            <w:szCs w:val="16"/>
          </w:rPr>
          <w:t>http://www.iso-ne.com/static-assets/documents/rules_proceds/operating/isone/op4/op4_rto_final.pdf</w:t>
        </w:r>
      </w:hyperlink>
      <w:r w:rsidRPr="00E47E55">
        <w:rPr>
          <w:rFonts w:asciiTheme="minorHAnsi" w:eastAsia="Times New Roman" w:hAnsiTheme="minorHAnsi" w:cs="Arial"/>
          <w:sz w:val="16"/>
          <w:szCs w:val="16"/>
        </w:rPr>
        <w:t>.</w:t>
      </w:r>
      <w:bookmarkStart w:id="112" w:name="_Ref234811928"/>
      <w:bookmarkStart w:id="113" w:name="_Toc239157047"/>
      <w:bookmarkStart w:id="114" w:name="_Toc271632206"/>
      <w:bookmarkStart w:id="115" w:name="_Toc303086357"/>
      <w:bookmarkStart w:id="116" w:name="_Toc396807604"/>
    </w:p>
    <w:p w:rsidR="00D43F88" w:rsidRPr="00F273F3" w:rsidRDefault="00001CAC" w:rsidP="00E47E55">
      <w:pPr>
        <w:rPr>
          <w:rFonts w:ascii="Times New Roman" w:hAnsi="Times New Roman"/>
          <w:color w:val="000000"/>
          <w:sz w:val="24"/>
          <w:szCs w:val="24"/>
        </w:rPr>
      </w:pPr>
      <w:r w:rsidRPr="003D5C12">
        <w:t xml:space="preserve">RSP17 includes both a NERC and an NPCC term to describe the electric power system. The </w:t>
      </w:r>
      <w:r w:rsidR="001B2849" w:rsidRPr="003D5C12">
        <w:t xml:space="preserve">NERC </w:t>
      </w:r>
      <w:r w:rsidRPr="003D5C12">
        <w:t xml:space="preserve">term, </w:t>
      </w:r>
      <w:r w:rsidRPr="003D5C12">
        <w:rPr>
          <w:i/>
        </w:rPr>
        <w:t>bulk electric system</w:t>
      </w:r>
      <w:r w:rsidRPr="003D5C12">
        <w:t xml:space="preserve"> (BES), </w:t>
      </w:r>
      <w:r w:rsidR="001B2849" w:rsidRPr="003D5C12">
        <w:t xml:space="preserve">includes </w:t>
      </w:r>
      <w:r w:rsidRPr="003D5C12">
        <w:t>t</w:t>
      </w:r>
      <w:r w:rsidR="001B2849" w:rsidRPr="003D5C12">
        <w:t xml:space="preserve">ransmission </w:t>
      </w:r>
      <w:r w:rsidRPr="003D5C12">
        <w:t>e</w:t>
      </w:r>
      <w:r w:rsidR="001B2849" w:rsidRPr="003D5C12">
        <w:t xml:space="preserve">lements operated at 100 </w:t>
      </w:r>
      <w:r w:rsidR="00044685" w:rsidRPr="003D5C12">
        <w:t>kilovolts (</w:t>
      </w:r>
      <w:r w:rsidR="001B2849" w:rsidRPr="003D5C12">
        <w:t>kV</w:t>
      </w:r>
      <w:r w:rsidR="00044685" w:rsidRPr="003D5C12">
        <w:t>)</w:t>
      </w:r>
      <w:r w:rsidR="001B2849" w:rsidRPr="003D5C12">
        <w:t xml:space="preserve"> or higher and </w:t>
      </w:r>
      <w:r w:rsidRPr="003D5C12">
        <w:t>r</w:t>
      </w:r>
      <w:r w:rsidR="001B2849" w:rsidRPr="003D5C12">
        <w:t xml:space="preserve">eal </w:t>
      </w:r>
      <w:r w:rsidRPr="003D5C12">
        <w:t>p</w:t>
      </w:r>
      <w:r w:rsidR="001B2849" w:rsidRPr="003D5C12">
        <w:t xml:space="preserve">ower and </w:t>
      </w:r>
      <w:r w:rsidRPr="003D5C12">
        <w:t>r</w:t>
      </w:r>
      <w:r w:rsidR="001B2849" w:rsidRPr="003D5C12">
        <w:t xml:space="preserve">eactive </w:t>
      </w:r>
      <w:r w:rsidRPr="003D5C12">
        <w:t>p</w:t>
      </w:r>
      <w:r w:rsidR="001B2849" w:rsidRPr="003D5C12">
        <w:t>ower resources conn</w:t>
      </w:r>
      <w:r w:rsidRPr="003D5C12">
        <w:t>ected at 100 kV or higher.</w:t>
      </w:r>
      <w:r w:rsidRPr="003D5C12">
        <w:rPr>
          <w:rStyle w:val="FootnoteReference"/>
        </w:rPr>
        <w:footnoteReference w:id="57"/>
      </w:r>
      <w:r w:rsidRPr="003D5C12">
        <w:t xml:space="preserve"> A BES </w:t>
      </w:r>
      <w:r w:rsidR="001B2849" w:rsidRPr="003D5C12">
        <w:t xml:space="preserve">does not include facilities used in the local distribution of electric energy. </w:t>
      </w:r>
      <w:r w:rsidR="00044685" w:rsidRPr="003D5C12">
        <w:t xml:space="preserve">The </w:t>
      </w:r>
      <w:r w:rsidRPr="003D5C12">
        <w:t>NPCC term</w:t>
      </w:r>
      <w:r w:rsidR="00044685" w:rsidRPr="003D5C12">
        <w:t xml:space="preserve">, </w:t>
      </w:r>
      <w:r w:rsidRPr="003D5C12">
        <w:rPr>
          <w:i/>
        </w:rPr>
        <w:t>bulk power system</w:t>
      </w:r>
      <w:r w:rsidRPr="003D5C12">
        <w:t xml:space="preserve">, </w:t>
      </w:r>
      <w:r w:rsidR="00044685" w:rsidRPr="003D5C12">
        <w:t xml:space="preserve">refers to </w:t>
      </w:r>
      <w:r w:rsidRPr="003D5C12">
        <w:t xml:space="preserve">the </w:t>
      </w:r>
      <w:r w:rsidR="001B2849" w:rsidRPr="003D5C12">
        <w:t>i</w:t>
      </w:r>
      <w:r w:rsidRPr="003D5C12">
        <w:t>nterconnected electrical system</w:t>
      </w:r>
      <w:r w:rsidR="001B2849" w:rsidRPr="003D5C12">
        <w:t xml:space="preserve"> within northeastern North America compris</w:t>
      </w:r>
      <w:r w:rsidR="00EF0A0C">
        <w:t xml:space="preserve">ing </w:t>
      </w:r>
      <w:r w:rsidR="001B2849" w:rsidRPr="003D5C12">
        <w:t xml:space="preserve"> system elements on which faults or disturbances can have a significant adverse impact outside of the local area.</w:t>
      </w:r>
      <w:r w:rsidRPr="003D5C12">
        <w:t xml:space="preserve"> </w:t>
      </w:r>
      <w:r w:rsidR="00573DB5" w:rsidRPr="003D5C12">
        <w:t>RSP</w:t>
      </w:r>
      <w:r w:rsidR="003D5C12" w:rsidRPr="003D5C12">
        <w:t>17</w:t>
      </w:r>
      <w:r w:rsidR="00573DB5" w:rsidRPr="003D5C12">
        <w:t xml:space="preserve"> </w:t>
      </w:r>
      <w:r w:rsidR="00573DB5" w:rsidRPr="003D5C12">
        <w:lastRenderedPageBreak/>
        <w:t>describes how the ISO meets NERC and NPCC requirements to ensure compliance with planning and operating standards and criteria</w:t>
      </w:r>
      <w:r w:rsidR="00A43ABC">
        <w:t>.</w:t>
      </w:r>
    </w:p>
    <w:p w:rsidR="00F273F3" w:rsidRPr="00F273F3" w:rsidRDefault="00F273F3" w:rsidP="00E64DE8">
      <w:pPr>
        <w:pStyle w:val="Heading2"/>
      </w:pPr>
      <w:bookmarkStart w:id="117" w:name="_Ref418941286"/>
      <w:bookmarkStart w:id="118" w:name="_Toc484973058"/>
      <w:bookmarkStart w:id="119" w:name="_Toc490323012"/>
      <w:r w:rsidRPr="00F273F3">
        <w:t>Overview of the New England Wholesale Electricity Market Structure</w:t>
      </w:r>
      <w:bookmarkEnd w:id="112"/>
      <w:bookmarkEnd w:id="113"/>
      <w:bookmarkEnd w:id="114"/>
      <w:bookmarkEnd w:id="115"/>
      <w:bookmarkEnd w:id="116"/>
      <w:bookmarkEnd w:id="117"/>
      <w:bookmarkEnd w:id="118"/>
      <w:bookmarkEnd w:id="119"/>
      <w:r w:rsidRPr="00F273F3">
        <w:t xml:space="preserve"> </w:t>
      </w:r>
    </w:p>
    <w:p w:rsidR="00F273F3" w:rsidRPr="00F273F3" w:rsidRDefault="00F273F3" w:rsidP="00F273F3">
      <w:r w:rsidRPr="00F273F3">
        <w:t xml:space="preserve">New England’s wholesale electricity markets facilitate the buying, selling, and transporting of wholesale electricity, as well as ensure proper system frequency and voltage, sufficient future capacity, seasonal and real-time reserve capacity, and system restoration capability after a blackout. Stakeholders also have the opportunity to hedge against the costs associated with transmission congestion. As shown in </w:t>
      </w:r>
      <w:r w:rsidRPr="00F273F3">
        <w:fldChar w:fldCharType="begin"/>
      </w:r>
      <w:r w:rsidRPr="00F273F3">
        <w:instrText xml:space="preserve"> REF _Ref173207023 \h  \* MERGEFORMAT </w:instrText>
      </w:r>
      <w:r w:rsidRPr="00F273F3">
        <w:fldChar w:fldCharType="separate"/>
      </w:r>
      <w:r w:rsidR="00314781" w:rsidRPr="00A01253">
        <w:t>Figure 2</w:t>
      </w:r>
      <w:r w:rsidR="00314781" w:rsidRPr="00A01253">
        <w:noBreakHyphen/>
        <w:t>1</w:t>
      </w:r>
      <w:r w:rsidRPr="00F273F3">
        <w:fldChar w:fldCharType="end"/>
      </w:r>
      <w:r w:rsidRPr="00F273F3">
        <w:t>, in 2016, approximately 400 market participants completed transactions in New England’s wholesale electricity markets totaling $</w:t>
      </w:r>
      <w:r w:rsidR="0013405B">
        <w:t>5.4</w:t>
      </w:r>
      <w:r w:rsidRPr="00F273F3">
        <w:t xml:space="preserve"> billion. The wholesale electricity markets and market products in New England are as follows:</w:t>
      </w:r>
      <w:r w:rsidRPr="00F273F3">
        <w:rPr>
          <w:color w:val="211D1E"/>
          <w:vertAlign w:val="superscript"/>
        </w:rPr>
        <w:footnoteReference w:id="58"/>
      </w:r>
    </w:p>
    <w:p w:rsidR="00F273F3" w:rsidRPr="00F273F3" w:rsidRDefault="00F273F3" w:rsidP="003D70FB">
      <w:pPr>
        <w:numPr>
          <w:ilvl w:val="0"/>
          <w:numId w:val="46"/>
        </w:numPr>
        <w:spacing w:after="120"/>
        <w:ind w:left="720"/>
      </w:pPr>
      <w:r w:rsidRPr="00F273F3">
        <w:rPr>
          <w:b/>
          <w:bCs/>
        </w:rPr>
        <w:t>Day-Ahead Energy Market</w:t>
      </w:r>
      <w:r w:rsidRPr="00F273F3">
        <w:t>—allows market participants to secure prices for electric energy the day before the operating day and hedge against price fluctuations that can occur in real time.</w:t>
      </w:r>
    </w:p>
    <w:p w:rsidR="00F273F3" w:rsidRPr="00F273F3" w:rsidRDefault="00F273F3" w:rsidP="003D70FB">
      <w:pPr>
        <w:numPr>
          <w:ilvl w:val="0"/>
          <w:numId w:val="46"/>
        </w:numPr>
        <w:spacing w:after="120"/>
        <w:ind w:left="720"/>
      </w:pPr>
      <w:r w:rsidRPr="00F273F3">
        <w:rPr>
          <w:b/>
          <w:bCs/>
        </w:rPr>
        <w:t>Real-Time Energy Market</w:t>
      </w:r>
      <w:r w:rsidRPr="00F273F3">
        <w:t>—coordinates the dispatch of generation and demand resources to meet the instantaneous demand for electricity.</w:t>
      </w:r>
    </w:p>
    <w:p w:rsidR="00F273F3" w:rsidRPr="00F273F3" w:rsidRDefault="00F273F3" w:rsidP="003D70FB">
      <w:pPr>
        <w:numPr>
          <w:ilvl w:val="0"/>
          <w:numId w:val="46"/>
        </w:numPr>
        <w:spacing w:after="120"/>
        <w:ind w:left="720"/>
      </w:pPr>
      <w:r w:rsidRPr="00F273F3">
        <w:rPr>
          <w:b/>
          <w:bCs/>
        </w:rPr>
        <w:t>Forward Capacity Market (FCM)</w:t>
      </w:r>
      <w:r w:rsidRPr="00F273F3">
        <w:t>—ensures the sufficiency of installed capacity, which includes demand resources, to meet the future demand for electricity by sending appropriate price signals to attract new investment, maintain existing investment, and encourage capacity to perform both where and when needed, including during shortage events.</w:t>
      </w:r>
      <w:r w:rsidRPr="00F273F3">
        <w:rPr>
          <w:vertAlign w:val="superscript"/>
        </w:rPr>
        <w:footnoteReference w:id="59"/>
      </w:r>
    </w:p>
    <w:p w:rsidR="00F273F3" w:rsidRPr="00F273F3" w:rsidRDefault="00F273F3" w:rsidP="003D70FB">
      <w:pPr>
        <w:numPr>
          <w:ilvl w:val="0"/>
          <w:numId w:val="46"/>
        </w:numPr>
        <w:spacing w:after="120"/>
        <w:ind w:left="720"/>
        <w:rPr>
          <w:color w:val="211D1E"/>
        </w:rPr>
      </w:pPr>
      <w:r w:rsidRPr="00F273F3">
        <w:rPr>
          <w:b/>
          <w:bCs/>
          <w:color w:val="211D1E"/>
        </w:rPr>
        <w:t>Financial Transmission Rights (FTRs)</w:t>
      </w:r>
      <w:r w:rsidRPr="00F273F3">
        <w:rPr>
          <w:color w:val="211D1E"/>
        </w:rPr>
        <w:t xml:space="preserve">—allows participants </w:t>
      </w:r>
      <w:r w:rsidRPr="00F273F3">
        <w:t>to hedge against the economic impacts associated with transmission congestion and provides a financial instrument to arbitrage differences between expected and actual day-ahead congestion.</w:t>
      </w:r>
    </w:p>
    <w:p w:rsidR="00F273F3" w:rsidRPr="00F273F3" w:rsidRDefault="00F273F3" w:rsidP="003D70FB">
      <w:pPr>
        <w:numPr>
          <w:ilvl w:val="0"/>
          <w:numId w:val="46"/>
        </w:numPr>
        <w:spacing w:after="120"/>
        <w:ind w:left="720"/>
        <w:rPr>
          <w:b/>
        </w:rPr>
      </w:pPr>
      <w:r w:rsidRPr="00F273F3">
        <w:rPr>
          <w:b/>
        </w:rPr>
        <w:t>Ancillary services</w:t>
      </w:r>
    </w:p>
    <w:p w:rsidR="00F273F3" w:rsidRPr="00F273F3" w:rsidRDefault="00F273F3" w:rsidP="003D70FB">
      <w:pPr>
        <w:numPr>
          <w:ilvl w:val="0"/>
          <w:numId w:val="42"/>
        </w:numPr>
        <w:spacing w:after="120"/>
        <w:ind w:left="1440"/>
        <w:rPr>
          <w:color w:val="000000"/>
        </w:rPr>
      </w:pPr>
      <w:r w:rsidRPr="00F273F3">
        <w:rPr>
          <w:b/>
          <w:bCs/>
          <w:color w:val="000000"/>
        </w:rPr>
        <w:t>Regulation Market</w:t>
      </w:r>
      <w:r w:rsidRPr="00F273F3">
        <w:rPr>
          <w:color w:val="000000"/>
        </w:rPr>
        <w:t>—compensates resources that the ISO instructs to increase or decrease output moment by moment to balance the variations in demand and system frequency to meet industry standards.</w:t>
      </w:r>
      <w:r w:rsidRPr="00F273F3">
        <w:rPr>
          <w:color w:val="211D1E"/>
          <w:vertAlign w:val="superscript"/>
        </w:rPr>
        <w:footnoteReference w:id="60"/>
      </w:r>
    </w:p>
    <w:p w:rsidR="00F273F3" w:rsidRPr="00F273F3" w:rsidRDefault="00F273F3" w:rsidP="003D70FB">
      <w:pPr>
        <w:numPr>
          <w:ilvl w:val="0"/>
          <w:numId w:val="42"/>
        </w:numPr>
        <w:spacing w:after="120"/>
        <w:ind w:left="1440"/>
        <w:rPr>
          <w:color w:val="211D1E"/>
        </w:rPr>
      </w:pPr>
      <w:r w:rsidRPr="00F273F3">
        <w:rPr>
          <w:b/>
          <w:bCs/>
          <w:color w:val="211D1E"/>
        </w:rPr>
        <w:t>Forward Reserve Market (FRM)</w:t>
      </w:r>
      <w:r w:rsidRPr="00F273F3">
        <w:rPr>
          <w:color w:val="211D1E"/>
        </w:rPr>
        <w:t>—</w:t>
      </w:r>
      <w:r w:rsidRPr="00F273F3">
        <w:rPr>
          <w:color w:val="000000"/>
        </w:rPr>
        <w:t>compensates generators for the availability of their operational capacity not generating electric energy but able to be converted into electric energy within 10 or 30 minutes when needed to respond to system contingencies, such as unexpected outages.</w:t>
      </w:r>
      <w:r w:rsidRPr="00F273F3">
        <w:rPr>
          <w:color w:val="000000"/>
          <w:vertAlign w:val="superscript"/>
        </w:rPr>
        <w:footnoteReference w:id="61"/>
      </w:r>
    </w:p>
    <w:p w:rsidR="00F273F3" w:rsidRPr="00F273F3" w:rsidRDefault="00F273F3" w:rsidP="003D70FB">
      <w:pPr>
        <w:numPr>
          <w:ilvl w:val="0"/>
          <w:numId w:val="42"/>
        </w:numPr>
        <w:spacing w:after="120"/>
        <w:ind w:left="1440"/>
        <w:rPr>
          <w:color w:val="000000"/>
        </w:rPr>
      </w:pPr>
      <w:r w:rsidRPr="00F273F3">
        <w:rPr>
          <w:b/>
          <w:bCs/>
          <w:color w:val="000000"/>
        </w:rPr>
        <w:lastRenderedPageBreak/>
        <w:t>Real-time reserve pricing</w:t>
      </w:r>
      <w:r w:rsidRPr="00F273F3">
        <w:rPr>
          <w:color w:val="000000"/>
        </w:rPr>
        <w:t>—compensates participants with on-line and fast-start generators for the increased values of their electric energy when the system or portions of the system are short of reserves.</w:t>
      </w:r>
      <w:r w:rsidRPr="00F273F3">
        <w:rPr>
          <w:color w:val="000000"/>
          <w:vertAlign w:val="superscript"/>
        </w:rPr>
        <w:footnoteReference w:id="62"/>
      </w:r>
      <w:r w:rsidRPr="00F273F3">
        <w:rPr>
          <w:color w:val="000000"/>
        </w:rPr>
        <w:t xml:space="preserve"> It also provides efficient price signals to generators when redispatch is needed to provide additional reserves to meet requirements.</w:t>
      </w:r>
    </w:p>
    <w:p w:rsidR="00F273F3" w:rsidRPr="00F273F3" w:rsidRDefault="00F273F3" w:rsidP="003D70FB">
      <w:pPr>
        <w:numPr>
          <w:ilvl w:val="0"/>
          <w:numId w:val="42"/>
        </w:numPr>
        <w:ind w:left="1440"/>
        <w:rPr>
          <w:color w:val="000000"/>
        </w:rPr>
      </w:pPr>
      <w:r w:rsidRPr="00F273F3">
        <w:rPr>
          <w:b/>
          <w:bCs/>
          <w:color w:val="000000"/>
        </w:rPr>
        <w:t>Voltage support</w:t>
      </w:r>
      <w:r w:rsidRPr="00F273F3">
        <w:rPr>
          <w:color w:val="000000"/>
        </w:rPr>
        <w:t>—compensates resources for maintaining voltage-control capability, which allows system operators to maintain transmission voltages within acceptable limits.</w:t>
      </w:r>
    </w:p>
    <w:p w:rsidR="00F273F3" w:rsidRPr="00F273F3" w:rsidRDefault="00F273F3" w:rsidP="00F273F3">
      <w:r w:rsidRPr="00F273F3">
        <w:t>One key feature of the region’s wholesale electricity markets is locational marginal pricing for electric energy, which r</w:t>
      </w:r>
      <w:r w:rsidRPr="00F273F3">
        <w:rPr>
          <w:bCs/>
        </w:rPr>
        <w:t>eflects</w:t>
      </w:r>
      <w:r w:rsidRPr="00F273F3">
        <w:t xml:space="preserve"> the variations in supply, demand, and transmission system limitations effectively at every location where electric energy enters or exits the wholesale power network. In New England, wholesale electricity prices are set at over 1,000 pricing points (i.e., </w:t>
      </w:r>
      <w:r w:rsidRPr="00F273F3">
        <w:rPr>
          <w:i/>
          <w:iCs/>
        </w:rPr>
        <w:t>pnodes</w:t>
      </w:r>
      <w:r w:rsidRPr="00F273F3">
        <w:t xml:space="preserve">) on the power grid. If the system were entirely unconstrained and had no losses, all </w:t>
      </w:r>
      <w:r w:rsidRPr="00F273F3">
        <w:rPr>
          <w:i/>
        </w:rPr>
        <w:t>locational marginal prices</w:t>
      </w:r>
      <w:r w:rsidRPr="00F273F3">
        <w:t xml:space="preserve"> (LMPs) would be the same, reflecting only the cost of serving the next megawatt increment of load by the generator with the lowest-cost electric energy available, which would be able to flow to any point on the transmission system. LMPs would differ among the pnodes if each location’s marginal cost of congestion and marginal cost of line losses differed.</w:t>
      </w:r>
    </w:p>
    <w:p w:rsidR="00F273F3" w:rsidRPr="00F273F3" w:rsidRDefault="00F273F3" w:rsidP="00F273F3">
      <w:r w:rsidRPr="00F273F3">
        <w:t>Transmission system constraints, which limit the flow of the least-cost generation and create the need to dispatch more costly generation, give rise to the congestion component of an LMP. Line losses are caused by physical resistance and subsequent heat loss in the transmission system as electricity travels through transformers, reactors, and other types of equipment, resulting in less power being withdrawn from the system than was injected. Line losses and their associated marginal costs are inherent to transmission lines and other grid infrastructure as electric energy flows from generators to loads. As with the marginal cost of congestion, the marginal cost of losses affects the amount of generation that must be dispatched. The ISO operates the system to minimize total system costs, while recognizing physical limitations of the system.</w:t>
      </w:r>
    </w:p>
    <w:p w:rsidR="00F273F3" w:rsidRPr="00F273F3" w:rsidRDefault="00F273F3" w:rsidP="00F273F3">
      <w:r w:rsidRPr="00F273F3">
        <w:t>The ISO annually assesses the wholesale electricity markets to better understand problems to be addressed and to determine whether the market design or other measures warrant any changes. The ISO uses this information and the results of RSP studies to develop market design changes through an open stakeholder process.</w:t>
      </w:r>
      <w:r w:rsidRPr="00F273F3">
        <w:rPr>
          <w:vertAlign w:val="superscript"/>
        </w:rPr>
        <w:footnoteReference w:id="63"/>
      </w:r>
      <w:r w:rsidRPr="00F273F3">
        <w:t xml:space="preserve"> </w:t>
      </w:r>
    </w:p>
    <w:p w:rsidR="00F273F3" w:rsidRPr="001F78DF" w:rsidRDefault="00F273F3" w:rsidP="00E64DE8">
      <w:pPr>
        <w:pStyle w:val="Heading2"/>
      </w:pPr>
      <w:bookmarkStart w:id="120" w:name="_Ref356659320"/>
      <w:bookmarkStart w:id="121" w:name="_Toc396807605"/>
      <w:bookmarkStart w:id="122" w:name="_Toc484973059"/>
      <w:bookmarkStart w:id="123" w:name="_Toc490323013"/>
      <w:r w:rsidRPr="001F78DF">
        <w:t>Overview of System Subdivisions Used for Analyzing and Planning the System</w:t>
      </w:r>
      <w:bookmarkEnd w:id="120"/>
      <w:bookmarkEnd w:id="121"/>
      <w:bookmarkEnd w:id="122"/>
      <w:bookmarkEnd w:id="123"/>
    </w:p>
    <w:p w:rsidR="00F273F3" w:rsidRDefault="00F273F3" w:rsidP="00F273F3">
      <w:r w:rsidRPr="00F273F3">
        <w:t>To assist in modeling, analyzing, and planning electricity resources in New England, the region and the system have been subdivided in various ways. These categories are included in the discussions throughout the RSP and are summarized below.</w:t>
      </w:r>
    </w:p>
    <w:p w:rsidR="00EB2027" w:rsidRDefault="00EB2027" w:rsidP="0018253B">
      <w:r w:rsidRPr="00F273F3">
        <w:t xml:space="preserve">The ISO has established 13 </w:t>
      </w:r>
      <w:r w:rsidRPr="00F273F3">
        <w:rPr>
          <w:i/>
        </w:rPr>
        <w:t>subareas</w:t>
      </w:r>
      <w:r w:rsidRPr="00F273F3">
        <w:t xml:space="preserve"> of the region’s electric power system. These subareas form a simplified model of load areas connected by the major transmission interfaces across the system. The </w:t>
      </w:r>
      <w:r w:rsidRPr="00F273F3">
        <w:lastRenderedPageBreak/>
        <w:t>simplified model illustrates possible physical limitations to the reliable and economic flow of power that can evolve over time as the system changes.</w:t>
      </w:r>
    </w:p>
    <w:p w:rsidR="0018253B" w:rsidRPr="00F273F3" w:rsidRDefault="00DD6943" w:rsidP="0018253B">
      <w:r w:rsidRPr="00DD6943">
        <w:fldChar w:fldCharType="begin"/>
      </w:r>
      <w:r w:rsidRPr="00DD6943">
        <w:instrText xml:space="preserve"> REF _Ref485982000 \h  \* MERGEFORMAT </w:instrText>
      </w:r>
      <w:r w:rsidRPr="00DD6943">
        <w:fldChar w:fldCharType="separate"/>
      </w:r>
      <w:r w:rsidR="00314781" w:rsidRPr="003A5AFD">
        <w:t>Figure 2</w:t>
      </w:r>
      <w:r w:rsidR="00314781" w:rsidRPr="003A5AFD">
        <w:noBreakHyphen/>
        <w:t>2</w:t>
      </w:r>
      <w:r w:rsidRPr="00DD6943">
        <w:fldChar w:fldCharType="end"/>
      </w:r>
      <w:r w:rsidR="0018253B" w:rsidRPr="00F273F3">
        <w:t xml:space="preserve"> shows the ISO subareas and three external balancing authority areas. While transmission planning studies and the real-time operation of the system use more detailed models, the subarea representation shown in</w:t>
      </w:r>
      <w:r w:rsidR="00EB2027">
        <w:t xml:space="preserve"> </w:t>
      </w:r>
      <w:r w:rsidR="00EB2027" w:rsidRPr="00DD6943">
        <w:fldChar w:fldCharType="begin"/>
      </w:r>
      <w:r w:rsidR="00EB2027" w:rsidRPr="00DD6943">
        <w:instrText xml:space="preserve"> REF _Ref485982000 \h  \* MERGEFORMAT </w:instrText>
      </w:r>
      <w:r w:rsidR="00EB2027" w:rsidRPr="00DD6943">
        <w:fldChar w:fldCharType="separate"/>
      </w:r>
      <w:r w:rsidR="00314781" w:rsidRPr="003A5AFD">
        <w:t>Figure 2</w:t>
      </w:r>
      <w:r w:rsidR="00314781" w:rsidRPr="003A5AFD">
        <w:noBreakHyphen/>
        <w:t>2</w:t>
      </w:r>
      <w:r w:rsidR="00EB2027" w:rsidRPr="00DD6943">
        <w:fldChar w:fldCharType="end"/>
      </w:r>
      <w:r w:rsidR="0018253B" w:rsidRPr="00F273F3">
        <w:t xml:space="preserve"> is suitable for some RSP17 studies of resource adequacy, operating-reserve requirements, production cost, and environmental emissions.</w:t>
      </w:r>
    </w:p>
    <w:tbl>
      <w:tblPr>
        <w:tblStyle w:val="20122tableformat"/>
        <w:tblW w:w="9076" w:type="dxa"/>
        <w:tblLayout w:type="fixed"/>
        <w:tblCellMar>
          <w:top w:w="14" w:type="dxa"/>
          <w:bottom w:w="14" w:type="dxa"/>
        </w:tblCellMar>
        <w:tblLook w:val="0000" w:firstRow="0" w:lastRow="0" w:firstColumn="0" w:lastColumn="0" w:noHBand="0" w:noVBand="0"/>
      </w:tblPr>
      <w:tblGrid>
        <w:gridCol w:w="4974"/>
        <w:gridCol w:w="1305"/>
        <w:gridCol w:w="2797"/>
      </w:tblGrid>
      <w:tr w:rsidR="0018253B" w:rsidRPr="00F273F3" w:rsidTr="00AA1399">
        <w:trPr>
          <w:cnfStyle w:val="000000100000" w:firstRow="0" w:lastRow="0" w:firstColumn="0" w:lastColumn="0" w:oddVBand="0" w:evenVBand="0" w:oddHBand="1" w:evenHBand="0" w:firstRowFirstColumn="0" w:firstRowLastColumn="0" w:lastRowFirstColumn="0" w:lastRowLastColumn="0"/>
          <w:trHeight w:val="438"/>
        </w:trPr>
        <w:tc>
          <w:tcPr>
            <w:tcW w:w="4974" w:type="dxa"/>
            <w:vMerge w:val="restart"/>
          </w:tcPr>
          <w:p w:rsidR="0018253B" w:rsidRPr="00F273F3" w:rsidRDefault="0018253B" w:rsidP="00DD6943">
            <w:pPr>
              <w:keepNext/>
              <w:keepLines/>
              <w:spacing w:before="40" w:after="20"/>
              <w:jc w:val="center"/>
              <w:rPr>
                <w:rFonts w:asciiTheme="minorHAnsi" w:eastAsia="Arial Unicode MS" w:hAnsiTheme="minorHAnsi"/>
                <w:b/>
                <w:bCs/>
                <w:sz w:val="16"/>
                <w:szCs w:val="16"/>
              </w:rPr>
            </w:pPr>
            <w:r w:rsidRPr="00F273F3">
              <w:rPr>
                <w:rFonts w:asciiTheme="minorHAnsi" w:eastAsia="Arial Unicode MS" w:hAnsiTheme="minorHAnsi"/>
                <w:b/>
                <w:bCs/>
                <w:noProof/>
                <w:sz w:val="16"/>
                <w:szCs w:val="16"/>
              </w:rPr>
              <w:drawing>
                <wp:inline distT="0" distB="0" distL="0" distR="0" wp14:anchorId="53294AF1" wp14:editId="722CE753">
                  <wp:extent cx="3086964" cy="4285877"/>
                  <wp:effectExtent l="1905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stretch>
                            <a:fillRect/>
                          </a:stretch>
                        </pic:blipFill>
                        <pic:spPr bwMode="auto">
                          <a:xfrm>
                            <a:off x="0" y="0"/>
                            <a:ext cx="3086964" cy="4285877"/>
                          </a:xfrm>
                          <a:prstGeom prst="rect">
                            <a:avLst/>
                          </a:prstGeom>
                          <a:noFill/>
                          <a:ln w="9525">
                            <a:noFill/>
                            <a:miter lim="800000"/>
                            <a:headEnd/>
                            <a:tailEnd/>
                          </a:ln>
                        </pic:spPr>
                      </pic:pic>
                    </a:graphicData>
                  </a:graphic>
                </wp:inline>
              </w:drawing>
            </w:r>
          </w:p>
        </w:tc>
        <w:tc>
          <w:tcPr>
            <w:tcW w:w="1305" w:type="dxa"/>
            <w:shd w:val="clear" w:color="auto" w:fill="91C7E9" w:themeFill="text2" w:themeFillTint="66"/>
            <w:noWrap/>
          </w:tcPr>
          <w:p w:rsidR="0018253B" w:rsidRPr="00F273F3" w:rsidRDefault="0018253B" w:rsidP="00DD6943">
            <w:pPr>
              <w:keepNext/>
              <w:keepLines/>
              <w:spacing w:after="0"/>
              <w:jc w:val="center"/>
              <w:rPr>
                <w:rFonts w:asciiTheme="minorHAnsi" w:eastAsia="Arial Unicode MS" w:hAnsiTheme="minorHAnsi"/>
                <w:b/>
                <w:bCs/>
                <w:color w:val="FFFFFF" w:themeColor="background1"/>
                <w:szCs w:val="18"/>
              </w:rPr>
            </w:pPr>
            <w:r w:rsidRPr="00F273F3">
              <w:rPr>
                <w:rFonts w:asciiTheme="minorHAnsi" w:eastAsia="Arial Unicode MS" w:hAnsiTheme="minorHAnsi"/>
                <w:b/>
                <w:bCs/>
                <w:color w:val="FFFFFF" w:themeColor="background1"/>
                <w:szCs w:val="18"/>
              </w:rPr>
              <w:t>Subarea Designation</w:t>
            </w:r>
          </w:p>
        </w:tc>
        <w:tc>
          <w:tcPr>
            <w:tcW w:w="2797" w:type="dxa"/>
            <w:shd w:val="clear" w:color="auto" w:fill="91C7E9" w:themeFill="text2" w:themeFillTint="66"/>
          </w:tcPr>
          <w:p w:rsidR="0018253B" w:rsidRPr="00F273F3" w:rsidRDefault="0018253B" w:rsidP="00DD6943">
            <w:pPr>
              <w:keepNext/>
              <w:keepLines/>
              <w:spacing w:after="0"/>
              <w:jc w:val="center"/>
              <w:rPr>
                <w:rFonts w:asciiTheme="minorHAnsi" w:eastAsia="Arial Unicode MS" w:hAnsiTheme="minorHAnsi"/>
                <w:b/>
                <w:bCs/>
                <w:color w:val="FFFFFF" w:themeColor="background1"/>
                <w:szCs w:val="18"/>
              </w:rPr>
            </w:pPr>
            <w:r w:rsidRPr="00F273F3">
              <w:rPr>
                <w:rFonts w:asciiTheme="minorHAnsi" w:eastAsia="Arial Unicode MS" w:hAnsiTheme="minorHAnsi"/>
                <w:b/>
                <w:bCs/>
                <w:color w:val="FFFFFF" w:themeColor="background1"/>
                <w:szCs w:val="18"/>
              </w:rPr>
              <w:t>Region or State</w:t>
            </w:r>
          </w:p>
        </w:tc>
      </w:tr>
      <w:tr w:rsidR="0018253B" w:rsidRPr="00F273F3" w:rsidTr="00AA1399">
        <w:trPr>
          <w:cnfStyle w:val="000000010000" w:firstRow="0" w:lastRow="0" w:firstColumn="0" w:lastColumn="0" w:oddVBand="0" w:evenVBand="0" w:oddHBand="0" w:evenHBand="1" w:firstRowFirstColumn="0" w:firstRowLastColumn="0" w:lastRowFirstColumn="0" w:lastRowLastColumn="0"/>
          <w:trHeight w:val="272"/>
        </w:trPr>
        <w:tc>
          <w:tcPr>
            <w:tcW w:w="4974" w:type="dxa"/>
            <w:vMerge/>
          </w:tcPr>
          <w:p w:rsidR="0018253B" w:rsidRPr="00F273F3" w:rsidRDefault="0018253B" w:rsidP="00DD6943">
            <w:pPr>
              <w:keepNext/>
              <w:keepLines/>
              <w:spacing w:before="40" w:after="20"/>
              <w:rPr>
                <w:rFonts w:asciiTheme="minorHAnsi" w:eastAsia="Times New Roman" w:hAnsiTheme="minorHAnsi"/>
                <w:sz w:val="16"/>
                <w:szCs w:val="24"/>
              </w:rPr>
            </w:pPr>
          </w:p>
        </w:tc>
        <w:tc>
          <w:tcPr>
            <w:tcW w:w="1305" w:type="dxa"/>
            <w:shd w:val="clear" w:color="auto" w:fill="FFFFFF" w:themeFill="background1"/>
            <w:noWrap/>
          </w:tcPr>
          <w:p w:rsidR="0018253B" w:rsidRPr="00F273F3" w:rsidRDefault="0018253B" w:rsidP="00DD6943">
            <w:pPr>
              <w:keepNext/>
              <w:keepLines/>
              <w:spacing w:after="0"/>
              <w:rPr>
                <w:rFonts w:asciiTheme="minorHAnsi" w:eastAsia="Times New Roman" w:hAnsiTheme="minorHAnsi"/>
                <w:szCs w:val="18"/>
              </w:rPr>
            </w:pPr>
            <w:r w:rsidRPr="00F273F3">
              <w:rPr>
                <w:rFonts w:asciiTheme="minorHAnsi" w:eastAsia="Times New Roman" w:hAnsiTheme="minorHAnsi"/>
                <w:szCs w:val="18"/>
              </w:rPr>
              <w:t>BHE</w:t>
            </w:r>
          </w:p>
        </w:tc>
        <w:tc>
          <w:tcPr>
            <w:tcW w:w="2797" w:type="dxa"/>
            <w:shd w:val="clear" w:color="auto" w:fill="FFFFFF" w:themeFill="background1"/>
          </w:tcPr>
          <w:p w:rsidR="0018253B" w:rsidRPr="00F273F3" w:rsidRDefault="0018253B" w:rsidP="00DD6943">
            <w:pPr>
              <w:keepNext/>
              <w:keepLines/>
              <w:spacing w:after="0"/>
              <w:rPr>
                <w:rFonts w:asciiTheme="minorHAnsi" w:eastAsia="Times New Roman" w:hAnsiTheme="minorHAnsi"/>
                <w:szCs w:val="18"/>
              </w:rPr>
            </w:pPr>
            <w:r w:rsidRPr="00F273F3">
              <w:rPr>
                <w:rFonts w:asciiTheme="minorHAnsi" w:eastAsia="Times New Roman" w:hAnsiTheme="minorHAnsi"/>
                <w:szCs w:val="18"/>
              </w:rPr>
              <w:t>Northeastern Maine</w:t>
            </w:r>
          </w:p>
        </w:tc>
      </w:tr>
      <w:tr w:rsidR="0018253B" w:rsidRPr="00F273F3" w:rsidTr="00AA1399">
        <w:trPr>
          <w:cnfStyle w:val="000000100000" w:firstRow="0" w:lastRow="0" w:firstColumn="0" w:lastColumn="0" w:oddVBand="0" w:evenVBand="0" w:oddHBand="1" w:evenHBand="0" w:firstRowFirstColumn="0" w:firstRowLastColumn="0" w:lastRowFirstColumn="0" w:lastRowLastColumn="0"/>
          <w:trHeight w:val="170"/>
        </w:trPr>
        <w:tc>
          <w:tcPr>
            <w:tcW w:w="4974" w:type="dxa"/>
            <w:vMerge/>
          </w:tcPr>
          <w:p w:rsidR="0018253B" w:rsidRPr="00F273F3" w:rsidRDefault="0018253B" w:rsidP="00DD6943">
            <w:pPr>
              <w:keepNext/>
              <w:keepLines/>
              <w:spacing w:before="40" w:after="20"/>
              <w:rPr>
                <w:rFonts w:asciiTheme="minorHAnsi" w:eastAsia="Times New Roman" w:hAnsiTheme="minorHAnsi"/>
                <w:sz w:val="16"/>
                <w:szCs w:val="24"/>
              </w:rPr>
            </w:pPr>
          </w:p>
        </w:tc>
        <w:tc>
          <w:tcPr>
            <w:tcW w:w="1305" w:type="dxa"/>
            <w:tcBorders>
              <w:bottom w:val="single" w:sz="2" w:space="0" w:color="62777F" w:themeColor="text1"/>
            </w:tcBorders>
            <w:shd w:val="clear" w:color="auto" w:fill="C8E3F4" w:themeFill="text2" w:themeFillTint="33"/>
            <w:noWrap/>
          </w:tcPr>
          <w:p w:rsidR="0018253B" w:rsidRPr="00F273F3" w:rsidRDefault="0018253B" w:rsidP="00DD6943">
            <w:pPr>
              <w:keepNext/>
              <w:keepLines/>
              <w:spacing w:after="0"/>
              <w:rPr>
                <w:rFonts w:asciiTheme="minorHAnsi" w:eastAsia="Times New Roman" w:hAnsiTheme="minorHAnsi"/>
                <w:szCs w:val="18"/>
              </w:rPr>
            </w:pPr>
            <w:r w:rsidRPr="00F273F3">
              <w:rPr>
                <w:rFonts w:asciiTheme="minorHAnsi" w:eastAsia="Times New Roman" w:hAnsiTheme="minorHAnsi"/>
                <w:szCs w:val="18"/>
              </w:rPr>
              <w:t>ME</w:t>
            </w:r>
          </w:p>
        </w:tc>
        <w:tc>
          <w:tcPr>
            <w:tcW w:w="2797" w:type="dxa"/>
            <w:tcBorders>
              <w:bottom w:val="single" w:sz="2" w:space="0" w:color="62777F" w:themeColor="text1"/>
            </w:tcBorders>
            <w:shd w:val="clear" w:color="auto" w:fill="C8E3F4" w:themeFill="text2" w:themeFillTint="33"/>
          </w:tcPr>
          <w:p w:rsidR="0018253B" w:rsidRPr="00F273F3" w:rsidRDefault="0018253B" w:rsidP="00DD6943">
            <w:pPr>
              <w:keepNext/>
              <w:keepLines/>
              <w:spacing w:after="0"/>
              <w:rPr>
                <w:rFonts w:asciiTheme="minorHAnsi" w:eastAsia="Times New Roman" w:hAnsiTheme="minorHAnsi"/>
                <w:szCs w:val="18"/>
              </w:rPr>
            </w:pPr>
            <w:r w:rsidRPr="00F273F3">
              <w:rPr>
                <w:rFonts w:asciiTheme="minorHAnsi" w:eastAsia="Times New Roman" w:hAnsiTheme="minorHAnsi"/>
                <w:szCs w:val="18"/>
              </w:rPr>
              <w:t>Western and central Maine/</w:t>
            </w:r>
            <w:r w:rsidRPr="00F273F3">
              <w:rPr>
                <w:rFonts w:asciiTheme="minorHAnsi" w:eastAsia="Times New Roman" w:hAnsiTheme="minorHAnsi"/>
                <w:szCs w:val="18"/>
              </w:rPr>
              <w:br/>
              <w:t>Saco Valley, New Hampshire</w:t>
            </w:r>
          </w:p>
        </w:tc>
      </w:tr>
      <w:tr w:rsidR="0018253B" w:rsidRPr="00F273F3" w:rsidTr="00AA1399">
        <w:trPr>
          <w:cnfStyle w:val="000000010000" w:firstRow="0" w:lastRow="0" w:firstColumn="0" w:lastColumn="0" w:oddVBand="0" w:evenVBand="0" w:oddHBand="0" w:evenHBand="1" w:firstRowFirstColumn="0" w:firstRowLastColumn="0" w:lastRowFirstColumn="0" w:lastRowLastColumn="0"/>
          <w:trHeight w:val="371"/>
        </w:trPr>
        <w:tc>
          <w:tcPr>
            <w:tcW w:w="4974" w:type="dxa"/>
            <w:vMerge/>
          </w:tcPr>
          <w:p w:rsidR="0018253B" w:rsidRPr="00F273F3" w:rsidRDefault="0018253B" w:rsidP="00DD6943">
            <w:pPr>
              <w:keepNext/>
              <w:keepLines/>
              <w:spacing w:before="40" w:after="20"/>
              <w:rPr>
                <w:rFonts w:asciiTheme="minorHAnsi" w:eastAsia="Times New Roman" w:hAnsiTheme="minorHAnsi"/>
                <w:sz w:val="16"/>
                <w:szCs w:val="24"/>
              </w:rPr>
            </w:pPr>
          </w:p>
        </w:tc>
        <w:tc>
          <w:tcPr>
            <w:tcW w:w="1305" w:type="dxa"/>
            <w:tcBorders>
              <w:bottom w:val="single" w:sz="4" w:space="0" w:color="auto"/>
            </w:tcBorders>
            <w:shd w:val="clear" w:color="auto" w:fill="FFFFFF" w:themeFill="background1"/>
            <w:noWrap/>
          </w:tcPr>
          <w:p w:rsidR="0018253B" w:rsidRPr="00F273F3" w:rsidRDefault="0018253B" w:rsidP="00DD6943">
            <w:pPr>
              <w:keepNext/>
              <w:keepLines/>
              <w:spacing w:after="0"/>
              <w:rPr>
                <w:rFonts w:asciiTheme="minorHAnsi" w:eastAsia="Times New Roman" w:hAnsiTheme="minorHAnsi"/>
                <w:szCs w:val="18"/>
              </w:rPr>
            </w:pPr>
            <w:r w:rsidRPr="00F273F3">
              <w:rPr>
                <w:rFonts w:asciiTheme="minorHAnsi" w:eastAsia="Times New Roman" w:hAnsiTheme="minorHAnsi"/>
                <w:szCs w:val="18"/>
              </w:rPr>
              <w:t>SME</w:t>
            </w:r>
          </w:p>
        </w:tc>
        <w:tc>
          <w:tcPr>
            <w:tcW w:w="2797" w:type="dxa"/>
            <w:tcBorders>
              <w:bottom w:val="single" w:sz="4" w:space="0" w:color="auto"/>
            </w:tcBorders>
            <w:shd w:val="clear" w:color="auto" w:fill="FFFFFF" w:themeFill="background1"/>
          </w:tcPr>
          <w:p w:rsidR="0018253B" w:rsidRPr="00F273F3" w:rsidRDefault="0018253B" w:rsidP="00DD6943">
            <w:pPr>
              <w:keepNext/>
              <w:keepLines/>
              <w:spacing w:after="0"/>
              <w:rPr>
                <w:rFonts w:asciiTheme="minorHAnsi" w:eastAsia="Times New Roman" w:hAnsiTheme="minorHAnsi"/>
                <w:szCs w:val="18"/>
              </w:rPr>
            </w:pPr>
            <w:r w:rsidRPr="00F273F3">
              <w:rPr>
                <w:rFonts w:asciiTheme="minorHAnsi" w:eastAsia="Times New Roman" w:hAnsiTheme="minorHAnsi"/>
                <w:szCs w:val="18"/>
              </w:rPr>
              <w:t>Southeastern Maine</w:t>
            </w:r>
          </w:p>
        </w:tc>
      </w:tr>
      <w:tr w:rsidR="0018253B" w:rsidRPr="00F273F3" w:rsidTr="00AA1399">
        <w:trPr>
          <w:cnfStyle w:val="000000100000" w:firstRow="0" w:lastRow="0" w:firstColumn="0" w:lastColumn="0" w:oddVBand="0" w:evenVBand="0" w:oddHBand="1" w:evenHBand="0" w:firstRowFirstColumn="0" w:firstRowLastColumn="0" w:lastRowFirstColumn="0" w:lastRowLastColumn="0"/>
          <w:trHeight w:val="659"/>
        </w:trPr>
        <w:tc>
          <w:tcPr>
            <w:tcW w:w="4974" w:type="dxa"/>
            <w:vMerge/>
          </w:tcPr>
          <w:p w:rsidR="0018253B" w:rsidRPr="00F273F3" w:rsidRDefault="0018253B" w:rsidP="00DD6943">
            <w:pPr>
              <w:keepNext/>
              <w:keepLines/>
              <w:spacing w:before="40" w:after="20"/>
              <w:rPr>
                <w:rFonts w:asciiTheme="minorHAnsi" w:eastAsia="Times New Roman" w:hAnsiTheme="minorHAnsi"/>
                <w:sz w:val="16"/>
                <w:szCs w:val="24"/>
              </w:rPr>
            </w:pPr>
          </w:p>
        </w:tc>
        <w:tc>
          <w:tcPr>
            <w:tcW w:w="1305" w:type="dxa"/>
            <w:tcBorders>
              <w:top w:val="single" w:sz="4" w:space="0" w:color="auto"/>
            </w:tcBorders>
            <w:shd w:val="clear" w:color="auto" w:fill="C8E3F4" w:themeFill="text2" w:themeFillTint="33"/>
            <w:noWrap/>
          </w:tcPr>
          <w:p w:rsidR="0018253B" w:rsidRPr="00F273F3" w:rsidRDefault="0018253B" w:rsidP="00DD6943">
            <w:pPr>
              <w:keepNext/>
              <w:keepLines/>
              <w:spacing w:after="0"/>
              <w:rPr>
                <w:rFonts w:asciiTheme="minorHAnsi" w:eastAsia="Times New Roman" w:hAnsiTheme="minorHAnsi"/>
                <w:szCs w:val="18"/>
              </w:rPr>
            </w:pPr>
            <w:r w:rsidRPr="00F273F3">
              <w:rPr>
                <w:rFonts w:asciiTheme="minorHAnsi" w:eastAsia="Times New Roman" w:hAnsiTheme="minorHAnsi"/>
                <w:szCs w:val="18"/>
              </w:rPr>
              <w:t>NH</w:t>
            </w:r>
          </w:p>
        </w:tc>
        <w:tc>
          <w:tcPr>
            <w:tcW w:w="2797" w:type="dxa"/>
            <w:tcBorders>
              <w:top w:val="single" w:sz="4" w:space="0" w:color="auto"/>
            </w:tcBorders>
            <w:shd w:val="clear" w:color="auto" w:fill="C8E3F4" w:themeFill="text2" w:themeFillTint="33"/>
          </w:tcPr>
          <w:p w:rsidR="0018253B" w:rsidRPr="00F273F3" w:rsidRDefault="0018253B" w:rsidP="00DD6943">
            <w:pPr>
              <w:keepNext/>
              <w:keepLines/>
              <w:spacing w:after="0"/>
              <w:rPr>
                <w:rFonts w:asciiTheme="minorHAnsi" w:eastAsia="Times New Roman" w:hAnsiTheme="minorHAnsi"/>
                <w:szCs w:val="18"/>
              </w:rPr>
            </w:pPr>
            <w:r w:rsidRPr="00F273F3">
              <w:rPr>
                <w:rFonts w:asciiTheme="minorHAnsi" w:eastAsia="Times New Roman" w:hAnsiTheme="minorHAnsi"/>
                <w:szCs w:val="18"/>
              </w:rPr>
              <w:t xml:space="preserve">Northern, eastern, and central </w:t>
            </w:r>
            <w:r w:rsidRPr="00F273F3">
              <w:rPr>
                <w:rFonts w:asciiTheme="minorHAnsi" w:eastAsia="Times New Roman" w:hAnsiTheme="minorHAnsi"/>
                <w:szCs w:val="18"/>
              </w:rPr>
              <w:br/>
              <w:t>New Hampshire/eastern Vermont and southwestern Maine</w:t>
            </w:r>
          </w:p>
        </w:tc>
      </w:tr>
      <w:tr w:rsidR="0018253B" w:rsidRPr="00F273F3" w:rsidTr="00AA1399">
        <w:trPr>
          <w:cnfStyle w:val="000000010000" w:firstRow="0" w:lastRow="0" w:firstColumn="0" w:lastColumn="0" w:oddVBand="0" w:evenVBand="0" w:oddHBand="0" w:evenHBand="1" w:firstRowFirstColumn="0" w:firstRowLastColumn="0" w:lastRowFirstColumn="0" w:lastRowLastColumn="0"/>
          <w:trHeight w:val="461"/>
        </w:trPr>
        <w:tc>
          <w:tcPr>
            <w:tcW w:w="4974" w:type="dxa"/>
            <w:vMerge/>
          </w:tcPr>
          <w:p w:rsidR="0018253B" w:rsidRPr="00F273F3" w:rsidRDefault="0018253B" w:rsidP="00DD6943">
            <w:pPr>
              <w:keepNext/>
              <w:keepLines/>
              <w:spacing w:before="40" w:after="20"/>
              <w:rPr>
                <w:rFonts w:asciiTheme="minorHAnsi" w:eastAsia="Times New Roman" w:hAnsiTheme="minorHAnsi"/>
                <w:sz w:val="16"/>
                <w:szCs w:val="24"/>
              </w:rPr>
            </w:pPr>
          </w:p>
        </w:tc>
        <w:tc>
          <w:tcPr>
            <w:tcW w:w="1305" w:type="dxa"/>
            <w:shd w:val="clear" w:color="auto" w:fill="FFFFFF" w:themeFill="background1"/>
            <w:noWrap/>
          </w:tcPr>
          <w:p w:rsidR="0018253B" w:rsidRPr="00F273F3" w:rsidRDefault="0018253B" w:rsidP="00DD6943">
            <w:pPr>
              <w:keepNext/>
              <w:keepLines/>
              <w:spacing w:after="0"/>
              <w:rPr>
                <w:rFonts w:asciiTheme="minorHAnsi" w:eastAsia="Times New Roman" w:hAnsiTheme="minorHAnsi"/>
                <w:szCs w:val="18"/>
              </w:rPr>
            </w:pPr>
            <w:r w:rsidRPr="00F273F3">
              <w:rPr>
                <w:rFonts w:asciiTheme="minorHAnsi" w:eastAsia="Times New Roman" w:hAnsiTheme="minorHAnsi"/>
                <w:szCs w:val="18"/>
              </w:rPr>
              <w:t>VT</w:t>
            </w:r>
          </w:p>
        </w:tc>
        <w:tc>
          <w:tcPr>
            <w:tcW w:w="2797" w:type="dxa"/>
            <w:shd w:val="clear" w:color="auto" w:fill="FFFFFF" w:themeFill="background1"/>
          </w:tcPr>
          <w:p w:rsidR="0018253B" w:rsidRPr="00F273F3" w:rsidRDefault="0018253B" w:rsidP="00DD6943">
            <w:pPr>
              <w:keepNext/>
              <w:keepLines/>
              <w:spacing w:after="0"/>
              <w:rPr>
                <w:rFonts w:asciiTheme="minorHAnsi" w:eastAsia="Times New Roman" w:hAnsiTheme="minorHAnsi"/>
                <w:szCs w:val="18"/>
              </w:rPr>
            </w:pPr>
            <w:r w:rsidRPr="00F273F3">
              <w:rPr>
                <w:rFonts w:asciiTheme="minorHAnsi" w:eastAsia="Times New Roman" w:hAnsiTheme="minorHAnsi"/>
                <w:szCs w:val="18"/>
              </w:rPr>
              <w:t>Vermont/southwestern</w:t>
            </w:r>
            <w:r w:rsidRPr="00F273F3">
              <w:rPr>
                <w:rFonts w:asciiTheme="minorHAnsi" w:eastAsia="Times New Roman" w:hAnsiTheme="minorHAnsi"/>
                <w:szCs w:val="18"/>
              </w:rPr>
              <w:br/>
              <w:t>New Hampshire</w:t>
            </w:r>
          </w:p>
        </w:tc>
      </w:tr>
      <w:tr w:rsidR="0018253B" w:rsidRPr="00F273F3" w:rsidTr="00AA1399">
        <w:trPr>
          <w:cnfStyle w:val="000000100000" w:firstRow="0" w:lastRow="0" w:firstColumn="0" w:lastColumn="0" w:oddVBand="0" w:evenVBand="0" w:oddHBand="1" w:evenHBand="0" w:firstRowFirstColumn="0" w:firstRowLastColumn="0" w:lastRowFirstColumn="0" w:lastRowLastColumn="0"/>
          <w:trHeight w:val="488"/>
        </w:trPr>
        <w:tc>
          <w:tcPr>
            <w:tcW w:w="4974" w:type="dxa"/>
            <w:vMerge/>
          </w:tcPr>
          <w:p w:rsidR="0018253B" w:rsidRPr="00F273F3" w:rsidRDefault="0018253B" w:rsidP="00DD6943">
            <w:pPr>
              <w:keepNext/>
              <w:keepLines/>
              <w:spacing w:before="40" w:after="20"/>
              <w:rPr>
                <w:rFonts w:asciiTheme="minorHAnsi" w:eastAsia="Times New Roman" w:hAnsiTheme="minorHAnsi"/>
                <w:sz w:val="16"/>
                <w:szCs w:val="24"/>
              </w:rPr>
            </w:pPr>
          </w:p>
        </w:tc>
        <w:tc>
          <w:tcPr>
            <w:tcW w:w="1305" w:type="dxa"/>
            <w:shd w:val="clear" w:color="auto" w:fill="C8E3F4" w:themeFill="text2" w:themeFillTint="33"/>
            <w:noWrap/>
          </w:tcPr>
          <w:p w:rsidR="0018253B" w:rsidRPr="00F273F3" w:rsidRDefault="0018253B" w:rsidP="00DD6943">
            <w:pPr>
              <w:keepNext/>
              <w:keepLines/>
              <w:spacing w:after="0"/>
              <w:rPr>
                <w:rFonts w:asciiTheme="minorHAnsi" w:eastAsia="Times New Roman" w:hAnsiTheme="minorHAnsi"/>
                <w:szCs w:val="18"/>
              </w:rPr>
            </w:pPr>
            <w:r w:rsidRPr="00F273F3">
              <w:rPr>
                <w:rFonts w:asciiTheme="minorHAnsi" w:eastAsia="Times New Roman" w:hAnsiTheme="minorHAnsi"/>
                <w:caps/>
                <w:szCs w:val="18"/>
              </w:rPr>
              <w:t>Boston</w:t>
            </w:r>
            <w:r w:rsidRPr="00F273F3">
              <w:rPr>
                <w:rFonts w:asciiTheme="minorHAnsi" w:eastAsia="Times New Roman" w:hAnsiTheme="minorHAnsi"/>
                <w:caps/>
                <w:szCs w:val="18"/>
              </w:rPr>
              <w:br/>
            </w:r>
            <w:r w:rsidRPr="00F273F3">
              <w:rPr>
                <w:rFonts w:asciiTheme="minorHAnsi" w:eastAsia="Times New Roman" w:hAnsiTheme="minorHAnsi"/>
                <w:szCs w:val="18"/>
              </w:rPr>
              <w:t>(all capitalized)</w:t>
            </w:r>
          </w:p>
        </w:tc>
        <w:tc>
          <w:tcPr>
            <w:tcW w:w="2797" w:type="dxa"/>
            <w:shd w:val="clear" w:color="auto" w:fill="C8E3F4" w:themeFill="text2" w:themeFillTint="33"/>
          </w:tcPr>
          <w:p w:rsidR="0018253B" w:rsidRPr="00F273F3" w:rsidRDefault="0018253B" w:rsidP="00DD6943">
            <w:pPr>
              <w:keepNext/>
              <w:keepLines/>
              <w:spacing w:after="0"/>
              <w:rPr>
                <w:rFonts w:asciiTheme="minorHAnsi" w:eastAsia="Times New Roman" w:hAnsiTheme="minorHAnsi"/>
                <w:szCs w:val="18"/>
              </w:rPr>
            </w:pPr>
            <w:r w:rsidRPr="00F273F3">
              <w:rPr>
                <w:rFonts w:asciiTheme="minorHAnsi" w:eastAsia="Times New Roman" w:hAnsiTheme="minorHAnsi"/>
                <w:szCs w:val="18"/>
              </w:rPr>
              <w:t>Greater Boston, including the North Shore</w:t>
            </w:r>
          </w:p>
        </w:tc>
      </w:tr>
      <w:tr w:rsidR="0018253B" w:rsidRPr="00F273F3" w:rsidTr="00AA1399">
        <w:trPr>
          <w:cnfStyle w:val="000000010000" w:firstRow="0" w:lastRow="0" w:firstColumn="0" w:lastColumn="0" w:oddVBand="0" w:evenVBand="0" w:oddHBand="0" w:evenHBand="1" w:firstRowFirstColumn="0" w:firstRowLastColumn="0" w:lastRowFirstColumn="0" w:lastRowLastColumn="0"/>
          <w:trHeight w:val="421"/>
        </w:trPr>
        <w:tc>
          <w:tcPr>
            <w:tcW w:w="4974" w:type="dxa"/>
            <w:vMerge/>
          </w:tcPr>
          <w:p w:rsidR="0018253B" w:rsidRPr="00F273F3" w:rsidRDefault="0018253B" w:rsidP="00DD6943">
            <w:pPr>
              <w:keepNext/>
              <w:keepLines/>
              <w:spacing w:before="40" w:after="20"/>
              <w:rPr>
                <w:rFonts w:asciiTheme="minorHAnsi" w:eastAsia="Times New Roman" w:hAnsiTheme="minorHAnsi"/>
                <w:sz w:val="16"/>
                <w:szCs w:val="24"/>
              </w:rPr>
            </w:pPr>
          </w:p>
        </w:tc>
        <w:tc>
          <w:tcPr>
            <w:tcW w:w="1305" w:type="dxa"/>
            <w:shd w:val="clear" w:color="auto" w:fill="FFFFFF" w:themeFill="background1"/>
            <w:noWrap/>
          </w:tcPr>
          <w:p w:rsidR="0018253B" w:rsidRPr="00F273F3" w:rsidRDefault="0018253B" w:rsidP="00DD6943">
            <w:pPr>
              <w:keepNext/>
              <w:keepLines/>
              <w:spacing w:after="0"/>
              <w:rPr>
                <w:rFonts w:asciiTheme="minorHAnsi" w:eastAsia="Times New Roman" w:hAnsiTheme="minorHAnsi"/>
                <w:szCs w:val="18"/>
              </w:rPr>
            </w:pPr>
            <w:r w:rsidRPr="00F273F3">
              <w:rPr>
                <w:rFonts w:asciiTheme="minorHAnsi" w:eastAsia="Times New Roman" w:hAnsiTheme="minorHAnsi"/>
                <w:szCs w:val="18"/>
              </w:rPr>
              <w:t>CMA/NEMA</w:t>
            </w:r>
          </w:p>
        </w:tc>
        <w:tc>
          <w:tcPr>
            <w:tcW w:w="2797" w:type="dxa"/>
            <w:shd w:val="clear" w:color="auto" w:fill="FFFFFF" w:themeFill="background1"/>
          </w:tcPr>
          <w:p w:rsidR="0018253B" w:rsidRPr="00F273F3" w:rsidRDefault="0018253B" w:rsidP="00DD6943">
            <w:pPr>
              <w:keepNext/>
              <w:keepLines/>
              <w:spacing w:after="0"/>
              <w:rPr>
                <w:rFonts w:asciiTheme="minorHAnsi" w:eastAsia="Times New Roman" w:hAnsiTheme="minorHAnsi"/>
                <w:szCs w:val="18"/>
              </w:rPr>
            </w:pPr>
            <w:r w:rsidRPr="00F273F3">
              <w:rPr>
                <w:rFonts w:asciiTheme="minorHAnsi" w:eastAsia="Times New Roman" w:hAnsiTheme="minorHAnsi"/>
                <w:szCs w:val="18"/>
              </w:rPr>
              <w:t xml:space="preserve">Central Massachusetts/ </w:t>
            </w:r>
            <w:r w:rsidRPr="00F273F3">
              <w:rPr>
                <w:rFonts w:asciiTheme="minorHAnsi" w:eastAsia="Times New Roman" w:hAnsiTheme="minorHAnsi"/>
                <w:szCs w:val="18"/>
              </w:rPr>
              <w:br/>
              <w:t>northeastern Massachusetts</w:t>
            </w:r>
          </w:p>
        </w:tc>
      </w:tr>
      <w:tr w:rsidR="0018253B" w:rsidRPr="00F273F3" w:rsidTr="00AA1399">
        <w:trPr>
          <w:cnfStyle w:val="000000100000" w:firstRow="0" w:lastRow="0" w:firstColumn="0" w:lastColumn="0" w:oddVBand="0" w:evenVBand="0" w:oddHBand="1" w:evenHBand="0" w:firstRowFirstColumn="0" w:firstRowLastColumn="0" w:lastRowFirstColumn="0" w:lastRowLastColumn="0"/>
          <w:trHeight w:val="263"/>
        </w:trPr>
        <w:tc>
          <w:tcPr>
            <w:tcW w:w="4974" w:type="dxa"/>
            <w:vMerge/>
          </w:tcPr>
          <w:p w:rsidR="0018253B" w:rsidRPr="00F273F3" w:rsidRDefault="0018253B" w:rsidP="00DD6943">
            <w:pPr>
              <w:keepNext/>
              <w:keepLines/>
              <w:spacing w:before="40" w:after="20"/>
              <w:rPr>
                <w:rFonts w:asciiTheme="minorHAnsi" w:eastAsia="Times New Roman" w:hAnsiTheme="minorHAnsi"/>
                <w:sz w:val="16"/>
                <w:szCs w:val="24"/>
              </w:rPr>
            </w:pPr>
          </w:p>
        </w:tc>
        <w:tc>
          <w:tcPr>
            <w:tcW w:w="1305" w:type="dxa"/>
            <w:shd w:val="clear" w:color="auto" w:fill="C8E3F4" w:themeFill="text2" w:themeFillTint="33"/>
            <w:noWrap/>
          </w:tcPr>
          <w:p w:rsidR="0018253B" w:rsidRPr="00F273F3" w:rsidRDefault="0018253B" w:rsidP="00DD6943">
            <w:pPr>
              <w:keepNext/>
              <w:keepLines/>
              <w:spacing w:after="0"/>
              <w:rPr>
                <w:rFonts w:asciiTheme="minorHAnsi" w:eastAsia="Times New Roman" w:hAnsiTheme="minorHAnsi"/>
                <w:szCs w:val="18"/>
              </w:rPr>
            </w:pPr>
            <w:r w:rsidRPr="00F273F3">
              <w:rPr>
                <w:rFonts w:asciiTheme="minorHAnsi" w:eastAsia="Times New Roman" w:hAnsiTheme="minorHAnsi"/>
                <w:szCs w:val="18"/>
              </w:rPr>
              <w:t>WMA</w:t>
            </w:r>
          </w:p>
        </w:tc>
        <w:tc>
          <w:tcPr>
            <w:tcW w:w="2797" w:type="dxa"/>
            <w:shd w:val="clear" w:color="auto" w:fill="C8E3F4" w:themeFill="text2" w:themeFillTint="33"/>
          </w:tcPr>
          <w:p w:rsidR="0018253B" w:rsidRPr="00F273F3" w:rsidRDefault="0018253B" w:rsidP="00DD6943">
            <w:pPr>
              <w:keepNext/>
              <w:keepLines/>
              <w:spacing w:after="0"/>
              <w:rPr>
                <w:rFonts w:asciiTheme="minorHAnsi" w:eastAsia="Times New Roman" w:hAnsiTheme="minorHAnsi"/>
                <w:szCs w:val="18"/>
              </w:rPr>
            </w:pPr>
            <w:r w:rsidRPr="00F273F3">
              <w:rPr>
                <w:rFonts w:asciiTheme="minorHAnsi" w:eastAsia="Times New Roman" w:hAnsiTheme="minorHAnsi"/>
                <w:szCs w:val="18"/>
              </w:rPr>
              <w:t>Western Massachusetts</w:t>
            </w:r>
          </w:p>
        </w:tc>
      </w:tr>
      <w:tr w:rsidR="0018253B" w:rsidRPr="00F273F3" w:rsidTr="00AA1399">
        <w:trPr>
          <w:cnfStyle w:val="000000010000" w:firstRow="0" w:lastRow="0" w:firstColumn="0" w:lastColumn="0" w:oddVBand="0" w:evenVBand="0" w:oddHBand="0" w:evenHBand="1" w:firstRowFirstColumn="0" w:firstRowLastColumn="0" w:lastRowFirstColumn="0" w:lastRowLastColumn="0"/>
          <w:trHeight w:val="421"/>
        </w:trPr>
        <w:tc>
          <w:tcPr>
            <w:tcW w:w="4974" w:type="dxa"/>
            <w:vMerge/>
          </w:tcPr>
          <w:p w:rsidR="0018253B" w:rsidRPr="00F273F3" w:rsidRDefault="0018253B" w:rsidP="00DD6943">
            <w:pPr>
              <w:keepNext/>
              <w:keepLines/>
              <w:spacing w:before="40" w:after="20"/>
              <w:rPr>
                <w:rFonts w:asciiTheme="minorHAnsi" w:eastAsia="Times New Roman" w:hAnsiTheme="minorHAnsi"/>
                <w:sz w:val="16"/>
                <w:szCs w:val="24"/>
              </w:rPr>
            </w:pPr>
          </w:p>
        </w:tc>
        <w:tc>
          <w:tcPr>
            <w:tcW w:w="1305" w:type="dxa"/>
            <w:shd w:val="clear" w:color="auto" w:fill="FFFFFF" w:themeFill="background1"/>
            <w:noWrap/>
          </w:tcPr>
          <w:p w:rsidR="0018253B" w:rsidRPr="00F273F3" w:rsidRDefault="0018253B" w:rsidP="00DD6943">
            <w:pPr>
              <w:keepNext/>
              <w:keepLines/>
              <w:spacing w:after="0"/>
              <w:rPr>
                <w:rFonts w:asciiTheme="minorHAnsi" w:eastAsia="Times New Roman" w:hAnsiTheme="minorHAnsi"/>
                <w:szCs w:val="18"/>
              </w:rPr>
            </w:pPr>
            <w:r w:rsidRPr="00F273F3">
              <w:rPr>
                <w:rFonts w:asciiTheme="minorHAnsi" w:eastAsia="Times New Roman" w:hAnsiTheme="minorHAnsi"/>
                <w:szCs w:val="18"/>
              </w:rPr>
              <w:t>SEMA</w:t>
            </w:r>
          </w:p>
        </w:tc>
        <w:tc>
          <w:tcPr>
            <w:tcW w:w="2797" w:type="dxa"/>
            <w:shd w:val="clear" w:color="auto" w:fill="FFFFFF" w:themeFill="background1"/>
          </w:tcPr>
          <w:p w:rsidR="0018253B" w:rsidRPr="00F273F3" w:rsidRDefault="0018253B" w:rsidP="00DD6943">
            <w:pPr>
              <w:keepNext/>
              <w:keepLines/>
              <w:spacing w:after="0"/>
              <w:rPr>
                <w:rFonts w:asciiTheme="minorHAnsi" w:eastAsia="Times New Roman" w:hAnsiTheme="minorHAnsi"/>
                <w:szCs w:val="18"/>
              </w:rPr>
            </w:pPr>
            <w:r w:rsidRPr="00F273F3">
              <w:rPr>
                <w:rFonts w:asciiTheme="minorHAnsi" w:eastAsia="Times New Roman" w:hAnsiTheme="minorHAnsi"/>
                <w:szCs w:val="18"/>
              </w:rPr>
              <w:t>Southeastern Massachusetts/</w:t>
            </w:r>
            <w:r w:rsidRPr="00F273F3">
              <w:rPr>
                <w:rFonts w:asciiTheme="minorHAnsi" w:eastAsia="Times New Roman" w:hAnsiTheme="minorHAnsi"/>
                <w:szCs w:val="18"/>
              </w:rPr>
              <w:br/>
              <w:t>Newport, Rhode Island</w:t>
            </w:r>
          </w:p>
        </w:tc>
      </w:tr>
      <w:tr w:rsidR="0018253B" w:rsidRPr="00F273F3" w:rsidTr="00AA1399">
        <w:trPr>
          <w:cnfStyle w:val="000000100000" w:firstRow="0" w:lastRow="0" w:firstColumn="0" w:lastColumn="0" w:oddVBand="0" w:evenVBand="0" w:oddHBand="1" w:evenHBand="0" w:firstRowFirstColumn="0" w:firstRowLastColumn="0" w:lastRowFirstColumn="0" w:lastRowLastColumn="0"/>
          <w:trHeight w:val="421"/>
        </w:trPr>
        <w:tc>
          <w:tcPr>
            <w:tcW w:w="4974" w:type="dxa"/>
            <w:vMerge/>
          </w:tcPr>
          <w:p w:rsidR="0018253B" w:rsidRPr="00F273F3" w:rsidRDefault="0018253B" w:rsidP="00DD6943">
            <w:pPr>
              <w:keepNext/>
              <w:keepLines/>
              <w:spacing w:before="40" w:after="20"/>
              <w:rPr>
                <w:rFonts w:asciiTheme="minorHAnsi" w:eastAsia="Times New Roman" w:hAnsiTheme="minorHAnsi"/>
                <w:sz w:val="16"/>
                <w:szCs w:val="24"/>
              </w:rPr>
            </w:pPr>
          </w:p>
        </w:tc>
        <w:tc>
          <w:tcPr>
            <w:tcW w:w="1305" w:type="dxa"/>
            <w:shd w:val="clear" w:color="auto" w:fill="C8E3F4" w:themeFill="text2" w:themeFillTint="33"/>
            <w:noWrap/>
          </w:tcPr>
          <w:p w:rsidR="0018253B" w:rsidRPr="00F273F3" w:rsidRDefault="0018253B" w:rsidP="00DD6943">
            <w:pPr>
              <w:keepNext/>
              <w:keepLines/>
              <w:spacing w:after="0"/>
              <w:rPr>
                <w:rFonts w:asciiTheme="minorHAnsi" w:eastAsia="Times New Roman" w:hAnsiTheme="minorHAnsi"/>
                <w:szCs w:val="18"/>
              </w:rPr>
            </w:pPr>
            <w:r w:rsidRPr="00F273F3">
              <w:rPr>
                <w:rFonts w:asciiTheme="minorHAnsi" w:eastAsia="Times New Roman" w:hAnsiTheme="minorHAnsi"/>
                <w:szCs w:val="18"/>
              </w:rPr>
              <w:t>RI</w:t>
            </w:r>
          </w:p>
        </w:tc>
        <w:tc>
          <w:tcPr>
            <w:tcW w:w="2797" w:type="dxa"/>
            <w:shd w:val="clear" w:color="auto" w:fill="C8E3F4" w:themeFill="text2" w:themeFillTint="33"/>
          </w:tcPr>
          <w:p w:rsidR="0018253B" w:rsidRPr="00F273F3" w:rsidRDefault="0018253B" w:rsidP="00DD6943">
            <w:pPr>
              <w:keepNext/>
              <w:keepLines/>
              <w:spacing w:after="0"/>
              <w:rPr>
                <w:rFonts w:asciiTheme="minorHAnsi" w:eastAsia="Times New Roman" w:hAnsiTheme="minorHAnsi"/>
                <w:szCs w:val="18"/>
              </w:rPr>
            </w:pPr>
            <w:r w:rsidRPr="00F273F3">
              <w:rPr>
                <w:rFonts w:asciiTheme="minorHAnsi" w:eastAsia="Times New Roman" w:hAnsiTheme="minorHAnsi"/>
                <w:szCs w:val="18"/>
              </w:rPr>
              <w:t>Rhode Island/bordering Massachusetts</w:t>
            </w:r>
          </w:p>
        </w:tc>
      </w:tr>
      <w:tr w:rsidR="0018253B" w:rsidRPr="00F273F3" w:rsidTr="00AA1399">
        <w:trPr>
          <w:cnfStyle w:val="000000010000" w:firstRow="0" w:lastRow="0" w:firstColumn="0" w:lastColumn="0" w:oddVBand="0" w:evenVBand="0" w:oddHBand="0" w:evenHBand="1" w:firstRowFirstColumn="0" w:firstRowLastColumn="0" w:lastRowFirstColumn="0" w:lastRowLastColumn="0"/>
          <w:trHeight w:val="317"/>
        </w:trPr>
        <w:tc>
          <w:tcPr>
            <w:tcW w:w="4974" w:type="dxa"/>
            <w:vMerge/>
          </w:tcPr>
          <w:p w:rsidR="0018253B" w:rsidRPr="00F273F3" w:rsidRDefault="0018253B" w:rsidP="00DD6943">
            <w:pPr>
              <w:keepNext/>
              <w:keepLines/>
              <w:spacing w:before="40" w:after="20"/>
              <w:rPr>
                <w:rFonts w:asciiTheme="minorHAnsi" w:eastAsia="Times New Roman" w:hAnsiTheme="minorHAnsi"/>
                <w:sz w:val="16"/>
                <w:szCs w:val="24"/>
              </w:rPr>
            </w:pPr>
          </w:p>
        </w:tc>
        <w:tc>
          <w:tcPr>
            <w:tcW w:w="1305" w:type="dxa"/>
            <w:shd w:val="clear" w:color="auto" w:fill="FFFFFF" w:themeFill="background1"/>
            <w:noWrap/>
          </w:tcPr>
          <w:p w:rsidR="0018253B" w:rsidRPr="00F273F3" w:rsidRDefault="0018253B" w:rsidP="00DD6943">
            <w:pPr>
              <w:keepNext/>
              <w:keepLines/>
              <w:spacing w:after="0"/>
              <w:rPr>
                <w:rFonts w:asciiTheme="minorHAnsi" w:eastAsia="Times New Roman" w:hAnsiTheme="minorHAnsi"/>
                <w:szCs w:val="18"/>
              </w:rPr>
            </w:pPr>
            <w:r w:rsidRPr="00F273F3">
              <w:rPr>
                <w:rFonts w:asciiTheme="minorHAnsi" w:eastAsia="Times New Roman" w:hAnsiTheme="minorHAnsi"/>
                <w:szCs w:val="18"/>
              </w:rPr>
              <w:t>CT</w:t>
            </w:r>
          </w:p>
        </w:tc>
        <w:tc>
          <w:tcPr>
            <w:tcW w:w="2797" w:type="dxa"/>
            <w:shd w:val="clear" w:color="auto" w:fill="FFFFFF" w:themeFill="background1"/>
          </w:tcPr>
          <w:p w:rsidR="0018253B" w:rsidRPr="00F273F3" w:rsidRDefault="0018253B" w:rsidP="00DD6943">
            <w:pPr>
              <w:keepNext/>
              <w:keepLines/>
              <w:spacing w:after="0"/>
              <w:rPr>
                <w:rFonts w:asciiTheme="minorHAnsi" w:eastAsia="Times New Roman" w:hAnsiTheme="minorHAnsi"/>
                <w:szCs w:val="18"/>
              </w:rPr>
            </w:pPr>
            <w:r w:rsidRPr="00F273F3">
              <w:rPr>
                <w:rFonts w:asciiTheme="minorHAnsi" w:eastAsia="Times New Roman" w:hAnsiTheme="minorHAnsi"/>
                <w:szCs w:val="18"/>
              </w:rPr>
              <w:t>Northern and eastern Connecticut</w:t>
            </w:r>
          </w:p>
        </w:tc>
      </w:tr>
      <w:tr w:rsidR="0018253B" w:rsidRPr="00F273F3" w:rsidTr="00AA1399">
        <w:trPr>
          <w:cnfStyle w:val="000000100000" w:firstRow="0" w:lastRow="0" w:firstColumn="0" w:lastColumn="0" w:oddVBand="0" w:evenVBand="0" w:oddHBand="1" w:evenHBand="0" w:firstRowFirstColumn="0" w:firstRowLastColumn="0" w:lastRowFirstColumn="0" w:lastRowLastColumn="0"/>
          <w:trHeight w:val="299"/>
        </w:trPr>
        <w:tc>
          <w:tcPr>
            <w:tcW w:w="4974" w:type="dxa"/>
            <w:vMerge/>
          </w:tcPr>
          <w:p w:rsidR="0018253B" w:rsidRPr="00F273F3" w:rsidRDefault="0018253B" w:rsidP="00DD6943">
            <w:pPr>
              <w:keepNext/>
              <w:keepLines/>
              <w:spacing w:before="40" w:after="20"/>
              <w:rPr>
                <w:rFonts w:asciiTheme="minorHAnsi" w:eastAsia="Times New Roman" w:hAnsiTheme="minorHAnsi"/>
                <w:sz w:val="16"/>
                <w:szCs w:val="24"/>
              </w:rPr>
            </w:pPr>
          </w:p>
        </w:tc>
        <w:tc>
          <w:tcPr>
            <w:tcW w:w="1305" w:type="dxa"/>
            <w:shd w:val="clear" w:color="auto" w:fill="C8E3F4" w:themeFill="text2" w:themeFillTint="33"/>
            <w:noWrap/>
          </w:tcPr>
          <w:p w:rsidR="0018253B" w:rsidRPr="00F273F3" w:rsidRDefault="0018253B" w:rsidP="00DD6943">
            <w:pPr>
              <w:keepNext/>
              <w:keepLines/>
              <w:spacing w:after="0"/>
              <w:rPr>
                <w:rFonts w:asciiTheme="minorHAnsi" w:eastAsia="Times New Roman" w:hAnsiTheme="minorHAnsi"/>
                <w:szCs w:val="18"/>
              </w:rPr>
            </w:pPr>
            <w:r w:rsidRPr="00F273F3">
              <w:rPr>
                <w:rFonts w:asciiTheme="minorHAnsi" w:eastAsia="Times New Roman" w:hAnsiTheme="minorHAnsi"/>
                <w:szCs w:val="18"/>
              </w:rPr>
              <w:t>SWCT</w:t>
            </w:r>
          </w:p>
        </w:tc>
        <w:tc>
          <w:tcPr>
            <w:tcW w:w="2797" w:type="dxa"/>
            <w:shd w:val="clear" w:color="auto" w:fill="C8E3F4" w:themeFill="text2" w:themeFillTint="33"/>
          </w:tcPr>
          <w:p w:rsidR="0018253B" w:rsidRPr="00F273F3" w:rsidRDefault="0018253B" w:rsidP="00DD6943">
            <w:pPr>
              <w:keepNext/>
              <w:keepLines/>
              <w:spacing w:after="0"/>
              <w:rPr>
                <w:rFonts w:asciiTheme="minorHAnsi" w:eastAsia="Times New Roman" w:hAnsiTheme="minorHAnsi"/>
                <w:szCs w:val="18"/>
              </w:rPr>
            </w:pPr>
            <w:r w:rsidRPr="00F273F3">
              <w:rPr>
                <w:rFonts w:asciiTheme="minorHAnsi" w:eastAsia="Times New Roman" w:hAnsiTheme="minorHAnsi"/>
                <w:szCs w:val="18"/>
              </w:rPr>
              <w:t>Southwestern Connecticut</w:t>
            </w:r>
          </w:p>
        </w:tc>
      </w:tr>
      <w:tr w:rsidR="0018253B" w:rsidRPr="00F273F3" w:rsidTr="00AA1399">
        <w:trPr>
          <w:cnfStyle w:val="000000010000" w:firstRow="0" w:lastRow="0" w:firstColumn="0" w:lastColumn="0" w:oddVBand="0" w:evenVBand="0" w:oddHBand="0" w:evenHBand="1" w:firstRowFirstColumn="0" w:firstRowLastColumn="0" w:lastRowFirstColumn="0" w:lastRowLastColumn="0"/>
          <w:trHeight w:val="389"/>
        </w:trPr>
        <w:tc>
          <w:tcPr>
            <w:tcW w:w="4974" w:type="dxa"/>
            <w:vMerge/>
          </w:tcPr>
          <w:p w:rsidR="0018253B" w:rsidRPr="00F273F3" w:rsidRDefault="0018253B" w:rsidP="00DD6943">
            <w:pPr>
              <w:keepNext/>
              <w:keepLines/>
              <w:spacing w:before="40" w:after="20"/>
              <w:rPr>
                <w:rFonts w:asciiTheme="minorHAnsi" w:eastAsia="Times New Roman" w:hAnsiTheme="minorHAnsi"/>
                <w:sz w:val="16"/>
                <w:szCs w:val="24"/>
              </w:rPr>
            </w:pPr>
          </w:p>
        </w:tc>
        <w:tc>
          <w:tcPr>
            <w:tcW w:w="1305" w:type="dxa"/>
            <w:shd w:val="clear" w:color="auto" w:fill="FFFFFF" w:themeFill="background1"/>
            <w:noWrap/>
          </w:tcPr>
          <w:p w:rsidR="0018253B" w:rsidRPr="00F273F3" w:rsidRDefault="0018253B" w:rsidP="00DD6943">
            <w:pPr>
              <w:keepNext/>
              <w:keepLines/>
              <w:spacing w:after="0"/>
              <w:rPr>
                <w:rFonts w:asciiTheme="minorHAnsi" w:eastAsia="Times New Roman" w:hAnsiTheme="minorHAnsi"/>
                <w:szCs w:val="18"/>
              </w:rPr>
            </w:pPr>
            <w:r w:rsidRPr="00F273F3">
              <w:rPr>
                <w:rFonts w:asciiTheme="minorHAnsi" w:eastAsia="Times New Roman" w:hAnsiTheme="minorHAnsi"/>
                <w:szCs w:val="18"/>
              </w:rPr>
              <w:t>NOR</w:t>
            </w:r>
          </w:p>
        </w:tc>
        <w:tc>
          <w:tcPr>
            <w:tcW w:w="2797" w:type="dxa"/>
            <w:shd w:val="clear" w:color="auto" w:fill="FFFFFF" w:themeFill="background1"/>
          </w:tcPr>
          <w:p w:rsidR="0018253B" w:rsidRPr="00F273F3" w:rsidRDefault="0018253B" w:rsidP="00DD6943">
            <w:pPr>
              <w:keepNext/>
              <w:keepLines/>
              <w:spacing w:after="0"/>
              <w:rPr>
                <w:rFonts w:asciiTheme="minorHAnsi" w:eastAsia="Times New Roman" w:hAnsiTheme="minorHAnsi"/>
                <w:szCs w:val="18"/>
              </w:rPr>
            </w:pPr>
            <w:r w:rsidRPr="00F273F3">
              <w:rPr>
                <w:rFonts w:asciiTheme="minorHAnsi" w:eastAsia="Times New Roman" w:hAnsiTheme="minorHAnsi"/>
                <w:szCs w:val="18"/>
              </w:rPr>
              <w:t>Norwalk/Stamford, Connecticut</w:t>
            </w:r>
          </w:p>
        </w:tc>
      </w:tr>
      <w:tr w:rsidR="0018253B" w:rsidRPr="00F273F3" w:rsidTr="00AA1399">
        <w:trPr>
          <w:cnfStyle w:val="000000100000" w:firstRow="0" w:lastRow="0" w:firstColumn="0" w:lastColumn="0" w:oddVBand="0" w:evenVBand="0" w:oddHBand="1" w:evenHBand="0" w:firstRowFirstColumn="0" w:firstRowLastColumn="0" w:lastRowFirstColumn="0" w:lastRowLastColumn="0"/>
          <w:trHeight w:val="659"/>
        </w:trPr>
        <w:tc>
          <w:tcPr>
            <w:tcW w:w="4974" w:type="dxa"/>
            <w:vMerge/>
          </w:tcPr>
          <w:p w:rsidR="0018253B" w:rsidRPr="00F273F3" w:rsidRDefault="0018253B" w:rsidP="00DD6943">
            <w:pPr>
              <w:keepNext/>
              <w:keepLines/>
              <w:spacing w:before="40" w:after="20"/>
              <w:rPr>
                <w:rFonts w:asciiTheme="minorHAnsi" w:eastAsia="Times New Roman" w:hAnsiTheme="minorHAnsi"/>
                <w:sz w:val="16"/>
                <w:szCs w:val="24"/>
              </w:rPr>
            </w:pPr>
          </w:p>
        </w:tc>
        <w:tc>
          <w:tcPr>
            <w:tcW w:w="1305" w:type="dxa"/>
            <w:shd w:val="clear" w:color="auto" w:fill="C8E3F4" w:themeFill="text2" w:themeFillTint="33"/>
            <w:noWrap/>
          </w:tcPr>
          <w:p w:rsidR="0018253B" w:rsidRPr="00F273F3" w:rsidRDefault="0018253B" w:rsidP="00DD6943">
            <w:pPr>
              <w:keepNext/>
              <w:keepLines/>
              <w:spacing w:after="0"/>
              <w:rPr>
                <w:rFonts w:asciiTheme="minorHAnsi" w:eastAsia="Times New Roman" w:hAnsiTheme="minorHAnsi"/>
                <w:szCs w:val="18"/>
              </w:rPr>
            </w:pPr>
            <w:r w:rsidRPr="00F273F3">
              <w:rPr>
                <w:rFonts w:asciiTheme="minorHAnsi" w:eastAsia="Times New Roman" w:hAnsiTheme="minorHAnsi"/>
                <w:szCs w:val="18"/>
              </w:rPr>
              <w:t>NB, HQ,</w:t>
            </w:r>
            <w:r w:rsidRPr="00F273F3">
              <w:rPr>
                <w:rFonts w:asciiTheme="minorHAnsi" w:eastAsia="Times New Roman" w:hAnsiTheme="minorHAnsi"/>
                <w:szCs w:val="18"/>
              </w:rPr>
              <w:br/>
              <w:t>and NY</w:t>
            </w:r>
          </w:p>
        </w:tc>
        <w:tc>
          <w:tcPr>
            <w:tcW w:w="2797" w:type="dxa"/>
            <w:shd w:val="clear" w:color="auto" w:fill="C8E3F4" w:themeFill="text2" w:themeFillTint="33"/>
          </w:tcPr>
          <w:p w:rsidR="0018253B" w:rsidRPr="00F273F3" w:rsidRDefault="0018253B" w:rsidP="00DD6943">
            <w:pPr>
              <w:keepNext/>
              <w:keepLines/>
              <w:spacing w:after="0"/>
              <w:rPr>
                <w:rFonts w:asciiTheme="minorHAnsi" w:eastAsia="Times New Roman" w:hAnsiTheme="minorHAnsi"/>
                <w:szCs w:val="18"/>
              </w:rPr>
            </w:pPr>
            <w:r w:rsidRPr="00F273F3">
              <w:rPr>
                <w:rFonts w:asciiTheme="minorHAnsi" w:eastAsia="Times New Roman" w:hAnsiTheme="minorHAnsi"/>
                <w:szCs w:val="18"/>
              </w:rPr>
              <w:t>New Brunswick (Maritimes), Hydro</w:t>
            </w:r>
            <w:r w:rsidRPr="00F273F3">
              <w:rPr>
                <w:rFonts w:asciiTheme="minorHAnsi" w:eastAsia="Times New Roman" w:hAnsiTheme="minorHAnsi" w:cs="Arial"/>
                <w:szCs w:val="18"/>
              </w:rPr>
              <w:t>­</w:t>
            </w:r>
            <w:r w:rsidRPr="00F273F3">
              <w:rPr>
                <w:rFonts w:asciiTheme="minorHAnsi" w:eastAsia="Times New Roman" w:hAnsiTheme="minorHAnsi"/>
                <w:szCs w:val="18"/>
              </w:rPr>
              <w:t>Québec, and New York external balancing authority areas</w:t>
            </w:r>
          </w:p>
        </w:tc>
      </w:tr>
    </w:tbl>
    <w:p w:rsidR="0018253B" w:rsidRPr="00F273F3" w:rsidRDefault="0018253B" w:rsidP="00DD6943">
      <w:pPr>
        <w:keepNext/>
        <w:keepLines/>
        <w:spacing w:before="120" w:after="80"/>
        <w:rPr>
          <w:rFonts w:ascii="Calibri" w:hAnsi="Calibri"/>
          <w:b/>
        </w:rPr>
      </w:pPr>
      <w:bookmarkStart w:id="124" w:name="_Ref485982000"/>
      <w:bookmarkStart w:id="125" w:name="_Toc486233197"/>
      <w:r w:rsidRPr="00F273F3">
        <w:rPr>
          <w:rFonts w:ascii="Calibri" w:hAnsi="Calibri"/>
          <w:b/>
        </w:rPr>
        <w:t>Figure </w:t>
      </w:r>
      <w:r w:rsidRPr="00F273F3">
        <w:rPr>
          <w:rFonts w:ascii="Calibri" w:hAnsi="Calibri"/>
          <w:b/>
        </w:rPr>
        <w:fldChar w:fldCharType="begin"/>
      </w:r>
      <w:r w:rsidRPr="00F273F3">
        <w:rPr>
          <w:rFonts w:ascii="Calibri" w:hAnsi="Calibri"/>
          <w:b/>
        </w:rPr>
        <w:instrText xml:space="preserve"> STYLEREF 1 \s </w:instrText>
      </w:r>
      <w:r w:rsidRPr="00F273F3">
        <w:rPr>
          <w:rFonts w:ascii="Calibri" w:hAnsi="Calibri"/>
          <w:b/>
        </w:rPr>
        <w:fldChar w:fldCharType="separate"/>
      </w:r>
      <w:r w:rsidR="00314781">
        <w:rPr>
          <w:rFonts w:ascii="Calibri" w:hAnsi="Calibri"/>
          <w:b/>
          <w:noProof/>
        </w:rPr>
        <w:t>2</w:t>
      </w:r>
      <w:r w:rsidRPr="00F273F3">
        <w:rPr>
          <w:rFonts w:ascii="Calibri" w:hAnsi="Calibri"/>
          <w:b/>
        </w:rPr>
        <w:fldChar w:fldCharType="end"/>
      </w:r>
      <w:r w:rsidRPr="00F273F3">
        <w:rPr>
          <w:rFonts w:ascii="Calibri" w:hAnsi="Calibri"/>
          <w:b/>
        </w:rPr>
        <w:noBreakHyphen/>
      </w:r>
      <w:r w:rsidRPr="00F273F3">
        <w:rPr>
          <w:rFonts w:ascii="Calibri" w:hAnsi="Calibri"/>
          <w:b/>
        </w:rPr>
        <w:fldChar w:fldCharType="begin"/>
      </w:r>
      <w:r w:rsidRPr="00F273F3">
        <w:rPr>
          <w:rFonts w:ascii="Calibri" w:hAnsi="Calibri"/>
          <w:b/>
        </w:rPr>
        <w:instrText xml:space="preserve"> SEQ Figure \* ARABIC \s 1 </w:instrText>
      </w:r>
      <w:r w:rsidRPr="00F273F3">
        <w:rPr>
          <w:rFonts w:ascii="Calibri" w:hAnsi="Calibri"/>
          <w:b/>
        </w:rPr>
        <w:fldChar w:fldCharType="separate"/>
      </w:r>
      <w:r w:rsidR="00314781">
        <w:rPr>
          <w:rFonts w:ascii="Calibri" w:hAnsi="Calibri"/>
          <w:b/>
          <w:noProof/>
        </w:rPr>
        <w:t>2</w:t>
      </w:r>
      <w:r w:rsidRPr="00F273F3">
        <w:rPr>
          <w:rFonts w:ascii="Calibri" w:hAnsi="Calibri"/>
          <w:b/>
        </w:rPr>
        <w:fldChar w:fldCharType="end"/>
      </w:r>
      <w:bookmarkEnd w:id="124"/>
      <w:r w:rsidRPr="00F273F3">
        <w:rPr>
          <w:rFonts w:ascii="Calibri" w:hAnsi="Calibri"/>
          <w:b/>
        </w:rPr>
        <w:t>: RSP17 geographic scope of the New England electric power system.</w:t>
      </w:r>
      <w:bookmarkEnd w:id="125"/>
    </w:p>
    <w:p w:rsidR="0018253B" w:rsidRDefault="0018253B" w:rsidP="00DD6943">
      <w:pPr>
        <w:keepNext/>
        <w:keepLines/>
        <w:spacing w:after="0" w:line="240" w:lineRule="auto"/>
        <w:rPr>
          <w:rFonts w:asciiTheme="minorHAnsi" w:hAnsiTheme="minorHAnsi"/>
          <w:sz w:val="16"/>
          <w:szCs w:val="16"/>
        </w:rPr>
      </w:pPr>
      <w:r w:rsidRPr="00F273F3">
        <w:rPr>
          <w:rFonts w:asciiTheme="minorHAnsi" w:hAnsiTheme="minorHAnsi"/>
          <w:b/>
          <w:sz w:val="16"/>
          <w:szCs w:val="16"/>
        </w:rPr>
        <w:t>Notes:</w:t>
      </w:r>
      <w:r w:rsidRPr="00F273F3">
        <w:rPr>
          <w:rFonts w:asciiTheme="minorHAnsi" w:hAnsiTheme="minorHAnsi"/>
          <w:sz w:val="16"/>
          <w:szCs w:val="16"/>
        </w:rPr>
        <w:t xml:space="preserve"> Some RSP studies investigate conditions in Greater Connecticut, which combines the NOR, SWCT, and CT subareas. This area has similar boundaries to the State of Connecticut but is slightly smaller because of electrical system configurations near the border with western Massachusetts. Greater Southwest Connecticut includes the southwest and western portions of Connecticut and consists of the NOR and SWCT subareas. NB includes New Brunswick, Nova Scotia, and Prince Edward Island (i.e., the Maritime provinces) plus the area served by the Northern Maine Independent System Administrator (USA)</w:t>
      </w:r>
      <w:r>
        <w:rPr>
          <w:rFonts w:asciiTheme="minorHAnsi" w:hAnsiTheme="minorHAnsi"/>
          <w:sz w:val="16"/>
          <w:szCs w:val="16"/>
        </w:rPr>
        <w:t>.</w:t>
      </w:r>
    </w:p>
    <w:p w:rsidR="0018253B" w:rsidRPr="00F273F3" w:rsidRDefault="0018253B" w:rsidP="0018253B">
      <w:pPr>
        <w:spacing w:after="0" w:line="240" w:lineRule="auto"/>
      </w:pPr>
    </w:p>
    <w:p w:rsidR="00F273F3" w:rsidRPr="00F273F3" w:rsidRDefault="00F273F3" w:rsidP="00F273F3">
      <w:r w:rsidRPr="00F273F3">
        <w:t xml:space="preserve">The system’s pricing points include individual generating units, load nodes, </w:t>
      </w:r>
      <w:r w:rsidRPr="00F273F3">
        <w:rPr>
          <w:i/>
          <w:iCs/>
        </w:rPr>
        <w:t>load zones</w:t>
      </w:r>
      <w:r w:rsidRPr="00F273F3">
        <w:t xml:space="preserve"> (i.e., aggregations of load pnodes within a specific area), and the Hub. The </w:t>
      </w:r>
      <w:r w:rsidRPr="00F273F3">
        <w:rPr>
          <w:i/>
        </w:rPr>
        <w:t>Hub</w:t>
      </w:r>
      <w:r w:rsidRPr="00F273F3">
        <w:t xml:space="preserve"> is a collection of 32 locations in central New England where little congestion is evident. It typically has a price intended to represent an uncongested price for electric energy, which is used as a price index and point of exchange for bilateral transactions in the energy market. The Hub also facilitates energy trading and enhances transparency and liquidity in the </w:t>
      </w:r>
      <w:r w:rsidRPr="00F273F3">
        <w:lastRenderedPageBreak/>
        <w:t>marketplace. In New England, generators are paid the LMP for electric energy at their respective nodes, and participants serving demand pay the price at their respective load zones.</w:t>
      </w:r>
      <w:r w:rsidRPr="00F273F3">
        <w:rPr>
          <w:vertAlign w:val="superscript"/>
        </w:rPr>
        <w:footnoteReference w:id="64"/>
      </w:r>
    </w:p>
    <w:p w:rsidR="00F273F3" w:rsidRPr="00F273F3" w:rsidRDefault="00F273F3" w:rsidP="00F273F3">
      <w:r w:rsidRPr="00EB2027">
        <w:t>New England is divided into eight electric energy load zones used for wholesale energy market</w:t>
      </w:r>
      <w:r w:rsidRPr="00F273F3">
        <w:t xml:space="preserve"> settlement: Maine (ME), New Hampshire (NH), Vermont (VT), Rhode Island (RI), Connecticut (CT), Western/Central Massachusetts (WCMA), </w:t>
      </w:r>
      <w:r w:rsidRPr="00EB2027">
        <w:t>Northeast Massachusetts and Boston (NEMA),</w:t>
      </w:r>
      <w:r w:rsidRPr="00F273F3">
        <w:t xml:space="preserve"> and Southeast Massachusetts (SEMA). </w:t>
      </w:r>
      <w:r w:rsidRPr="00F273F3">
        <w:rPr>
          <w:i/>
        </w:rPr>
        <w:t>Import-constrained</w:t>
      </w:r>
      <w:r w:rsidRPr="00F273F3">
        <w:t xml:space="preserve"> load zones are areas within New England that do not have enough local resources and transmission-import capability to serve local demand reliably or economically. </w:t>
      </w:r>
      <w:r w:rsidRPr="00F273F3">
        <w:rPr>
          <w:i/>
        </w:rPr>
        <w:t>Export-constrained</w:t>
      </w:r>
      <w:r w:rsidRPr="00F273F3">
        <w:t xml:space="preserve"> load zones are areas within New England where the available resources, after serving local load, exceed the areas’ transmission capability to export the excess electric energy. </w:t>
      </w:r>
      <w:r w:rsidRPr="00F273F3">
        <w:rPr>
          <w:i/>
        </w:rPr>
        <w:t>Reliability regions</w:t>
      </w:r>
      <w:r w:rsidRPr="00F273F3">
        <w:t>, which reflect the operating characteristics of, and the major constraints on, the New England transmission system, can have the same boundaries as load zones.</w:t>
      </w:r>
      <w:r w:rsidRPr="00F273F3">
        <w:rPr>
          <w:vertAlign w:val="superscript"/>
        </w:rPr>
        <w:footnoteReference w:id="65"/>
      </w:r>
      <w:r w:rsidRPr="00F273F3">
        <w:t xml:space="preserve"> </w:t>
      </w:r>
    </w:p>
    <w:p w:rsidR="00F2377F" w:rsidRPr="00781FE8" w:rsidRDefault="00F273F3" w:rsidP="00F273F3">
      <w:r w:rsidRPr="00F273F3">
        <w:t xml:space="preserve">A </w:t>
      </w:r>
      <w:r w:rsidRPr="00F273F3">
        <w:rPr>
          <w:i/>
        </w:rPr>
        <w:t>capacity zone</w:t>
      </w:r>
      <w:r w:rsidRPr="00F273F3">
        <w:t xml:space="preserve"> is a geographic subregion of the New England Balancing Authority Area that may represent load zones that are export constrained, import constrained, or contiguous—neither export nor </w:t>
      </w:r>
      <w:r w:rsidRPr="00781FE8">
        <w:t>import constrained. The Forward Capacity Auctions (FCAs) use capacity zones, which are subject to annual review. For both FCA #11 and FCA #12, three capacity zones are modeled, specifically</w:t>
      </w:r>
      <w:r w:rsidR="00F2377F" w:rsidRPr="00781FE8">
        <w:t>:</w:t>
      </w:r>
    </w:p>
    <w:p w:rsidR="00110C96" w:rsidRPr="00781FE8" w:rsidRDefault="00F273F3" w:rsidP="00110C96">
      <w:pPr>
        <w:pStyle w:val="ListParagraph"/>
        <w:numPr>
          <w:ilvl w:val="0"/>
          <w:numId w:val="757"/>
        </w:numPr>
      </w:pPr>
      <w:r w:rsidRPr="00781FE8">
        <w:t>Southeastern New England (SENE) as an import-constrained zone</w:t>
      </w:r>
      <w:r w:rsidR="00F2377F" w:rsidRPr="00781FE8">
        <w:t>, which includes the area within the Southeast New England interface</w:t>
      </w:r>
      <w:r w:rsidR="00EB2027" w:rsidRPr="00781FE8">
        <w:t xml:space="preserve">, </w:t>
      </w:r>
      <w:r w:rsidR="00110C96" w:rsidRPr="00781FE8">
        <w:t xml:space="preserve">comprising the RSP </w:t>
      </w:r>
      <w:r w:rsidR="00EB2027" w:rsidRPr="00781FE8">
        <w:t>‘</w:t>
      </w:r>
      <w:r w:rsidR="00110C96" w:rsidRPr="00781FE8">
        <w:t>bubbles</w:t>
      </w:r>
      <w:r w:rsidR="00EB2027" w:rsidRPr="00781FE8">
        <w:t xml:space="preserve">” (as shown in </w:t>
      </w:r>
      <w:r w:rsidR="00EB2027" w:rsidRPr="00781FE8">
        <w:fldChar w:fldCharType="begin"/>
      </w:r>
      <w:r w:rsidR="00EB2027" w:rsidRPr="00781FE8">
        <w:instrText xml:space="preserve"> REF _Ref485982000 \h  \* MERGEFORMAT </w:instrText>
      </w:r>
      <w:r w:rsidR="00EB2027" w:rsidRPr="00781FE8">
        <w:fldChar w:fldCharType="separate"/>
      </w:r>
      <w:r w:rsidR="00314781" w:rsidRPr="003A5AFD">
        <w:t>Figure 2</w:t>
      </w:r>
      <w:r w:rsidR="00314781" w:rsidRPr="003A5AFD">
        <w:noBreakHyphen/>
        <w:t>2</w:t>
      </w:r>
      <w:r w:rsidR="00EB2027" w:rsidRPr="00781FE8">
        <w:fldChar w:fldCharType="end"/>
      </w:r>
      <w:r w:rsidR="00EB2027" w:rsidRPr="00781FE8">
        <w:t>)</w:t>
      </w:r>
      <w:r w:rsidR="00110C96" w:rsidRPr="00781FE8">
        <w:t xml:space="preserve"> for SEMA, RI, and BOSTON</w:t>
      </w:r>
    </w:p>
    <w:p w:rsidR="00F2377F" w:rsidRPr="00781FE8" w:rsidRDefault="00F273F3" w:rsidP="00781FE8">
      <w:pPr>
        <w:pStyle w:val="ListParagraph"/>
        <w:numPr>
          <w:ilvl w:val="0"/>
          <w:numId w:val="757"/>
        </w:numPr>
      </w:pPr>
      <w:r w:rsidRPr="00781FE8">
        <w:t>Northern New England (NNE) as an export-constrained zone</w:t>
      </w:r>
      <w:r w:rsidR="00F2377F" w:rsidRPr="00781FE8">
        <w:t>, which includes the area north of the North–South interface</w:t>
      </w:r>
      <w:r w:rsidR="00EB2027" w:rsidRPr="00781FE8">
        <w:t>,</w:t>
      </w:r>
      <w:r w:rsidR="00F2377F" w:rsidRPr="00781FE8">
        <w:t xml:space="preserve"> comprising the RSP bubbles for BHE, ME, SME, NH, and VT</w:t>
      </w:r>
    </w:p>
    <w:p w:rsidR="00F2377F" w:rsidRPr="00781FE8" w:rsidRDefault="00F273F3" w:rsidP="00781FE8">
      <w:pPr>
        <w:pStyle w:val="ListParagraph"/>
        <w:numPr>
          <w:ilvl w:val="0"/>
          <w:numId w:val="757"/>
        </w:numPr>
        <w:spacing w:after="240"/>
      </w:pPr>
      <w:r w:rsidRPr="00781FE8">
        <w:t xml:space="preserve">Rest-of-Pool (ROP) </w:t>
      </w:r>
    </w:p>
    <w:p w:rsidR="00FB7CE0" w:rsidRPr="00711D32" w:rsidRDefault="00FB7CE0" w:rsidP="00781FE8">
      <w:r w:rsidRPr="00781FE8">
        <w:t xml:space="preserve">Other </w:t>
      </w:r>
      <w:r w:rsidR="00110C96" w:rsidRPr="00781FE8">
        <w:t xml:space="preserve">capacity </w:t>
      </w:r>
      <w:r w:rsidRPr="00781FE8">
        <w:t xml:space="preserve">zones </w:t>
      </w:r>
      <w:r w:rsidR="00110C96" w:rsidRPr="00781FE8">
        <w:t xml:space="preserve">the ISO </w:t>
      </w:r>
      <w:r w:rsidR="00722CD0" w:rsidRPr="00781FE8">
        <w:t>considers</w:t>
      </w:r>
      <w:r w:rsidR="00110C96" w:rsidRPr="00781FE8">
        <w:t xml:space="preserve"> to represent import- and export-constrained areas or contiguous </w:t>
      </w:r>
      <w:r w:rsidR="00110C96" w:rsidRPr="00711D32">
        <w:t>areas are as follows:</w:t>
      </w:r>
      <w:r w:rsidRPr="00711D32">
        <w:t xml:space="preserve"> </w:t>
      </w:r>
    </w:p>
    <w:p w:rsidR="00FB7CE0" w:rsidRPr="00711D32" w:rsidRDefault="00FB7CE0" w:rsidP="00781FE8">
      <w:pPr>
        <w:pStyle w:val="ListParagraph"/>
        <w:numPr>
          <w:ilvl w:val="0"/>
          <w:numId w:val="758"/>
        </w:numPr>
      </w:pPr>
      <w:r w:rsidRPr="00711D32">
        <w:t>CT</w:t>
      </w:r>
      <w:r w:rsidR="00110C96" w:rsidRPr="00711D32">
        <w:t>—</w:t>
      </w:r>
      <w:r w:rsidRPr="00711D32">
        <w:t xml:space="preserve">the area within the Connecticut import </w:t>
      </w:r>
      <w:r w:rsidR="00D564FF" w:rsidRPr="00711D32">
        <w:t>interface</w:t>
      </w:r>
      <w:r w:rsidR="00711D32" w:rsidRPr="00711D32">
        <w:t xml:space="preserve">, including </w:t>
      </w:r>
      <w:r w:rsidRPr="00711D32">
        <w:t>the RSP bubbles for CT, SWCT, and NOR</w:t>
      </w:r>
      <w:r w:rsidR="00711D32" w:rsidRPr="00711D32">
        <w:t xml:space="preserve"> plus the Scitico substation served from western Massachusetts</w:t>
      </w:r>
    </w:p>
    <w:p w:rsidR="00FB7CE0" w:rsidRPr="00781FE8" w:rsidRDefault="00FB7CE0" w:rsidP="00781FE8">
      <w:pPr>
        <w:pStyle w:val="ListParagraph"/>
        <w:numPr>
          <w:ilvl w:val="0"/>
          <w:numId w:val="758"/>
        </w:numPr>
      </w:pPr>
      <w:r w:rsidRPr="00711D32">
        <w:t>NEMA/Boston</w:t>
      </w:r>
      <w:r w:rsidR="00110C96" w:rsidRPr="00711D32">
        <w:t>—</w:t>
      </w:r>
      <w:r w:rsidRPr="00711D32">
        <w:t>the area within the Boston import interface</w:t>
      </w:r>
      <w:r w:rsidR="00D564FF" w:rsidRPr="00711D32">
        <w:t xml:space="preserve">, </w:t>
      </w:r>
      <w:r w:rsidRPr="00711D32">
        <w:t>comprising the RSP bubble for</w:t>
      </w:r>
      <w:r w:rsidRPr="00781FE8">
        <w:t xml:space="preserve"> BOSTON</w:t>
      </w:r>
    </w:p>
    <w:p w:rsidR="00FB7CE0" w:rsidRPr="00781FE8" w:rsidRDefault="00FB7CE0" w:rsidP="00781FE8">
      <w:pPr>
        <w:pStyle w:val="ListParagraph"/>
        <w:numPr>
          <w:ilvl w:val="0"/>
          <w:numId w:val="758"/>
        </w:numPr>
      </w:pPr>
      <w:r w:rsidRPr="00781FE8">
        <w:t>SEMA/RI</w:t>
      </w:r>
      <w:r w:rsidR="00110C96" w:rsidRPr="00781FE8">
        <w:t>—</w:t>
      </w:r>
      <w:r w:rsidRPr="00781FE8">
        <w:t>the area within the SEMA/RI import interface</w:t>
      </w:r>
      <w:r w:rsidR="00D564FF" w:rsidRPr="00781FE8">
        <w:t xml:space="preserve">, </w:t>
      </w:r>
      <w:r w:rsidRPr="00781FE8">
        <w:t>comprising the RSP bubbles for SEMA and RI</w:t>
      </w:r>
    </w:p>
    <w:p w:rsidR="00FB7CE0" w:rsidRPr="00781FE8" w:rsidRDefault="00FB7CE0" w:rsidP="00781FE8">
      <w:pPr>
        <w:pStyle w:val="ListParagraph"/>
        <w:numPr>
          <w:ilvl w:val="0"/>
          <w:numId w:val="758"/>
        </w:numPr>
        <w:spacing w:after="240"/>
      </w:pPr>
      <w:r w:rsidRPr="00781FE8">
        <w:t>Maine</w:t>
      </w:r>
      <w:r w:rsidR="00110C96" w:rsidRPr="00781FE8">
        <w:t>—</w:t>
      </w:r>
      <w:r w:rsidRPr="00781FE8">
        <w:t>includes the area north of the ME-NH interface</w:t>
      </w:r>
      <w:r w:rsidR="00D564FF" w:rsidRPr="00781FE8">
        <w:t xml:space="preserve">, </w:t>
      </w:r>
      <w:r w:rsidRPr="00781FE8">
        <w:t>comprising the RSP bubbles for BHE, ME, and SME</w:t>
      </w:r>
    </w:p>
    <w:p w:rsidR="00F273F3" w:rsidRDefault="00F273F3" w:rsidP="00F273F3">
      <w:r w:rsidRPr="00FB7CE0">
        <w:t xml:space="preserve">The region also currently has four </w:t>
      </w:r>
      <w:r w:rsidRPr="00FB7CE0">
        <w:rPr>
          <w:i/>
        </w:rPr>
        <w:t>reserve zones</w:t>
      </w:r>
      <w:r w:rsidRPr="00FB7CE0">
        <w:t xml:space="preserve">—Greater Connecticut; Greater Southwest Connecticut (SWCT); NEMA/Boston; and the rest of the system (Rest-of-System, ROS), which excludes the other, local reserve zones. </w:t>
      </w:r>
    </w:p>
    <w:p w:rsidR="00F273F3" w:rsidRPr="00F273F3" w:rsidRDefault="00F273F3" w:rsidP="00F273F3">
      <w:r w:rsidRPr="00F273F3">
        <w:lastRenderedPageBreak/>
        <w:t xml:space="preserve">Additionally, the region is divided into </w:t>
      </w:r>
      <w:r w:rsidRPr="00AB066D">
        <w:t>19</w:t>
      </w:r>
      <w:r w:rsidRPr="00F273F3">
        <w:t xml:space="preserve"> </w:t>
      </w:r>
      <w:r w:rsidRPr="00F273F3">
        <w:rPr>
          <w:i/>
        </w:rPr>
        <w:t>demand-resource dispatch zones</w:t>
      </w:r>
      <w:r w:rsidRPr="00F273F3">
        <w:t>, which are groups of nodes used to dispatch real-time demand-response (RTDR) resources smaller than 5 MW.</w:t>
      </w:r>
      <w:r w:rsidRPr="00F273F3">
        <w:rPr>
          <w:vertAlign w:val="superscript"/>
        </w:rPr>
        <w:footnoteReference w:id="66"/>
      </w:r>
      <w:r w:rsidRPr="00F273F3">
        <w:t xml:space="preserve"> These allow for a more granular dispatch of active demand resources at times, locations, and quantities needed to address potential system problems without unnecessarily calling on other active demand resources. </w:t>
      </w:r>
      <w:r w:rsidRPr="00F273F3">
        <w:fldChar w:fldCharType="begin"/>
      </w:r>
      <w:r w:rsidRPr="00F273F3">
        <w:instrText xml:space="preserve"> REF _Ref234743321 \h  \* MERGEFORMAT </w:instrText>
      </w:r>
      <w:r w:rsidRPr="00F273F3">
        <w:fldChar w:fldCharType="separate"/>
      </w:r>
      <w:r w:rsidR="00314781" w:rsidRPr="003A5AFD">
        <w:t>Figure 2</w:t>
      </w:r>
      <w:r w:rsidR="00314781" w:rsidRPr="003A5AFD">
        <w:noBreakHyphen/>
        <w:t>3</w:t>
      </w:r>
      <w:r w:rsidRPr="00F273F3">
        <w:fldChar w:fldCharType="end"/>
      </w:r>
      <w:r w:rsidRPr="00F273F3">
        <w:t xml:space="preserve"> shows the dispatch zones the ISO uses to dispatch FCM active demand resources.</w:t>
      </w:r>
    </w:p>
    <w:p w:rsidR="00F273F3" w:rsidRPr="00F273F3" w:rsidRDefault="00F273F3" w:rsidP="00F273F3">
      <w:pPr>
        <w:spacing w:after="0" w:line="240" w:lineRule="auto"/>
        <w:jc w:val="center"/>
      </w:pPr>
      <w:r w:rsidRPr="00F273F3">
        <w:rPr>
          <w:noProof/>
        </w:rPr>
        <w:drawing>
          <wp:inline distT="0" distB="0" distL="0" distR="0" wp14:anchorId="3FB34AF2" wp14:editId="5C4F000D">
            <wp:extent cx="3031902" cy="4062619"/>
            <wp:effectExtent l="19050" t="19050" r="16098" b="14081"/>
            <wp:docPr id="2" name="Picture 0" descr="dispatch_zone_map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spatch_zone_map 2.JPG"/>
                    <pic:cNvPicPr/>
                  </pic:nvPicPr>
                  <pic:blipFill>
                    <a:blip r:embed="rId33" cstate="print"/>
                    <a:stretch>
                      <a:fillRect/>
                    </a:stretch>
                  </pic:blipFill>
                  <pic:spPr>
                    <a:xfrm>
                      <a:off x="0" y="0"/>
                      <a:ext cx="3035226" cy="4067073"/>
                    </a:xfrm>
                    <a:prstGeom prst="rect">
                      <a:avLst/>
                    </a:prstGeom>
                    <a:ln w="3175">
                      <a:solidFill>
                        <a:srgbClr val="62777F"/>
                      </a:solidFill>
                    </a:ln>
                  </pic:spPr>
                </pic:pic>
              </a:graphicData>
            </a:graphic>
          </wp:inline>
        </w:drawing>
      </w:r>
    </w:p>
    <w:p w:rsidR="00F273F3" w:rsidRPr="00F273F3" w:rsidRDefault="00F273F3" w:rsidP="00F273F3">
      <w:pPr>
        <w:ind w:left="2070" w:right="2070"/>
        <w:rPr>
          <w:rFonts w:ascii="Calibri" w:hAnsi="Calibri"/>
          <w:b/>
        </w:rPr>
      </w:pPr>
      <w:bookmarkStart w:id="126" w:name="_Ref234743321"/>
      <w:bookmarkStart w:id="127" w:name="_Toc239157199"/>
      <w:bookmarkStart w:id="128" w:name="_Toc271552389"/>
      <w:bookmarkStart w:id="129" w:name="_Toc303086721"/>
      <w:bookmarkStart w:id="130" w:name="_Toc429063513"/>
      <w:bookmarkStart w:id="131" w:name="_Toc486233198"/>
      <w:r w:rsidRPr="00AB066D">
        <w:rPr>
          <w:rFonts w:ascii="Calibri" w:hAnsi="Calibri"/>
          <w:b/>
        </w:rPr>
        <w:t xml:space="preserve">Figure </w:t>
      </w:r>
      <w:r w:rsidRPr="00AB066D">
        <w:rPr>
          <w:rFonts w:ascii="Calibri" w:hAnsi="Calibri"/>
          <w:b/>
        </w:rPr>
        <w:fldChar w:fldCharType="begin"/>
      </w:r>
      <w:r w:rsidRPr="00AB066D">
        <w:rPr>
          <w:rFonts w:ascii="Calibri" w:hAnsi="Calibri"/>
          <w:b/>
        </w:rPr>
        <w:instrText xml:space="preserve"> STYLEREF 1 \s </w:instrText>
      </w:r>
      <w:r w:rsidRPr="00AB066D">
        <w:rPr>
          <w:rFonts w:ascii="Calibri" w:hAnsi="Calibri"/>
          <w:b/>
        </w:rPr>
        <w:fldChar w:fldCharType="separate"/>
      </w:r>
      <w:r w:rsidR="00314781">
        <w:rPr>
          <w:rFonts w:ascii="Calibri" w:hAnsi="Calibri"/>
          <w:b/>
          <w:noProof/>
        </w:rPr>
        <w:t>2</w:t>
      </w:r>
      <w:r w:rsidRPr="00AB066D">
        <w:rPr>
          <w:rFonts w:ascii="Calibri" w:hAnsi="Calibri"/>
          <w:b/>
        </w:rPr>
        <w:fldChar w:fldCharType="end"/>
      </w:r>
      <w:r w:rsidRPr="00AB066D">
        <w:rPr>
          <w:rFonts w:ascii="Calibri" w:hAnsi="Calibri"/>
          <w:b/>
        </w:rPr>
        <w:noBreakHyphen/>
      </w:r>
      <w:r w:rsidRPr="00AB066D">
        <w:rPr>
          <w:rFonts w:ascii="Calibri" w:hAnsi="Calibri"/>
          <w:b/>
        </w:rPr>
        <w:fldChar w:fldCharType="begin"/>
      </w:r>
      <w:r w:rsidRPr="00AB066D">
        <w:rPr>
          <w:rFonts w:ascii="Calibri" w:hAnsi="Calibri"/>
          <w:b/>
        </w:rPr>
        <w:instrText xml:space="preserve"> SEQ Figure \* ARABIC \s 1 </w:instrText>
      </w:r>
      <w:r w:rsidRPr="00AB066D">
        <w:rPr>
          <w:rFonts w:ascii="Calibri" w:hAnsi="Calibri"/>
          <w:b/>
        </w:rPr>
        <w:fldChar w:fldCharType="separate"/>
      </w:r>
      <w:r w:rsidR="00314781">
        <w:rPr>
          <w:rFonts w:ascii="Calibri" w:hAnsi="Calibri"/>
          <w:b/>
          <w:noProof/>
        </w:rPr>
        <w:t>3</w:t>
      </w:r>
      <w:r w:rsidRPr="00AB066D">
        <w:rPr>
          <w:rFonts w:ascii="Calibri" w:hAnsi="Calibri"/>
          <w:b/>
        </w:rPr>
        <w:fldChar w:fldCharType="end"/>
      </w:r>
      <w:bookmarkEnd w:id="126"/>
      <w:r w:rsidRPr="00AB066D">
        <w:rPr>
          <w:rFonts w:ascii="Calibri" w:hAnsi="Calibri"/>
          <w:b/>
        </w:rPr>
        <w:t>: Active-demand-resource dispatch zones in the ISO New England system.</w:t>
      </w:r>
      <w:bookmarkEnd w:id="127"/>
      <w:bookmarkEnd w:id="128"/>
      <w:bookmarkEnd w:id="129"/>
      <w:bookmarkEnd w:id="130"/>
      <w:bookmarkEnd w:id="131"/>
    </w:p>
    <w:p w:rsidR="00F273F3" w:rsidRDefault="00F273F3" w:rsidP="00DA4E63"/>
    <w:p w:rsidR="00DB6EC8" w:rsidRPr="00DB6EC8" w:rsidRDefault="00DB6EC8" w:rsidP="00DB6EC8">
      <w:pPr>
        <w:pStyle w:val="Heading1"/>
      </w:pPr>
      <w:bookmarkStart w:id="132" w:name="_Toc291754867"/>
      <w:bookmarkStart w:id="133" w:name="_Ref297977027"/>
      <w:bookmarkStart w:id="134" w:name="_Toc303086359"/>
      <w:bookmarkStart w:id="135" w:name="_Toc334601013"/>
      <w:bookmarkStart w:id="136" w:name="_Toc365440982"/>
      <w:bookmarkStart w:id="137" w:name="_Ref387510633"/>
      <w:bookmarkStart w:id="138" w:name="_Toc396807606"/>
      <w:r w:rsidRPr="00DB6EC8">
        <w:lastRenderedPageBreak/>
        <w:br/>
      </w:r>
      <w:bookmarkStart w:id="139" w:name="_Ref418357222"/>
      <w:bookmarkStart w:id="140" w:name="_Ref418357246"/>
      <w:bookmarkStart w:id="141" w:name="_Ref418518333"/>
      <w:bookmarkStart w:id="142" w:name="_Toc484957889"/>
      <w:bookmarkStart w:id="143" w:name="_Toc490323014"/>
      <w:r w:rsidRPr="00DB6EC8">
        <w:t>Forecasts of New England’s Peak Demand, Annual Use of Electric Energy, Energy Efficiency</w:t>
      </w:r>
      <w:bookmarkEnd w:id="132"/>
      <w:bookmarkEnd w:id="133"/>
      <w:bookmarkEnd w:id="134"/>
      <w:bookmarkEnd w:id="135"/>
      <w:bookmarkEnd w:id="136"/>
      <w:r w:rsidRPr="00DB6EC8">
        <w:t>, and Distributed Generation</w:t>
      </w:r>
      <w:bookmarkEnd w:id="137"/>
      <w:bookmarkEnd w:id="138"/>
      <w:bookmarkEnd w:id="139"/>
      <w:bookmarkEnd w:id="140"/>
      <w:bookmarkEnd w:id="141"/>
      <w:bookmarkEnd w:id="142"/>
      <w:bookmarkEnd w:id="143"/>
      <w:r w:rsidRPr="00DB6EC8">
        <w:t xml:space="preserve"> </w:t>
      </w:r>
    </w:p>
    <w:p w:rsidR="00DB6EC8" w:rsidRPr="00DB6EC8" w:rsidRDefault="00DB6EC8" w:rsidP="00DB6EC8">
      <w:pPr>
        <w:spacing w:after="200" w:line="276" w:lineRule="auto"/>
      </w:pPr>
      <w:r w:rsidRPr="000E7CC5">
        <w:t>This section discusses the individual forecasts of gross demand, energy efficiency (EE), and photovoltaics</w:t>
      </w:r>
      <w:r w:rsidRPr="00DB6EC8">
        <w:t xml:space="preserve"> (PV) for 2017 through 2026. Energy efficiency is considered a resource, and behind-the-meter (BTM) </w:t>
      </w:r>
      <w:r w:rsidRPr="00FC601F">
        <w:t>distributed generation</w:t>
      </w:r>
      <w:r w:rsidR="00D43F88" w:rsidRPr="00FC601F">
        <w:t xml:space="preserve"> </w:t>
      </w:r>
      <w:r w:rsidRPr="00FC601F">
        <w:t>is considered a reduction in demand, but for study purposes, their combined</w:t>
      </w:r>
      <w:r w:rsidRPr="00DB6EC8">
        <w:t xml:space="preserve"> </w:t>
      </w:r>
      <w:r w:rsidRPr="00FC601F">
        <w:t>growth reduces the forecasts of gross peak demand and the gross annual use of energy.</w:t>
      </w:r>
      <w:r w:rsidR="007A79E9">
        <w:t xml:space="preserve"> </w:t>
      </w:r>
      <w:r w:rsidRPr="00FC601F">
        <w:t>These resultant</w:t>
      </w:r>
      <w:r w:rsidRPr="00DB6EC8">
        <w:t xml:space="preserve"> net demand forecasts provide key inputs for determining the region’s resource adequacy requirements </w:t>
      </w:r>
      <w:r w:rsidRPr="00AB066D">
        <w:t xml:space="preserve">for future years (see </w:t>
      </w:r>
      <w:r w:rsidR="00AB066D" w:rsidRPr="00AB066D">
        <w:fldChar w:fldCharType="begin"/>
      </w:r>
      <w:r w:rsidR="00AB066D" w:rsidRPr="00AB066D">
        <w:instrText xml:space="preserve"> REF _Ref418680938 \r \h </w:instrText>
      </w:r>
      <w:r w:rsidR="00AB066D">
        <w:instrText xml:space="preserve"> \* MERGEFORMAT </w:instrText>
      </w:r>
      <w:r w:rsidR="00AB066D" w:rsidRPr="00AB066D">
        <w:fldChar w:fldCharType="separate"/>
      </w:r>
      <w:r w:rsidR="00314781">
        <w:t>Section 4</w:t>
      </w:r>
      <w:r w:rsidR="00AB066D" w:rsidRPr="00AB066D">
        <w:fldChar w:fldCharType="end"/>
      </w:r>
      <w:r w:rsidRPr="00AB066D">
        <w:t>), evaluating the reliability and economic performance of the</w:t>
      </w:r>
      <w:r w:rsidRPr="00DB6EC8">
        <w:t xml:space="preserve"> </w:t>
      </w:r>
      <w:r w:rsidRPr="00AB066D">
        <w:t xml:space="preserve">electric power system under various conditions (Section </w:t>
      </w:r>
      <w:r w:rsidR="00AB066D" w:rsidRPr="00AB066D">
        <w:fldChar w:fldCharType="begin"/>
      </w:r>
      <w:r w:rsidR="00AB066D" w:rsidRPr="00AB066D">
        <w:instrText xml:space="preserve"> REF _Ref485720690 \r \h </w:instrText>
      </w:r>
      <w:r w:rsidR="00AB066D">
        <w:instrText xml:space="preserve"> \* MERGEFORMAT </w:instrText>
      </w:r>
      <w:r w:rsidR="00AB066D" w:rsidRPr="00AB066D">
        <w:fldChar w:fldCharType="separate"/>
      </w:r>
      <w:r w:rsidR="00314781">
        <w:t>9.4</w:t>
      </w:r>
      <w:r w:rsidR="00AB066D" w:rsidRPr="00AB066D">
        <w:fldChar w:fldCharType="end"/>
      </w:r>
      <w:r w:rsidRPr="00AB066D">
        <w:t>), and planning needed transmission</w:t>
      </w:r>
      <w:r w:rsidRPr="00DB6EC8">
        <w:t xml:space="preserve"> </w:t>
      </w:r>
      <w:r w:rsidRPr="00AB066D">
        <w:t>improvements (</w:t>
      </w:r>
      <w:r w:rsidR="00C06CD9" w:rsidRPr="00AB066D">
        <w:fldChar w:fldCharType="begin"/>
      </w:r>
      <w:r w:rsidR="00C06CD9" w:rsidRPr="00AB066D">
        <w:instrText xml:space="preserve"> REF _Ref301345731 \r \h </w:instrText>
      </w:r>
      <w:r w:rsidR="00C06CD9">
        <w:instrText xml:space="preserve"> \* MERGEFORMAT </w:instrText>
      </w:r>
      <w:r w:rsidR="00C06CD9" w:rsidRPr="00AB066D">
        <w:fldChar w:fldCharType="separate"/>
      </w:r>
      <w:r w:rsidR="00C06CD9">
        <w:t>Section 5</w:t>
      </w:r>
      <w:r w:rsidR="00C06CD9" w:rsidRPr="00AB066D">
        <w:fldChar w:fldCharType="end"/>
      </w:r>
      <w:r w:rsidRPr="00AB066D">
        <w:t>). This section also discusses the application of the net peak</w:t>
      </w:r>
      <w:r w:rsidRPr="00DB6EC8">
        <w:t xml:space="preserve"> demand and the net annual energy forecasts to planning studies. </w:t>
      </w:r>
    </w:p>
    <w:p w:rsidR="00DB6EC8" w:rsidRPr="00DB6EC8" w:rsidRDefault="00DB6EC8" w:rsidP="00DB6EC8">
      <w:pPr>
        <w:spacing w:after="200" w:line="276" w:lineRule="auto"/>
      </w:pPr>
      <w:r w:rsidRPr="00DB6EC8">
        <w:t xml:space="preserve">The methodology for forecasting the gross demand, energy efficiency, and photovoltaic installations in RSP17 are generally similar to RSP15’s methodology. The historical loads and both the economic and demographic factors drive the forecasts of the gross peak and gross annual demand for electric energy, New England-wide and in individual states and subareas. Public policies are key inputs to the growth of energy-efficiency and photovoltaic resources for the 10-year RSP planning horizon. The EE forecast reflects participation in the ISO’s Forward Capacity Market. The RSP17 PV forecast reflects PV participation in the wholesale energy markets, updated policy information, and recent installation trends. </w:t>
      </w:r>
    </w:p>
    <w:p w:rsidR="00DB6EC8" w:rsidRPr="00DB6EC8" w:rsidRDefault="00DB6EC8" w:rsidP="00F0458F">
      <w:pPr>
        <w:pStyle w:val="Heading2"/>
      </w:pPr>
      <w:bookmarkStart w:id="144" w:name="_Toc291754868"/>
      <w:bookmarkStart w:id="145" w:name="_Ref293769466"/>
      <w:bookmarkStart w:id="146" w:name="_Ref298241723"/>
      <w:bookmarkStart w:id="147" w:name="_Toc303086360"/>
      <w:r w:rsidRPr="00DB6EC8">
        <w:t xml:space="preserve"> </w:t>
      </w:r>
      <w:bookmarkStart w:id="148" w:name="_Ref325529643"/>
      <w:bookmarkStart w:id="149" w:name="_Toc334601014"/>
      <w:bookmarkStart w:id="150" w:name="_Toc365440983"/>
      <w:bookmarkStart w:id="151" w:name="_Toc396807607"/>
      <w:bookmarkStart w:id="152" w:name="_Toc484957890"/>
      <w:bookmarkStart w:id="153" w:name="_Toc490323015"/>
      <w:r w:rsidRPr="00DB6EC8">
        <w:t>ISO New England Gross Demand Forecasts</w:t>
      </w:r>
      <w:bookmarkEnd w:id="144"/>
      <w:bookmarkEnd w:id="145"/>
      <w:bookmarkEnd w:id="146"/>
      <w:bookmarkEnd w:id="147"/>
      <w:bookmarkEnd w:id="148"/>
      <w:bookmarkEnd w:id="149"/>
      <w:bookmarkEnd w:id="150"/>
      <w:bookmarkEnd w:id="151"/>
      <w:bookmarkEnd w:id="152"/>
      <w:bookmarkEnd w:id="153"/>
    </w:p>
    <w:p w:rsidR="00DB6EC8" w:rsidRPr="00DB6EC8" w:rsidRDefault="00DB6EC8" w:rsidP="00DB6EC8">
      <w:pPr>
        <w:spacing w:after="200" w:line="276" w:lineRule="auto"/>
      </w:pPr>
      <w:r w:rsidRPr="00DB6EC8">
        <w:t>The ISO gross demand forecasts are estimates of the amount of electric energy the New England states will need annually and during seasonal peak hours. This year’s gross demand forecast horizon runs from 2017 through winter 2026/2027. Each forecast cycle updates the data for the region’s historical annual use of electric energy and peak loads, incorporating the most recent economic and demographic forecasts, and making adjustments for resettlement that include meter corrections.</w:t>
      </w:r>
      <w:r w:rsidRPr="00DB6EC8">
        <w:rPr>
          <w:vertAlign w:val="superscript"/>
        </w:rPr>
        <w:footnoteReference w:id="67"/>
      </w:r>
    </w:p>
    <w:p w:rsidR="00DB6EC8" w:rsidRPr="00DB6EC8" w:rsidRDefault="00DB6EC8" w:rsidP="00DB6EC8">
      <w:pPr>
        <w:spacing w:after="200" w:line="276" w:lineRule="auto"/>
      </w:pPr>
      <w:r w:rsidRPr="00DB6EC8">
        <w:t xml:space="preserve">The seasonal gross peak load and gross energy-use forecast, as published in the </w:t>
      </w:r>
      <w:r w:rsidRPr="00DB6EC8">
        <w:rPr>
          <w:i/>
        </w:rPr>
        <w:t>2017–2026 Forecast Report of Capacity, Energy, Loads, and Transmission</w:t>
      </w:r>
      <w:r w:rsidRPr="00DB6EC8">
        <w:t xml:space="preserve"> (2017 CELT Report) and used for planning studies, </w:t>
      </w:r>
      <w:r w:rsidRPr="000E7CC5">
        <w:t>fully accounts for historical energy efficiency not part of the EE forecast and future federal appliance</w:t>
      </w:r>
      <w:r w:rsidRPr="00DB6EC8">
        <w:t xml:space="preserve"> standards. The gross forecast does not reflect reductions in peak demand and energy use that will result </w:t>
      </w:r>
      <w:r w:rsidRPr="000E7CC5">
        <w:t xml:space="preserve">from the passive demand resources (PDRs) that clear the Forward Capacity Auctions, the energy-efficiency forecast (described in Section </w:t>
      </w:r>
      <w:r w:rsidRPr="000E7CC5">
        <w:fldChar w:fldCharType="begin"/>
      </w:r>
      <w:r w:rsidRPr="000E7CC5">
        <w:instrText xml:space="preserve"> REF _Ref387327848 \n \h  \* MERGEFORMAT </w:instrText>
      </w:r>
      <w:r w:rsidRPr="000E7CC5">
        <w:fldChar w:fldCharType="separate"/>
      </w:r>
      <w:r w:rsidR="00314781">
        <w:t>3.2</w:t>
      </w:r>
      <w:r w:rsidRPr="000E7CC5">
        <w:fldChar w:fldCharType="end"/>
      </w:r>
      <w:r w:rsidRPr="000E7CC5">
        <w:t xml:space="preserve">), or the  behind-the-meter PV forecast (see Section </w:t>
      </w:r>
      <w:r w:rsidRPr="000E7CC5">
        <w:fldChar w:fldCharType="begin"/>
      </w:r>
      <w:r w:rsidRPr="000E7CC5">
        <w:instrText xml:space="preserve"> REF _Ref387327878 \r \h  \* MERGEFORMAT </w:instrText>
      </w:r>
      <w:r w:rsidRPr="000E7CC5">
        <w:fldChar w:fldCharType="separate"/>
      </w:r>
      <w:r w:rsidR="00314781">
        <w:t>3.3</w:t>
      </w:r>
      <w:r w:rsidRPr="000E7CC5">
        <w:fldChar w:fldCharType="end"/>
      </w:r>
      <w:r w:rsidRPr="000E7CC5">
        <w:t>).</w:t>
      </w:r>
      <w:r w:rsidRPr="00DB6EC8">
        <w:t xml:space="preserve"> </w:t>
      </w:r>
      <w:r w:rsidRPr="00DB6EC8">
        <w:lastRenderedPageBreak/>
        <w:t>Other types of behind-the-meter distributed resources not participating in the FCM, however, are included in the gross load forecast as part of the historical growth of these types of resources.</w:t>
      </w:r>
      <w:r w:rsidRPr="00DB6EC8">
        <w:rPr>
          <w:vertAlign w:val="superscript"/>
        </w:rPr>
        <w:footnoteReference w:id="68"/>
      </w:r>
    </w:p>
    <w:p w:rsidR="00DB6EC8" w:rsidRPr="00DB6EC8" w:rsidRDefault="00DB6EC8" w:rsidP="00DB6EC8">
      <w:pPr>
        <w:spacing w:after="200" w:line="276" w:lineRule="auto"/>
      </w:pPr>
      <w:r w:rsidRPr="00DB6EC8">
        <w:t>The price of electricity and other economic and demographic factors drive the annual consumption of electric energy and the growth of the seasonal peak.</w:t>
      </w:r>
      <w:r w:rsidRPr="00DB6EC8">
        <w:rPr>
          <w:vertAlign w:val="superscript"/>
        </w:rPr>
        <w:footnoteReference w:id="69"/>
      </w:r>
      <w:r w:rsidRPr="00DB6EC8">
        <w:t xml:space="preserve"> </w:t>
      </w:r>
      <w:r w:rsidRPr="00DB6EC8">
        <w:rPr>
          <w:color w:val="000000"/>
        </w:rPr>
        <w:t>Compared with the economic forecast in RSP15, the forecast in RSP17 shows less growth throughout the forecast horizon</w:t>
      </w:r>
      <w:r w:rsidRPr="00DB6EC8">
        <w:t xml:space="preserve">. </w:t>
      </w:r>
      <w:r w:rsidRPr="00DB6EC8">
        <w:rPr>
          <w:color w:val="000000"/>
        </w:rPr>
        <w:t>The RSP17 forecast continues to use real gross state product (GSP) for energy forecasting, with federal efficiency standards subtracted from the energy forecast</w:t>
      </w:r>
      <w:r w:rsidRPr="00DB6EC8">
        <w:t>.</w:t>
      </w:r>
    </w:p>
    <w:p w:rsidR="00DB6EC8" w:rsidRPr="00DB6EC8" w:rsidRDefault="00DB6EC8" w:rsidP="00DB6EC8">
      <w:pPr>
        <w:spacing w:after="200" w:line="276" w:lineRule="auto"/>
      </w:pPr>
      <w:r w:rsidRPr="00DB6EC8">
        <w:fldChar w:fldCharType="begin"/>
      </w:r>
      <w:r w:rsidRPr="00DB6EC8">
        <w:instrText xml:space="preserve"> REF _Ref302644950 \h  \* MERGEFORMAT </w:instrText>
      </w:r>
      <w:r w:rsidRPr="00DB6EC8">
        <w:fldChar w:fldCharType="separate"/>
      </w:r>
      <w:r w:rsidR="00314781" w:rsidRPr="003A5AFD">
        <w:t xml:space="preserve">Table </w:t>
      </w:r>
      <w:r w:rsidR="00314781" w:rsidRPr="003A5AFD">
        <w:rPr>
          <w:noProof/>
        </w:rPr>
        <w:t>3</w:t>
      </w:r>
      <w:r w:rsidR="00314781" w:rsidRPr="003A5AFD">
        <w:rPr>
          <w:noProof/>
        </w:rPr>
        <w:noBreakHyphen/>
        <w:t>1</w:t>
      </w:r>
      <w:r w:rsidRPr="00DB6EC8">
        <w:fldChar w:fldCharType="end"/>
      </w:r>
      <w:r w:rsidRPr="00DB6EC8">
        <w:t xml:space="preserve"> summarizes the ISO’s forecasts of gross annual electric energy use and gross seasonal peak load (50/50 and 90/10) for New England overall and for each state.</w:t>
      </w:r>
      <w:r w:rsidRPr="00DB6EC8">
        <w:rPr>
          <w:sz w:val="22"/>
          <w:vertAlign w:val="superscript"/>
        </w:rPr>
        <w:footnoteReference w:id="70"/>
      </w:r>
      <w:r w:rsidRPr="00DB6EC8">
        <w:t xml:space="preserve"> RSP17 forecasts of gross annual energy use, and both summer and winter gross seasonal peak conditions, are lower than those published in RSP15.</w:t>
      </w:r>
      <w:r w:rsidRPr="00DB6EC8">
        <w:rPr>
          <w:vertAlign w:val="superscript"/>
        </w:rPr>
        <w:footnoteReference w:id="71"/>
      </w:r>
      <w:r w:rsidRPr="00DB6EC8">
        <w:t xml:space="preserve"> Compared with the RSP15 forecast, the RSP17 50/50 load forecast for gross summer peak demand is 229 megawatts (MW) lower in 2017 and 682 MW lower in 2024. </w:t>
      </w:r>
    </w:p>
    <w:p w:rsidR="00DB6EC8" w:rsidRPr="00DB6EC8" w:rsidRDefault="00DB6EC8" w:rsidP="00DB6EC8">
      <w:pPr>
        <w:keepNext/>
        <w:keepLines/>
        <w:spacing w:after="120" w:line="240" w:lineRule="auto"/>
        <w:jc w:val="center"/>
        <w:rPr>
          <w:rFonts w:asciiTheme="minorHAnsi" w:hAnsiTheme="minorHAnsi"/>
          <w:b/>
        </w:rPr>
      </w:pPr>
      <w:bookmarkStart w:id="154" w:name="_Ref302644950"/>
      <w:bookmarkStart w:id="155" w:name="_Toc303086928"/>
      <w:bookmarkStart w:id="156" w:name="_Toc330401249"/>
      <w:bookmarkStart w:id="157" w:name="_Toc334541922"/>
      <w:bookmarkStart w:id="158" w:name="_Toc334541959"/>
      <w:bookmarkStart w:id="159" w:name="_Toc365440697"/>
      <w:bookmarkStart w:id="160" w:name="_Toc391985595"/>
      <w:bookmarkStart w:id="161" w:name="_Toc484164906"/>
      <w:bookmarkStart w:id="162" w:name="_Toc491243997"/>
      <w:r w:rsidRPr="00DB6EC8">
        <w:rPr>
          <w:rFonts w:asciiTheme="minorHAnsi" w:hAnsiTheme="minorHAnsi"/>
          <w:b/>
        </w:rPr>
        <w:t xml:space="preserve">Table </w:t>
      </w:r>
      <w:r w:rsidR="00D95957">
        <w:rPr>
          <w:rFonts w:asciiTheme="minorHAnsi" w:hAnsiTheme="minorHAnsi"/>
          <w:b/>
        </w:rPr>
        <w:fldChar w:fldCharType="begin"/>
      </w:r>
      <w:r w:rsidR="00D95957">
        <w:rPr>
          <w:rFonts w:asciiTheme="minorHAnsi" w:hAnsiTheme="minorHAnsi"/>
          <w:b/>
        </w:rPr>
        <w:instrText xml:space="preserve"> STYLEREF 1 \s </w:instrText>
      </w:r>
      <w:r w:rsidR="00D95957">
        <w:rPr>
          <w:rFonts w:asciiTheme="minorHAnsi" w:hAnsiTheme="minorHAnsi"/>
          <w:b/>
        </w:rPr>
        <w:fldChar w:fldCharType="separate"/>
      </w:r>
      <w:r w:rsidR="00D95957">
        <w:rPr>
          <w:rFonts w:asciiTheme="minorHAnsi" w:hAnsiTheme="minorHAnsi"/>
          <w:b/>
          <w:noProof/>
        </w:rPr>
        <w:t>3</w:t>
      </w:r>
      <w:r w:rsidR="00D95957">
        <w:rPr>
          <w:rFonts w:asciiTheme="minorHAnsi" w:hAnsiTheme="minorHAnsi"/>
          <w:b/>
        </w:rPr>
        <w:fldChar w:fldCharType="end"/>
      </w:r>
      <w:r w:rsidR="00D95957">
        <w:rPr>
          <w:rFonts w:asciiTheme="minorHAnsi" w:hAnsiTheme="minorHAnsi"/>
          <w:b/>
        </w:rPr>
        <w:noBreakHyphen/>
      </w:r>
      <w:r w:rsidR="00D95957">
        <w:rPr>
          <w:rFonts w:asciiTheme="minorHAnsi" w:hAnsiTheme="minorHAnsi"/>
          <w:b/>
        </w:rPr>
        <w:fldChar w:fldCharType="begin"/>
      </w:r>
      <w:r w:rsidR="00D95957">
        <w:rPr>
          <w:rFonts w:asciiTheme="minorHAnsi" w:hAnsiTheme="minorHAnsi"/>
          <w:b/>
        </w:rPr>
        <w:instrText xml:space="preserve"> SEQ Table \* ARABIC \s 1 </w:instrText>
      </w:r>
      <w:r w:rsidR="00D95957">
        <w:rPr>
          <w:rFonts w:asciiTheme="minorHAnsi" w:hAnsiTheme="minorHAnsi"/>
          <w:b/>
        </w:rPr>
        <w:fldChar w:fldCharType="separate"/>
      </w:r>
      <w:r w:rsidR="00D95957">
        <w:rPr>
          <w:rFonts w:asciiTheme="minorHAnsi" w:hAnsiTheme="minorHAnsi"/>
          <w:b/>
          <w:noProof/>
        </w:rPr>
        <w:t>1</w:t>
      </w:r>
      <w:r w:rsidR="00D95957">
        <w:rPr>
          <w:rFonts w:asciiTheme="minorHAnsi" w:hAnsiTheme="minorHAnsi"/>
          <w:b/>
        </w:rPr>
        <w:fldChar w:fldCharType="end"/>
      </w:r>
      <w:bookmarkEnd w:id="154"/>
      <w:r w:rsidRPr="00DB6EC8">
        <w:rPr>
          <w:rFonts w:asciiTheme="minorHAnsi" w:hAnsiTheme="minorHAnsi"/>
          <w:b/>
          <w:bCs/>
        </w:rPr>
        <w:br/>
      </w:r>
      <w:r w:rsidRPr="00DB6EC8">
        <w:rPr>
          <w:rFonts w:asciiTheme="minorHAnsi" w:hAnsiTheme="minorHAnsi"/>
          <w:b/>
        </w:rPr>
        <w:t>Summary of Annual Gross Electric Energy Use and Gross Peak Demand Forecast</w:t>
      </w:r>
      <w:r w:rsidRPr="00DB6EC8">
        <w:rPr>
          <w:rFonts w:asciiTheme="minorHAnsi" w:hAnsiTheme="minorHAnsi"/>
          <w:b/>
        </w:rPr>
        <w:br/>
        <w:t>for New England and the States</w:t>
      </w:r>
      <w:bookmarkEnd w:id="155"/>
      <w:bookmarkEnd w:id="156"/>
      <w:bookmarkEnd w:id="157"/>
      <w:bookmarkEnd w:id="158"/>
      <w:bookmarkEnd w:id="159"/>
      <w:r w:rsidRPr="00DB6EC8">
        <w:rPr>
          <w:rFonts w:asciiTheme="minorHAnsi" w:hAnsiTheme="minorHAnsi"/>
          <w:b/>
        </w:rPr>
        <w:t>, 2017/2018 and 2026/2027</w:t>
      </w:r>
      <w:bookmarkEnd w:id="160"/>
      <w:bookmarkEnd w:id="161"/>
      <w:bookmarkEnd w:id="162"/>
    </w:p>
    <w:tbl>
      <w:tblPr>
        <w:tblW w:w="10139" w:type="dxa"/>
        <w:jc w:val="center"/>
        <w:tblInd w:w="419"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58" w:type="dxa"/>
          <w:right w:w="58" w:type="dxa"/>
        </w:tblCellMar>
        <w:tblLook w:val="0000" w:firstRow="0" w:lastRow="0" w:firstColumn="0" w:lastColumn="0" w:noHBand="0" w:noVBand="0"/>
      </w:tblPr>
      <w:tblGrid>
        <w:gridCol w:w="661"/>
        <w:gridCol w:w="810"/>
        <w:gridCol w:w="748"/>
        <w:gridCol w:w="720"/>
        <w:gridCol w:w="720"/>
        <w:gridCol w:w="720"/>
        <w:gridCol w:w="720"/>
        <w:gridCol w:w="720"/>
        <w:gridCol w:w="720"/>
        <w:gridCol w:w="720"/>
        <w:gridCol w:w="720"/>
        <w:gridCol w:w="720"/>
        <w:gridCol w:w="720"/>
        <w:gridCol w:w="720"/>
      </w:tblGrid>
      <w:tr w:rsidR="00DB6EC8" w:rsidRPr="00DB6EC8" w:rsidTr="00DB6EC8">
        <w:trPr>
          <w:cantSplit/>
          <w:jc w:val="center"/>
        </w:trPr>
        <w:tc>
          <w:tcPr>
            <w:tcW w:w="661" w:type="dxa"/>
            <w:vMerge w:val="restart"/>
            <w:shd w:val="clear" w:color="auto" w:fill="1795D2" w:themeFill="accent1"/>
            <w:noWrap/>
            <w:tcMar>
              <w:top w:w="58" w:type="dxa"/>
              <w:left w:w="0" w:type="dxa"/>
              <w:bottom w:w="58" w:type="dxa"/>
              <w:right w:w="0" w:type="dxa"/>
            </w:tcMar>
            <w:vAlign w:val="center"/>
          </w:tcPr>
          <w:p w:rsidR="00DB6EC8" w:rsidRPr="00DB6EC8" w:rsidRDefault="00DB6EC8" w:rsidP="00DB6EC8">
            <w:pPr>
              <w:keepNext/>
              <w:keepLines/>
              <w:spacing w:after="0" w:line="240" w:lineRule="auto"/>
              <w:jc w:val="center"/>
              <w:rPr>
                <w:rFonts w:asciiTheme="minorHAnsi" w:hAnsiTheme="minorHAnsi" w:cs="Arial"/>
                <w:b/>
                <w:color w:val="FFFFFF"/>
                <w:sz w:val="18"/>
                <w:szCs w:val="18"/>
              </w:rPr>
            </w:pPr>
            <w:r w:rsidRPr="00DB6EC8">
              <w:rPr>
                <w:rFonts w:asciiTheme="minorHAnsi" w:hAnsiTheme="minorHAnsi" w:cs="Arial"/>
                <w:b/>
                <w:color w:val="FFFFFF"/>
                <w:sz w:val="18"/>
                <w:szCs w:val="18"/>
              </w:rPr>
              <w:t>State</w:t>
            </w:r>
            <w:r w:rsidRPr="00DB6EC8">
              <w:rPr>
                <w:rFonts w:asciiTheme="minorHAnsi" w:hAnsiTheme="minorHAnsi" w:cs="Arial"/>
                <w:b/>
                <w:color w:val="FFFFFF"/>
                <w:sz w:val="18"/>
                <w:szCs w:val="18"/>
                <w:vertAlign w:val="superscript"/>
              </w:rPr>
              <w:t>(a)</w:t>
            </w:r>
          </w:p>
        </w:tc>
        <w:tc>
          <w:tcPr>
            <w:tcW w:w="2278" w:type="dxa"/>
            <w:gridSpan w:val="3"/>
            <w:vMerge w:val="restart"/>
            <w:shd w:val="clear" w:color="auto" w:fill="1795D2" w:themeFill="accent1"/>
            <w:noWrap/>
            <w:tcMar>
              <w:top w:w="58" w:type="dxa"/>
              <w:left w:w="0" w:type="dxa"/>
              <w:bottom w:w="58" w:type="dxa"/>
              <w:right w:w="0" w:type="dxa"/>
            </w:tcMar>
            <w:vAlign w:val="center"/>
          </w:tcPr>
          <w:p w:rsidR="00DB6EC8" w:rsidRPr="00DB6EC8" w:rsidRDefault="00DB6EC8" w:rsidP="00DB6EC8">
            <w:pPr>
              <w:keepNext/>
              <w:keepLines/>
              <w:spacing w:after="0" w:line="240" w:lineRule="auto"/>
              <w:jc w:val="center"/>
              <w:rPr>
                <w:rFonts w:asciiTheme="minorHAnsi" w:hAnsiTheme="minorHAnsi" w:cs="Arial"/>
                <w:b/>
                <w:color w:val="FFFFFF"/>
                <w:sz w:val="18"/>
                <w:szCs w:val="18"/>
              </w:rPr>
            </w:pPr>
            <w:r w:rsidRPr="00DB6EC8">
              <w:rPr>
                <w:rFonts w:asciiTheme="minorHAnsi" w:hAnsiTheme="minorHAnsi" w:cs="Arial"/>
                <w:b/>
                <w:color w:val="FFFFFF"/>
                <w:sz w:val="18"/>
                <w:szCs w:val="18"/>
              </w:rPr>
              <w:t>Net Energy for Load</w:t>
            </w:r>
            <w:r w:rsidRPr="00DB6EC8">
              <w:rPr>
                <w:rFonts w:asciiTheme="minorHAnsi" w:hAnsiTheme="minorHAnsi" w:cs="Arial"/>
                <w:b/>
                <w:color w:val="FFFFFF"/>
                <w:sz w:val="18"/>
                <w:szCs w:val="18"/>
              </w:rPr>
              <w:br/>
              <w:t>(1,000 MWh)</w:t>
            </w:r>
          </w:p>
        </w:tc>
        <w:tc>
          <w:tcPr>
            <w:tcW w:w="3600" w:type="dxa"/>
            <w:gridSpan w:val="5"/>
            <w:shd w:val="clear" w:color="auto" w:fill="1795D2" w:themeFill="accent1"/>
            <w:noWrap/>
            <w:tcMar>
              <w:top w:w="58" w:type="dxa"/>
              <w:left w:w="0" w:type="dxa"/>
              <w:bottom w:w="58" w:type="dxa"/>
              <w:right w:w="0" w:type="dxa"/>
            </w:tcMar>
            <w:vAlign w:val="center"/>
          </w:tcPr>
          <w:p w:rsidR="00DB6EC8" w:rsidRPr="00DB6EC8" w:rsidRDefault="00DB6EC8" w:rsidP="00DB6EC8">
            <w:pPr>
              <w:keepNext/>
              <w:keepLines/>
              <w:spacing w:after="0" w:line="240" w:lineRule="auto"/>
              <w:jc w:val="center"/>
              <w:rPr>
                <w:rFonts w:asciiTheme="minorHAnsi" w:hAnsiTheme="minorHAnsi" w:cs="Arial"/>
                <w:b/>
                <w:color w:val="FFFFFF"/>
                <w:sz w:val="18"/>
                <w:szCs w:val="18"/>
              </w:rPr>
            </w:pPr>
            <w:r w:rsidRPr="00DB6EC8">
              <w:rPr>
                <w:rFonts w:asciiTheme="minorHAnsi" w:hAnsiTheme="minorHAnsi" w:cs="Arial"/>
                <w:b/>
                <w:color w:val="FFFFFF"/>
                <w:sz w:val="18"/>
                <w:szCs w:val="18"/>
              </w:rPr>
              <w:t>Summer Peak Loads (MW)</w:t>
            </w:r>
          </w:p>
        </w:tc>
        <w:tc>
          <w:tcPr>
            <w:tcW w:w="3600" w:type="dxa"/>
            <w:gridSpan w:val="5"/>
            <w:shd w:val="clear" w:color="auto" w:fill="1795D2" w:themeFill="accent1"/>
            <w:noWrap/>
            <w:tcMar>
              <w:top w:w="58" w:type="dxa"/>
              <w:left w:w="0" w:type="dxa"/>
              <w:bottom w:w="58" w:type="dxa"/>
              <w:right w:w="0" w:type="dxa"/>
            </w:tcMar>
            <w:vAlign w:val="center"/>
          </w:tcPr>
          <w:p w:rsidR="00DB6EC8" w:rsidRPr="00DB6EC8" w:rsidRDefault="00DB6EC8" w:rsidP="00DB6EC8">
            <w:pPr>
              <w:keepNext/>
              <w:keepLines/>
              <w:spacing w:after="0" w:line="240" w:lineRule="auto"/>
              <w:jc w:val="center"/>
              <w:rPr>
                <w:rFonts w:asciiTheme="minorHAnsi" w:eastAsia="Arial Unicode MS" w:hAnsiTheme="minorHAnsi" w:cs="Arial"/>
                <w:b/>
                <w:color w:val="FFFFFF"/>
                <w:sz w:val="18"/>
                <w:szCs w:val="18"/>
              </w:rPr>
            </w:pPr>
            <w:r w:rsidRPr="00DB6EC8">
              <w:rPr>
                <w:rFonts w:asciiTheme="minorHAnsi" w:hAnsiTheme="minorHAnsi" w:cs="Arial"/>
                <w:b/>
                <w:color w:val="FFFFFF"/>
                <w:sz w:val="18"/>
                <w:szCs w:val="18"/>
              </w:rPr>
              <w:t>Winter Peak Loads (MW)</w:t>
            </w:r>
          </w:p>
        </w:tc>
      </w:tr>
      <w:tr w:rsidR="00DB6EC8" w:rsidRPr="00DB6EC8" w:rsidTr="00DB6EC8">
        <w:trPr>
          <w:cantSplit/>
          <w:jc w:val="center"/>
        </w:trPr>
        <w:tc>
          <w:tcPr>
            <w:tcW w:w="661" w:type="dxa"/>
            <w:vMerge/>
            <w:shd w:val="clear" w:color="auto" w:fill="1795D2" w:themeFill="accent1"/>
            <w:noWrap/>
            <w:tcMar>
              <w:top w:w="58" w:type="dxa"/>
              <w:left w:w="0" w:type="dxa"/>
              <w:bottom w:w="58" w:type="dxa"/>
              <w:right w:w="0" w:type="dxa"/>
            </w:tcMar>
            <w:vAlign w:val="center"/>
          </w:tcPr>
          <w:p w:rsidR="00DB6EC8" w:rsidRPr="00DB6EC8" w:rsidRDefault="00DB6EC8" w:rsidP="00DB6EC8">
            <w:pPr>
              <w:keepNext/>
              <w:keepLines/>
              <w:spacing w:after="0" w:line="240" w:lineRule="auto"/>
              <w:jc w:val="center"/>
              <w:rPr>
                <w:rFonts w:asciiTheme="minorHAnsi" w:hAnsiTheme="minorHAnsi" w:cs="Arial"/>
                <w:b/>
                <w:color w:val="FFFFFF"/>
                <w:sz w:val="18"/>
                <w:szCs w:val="18"/>
              </w:rPr>
            </w:pPr>
          </w:p>
        </w:tc>
        <w:tc>
          <w:tcPr>
            <w:tcW w:w="2278" w:type="dxa"/>
            <w:gridSpan w:val="3"/>
            <w:vMerge/>
            <w:shd w:val="clear" w:color="auto" w:fill="1795D2" w:themeFill="accent1"/>
            <w:noWrap/>
            <w:tcMar>
              <w:top w:w="58" w:type="dxa"/>
              <w:left w:w="0" w:type="dxa"/>
              <w:bottom w:w="58" w:type="dxa"/>
              <w:right w:w="0" w:type="dxa"/>
            </w:tcMar>
            <w:vAlign w:val="center"/>
          </w:tcPr>
          <w:p w:rsidR="00DB6EC8" w:rsidRPr="00DB6EC8" w:rsidRDefault="00DB6EC8" w:rsidP="00DB6EC8">
            <w:pPr>
              <w:keepNext/>
              <w:keepLines/>
              <w:spacing w:after="0" w:line="240" w:lineRule="auto"/>
              <w:jc w:val="center"/>
              <w:rPr>
                <w:rFonts w:asciiTheme="minorHAnsi" w:hAnsiTheme="minorHAnsi" w:cs="Arial"/>
                <w:b/>
                <w:color w:val="FFFFFF"/>
                <w:sz w:val="18"/>
                <w:szCs w:val="18"/>
              </w:rPr>
            </w:pPr>
          </w:p>
        </w:tc>
        <w:tc>
          <w:tcPr>
            <w:tcW w:w="1440" w:type="dxa"/>
            <w:gridSpan w:val="2"/>
            <w:shd w:val="clear" w:color="auto" w:fill="1795D2" w:themeFill="accent1"/>
            <w:noWrap/>
            <w:tcMar>
              <w:top w:w="58" w:type="dxa"/>
              <w:left w:w="0" w:type="dxa"/>
              <w:bottom w:w="58" w:type="dxa"/>
              <w:right w:w="0" w:type="dxa"/>
            </w:tcMar>
            <w:vAlign w:val="center"/>
          </w:tcPr>
          <w:p w:rsidR="00DB6EC8" w:rsidRPr="00DB6EC8" w:rsidRDefault="00DB6EC8" w:rsidP="00DB6EC8">
            <w:pPr>
              <w:keepNext/>
              <w:keepLines/>
              <w:spacing w:after="0" w:line="240" w:lineRule="auto"/>
              <w:jc w:val="center"/>
              <w:rPr>
                <w:rFonts w:asciiTheme="minorHAnsi" w:hAnsiTheme="minorHAnsi" w:cs="Arial"/>
                <w:b/>
                <w:color w:val="FFFFFF"/>
                <w:sz w:val="18"/>
                <w:szCs w:val="18"/>
              </w:rPr>
            </w:pPr>
            <w:r w:rsidRPr="00DB6EC8">
              <w:rPr>
                <w:rFonts w:asciiTheme="minorHAnsi" w:hAnsiTheme="minorHAnsi" w:cs="Arial"/>
                <w:b/>
                <w:color w:val="FFFFFF"/>
                <w:sz w:val="18"/>
                <w:szCs w:val="18"/>
              </w:rPr>
              <w:t>50/50</w:t>
            </w:r>
          </w:p>
        </w:tc>
        <w:tc>
          <w:tcPr>
            <w:tcW w:w="1440" w:type="dxa"/>
            <w:gridSpan w:val="2"/>
            <w:shd w:val="clear" w:color="auto" w:fill="1795D2" w:themeFill="accent1"/>
            <w:noWrap/>
            <w:tcMar>
              <w:top w:w="58" w:type="dxa"/>
              <w:left w:w="0" w:type="dxa"/>
              <w:bottom w:w="58" w:type="dxa"/>
              <w:right w:w="0" w:type="dxa"/>
            </w:tcMar>
            <w:vAlign w:val="center"/>
          </w:tcPr>
          <w:p w:rsidR="00DB6EC8" w:rsidRPr="00DB6EC8" w:rsidRDefault="00DB6EC8" w:rsidP="00DB6EC8">
            <w:pPr>
              <w:keepNext/>
              <w:keepLines/>
              <w:spacing w:after="0" w:line="240" w:lineRule="auto"/>
              <w:jc w:val="center"/>
              <w:rPr>
                <w:rFonts w:asciiTheme="minorHAnsi" w:eastAsia="Arial Unicode MS" w:hAnsiTheme="minorHAnsi" w:cs="Arial"/>
                <w:b/>
                <w:color w:val="FFFFFF"/>
                <w:sz w:val="18"/>
                <w:szCs w:val="18"/>
              </w:rPr>
            </w:pPr>
            <w:r w:rsidRPr="00DB6EC8">
              <w:rPr>
                <w:rFonts w:asciiTheme="minorHAnsi" w:hAnsiTheme="minorHAnsi" w:cs="Arial"/>
                <w:b/>
                <w:color w:val="FFFFFF"/>
                <w:sz w:val="18"/>
                <w:szCs w:val="18"/>
              </w:rPr>
              <w:t>90/10</w:t>
            </w:r>
          </w:p>
        </w:tc>
        <w:tc>
          <w:tcPr>
            <w:tcW w:w="720" w:type="dxa"/>
            <w:vMerge w:val="restart"/>
            <w:shd w:val="clear" w:color="auto" w:fill="1795D2" w:themeFill="accent1"/>
            <w:noWrap/>
            <w:tcMar>
              <w:top w:w="58" w:type="dxa"/>
              <w:left w:w="0" w:type="dxa"/>
              <w:bottom w:w="58" w:type="dxa"/>
              <w:right w:w="0" w:type="dxa"/>
            </w:tcMar>
            <w:vAlign w:val="center"/>
          </w:tcPr>
          <w:p w:rsidR="00DB6EC8" w:rsidRPr="00DB6EC8" w:rsidRDefault="00DB6EC8" w:rsidP="00DB6EC8">
            <w:pPr>
              <w:keepNext/>
              <w:keepLines/>
              <w:spacing w:after="0" w:line="240" w:lineRule="auto"/>
              <w:jc w:val="center"/>
              <w:rPr>
                <w:rFonts w:asciiTheme="minorHAnsi" w:hAnsiTheme="minorHAnsi" w:cs="Arial"/>
                <w:b/>
                <w:color w:val="FFFFFF"/>
                <w:sz w:val="18"/>
                <w:szCs w:val="18"/>
              </w:rPr>
            </w:pPr>
            <w:r w:rsidRPr="00DB6EC8">
              <w:rPr>
                <w:rFonts w:asciiTheme="minorHAnsi" w:hAnsiTheme="minorHAnsi" w:cs="Arial"/>
                <w:b/>
                <w:color w:val="FFFFFF"/>
                <w:sz w:val="18"/>
                <w:szCs w:val="18"/>
              </w:rPr>
              <w:t>CAGR</w:t>
            </w:r>
            <w:r w:rsidRPr="00DB6EC8">
              <w:rPr>
                <w:rFonts w:asciiTheme="minorHAnsi" w:hAnsiTheme="minorHAnsi" w:cs="Arial"/>
                <w:b/>
                <w:color w:val="FFFFFF"/>
                <w:sz w:val="18"/>
                <w:szCs w:val="18"/>
                <w:vertAlign w:val="superscript"/>
              </w:rPr>
              <w:t>(b)</w:t>
            </w:r>
          </w:p>
        </w:tc>
        <w:tc>
          <w:tcPr>
            <w:tcW w:w="1440" w:type="dxa"/>
            <w:gridSpan w:val="2"/>
            <w:shd w:val="clear" w:color="auto" w:fill="1795D2" w:themeFill="accent1"/>
            <w:noWrap/>
            <w:tcMar>
              <w:top w:w="58" w:type="dxa"/>
              <w:left w:w="0" w:type="dxa"/>
              <w:bottom w:w="58" w:type="dxa"/>
              <w:right w:w="0" w:type="dxa"/>
            </w:tcMar>
            <w:vAlign w:val="center"/>
          </w:tcPr>
          <w:p w:rsidR="00DB6EC8" w:rsidRPr="00DB6EC8" w:rsidRDefault="00DB6EC8" w:rsidP="00DB6EC8">
            <w:pPr>
              <w:keepNext/>
              <w:keepLines/>
              <w:spacing w:after="0" w:line="240" w:lineRule="auto"/>
              <w:jc w:val="center"/>
              <w:rPr>
                <w:rFonts w:asciiTheme="minorHAnsi" w:eastAsia="Arial Unicode MS" w:hAnsiTheme="minorHAnsi" w:cs="Arial"/>
                <w:b/>
                <w:color w:val="FFFFFF"/>
                <w:sz w:val="18"/>
                <w:szCs w:val="18"/>
              </w:rPr>
            </w:pPr>
            <w:r w:rsidRPr="00DB6EC8">
              <w:rPr>
                <w:rFonts w:asciiTheme="minorHAnsi" w:hAnsiTheme="minorHAnsi" w:cs="Arial"/>
                <w:b/>
                <w:color w:val="FFFFFF"/>
                <w:sz w:val="18"/>
                <w:szCs w:val="18"/>
              </w:rPr>
              <w:t>50/50</w:t>
            </w:r>
          </w:p>
        </w:tc>
        <w:tc>
          <w:tcPr>
            <w:tcW w:w="1440" w:type="dxa"/>
            <w:gridSpan w:val="2"/>
            <w:shd w:val="clear" w:color="auto" w:fill="1795D2" w:themeFill="accent1"/>
            <w:noWrap/>
            <w:tcMar>
              <w:top w:w="58" w:type="dxa"/>
              <w:left w:w="0" w:type="dxa"/>
              <w:bottom w:w="58" w:type="dxa"/>
              <w:right w:w="0" w:type="dxa"/>
            </w:tcMar>
            <w:vAlign w:val="center"/>
          </w:tcPr>
          <w:p w:rsidR="00DB6EC8" w:rsidRPr="00DB6EC8" w:rsidRDefault="00DB6EC8" w:rsidP="00DB6EC8">
            <w:pPr>
              <w:keepNext/>
              <w:keepLines/>
              <w:spacing w:after="0" w:line="240" w:lineRule="auto"/>
              <w:jc w:val="center"/>
              <w:rPr>
                <w:rFonts w:asciiTheme="minorHAnsi" w:eastAsia="Arial Unicode MS" w:hAnsiTheme="minorHAnsi" w:cs="Arial"/>
                <w:b/>
                <w:color w:val="FFFFFF"/>
                <w:sz w:val="18"/>
                <w:szCs w:val="18"/>
              </w:rPr>
            </w:pPr>
            <w:r w:rsidRPr="00DB6EC8">
              <w:rPr>
                <w:rFonts w:asciiTheme="minorHAnsi" w:hAnsiTheme="minorHAnsi" w:cs="Arial"/>
                <w:b/>
                <w:color w:val="FFFFFF"/>
                <w:sz w:val="18"/>
                <w:szCs w:val="18"/>
              </w:rPr>
              <w:t>90/10</w:t>
            </w:r>
          </w:p>
        </w:tc>
        <w:tc>
          <w:tcPr>
            <w:tcW w:w="720" w:type="dxa"/>
            <w:vMerge w:val="restart"/>
            <w:shd w:val="clear" w:color="auto" w:fill="1795D2" w:themeFill="accent1"/>
            <w:noWrap/>
            <w:tcMar>
              <w:top w:w="58" w:type="dxa"/>
              <w:left w:w="0" w:type="dxa"/>
              <w:bottom w:w="58" w:type="dxa"/>
              <w:right w:w="0" w:type="dxa"/>
            </w:tcMar>
            <w:vAlign w:val="center"/>
          </w:tcPr>
          <w:p w:rsidR="00DB6EC8" w:rsidRPr="00DB6EC8" w:rsidRDefault="00DB6EC8" w:rsidP="00DB6EC8">
            <w:pPr>
              <w:keepNext/>
              <w:keepLines/>
              <w:spacing w:after="0" w:line="240" w:lineRule="auto"/>
              <w:jc w:val="center"/>
              <w:rPr>
                <w:rFonts w:asciiTheme="minorHAnsi" w:hAnsiTheme="minorHAnsi" w:cs="Arial"/>
                <w:b/>
                <w:color w:val="FFFFFF"/>
                <w:sz w:val="18"/>
                <w:szCs w:val="18"/>
              </w:rPr>
            </w:pPr>
            <w:r w:rsidRPr="00DB6EC8">
              <w:rPr>
                <w:rFonts w:asciiTheme="minorHAnsi" w:hAnsiTheme="minorHAnsi" w:cs="Arial"/>
                <w:b/>
                <w:color w:val="FFFFFF"/>
                <w:sz w:val="18"/>
                <w:szCs w:val="18"/>
              </w:rPr>
              <w:t>CAGR</w:t>
            </w:r>
            <w:r w:rsidRPr="00DB6EC8">
              <w:rPr>
                <w:rFonts w:asciiTheme="minorHAnsi" w:hAnsiTheme="minorHAnsi" w:cs="Arial"/>
                <w:b/>
                <w:color w:val="FFFFFF"/>
                <w:sz w:val="18"/>
                <w:szCs w:val="18"/>
                <w:vertAlign w:val="superscript"/>
              </w:rPr>
              <w:t>(b)</w:t>
            </w:r>
          </w:p>
        </w:tc>
      </w:tr>
      <w:tr w:rsidR="00DB6EC8" w:rsidRPr="00DB6EC8" w:rsidTr="00DB6EC8">
        <w:trPr>
          <w:cantSplit/>
          <w:jc w:val="center"/>
        </w:trPr>
        <w:tc>
          <w:tcPr>
            <w:tcW w:w="661" w:type="dxa"/>
            <w:vMerge/>
            <w:shd w:val="clear" w:color="auto" w:fill="1795D2" w:themeFill="accent1"/>
            <w:noWrap/>
            <w:tcMar>
              <w:top w:w="58" w:type="dxa"/>
              <w:left w:w="0" w:type="dxa"/>
              <w:bottom w:w="58" w:type="dxa"/>
              <w:right w:w="0" w:type="dxa"/>
            </w:tcMar>
            <w:vAlign w:val="center"/>
          </w:tcPr>
          <w:p w:rsidR="00DB6EC8" w:rsidRPr="00DB6EC8" w:rsidRDefault="00DB6EC8" w:rsidP="00DB6EC8">
            <w:pPr>
              <w:keepNext/>
              <w:keepLines/>
              <w:spacing w:after="0" w:line="240" w:lineRule="auto"/>
              <w:jc w:val="center"/>
              <w:rPr>
                <w:rFonts w:asciiTheme="minorHAnsi" w:eastAsia="Arial Unicode MS" w:hAnsiTheme="minorHAnsi" w:cs="Arial"/>
                <w:b/>
                <w:color w:val="FFFFFF"/>
                <w:sz w:val="18"/>
                <w:szCs w:val="18"/>
              </w:rPr>
            </w:pPr>
          </w:p>
        </w:tc>
        <w:tc>
          <w:tcPr>
            <w:tcW w:w="810" w:type="dxa"/>
            <w:shd w:val="clear" w:color="auto" w:fill="1795D2" w:themeFill="accent1"/>
            <w:noWrap/>
            <w:tcMar>
              <w:top w:w="58" w:type="dxa"/>
              <w:left w:w="0" w:type="dxa"/>
              <w:bottom w:w="58" w:type="dxa"/>
              <w:right w:w="0" w:type="dxa"/>
            </w:tcMar>
            <w:vAlign w:val="center"/>
          </w:tcPr>
          <w:p w:rsidR="00DB6EC8" w:rsidRPr="00DB6EC8" w:rsidRDefault="00DB6EC8" w:rsidP="00DB6EC8">
            <w:pPr>
              <w:keepNext/>
              <w:keepLines/>
              <w:spacing w:after="0" w:line="240" w:lineRule="auto"/>
              <w:jc w:val="center"/>
              <w:rPr>
                <w:rFonts w:asciiTheme="minorHAnsi" w:eastAsia="Arial Unicode MS" w:hAnsiTheme="minorHAnsi" w:cs="Arial"/>
                <w:b/>
                <w:color w:val="FFFFFF"/>
                <w:sz w:val="18"/>
                <w:szCs w:val="18"/>
              </w:rPr>
            </w:pPr>
            <w:r w:rsidRPr="00DB6EC8">
              <w:rPr>
                <w:rFonts w:asciiTheme="minorHAnsi" w:hAnsiTheme="minorHAnsi" w:cs="Arial"/>
                <w:b/>
                <w:color w:val="FFFFFF"/>
                <w:sz w:val="18"/>
                <w:szCs w:val="18"/>
              </w:rPr>
              <w:t>2017</w:t>
            </w:r>
          </w:p>
        </w:tc>
        <w:tc>
          <w:tcPr>
            <w:tcW w:w="748" w:type="dxa"/>
            <w:shd w:val="clear" w:color="auto" w:fill="1795D2" w:themeFill="accent1"/>
            <w:noWrap/>
            <w:tcMar>
              <w:top w:w="58" w:type="dxa"/>
              <w:left w:w="0" w:type="dxa"/>
              <w:bottom w:w="58" w:type="dxa"/>
              <w:right w:w="0" w:type="dxa"/>
            </w:tcMar>
            <w:vAlign w:val="center"/>
          </w:tcPr>
          <w:p w:rsidR="00DB6EC8" w:rsidRPr="00DB6EC8" w:rsidRDefault="00DB6EC8" w:rsidP="00DB6EC8">
            <w:pPr>
              <w:keepNext/>
              <w:keepLines/>
              <w:spacing w:after="0" w:line="240" w:lineRule="auto"/>
              <w:jc w:val="center"/>
              <w:rPr>
                <w:rFonts w:asciiTheme="minorHAnsi" w:hAnsiTheme="minorHAnsi" w:cs="Arial"/>
                <w:b/>
                <w:color w:val="FFFFFF"/>
                <w:sz w:val="18"/>
                <w:szCs w:val="18"/>
              </w:rPr>
            </w:pPr>
            <w:r w:rsidRPr="00DB6EC8">
              <w:rPr>
                <w:rFonts w:asciiTheme="minorHAnsi" w:hAnsiTheme="minorHAnsi" w:cs="Arial"/>
                <w:b/>
                <w:color w:val="FFFFFF"/>
                <w:sz w:val="18"/>
                <w:szCs w:val="18"/>
              </w:rPr>
              <w:t>2026</w:t>
            </w:r>
          </w:p>
        </w:tc>
        <w:tc>
          <w:tcPr>
            <w:tcW w:w="720" w:type="dxa"/>
            <w:shd w:val="clear" w:color="auto" w:fill="1795D2" w:themeFill="accent1"/>
            <w:noWrap/>
            <w:tcMar>
              <w:top w:w="58" w:type="dxa"/>
              <w:left w:w="0" w:type="dxa"/>
              <w:bottom w:w="58" w:type="dxa"/>
              <w:right w:w="0" w:type="dxa"/>
            </w:tcMar>
            <w:vAlign w:val="center"/>
          </w:tcPr>
          <w:p w:rsidR="00DB6EC8" w:rsidRPr="00DB6EC8" w:rsidRDefault="00DB6EC8" w:rsidP="00DB6EC8">
            <w:pPr>
              <w:keepNext/>
              <w:keepLines/>
              <w:spacing w:after="0" w:line="240" w:lineRule="auto"/>
              <w:jc w:val="center"/>
              <w:rPr>
                <w:rFonts w:asciiTheme="minorHAnsi" w:eastAsia="Arial Unicode MS" w:hAnsiTheme="minorHAnsi" w:cs="Arial"/>
                <w:b/>
                <w:color w:val="FFFFFF"/>
                <w:sz w:val="18"/>
                <w:szCs w:val="18"/>
              </w:rPr>
            </w:pPr>
            <w:r w:rsidRPr="00DB6EC8">
              <w:rPr>
                <w:rFonts w:asciiTheme="minorHAnsi" w:hAnsiTheme="minorHAnsi" w:cs="Arial"/>
                <w:b/>
                <w:color w:val="FFFFFF"/>
                <w:sz w:val="18"/>
                <w:szCs w:val="18"/>
              </w:rPr>
              <w:t>CAGR</w:t>
            </w:r>
            <w:r w:rsidRPr="00DB6EC8">
              <w:rPr>
                <w:rFonts w:asciiTheme="minorHAnsi" w:hAnsiTheme="minorHAnsi" w:cs="Arial"/>
                <w:b/>
                <w:color w:val="FFFFFF"/>
                <w:sz w:val="18"/>
                <w:szCs w:val="18"/>
                <w:vertAlign w:val="superscript"/>
              </w:rPr>
              <w:t>(b)</w:t>
            </w:r>
          </w:p>
        </w:tc>
        <w:tc>
          <w:tcPr>
            <w:tcW w:w="720" w:type="dxa"/>
            <w:shd w:val="clear" w:color="auto" w:fill="1795D2" w:themeFill="accent1"/>
            <w:noWrap/>
            <w:tcMar>
              <w:top w:w="58" w:type="dxa"/>
              <w:left w:w="0" w:type="dxa"/>
              <w:bottom w:w="58" w:type="dxa"/>
              <w:right w:w="0" w:type="dxa"/>
            </w:tcMar>
            <w:vAlign w:val="center"/>
          </w:tcPr>
          <w:p w:rsidR="00DB6EC8" w:rsidRPr="00DB6EC8" w:rsidRDefault="00DB6EC8" w:rsidP="00DB6EC8">
            <w:pPr>
              <w:keepNext/>
              <w:keepLines/>
              <w:spacing w:after="0" w:line="240" w:lineRule="auto"/>
              <w:jc w:val="center"/>
              <w:rPr>
                <w:rFonts w:asciiTheme="minorHAnsi" w:eastAsia="Arial Unicode MS" w:hAnsiTheme="minorHAnsi" w:cs="Arial"/>
                <w:b/>
                <w:color w:val="FFFFFF"/>
                <w:sz w:val="18"/>
                <w:szCs w:val="18"/>
              </w:rPr>
            </w:pPr>
            <w:r w:rsidRPr="00DB6EC8">
              <w:rPr>
                <w:rFonts w:asciiTheme="minorHAnsi" w:hAnsiTheme="minorHAnsi" w:cs="Arial"/>
                <w:b/>
                <w:color w:val="FFFFFF"/>
                <w:sz w:val="18"/>
                <w:szCs w:val="18"/>
              </w:rPr>
              <w:t>2017</w:t>
            </w:r>
          </w:p>
        </w:tc>
        <w:tc>
          <w:tcPr>
            <w:tcW w:w="720" w:type="dxa"/>
            <w:shd w:val="clear" w:color="auto" w:fill="1795D2" w:themeFill="accent1"/>
            <w:noWrap/>
            <w:tcMar>
              <w:top w:w="58" w:type="dxa"/>
              <w:left w:w="0" w:type="dxa"/>
              <w:bottom w:w="58" w:type="dxa"/>
              <w:right w:w="0" w:type="dxa"/>
            </w:tcMar>
            <w:vAlign w:val="center"/>
          </w:tcPr>
          <w:p w:rsidR="00DB6EC8" w:rsidRPr="00DB6EC8" w:rsidRDefault="00DB6EC8" w:rsidP="00DB6EC8">
            <w:pPr>
              <w:keepNext/>
              <w:keepLines/>
              <w:spacing w:after="0" w:line="240" w:lineRule="auto"/>
              <w:jc w:val="center"/>
              <w:rPr>
                <w:rFonts w:asciiTheme="minorHAnsi" w:eastAsia="Arial Unicode MS" w:hAnsiTheme="minorHAnsi" w:cs="Arial"/>
                <w:b/>
                <w:color w:val="FFFFFF"/>
                <w:sz w:val="18"/>
                <w:szCs w:val="18"/>
              </w:rPr>
            </w:pPr>
            <w:r w:rsidRPr="00DB6EC8">
              <w:rPr>
                <w:rFonts w:asciiTheme="minorHAnsi" w:hAnsiTheme="minorHAnsi" w:cs="Arial"/>
                <w:b/>
                <w:color w:val="FFFFFF"/>
                <w:sz w:val="18"/>
                <w:szCs w:val="18"/>
              </w:rPr>
              <w:t>2026</w:t>
            </w:r>
          </w:p>
        </w:tc>
        <w:tc>
          <w:tcPr>
            <w:tcW w:w="720" w:type="dxa"/>
            <w:shd w:val="clear" w:color="auto" w:fill="1795D2" w:themeFill="accent1"/>
            <w:noWrap/>
            <w:tcMar>
              <w:top w:w="58" w:type="dxa"/>
              <w:left w:w="0" w:type="dxa"/>
              <w:bottom w:w="58" w:type="dxa"/>
              <w:right w:w="0" w:type="dxa"/>
            </w:tcMar>
            <w:vAlign w:val="center"/>
          </w:tcPr>
          <w:p w:rsidR="00DB6EC8" w:rsidRPr="00DB6EC8" w:rsidRDefault="00DB6EC8" w:rsidP="00DB6EC8">
            <w:pPr>
              <w:keepNext/>
              <w:keepLines/>
              <w:spacing w:after="0" w:line="240" w:lineRule="auto"/>
              <w:jc w:val="center"/>
              <w:rPr>
                <w:rFonts w:asciiTheme="minorHAnsi" w:eastAsia="Arial Unicode MS" w:hAnsiTheme="minorHAnsi" w:cs="Arial"/>
                <w:b/>
                <w:color w:val="FFFFFF"/>
                <w:sz w:val="18"/>
                <w:szCs w:val="18"/>
              </w:rPr>
            </w:pPr>
            <w:r w:rsidRPr="00DB6EC8">
              <w:rPr>
                <w:rFonts w:asciiTheme="minorHAnsi" w:hAnsiTheme="minorHAnsi" w:cs="Arial"/>
                <w:b/>
                <w:color w:val="FFFFFF"/>
                <w:sz w:val="18"/>
                <w:szCs w:val="18"/>
              </w:rPr>
              <w:t>2017</w:t>
            </w:r>
          </w:p>
        </w:tc>
        <w:tc>
          <w:tcPr>
            <w:tcW w:w="720" w:type="dxa"/>
            <w:shd w:val="clear" w:color="auto" w:fill="1795D2" w:themeFill="accent1"/>
            <w:noWrap/>
            <w:tcMar>
              <w:top w:w="58" w:type="dxa"/>
              <w:left w:w="0" w:type="dxa"/>
              <w:bottom w:w="58" w:type="dxa"/>
              <w:right w:w="0" w:type="dxa"/>
            </w:tcMar>
            <w:vAlign w:val="center"/>
          </w:tcPr>
          <w:p w:rsidR="00DB6EC8" w:rsidRPr="00DB6EC8" w:rsidRDefault="00DB6EC8" w:rsidP="00DB6EC8">
            <w:pPr>
              <w:keepNext/>
              <w:keepLines/>
              <w:spacing w:after="0" w:line="240" w:lineRule="auto"/>
              <w:jc w:val="center"/>
              <w:rPr>
                <w:rFonts w:asciiTheme="minorHAnsi" w:eastAsia="Arial Unicode MS" w:hAnsiTheme="minorHAnsi" w:cs="Arial"/>
                <w:b/>
                <w:color w:val="FFFFFF"/>
                <w:sz w:val="18"/>
                <w:szCs w:val="18"/>
              </w:rPr>
            </w:pPr>
            <w:r w:rsidRPr="00DB6EC8">
              <w:rPr>
                <w:rFonts w:asciiTheme="minorHAnsi" w:hAnsiTheme="minorHAnsi" w:cs="Arial"/>
                <w:b/>
                <w:color w:val="FFFFFF"/>
                <w:sz w:val="18"/>
                <w:szCs w:val="18"/>
              </w:rPr>
              <w:t>2026</w:t>
            </w:r>
          </w:p>
        </w:tc>
        <w:tc>
          <w:tcPr>
            <w:tcW w:w="720" w:type="dxa"/>
            <w:vMerge/>
            <w:shd w:val="clear" w:color="auto" w:fill="1795D2" w:themeFill="accent1"/>
            <w:noWrap/>
            <w:tcMar>
              <w:top w:w="58" w:type="dxa"/>
              <w:left w:w="0" w:type="dxa"/>
              <w:bottom w:w="58" w:type="dxa"/>
              <w:right w:w="0" w:type="dxa"/>
            </w:tcMar>
            <w:vAlign w:val="center"/>
          </w:tcPr>
          <w:p w:rsidR="00DB6EC8" w:rsidRPr="00DB6EC8" w:rsidRDefault="00DB6EC8" w:rsidP="00DB6EC8">
            <w:pPr>
              <w:keepNext/>
              <w:keepLines/>
              <w:spacing w:after="0" w:line="240" w:lineRule="auto"/>
              <w:jc w:val="center"/>
              <w:rPr>
                <w:rFonts w:asciiTheme="minorHAnsi" w:eastAsia="Arial Unicode MS" w:hAnsiTheme="minorHAnsi" w:cs="Arial"/>
                <w:b/>
                <w:color w:val="FFFFFF"/>
                <w:sz w:val="18"/>
                <w:szCs w:val="18"/>
              </w:rPr>
            </w:pPr>
          </w:p>
        </w:tc>
        <w:tc>
          <w:tcPr>
            <w:tcW w:w="720" w:type="dxa"/>
            <w:shd w:val="clear" w:color="auto" w:fill="1795D2" w:themeFill="accent1"/>
            <w:noWrap/>
            <w:tcMar>
              <w:top w:w="58" w:type="dxa"/>
              <w:left w:w="0" w:type="dxa"/>
              <w:bottom w:w="58" w:type="dxa"/>
              <w:right w:w="0" w:type="dxa"/>
            </w:tcMar>
            <w:vAlign w:val="center"/>
          </w:tcPr>
          <w:p w:rsidR="00DB6EC8" w:rsidRPr="00DB6EC8" w:rsidRDefault="00DB6EC8" w:rsidP="00DB6EC8">
            <w:pPr>
              <w:keepNext/>
              <w:keepLines/>
              <w:spacing w:after="0" w:line="240" w:lineRule="auto"/>
              <w:jc w:val="center"/>
              <w:rPr>
                <w:rFonts w:asciiTheme="minorHAnsi" w:eastAsia="Arial Unicode MS" w:hAnsiTheme="minorHAnsi" w:cs="Arial"/>
                <w:b/>
                <w:color w:val="FFFFFF"/>
                <w:sz w:val="18"/>
                <w:szCs w:val="18"/>
              </w:rPr>
            </w:pPr>
            <w:r w:rsidRPr="00DB6EC8">
              <w:rPr>
                <w:rFonts w:asciiTheme="minorHAnsi" w:hAnsiTheme="minorHAnsi" w:cs="Arial"/>
                <w:b/>
                <w:color w:val="FFFFFF"/>
                <w:sz w:val="18"/>
                <w:szCs w:val="18"/>
              </w:rPr>
              <w:t>2017/18</w:t>
            </w:r>
          </w:p>
        </w:tc>
        <w:tc>
          <w:tcPr>
            <w:tcW w:w="720" w:type="dxa"/>
            <w:shd w:val="clear" w:color="auto" w:fill="1795D2" w:themeFill="accent1"/>
            <w:noWrap/>
            <w:tcMar>
              <w:top w:w="58" w:type="dxa"/>
              <w:left w:w="0" w:type="dxa"/>
              <w:bottom w:w="58" w:type="dxa"/>
              <w:right w:w="0" w:type="dxa"/>
            </w:tcMar>
            <w:vAlign w:val="center"/>
          </w:tcPr>
          <w:p w:rsidR="00DB6EC8" w:rsidRPr="00DB6EC8" w:rsidRDefault="00DB6EC8" w:rsidP="00DB6EC8">
            <w:pPr>
              <w:keepNext/>
              <w:keepLines/>
              <w:spacing w:after="0" w:line="240" w:lineRule="auto"/>
              <w:jc w:val="center"/>
              <w:rPr>
                <w:rFonts w:asciiTheme="minorHAnsi" w:eastAsia="Arial Unicode MS" w:hAnsiTheme="minorHAnsi" w:cs="Arial"/>
                <w:b/>
                <w:color w:val="FFFFFF"/>
                <w:sz w:val="18"/>
                <w:szCs w:val="18"/>
              </w:rPr>
            </w:pPr>
            <w:r w:rsidRPr="00DB6EC8">
              <w:rPr>
                <w:rFonts w:asciiTheme="minorHAnsi" w:hAnsiTheme="minorHAnsi" w:cs="Arial"/>
                <w:b/>
                <w:color w:val="FFFFFF"/>
                <w:sz w:val="18"/>
                <w:szCs w:val="18"/>
              </w:rPr>
              <w:t>2026/27</w:t>
            </w:r>
          </w:p>
        </w:tc>
        <w:tc>
          <w:tcPr>
            <w:tcW w:w="720" w:type="dxa"/>
            <w:shd w:val="clear" w:color="auto" w:fill="1795D2" w:themeFill="accent1"/>
            <w:noWrap/>
            <w:tcMar>
              <w:top w:w="58" w:type="dxa"/>
              <w:left w:w="0" w:type="dxa"/>
              <w:bottom w:w="58" w:type="dxa"/>
              <w:right w:w="0" w:type="dxa"/>
            </w:tcMar>
            <w:vAlign w:val="center"/>
          </w:tcPr>
          <w:p w:rsidR="00DB6EC8" w:rsidRPr="00DB6EC8" w:rsidRDefault="00DB6EC8" w:rsidP="00DB6EC8">
            <w:pPr>
              <w:keepNext/>
              <w:keepLines/>
              <w:spacing w:after="0" w:line="240" w:lineRule="auto"/>
              <w:jc w:val="center"/>
              <w:rPr>
                <w:rFonts w:asciiTheme="minorHAnsi" w:eastAsia="Arial Unicode MS" w:hAnsiTheme="minorHAnsi" w:cs="Arial"/>
                <w:b/>
                <w:color w:val="FFFFFF"/>
                <w:sz w:val="18"/>
                <w:szCs w:val="18"/>
              </w:rPr>
            </w:pPr>
            <w:r w:rsidRPr="00DB6EC8">
              <w:rPr>
                <w:rFonts w:asciiTheme="minorHAnsi" w:hAnsiTheme="minorHAnsi" w:cs="Arial"/>
                <w:b/>
                <w:color w:val="FFFFFF"/>
                <w:sz w:val="18"/>
                <w:szCs w:val="18"/>
              </w:rPr>
              <w:t>2017/18</w:t>
            </w:r>
          </w:p>
        </w:tc>
        <w:tc>
          <w:tcPr>
            <w:tcW w:w="720" w:type="dxa"/>
            <w:shd w:val="clear" w:color="auto" w:fill="1795D2" w:themeFill="accent1"/>
            <w:noWrap/>
            <w:tcMar>
              <w:top w:w="58" w:type="dxa"/>
              <w:left w:w="0" w:type="dxa"/>
              <w:bottom w:w="58" w:type="dxa"/>
              <w:right w:w="0" w:type="dxa"/>
            </w:tcMar>
            <w:vAlign w:val="center"/>
          </w:tcPr>
          <w:p w:rsidR="00DB6EC8" w:rsidRPr="00DB6EC8" w:rsidRDefault="00DB6EC8" w:rsidP="00DB6EC8">
            <w:pPr>
              <w:keepNext/>
              <w:keepLines/>
              <w:spacing w:after="0" w:line="240" w:lineRule="auto"/>
              <w:jc w:val="center"/>
              <w:rPr>
                <w:rFonts w:asciiTheme="minorHAnsi" w:eastAsia="Arial Unicode MS" w:hAnsiTheme="minorHAnsi" w:cs="Arial"/>
                <w:b/>
                <w:color w:val="FFFFFF"/>
                <w:sz w:val="18"/>
                <w:szCs w:val="18"/>
              </w:rPr>
            </w:pPr>
            <w:r w:rsidRPr="00DB6EC8">
              <w:rPr>
                <w:rFonts w:asciiTheme="minorHAnsi" w:hAnsiTheme="minorHAnsi" w:cs="Arial"/>
                <w:b/>
                <w:color w:val="FFFFFF"/>
                <w:sz w:val="18"/>
                <w:szCs w:val="18"/>
              </w:rPr>
              <w:t>2026/27</w:t>
            </w:r>
          </w:p>
        </w:tc>
        <w:tc>
          <w:tcPr>
            <w:tcW w:w="720" w:type="dxa"/>
            <w:vMerge/>
            <w:shd w:val="clear" w:color="auto" w:fill="1795D2" w:themeFill="accent1"/>
            <w:noWrap/>
            <w:tcMar>
              <w:top w:w="58" w:type="dxa"/>
              <w:left w:w="0" w:type="dxa"/>
              <w:bottom w:w="58" w:type="dxa"/>
              <w:right w:w="0" w:type="dxa"/>
            </w:tcMar>
            <w:vAlign w:val="center"/>
          </w:tcPr>
          <w:p w:rsidR="00DB6EC8" w:rsidRPr="00DB6EC8" w:rsidRDefault="00DB6EC8" w:rsidP="00DB6EC8">
            <w:pPr>
              <w:keepNext/>
              <w:keepLines/>
              <w:spacing w:after="0" w:line="240" w:lineRule="auto"/>
              <w:jc w:val="center"/>
              <w:rPr>
                <w:rFonts w:asciiTheme="minorHAnsi" w:eastAsia="Arial Unicode MS" w:hAnsiTheme="minorHAnsi" w:cs="Arial"/>
                <w:b/>
                <w:color w:val="FFFFFF"/>
                <w:sz w:val="18"/>
                <w:szCs w:val="18"/>
              </w:rPr>
            </w:pPr>
          </w:p>
        </w:tc>
      </w:tr>
      <w:tr w:rsidR="00DB6EC8" w:rsidRPr="00DB6EC8" w:rsidTr="00DB6EC8">
        <w:trPr>
          <w:cantSplit/>
          <w:trHeight w:val="255"/>
          <w:jc w:val="center"/>
        </w:trPr>
        <w:tc>
          <w:tcPr>
            <w:tcW w:w="661" w:type="dxa"/>
            <w:shd w:val="clear" w:color="auto" w:fill="FFFFFF"/>
            <w:noWrap/>
            <w:tcMar>
              <w:top w:w="58" w:type="dxa"/>
              <w:left w:w="115" w:type="dxa"/>
              <w:bottom w:w="58" w:type="dxa"/>
            </w:tcMar>
            <w:vAlign w:val="bottom"/>
          </w:tcPr>
          <w:p w:rsidR="00DB6EC8" w:rsidRPr="00DB6EC8" w:rsidRDefault="00DB6EC8" w:rsidP="00DB6EC8">
            <w:pPr>
              <w:keepNext/>
              <w:keepLines/>
              <w:spacing w:after="0" w:line="240" w:lineRule="auto"/>
              <w:rPr>
                <w:rFonts w:asciiTheme="minorHAnsi" w:eastAsia="Arial Unicode MS" w:hAnsiTheme="minorHAnsi" w:cs="Arial"/>
                <w:b/>
                <w:sz w:val="18"/>
                <w:szCs w:val="18"/>
                <w:highlight w:val="yellow"/>
              </w:rPr>
            </w:pPr>
            <w:r w:rsidRPr="00DB6EC8">
              <w:rPr>
                <w:rFonts w:asciiTheme="minorHAnsi" w:hAnsiTheme="minorHAnsi"/>
                <w:b/>
                <w:sz w:val="18"/>
                <w:szCs w:val="18"/>
              </w:rPr>
              <w:t>CT</w:t>
            </w:r>
          </w:p>
        </w:tc>
        <w:tc>
          <w:tcPr>
            <w:tcW w:w="810" w:type="dxa"/>
            <w:shd w:val="clear" w:color="auto" w:fill="FFFFFF"/>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34,128</w:t>
            </w:r>
          </w:p>
        </w:tc>
        <w:tc>
          <w:tcPr>
            <w:tcW w:w="748" w:type="dxa"/>
            <w:shd w:val="clear" w:color="auto" w:fill="FFFFFF"/>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36,018</w:t>
            </w:r>
          </w:p>
        </w:tc>
        <w:tc>
          <w:tcPr>
            <w:tcW w:w="720" w:type="dxa"/>
            <w:shd w:val="clear" w:color="auto" w:fill="FFFFFF"/>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0.6</w:t>
            </w:r>
          </w:p>
        </w:tc>
        <w:tc>
          <w:tcPr>
            <w:tcW w:w="720" w:type="dxa"/>
            <w:shd w:val="clear" w:color="auto" w:fill="FFFFFF"/>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7,546</w:t>
            </w:r>
          </w:p>
        </w:tc>
        <w:tc>
          <w:tcPr>
            <w:tcW w:w="720" w:type="dxa"/>
            <w:shd w:val="clear" w:color="auto" w:fill="FFFFFF"/>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7,960</w:t>
            </w:r>
          </w:p>
        </w:tc>
        <w:tc>
          <w:tcPr>
            <w:tcW w:w="720" w:type="dxa"/>
            <w:shd w:val="clear" w:color="auto" w:fill="FFFFFF"/>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8,220</w:t>
            </w:r>
          </w:p>
        </w:tc>
        <w:tc>
          <w:tcPr>
            <w:tcW w:w="720" w:type="dxa"/>
            <w:shd w:val="clear" w:color="auto" w:fill="FFFFFF"/>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8,696</w:t>
            </w:r>
          </w:p>
        </w:tc>
        <w:tc>
          <w:tcPr>
            <w:tcW w:w="720" w:type="dxa"/>
            <w:shd w:val="clear" w:color="auto" w:fill="FFFFFF"/>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0.6</w:t>
            </w:r>
          </w:p>
        </w:tc>
        <w:tc>
          <w:tcPr>
            <w:tcW w:w="720" w:type="dxa"/>
            <w:shd w:val="clear" w:color="auto" w:fill="FFFFFF"/>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5,740</w:t>
            </w:r>
          </w:p>
        </w:tc>
        <w:tc>
          <w:tcPr>
            <w:tcW w:w="720" w:type="dxa"/>
            <w:shd w:val="clear" w:color="auto" w:fill="FFFFFF"/>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5,892</w:t>
            </w:r>
          </w:p>
        </w:tc>
        <w:tc>
          <w:tcPr>
            <w:tcW w:w="720" w:type="dxa"/>
            <w:shd w:val="clear" w:color="auto" w:fill="FFFFFF"/>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5,928</w:t>
            </w:r>
          </w:p>
        </w:tc>
        <w:tc>
          <w:tcPr>
            <w:tcW w:w="720" w:type="dxa"/>
            <w:shd w:val="clear" w:color="auto" w:fill="FFFFFF"/>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6,080</w:t>
            </w:r>
          </w:p>
        </w:tc>
        <w:tc>
          <w:tcPr>
            <w:tcW w:w="720" w:type="dxa"/>
            <w:shd w:val="clear" w:color="auto" w:fill="FFFFFF"/>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0.3</w:t>
            </w:r>
          </w:p>
        </w:tc>
      </w:tr>
      <w:tr w:rsidR="00DB6EC8" w:rsidRPr="00DB6EC8" w:rsidTr="00DB6EC8">
        <w:trPr>
          <w:cantSplit/>
          <w:trHeight w:val="255"/>
          <w:jc w:val="center"/>
        </w:trPr>
        <w:tc>
          <w:tcPr>
            <w:tcW w:w="661" w:type="dxa"/>
            <w:shd w:val="clear" w:color="auto" w:fill="CCEAF9" w:themeFill="accent1" w:themeFillTint="33"/>
            <w:noWrap/>
            <w:tcMar>
              <w:top w:w="58" w:type="dxa"/>
              <w:left w:w="115" w:type="dxa"/>
              <w:bottom w:w="58" w:type="dxa"/>
            </w:tcMar>
            <w:vAlign w:val="bottom"/>
          </w:tcPr>
          <w:p w:rsidR="00DB6EC8" w:rsidRPr="00DB6EC8" w:rsidRDefault="00DB6EC8" w:rsidP="00DB6EC8">
            <w:pPr>
              <w:keepNext/>
              <w:keepLines/>
              <w:spacing w:after="0" w:line="240" w:lineRule="auto"/>
              <w:rPr>
                <w:rFonts w:asciiTheme="minorHAnsi" w:eastAsia="Arial Unicode MS" w:hAnsiTheme="minorHAnsi" w:cs="Arial"/>
                <w:b/>
                <w:sz w:val="18"/>
                <w:szCs w:val="18"/>
                <w:highlight w:val="yellow"/>
              </w:rPr>
            </w:pPr>
            <w:r w:rsidRPr="00DB6EC8">
              <w:rPr>
                <w:rFonts w:asciiTheme="minorHAnsi" w:hAnsiTheme="minorHAnsi"/>
                <w:b/>
                <w:sz w:val="18"/>
                <w:szCs w:val="18"/>
              </w:rPr>
              <w:t>ME</w:t>
            </w:r>
          </w:p>
        </w:tc>
        <w:tc>
          <w:tcPr>
            <w:tcW w:w="810" w:type="dxa"/>
            <w:shd w:val="clear" w:color="auto" w:fill="CCEAF9" w:themeFill="accent1" w:themeFillTint="33"/>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12,683</w:t>
            </w:r>
          </w:p>
        </w:tc>
        <w:tc>
          <w:tcPr>
            <w:tcW w:w="748" w:type="dxa"/>
            <w:shd w:val="clear" w:color="auto" w:fill="CCEAF9" w:themeFill="accent1" w:themeFillTint="33"/>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13,910</w:t>
            </w:r>
          </w:p>
        </w:tc>
        <w:tc>
          <w:tcPr>
            <w:tcW w:w="720" w:type="dxa"/>
            <w:shd w:val="clear" w:color="auto" w:fill="CCEAF9" w:themeFill="accent1" w:themeFillTint="33"/>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1.0</w:t>
            </w:r>
          </w:p>
        </w:tc>
        <w:tc>
          <w:tcPr>
            <w:tcW w:w="720" w:type="dxa"/>
            <w:shd w:val="clear" w:color="auto" w:fill="CCEAF9" w:themeFill="accent1" w:themeFillTint="33"/>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2,154</w:t>
            </w:r>
          </w:p>
        </w:tc>
        <w:tc>
          <w:tcPr>
            <w:tcW w:w="720" w:type="dxa"/>
            <w:shd w:val="clear" w:color="auto" w:fill="CCEAF9" w:themeFill="accent1" w:themeFillTint="33"/>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2,350</w:t>
            </w:r>
          </w:p>
        </w:tc>
        <w:tc>
          <w:tcPr>
            <w:tcW w:w="720" w:type="dxa"/>
            <w:shd w:val="clear" w:color="auto" w:fill="CCEAF9" w:themeFill="accent1" w:themeFillTint="33"/>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2,293</w:t>
            </w:r>
          </w:p>
        </w:tc>
        <w:tc>
          <w:tcPr>
            <w:tcW w:w="720" w:type="dxa"/>
            <w:shd w:val="clear" w:color="auto" w:fill="CCEAF9" w:themeFill="accent1" w:themeFillTint="33"/>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2,498</w:t>
            </w:r>
          </w:p>
        </w:tc>
        <w:tc>
          <w:tcPr>
            <w:tcW w:w="720" w:type="dxa"/>
            <w:shd w:val="clear" w:color="auto" w:fill="CCEAF9" w:themeFill="accent1" w:themeFillTint="33"/>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1.0</w:t>
            </w:r>
          </w:p>
        </w:tc>
        <w:tc>
          <w:tcPr>
            <w:tcW w:w="720" w:type="dxa"/>
            <w:shd w:val="clear" w:color="auto" w:fill="CCEAF9" w:themeFill="accent1" w:themeFillTint="33"/>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2,011</w:t>
            </w:r>
          </w:p>
        </w:tc>
        <w:tc>
          <w:tcPr>
            <w:tcW w:w="720" w:type="dxa"/>
            <w:shd w:val="clear" w:color="auto" w:fill="CCEAF9" w:themeFill="accent1" w:themeFillTint="33"/>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2,137</w:t>
            </w:r>
          </w:p>
        </w:tc>
        <w:tc>
          <w:tcPr>
            <w:tcW w:w="720" w:type="dxa"/>
            <w:shd w:val="clear" w:color="auto" w:fill="CCEAF9" w:themeFill="accent1" w:themeFillTint="33"/>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2,067</w:t>
            </w:r>
          </w:p>
        </w:tc>
        <w:tc>
          <w:tcPr>
            <w:tcW w:w="720" w:type="dxa"/>
            <w:shd w:val="clear" w:color="auto" w:fill="CCEAF9" w:themeFill="accent1" w:themeFillTint="33"/>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2,193</w:t>
            </w:r>
          </w:p>
        </w:tc>
        <w:tc>
          <w:tcPr>
            <w:tcW w:w="720" w:type="dxa"/>
            <w:shd w:val="clear" w:color="auto" w:fill="CCEAF9" w:themeFill="accent1" w:themeFillTint="33"/>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0.7</w:t>
            </w:r>
          </w:p>
        </w:tc>
      </w:tr>
      <w:tr w:rsidR="00DB6EC8" w:rsidRPr="00DB6EC8" w:rsidTr="00DB6EC8">
        <w:trPr>
          <w:cantSplit/>
          <w:trHeight w:val="255"/>
          <w:jc w:val="center"/>
        </w:trPr>
        <w:tc>
          <w:tcPr>
            <w:tcW w:w="661" w:type="dxa"/>
            <w:shd w:val="clear" w:color="auto" w:fill="FFFFFF"/>
            <w:noWrap/>
            <w:tcMar>
              <w:top w:w="58" w:type="dxa"/>
              <w:left w:w="115" w:type="dxa"/>
              <w:bottom w:w="58" w:type="dxa"/>
            </w:tcMar>
            <w:vAlign w:val="bottom"/>
          </w:tcPr>
          <w:p w:rsidR="00DB6EC8" w:rsidRPr="00DB6EC8" w:rsidRDefault="00DB6EC8" w:rsidP="00DB6EC8">
            <w:pPr>
              <w:keepNext/>
              <w:keepLines/>
              <w:spacing w:after="0" w:line="240" w:lineRule="auto"/>
              <w:rPr>
                <w:rFonts w:asciiTheme="minorHAnsi" w:eastAsia="Arial Unicode MS" w:hAnsiTheme="minorHAnsi" w:cs="Arial"/>
                <w:b/>
                <w:sz w:val="18"/>
                <w:szCs w:val="18"/>
                <w:highlight w:val="yellow"/>
              </w:rPr>
            </w:pPr>
            <w:r w:rsidRPr="00DB6EC8">
              <w:rPr>
                <w:rFonts w:asciiTheme="minorHAnsi" w:hAnsiTheme="minorHAnsi"/>
                <w:b/>
                <w:sz w:val="18"/>
                <w:szCs w:val="18"/>
              </w:rPr>
              <w:t>MA</w:t>
            </w:r>
          </w:p>
        </w:tc>
        <w:tc>
          <w:tcPr>
            <w:tcW w:w="810" w:type="dxa"/>
            <w:shd w:val="clear" w:color="auto" w:fill="FFFFFF"/>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65,274</w:t>
            </w:r>
          </w:p>
        </w:tc>
        <w:tc>
          <w:tcPr>
            <w:tcW w:w="748" w:type="dxa"/>
            <w:shd w:val="clear" w:color="auto" w:fill="FFFFFF"/>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72,227</w:t>
            </w:r>
          </w:p>
        </w:tc>
        <w:tc>
          <w:tcPr>
            <w:tcW w:w="720" w:type="dxa"/>
            <w:shd w:val="clear" w:color="auto" w:fill="FFFFFF"/>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1.1</w:t>
            </w:r>
          </w:p>
        </w:tc>
        <w:tc>
          <w:tcPr>
            <w:tcW w:w="720" w:type="dxa"/>
            <w:shd w:val="clear" w:color="auto" w:fill="FFFFFF"/>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13,693</w:t>
            </w:r>
          </w:p>
        </w:tc>
        <w:tc>
          <w:tcPr>
            <w:tcW w:w="720" w:type="dxa"/>
            <w:shd w:val="clear" w:color="auto" w:fill="FFFFFF"/>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15,255</w:t>
            </w:r>
          </w:p>
        </w:tc>
        <w:tc>
          <w:tcPr>
            <w:tcW w:w="720" w:type="dxa"/>
            <w:shd w:val="clear" w:color="auto" w:fill="FFFFFF"/>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14,732</w:t>
            </w:r>
          </w:p>
        </w:tc>
        <w:tc>
          <w:tcPr>
            <w:tcW w:w="720" w:type="dxa"/>
            <w:shd w:val="clear" w:color="auto" w:fill="FFFFFF"/>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16,462</w:t>
            </w:r>
          </w:p>
        </w:tc>
        <w:tc>
          <w:tcPr>
            <w:tcW w:w="720" w:type="dxa"/>
            <w:shd w:val="clear" w:color="auto" w:fill="FFFFFF"/>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1.2</w:t>
            </w:r>
          </w:p>
        </w:tc>
        <w:tc>
          <w:tcPr>
            <w:tcW w:w="720" w:type="dxa"/>
            <w:shd w:val="clear" w:color="auto" w:fill="FFFFFF"/>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10,661</w:t>
            </w:r>
          </w:p>
        </w:tc>
        <w:tc>
          <w:tcPr>
            <w:tcW w:w="720" w:type="dxa"/>
            <w:shd w:val="clear" w:color="auto" w:fill="FFFFFF"/>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11,428</w:t>
            </w:r>
          </w:p>
        </w:tc>
        <w:tc>
          <w:tcPr>
            <w:tcW w:w="720" w:type="dxa"/>
            <w:shd w:val="clear" w:color="auto" w:fill="FFFFFF"/>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10,987</w:t>
            </w:r>
          </w:p>
        </w:tc>
        <w:tc>
          <w:tcPr>
            <w:tcW w:w="720" w:type="dxa"/>
            <w:shd w:val="clear" w:color="auto" w:fill="FFFFFF"/>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11,753</w:t>
            </w:r>
          </w:p>
        </w:tc>
        <w:tc>
          <w:tcPr>
            <w:tcW w:w="720" w:type="dxa"/>
            <w:shd w:val="clear" w:color="auto" w:fill="FFFFFF"/>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0.8</w:t>
            </w:r>
          </w:p>
        </w:tc>
      </w:tr>
      <w:tr w:rsidR="00DB6EC8" w:rsidRPr="00DB6EC8" w:rsidTr="00DB6EC8">
        <w:trPr>
          <w:cantSplit/>
          <w:trHeight w:val="255"/>
          <w:jc w:val="center"/>
        </w:trPr>
        <w:tc>
          <w:tcPr>
            <w:tcW w:w="661" w:type="dxa"/>
            <w:shd w:val="clear" w:color="auto" w:fill="CCEAF9" w:themeFill="accent1" w:themeFillTint="33"/>
            <w:noWrap/>
            <w:tcMar>
              <w:top w:w="58" w:type="dxa"/>
              <w:left w:w="115" w:type="dxa"/>
              <w:bottom w:w="58" w:type="dxa"/>
            </w:tcMar>
            <w:vAlign w:val="bottom"/>
          </w:tcPr>
          <w:p w:rsidR="00DB6EC8" w:rsidRPr="00DB6EC8" w:rsidRDefault="00DB6EC8" w:rsidP="00DB6EC8">
            <w:pPr>
              <w:keepNext/>
              <w:keepLines/>
              <w:spacing w:after="0" w:line="240" w:lineRule="auto"/>
              <w:rPr>
                <w:rFonts w:asciiTheme="minorHAnsi" w:eastAsia="Arial Unicode MS" w:hAnsiTheme="minorHAnsi" w:cs="Arial"/>
                <w:b/>
                <w:sz w:val="18"/>
                <w:szCs w:val="18"/>
                <w:highlight w:val="yellow"/>
              </w:rPr>
            </w:pPr>
            <w:r w:rsidRPr="00DB6EC8">
              <w:rPr>
                <w:rFonts w:asciiTheme="minorHAnsi" w:hAnsiTheme="minorHAnsi"/>
                <w:b/>
                <w:sz w:val="18"/>
                <w:szCs w:val="18"/>
              </w:rPr>
              <w:t>NH</w:t>
            </w:r>
          </w:p>
        </w:tc>
        <w:tc>
          <w:tcPr>
            <w:tcW w:w="810" w:type="dxa"/>
            <w:shd w:val="clear" w:color="auto" w:fill="CCEAF9" w:themeFill="accent1" w:themeFillTint="33"/>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12,409</w:t>
            </w:r>
          </w:p>
        </w:tc>
        <w:tc>
          <w:tcPr>
            <w:tcW w:w="748" w:type="dxa"/>
            <w:shd w:val="clear" w:color="auto" w:fill="CCEAF9" w:themeFill="accent1" w:themeFillTint="33"/>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13,311</w:t>
            </w:r>
          </w:p>
        </w:tc>
        <w:tc>
          <w:tcPr>
            <w:tcW w:w="720" w:type="dxa"/>
            <w:shd w:val="clear" w:color="auto" w:fill="CCEAF9" w:themeFill="accent1" w:themeFillTint="33"/>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0.8</w:t>
            </w:r>
          </w:p>
        </w:tc>
        <w:tc>
          <w:tcPr>
            <w:tcW w:w="720" w:type="dxa"/>
            <w:shd w:val="clear" w:color="auto" w:fill="CCEAF9" w:themeFill="accent1" w:themeFillTint="33"/>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2,579</w:t>
            </w:r>
          </w:p>
        </w:tc>
        <w:tc>
          <w:tcPr>
            <w:tcW w:w="720" w:type="dxa"/>
            <w:shd w:val="clear" w:color="auto" w:fill="CCEAF9" w:themeFill="accent1" w:themeFillTint="33"/>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2,822</w:t>
            </w:r>
          </w:p>
        </w:tc>
        <w:tc>
          <w:tcPr>
            <w:tcW w:w="720" w:type="dxa"/>
            <w:shd w:val="clear" w:color="auto" w:fill="CCEAF9" w:themeFill="accent1" w:themeFillTint="33"/>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2,795</w:t>
            </w:r>
          </w:p>
        </w:tc>
        <w:tc>
          <w:tcPr>
            <w:tcW w:w="720" w:type="dxa"/>
            <w:shd w:val="clear" w:color="auto" w:fill="CCEAF9" w:themeFill="accent1" w:themeFillTint="33"/>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3,070</w:t>
            </w:r>
          </w:p>
        </w:tc>
        <w:tc>
          <w:tcPr>
            <w:tcW w:w="720" w:type="dxa"/>
            <w:shd w:val="clear" w:color="auto" w:fill="CCEAF9" w:themeFill="accent1" w:themeFillTint="33"/>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1.0</w:t>
            </w:r>
          </w:p>
        </w:tc>
        <w:tc>
          <w:tcPr>
            <w:tcW w:w="720" w:type="dxa"/>
            <w:shd w:val="clear" w:color="auto" w:fill="CCEAF9" w:themeFill="accent1" w:themeFillTint="33"/>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2,055</w:t>
            </w:r>
          </w:p>
        </w:tc>
        <w:tc>
          <w:tcPr>
            <w:tcW w:w="720" w:type="dxa"/>
            <w:shd w:val="clear" w:color="auto" w:fill="CCEAF9" w:themeFill="accent1" w:themeFillTint="33"/>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2,120</w:t>
            </w:r>
          </w:p>
        </w:tc>
        <w:tc>
          <w:tcPr>
            <w:tcW w:w="720" w:type="dxa"/>
            <w:shd w:val="clear" w:color="auto" w:fill="CCEAF9" w:themeFill="accent1" w:themeFillTint="33"/>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2,141</w:t>
            </w:r>
          </w:p>
        </w:tc>
        <w:tc>
          <w:tcPr>
            <w:tcW w:w="720" w:type="dxa"/>
            <w:shd w:val="clear" w:color="auto" w:fill="CCEAF9" w:themeFill="accent1" w:themeFillTint="33"/>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2,207</w:t>
            </w:r>
          </w:p>
        </w:tc>
        <w:tc>
          <w:tcPr>
            <w:tcW w:w="720" w:type="dxa"/>
            <w:shd w:val="clear" w:color="auto" w:fill="CCEAF9" w:themeFill="accent1" w:themeFillTint="33"/>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0.3</w:t>
            </w:r>
          </w:p>
        </w:tc>
      </w:tr>
      <w:tr w:rsidR="00DB6EC8" w:rsidRPr="00DB6EC8" w:rsidTr="00DB6EC8">
        <w:trPr>
          <w:cantSplit/>
          <w:trHeight w:val="255"/>
          <w:jc w:val="center"/>
        </w:trPr>
        <w:tc>
          <w:tcPr>
            <w:tcW w:w="661" w:type="dxa"/>
            <w:shd w:val="clear" w:color="auto" w:fill="FFFFFF"/>
            <w:noWrap/>
            <w:tcMar>
              <w:top w:w="58" w:type="dxa"/>
              <w:left w:w="115" w:type="dxa"/>
              <w:bottom w:w="58" w:type="dxa"/>
            </w:tcMar>
            <w:vAlign w:val="bottom"/>
          </w:tcPr>
          <w:p w:rsidR="00DB6EC8" w:rsidRPr="00DB6EC8" w:rsidRDefault="00DB6EC8" w:rsidP="00DB6EC8">
            <w:pPr>
              <w:keepNext/>
              <w:keepLines/>
              <w:spacing w:after="0" w:line="240" w:lineRule="auto"/>
              <w:rPr>
                <w:rFonts w:asciiTheme="minorHAnsi" w:eastAsia="Arial Unicode MS" w:hAnsiTheme="minorHAnsi" w:cs="Arial"/>
                <w:b/>
                <w:sz w:val="18"/>
                <w:szCs w:val="18"/>
                <w:highlight w:val="yellow"/>
              </w:rPr>
            </w:pPr>
            <w:r w:rsidRPr="00DB6EC8">
              <w:rPr>
                <w:rFonts w:asciiTheme="minorHAnsi" w:hAnsiTheme="minorHAnsi"/>
                <w:b/>
                <w:sz w:val="18"/>
                <w:szCs w:val="18"/>
              </w:rPr>
              <w:t>RI</w:t>
            </w:r>
          </w:p>
        </w:tc>
        <w:tc>
          <w:tcPr>
            <w:tcW w:w="810" w:type="dxa"/>
            <w:shd w:val="clear" w:color="auto" w:fill="FFFFFF"/>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9,229</w:t>
            </w:r>
          </w:p>
        </w:tc>
        <w:tc>
          <w:tcPr>
            <w:tcW w:w="748" w:type="dxa"/>
            <w:shd w:val="clear" w:color="auto" w:fill="FFFFFF"/>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9,836</w:t>
            </w:r>
          </w:p>
        </w:tc>
        <w:tc>
          <w:tcPr>
            <w:tcW w:w="720" w:type="dxa"/>
            <w:shd w:val="clear" w:color="auto" w:fill="FFFFFF"/>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0.7</w:t>
            </w:r>
          </w:p>
        </w:tc>
        <w:tc>
          <w:tcPr>
            <w:tcW w:w="720" w:type="dxa"/>
            <w:shd w:val="clear" w:color="auto" w:fill="FFFFFF"/>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2,058</w:t>
            </w:r>
          </w:p>
        </w:tc>
        <w:tc>
          <w:tcPr>
            <w:tcW w:w="720" w:type="dxa"/>
            <w:shd w:val="clear" w:color="auto" w:fill="FFFFFF"/>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2,253</w:t>
            </w:r>
          </w:p>
        </w:tc>
        <w:tc>
          <w:tcPr>
            <w:tcW w:w="720" w:type="dxa"/>
            <w:shd w:val="clear" w:color="auto" w:fill="FFFFFF"/>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2,312</w:t>
            </w:r>
          </w:p>
        </w:tc>
        <w:tc>
          <w:tcPr>
            <w:tcW w:w="720" w:type="dxa"/>
            <w:shd w:val="clear" w:color="auto" w:fill="FFFFFF"/>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2,553</w:t>
            </w:r>
          </w:p>
        </w:tc>
        <w:tc>
          <w:tcPr>
            <w:tcW w:w="720" w:type="dxa"/>
            <w:shd w:val="clear" w:color="auto" w:fill="FFFFFF"/>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1.1</w:t>
            </w:r>
          </w:p>
        </w:tc>
        <w:tc>
          <w:tcPr>
            <w:tcW w:w="720" w:type="dxa"/>
            <w:shd w:val="clear" w:color="auto" w:fill="FFFFFF"/>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1,453</w:t>
            </w:r>
          </w:p>
        </w:tc>
        <w:tc>
          <w:tcPr>
            <w:tcW w:w="720" w:type="dxa"/>
            <w:shd w:val="clear" w:color="auto" w:fill="FFFFFF"/>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1,504</w:t>
            </w:r>
          </w:p>
        </w:tc>
        <w:tc>
          <w:tcPr>
            <w:tcW w:w="720" w:type="dxa"/>
            <w:shd w:val="clear" w:color="auto" w:fill="FFFFFF"/>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1,479</w:t>
            </w:r>
          </w:p>
        </w:tc>
        <w:tc>
          <w:tcPr>
            <w:tcW w:w="720" w:type="dxa"/>
            <w:shd w:val="clear" w:color="auto" w:fill="FFFFFF"/>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1,530</w:t>
            </w:r>
          </w:p>
        </w:tc>
        <w:tc>
          <w:tcPr>
            <w:tcW w:w="720" w:type="dxa"/>
            <w:shd w:val="clear" w:color="auto" w:fill="FFFFFF"/>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0.4</w:t>
            </w:r>
          </w:p>
        </w:tc>
      </w:tr>
      <w:tr w:rsidR="00DB6EC8" w:rsidRPr="00DB6EC8" w:rsidTr="00DB6EC8">
        <w:trPr>
          <w:cantSplit/>
          <w:trHeight w:val="270"/>
          <w:jc w:val="center"/>
        </w:trPr>
        <w:tc>
          <w:tcPr>
            <w:tcW w:w="661" w:type="dxa"/>
            <w:shd w:val="clear" w:color="auto" w:fill="CCEAF9" w:themeFill="accent1" w:themeFillTint="33"/>
            <w:noWrap/>
            <w:tcMar>
              <w:top w:w="58" w:type="dxa"/>
              <w:left w:w="115" w:type="dxa"/>
              <w:bottom w:w="58" w:type="dxa"/>
            </w:tcMar>
            <w:vAlign w:val="bottom"/>
          </w:tcPr>
          <w:p w:rsidR="00DB6EC8" w:rsidRPr="00DB6EC8" w:rsidRDefault="00DB6EC8" w:rsidP="00DB6EC8">
            <w:pPr>
              <w:keepNext/>
              <w:keepLines/>
              <w:spacing w:after="0" w:line="240" w:lineRule="auto"/>
              <w:rPr>
                <w:rFonts w:asciiTheme="minorHAnsi" w:eastAsia="Arial Unicode MS" w:hAnsiTheme="minorHAnsi" w:cs="Arial"/>
                <w:b/>
                <w:sz w:val="18"/>
                <w:szCs w:val="18"/>
                <w:highlight w:val="yellow"/>
              </w:rPr>
            </w:pPr>
            <w:r w:rsidRPr="00DB6EC8">
              <w:rPr>
                <w:rFonts w:asciiTheme="minorHAnsi" w:hAnsiTheme="minorHAnsi"/>
                <w:b/>
                <w:sz w:val="18"/>
                <w:szCs w:val="18"/>
              </w:rPr>
              <w:t>VT</w:t>
            </w:r>
          </w:p>
        </w:tc>
        <w:tc>
          <w:tcPr>
            <w:tcW w:w="810" w:type="dxa"/>
            <w:shd w:val="clear" w:color="auto" w:fill="CCEAF9" w:themeFill="accent1" w:themeFillTint="33"/>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6,859</w:t>
            </w:r>
          </w:p>
        </w:tc>
        <w:tc>
          <w:tcPr>
            <w:tcW w:w="748" w:type="dxa"/>
            <w:shd w:val="clear" w:color="auto" w:fill="CCEAF9" w:themeFill="accent1" w:themeFillTint="33"/>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7,291</w:t>
            </w:r>
          </w:p>
        </w:tc>
        <w:tc>
          <w:tcPr>
            <w:tcW w:w="720" w:type="dxa"/>
            <w:shd w:val="clear" w:color="auto" w:fill="CCEAF9" w:themeFill="accent1" w:themeFillTint="33"/>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0.7</w:t>
            </w:r>
          </w:p>
        </w:tc>
        <w:tc>
          <w:tcPr>
            <w:tcW w:w="720" w:type="dxa"/>
            <w:shd w:val="clear" w:color="auto" w:fill="CCEAF9" w:themeFill="accent1" w:themeFillTint="33"/>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1,114</w:t>
            </w:r>
          </w:p>
        </w:tc>
        <w:tc>
          <w:tcPr>
            <w:tcW w:w="720" w:type="dxa"/>
            <w:shd w:val="clear" w:color="auto" w:fill="CCEAF9" w:themeFill="accent1" w:themeFillTint="33"/>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1,178</w:t>
            </w:r>
          </w:p>
        </w:tc>
        <w:tc>
          <w:tcPr>
            <w:tcW w:w="720" w:type="dxa"/>
            <w:shd w:val="clear" w:color="auto" w:fill="CCEAF9" w:themeFill="accent1" w:themeFillTint="33"/>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1,158</w:t>
            </w:r>
          </w:p>
        </w:tc>
        <w:tc>
          <w:tcPr>
            <w:tcW w:w="720" w:type="dxa"/>
            <w:shd w:val="clear" w:color="auto" w:fill="CCEAF9" w:themeFill="accent1" w:themeFillTint="33"/>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1,231</w:t>
            </w:r>
          </w:p>
        </w:tc>
        <w:tc>
          <w:tcPr>
            <w:tcW w:w="720" w:type="dxa"/>
            <w:shd w:val="clear" w:color="auto" w:fill="CCEAF9" w:themeFill="accent1" w:themeFillTint="33"/>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0.7</w:t>
            </w:r>
          </w:p>
        </w:tc>
        <w:tc>
          <w:tcPr>
            <w:tcW w:w="720" w:type="dxa"/>
            <w:shd w:val="clear" w:color="auto" w:fill="CCEAF9" w:themeFill="accent1" w:themeFillTint="33"/>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1,106</w:t>
            </w:r>
          </w:p>
        </w:tc>
        <w:tc>
          <w:tcPr>
            <w:tcW w:w="720" w:type="dxa"/>
            <w:shd w:val="clear" w:color="auto" w:fill="CCEAF9" w:themeFill="accent1" w:themeFillTint="33"/>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1,162</w:t>
            </w:r>
          </w:p>
        </w:tc>
        <w:tc>
          <w:tcPr>
            <w:tcW w:w="720" w:type="dxa"/>
            <w:shd w:val="clear" w:color="auto" w:fill="CCEAF9" w:themeFill="accent1" w:themeFillTint="33"/>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1,124</w:t>
            </w:r>
          </w:p>
        </w:tc>
        <w:tc>
          <w:tcPr>
            <w:tcW w:w="720" w:type="dxa"/>
            <w:shd w:val="clear" w:color="auto" w:fill="CCEAF9" w:themeFill="accent1" w:themeFillTint="33"/>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1,180</w:t>
            </w:r>
          </w:p>
        </w:tc>
        <w:tc>
          <w:tcPr>
            <w:tcW w:w="720" w:type="dxa"/>
            <w:shd w:val="clear" w:color="auto" w:fill="CCEAF9" w:themeFill="accent1" w:themeFillTint="33"/>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0.5</w:t>
            </w:r>
          </w:p>
        </w:tc>
      </w:tr>
      <w:tr w:rsidR="00DB6EC8" w:rsidRPr="00DB6EC8" w:rsidTr="00DB6EC8">
        <w:trPr>
          <w:cantSplit/>
          <w:trHeight w:val="270"/>
          <w:jc w:val="center"/>
        </w:trPr>
        <w:tc>
          <w:tcPr>
            <w:tcW w:w="661" w:type="dxa"/>
            <w:shd w:val="clear" w:color="auto" w:fill="1795D2" w:themeFill="accent1"/>
            <w:noWrap/>
            <w:tcMar>
              <w:top w:w="58" w:type="dxa"/>
              <w:left w:w="115" w:type="dxa"/>
              <w:bottom w:w="58" w:type="dxa"/>
            </w:tcMar>
            <w:vAlign w:val="bottom"/>
          </w:tcPr>
          <w:p w:rsidR="00DB6EC8" w:rsidRPr="00DB6EC8" w:rsidRDefault="00DB6EC8" w:rsidP="00DB6EC8">
            <w:pPr>
              <w:keepNext/>
              <w:keepLines/>
              <w:spacing w:after="0" w:line="240" w:lineRule="auto"/>
              <w:rPr>
                <w:rFonts w:asciiTheme="minorHAnsi" w:hAnsiTheme="minorHAnsi" w:cs="Arial"/>
                <w:b/>
                <w:color w:val="FFFFFF" w:themeColor="background1"/>
                <w:sz w:val="18"/>
                <w:szCs w:val="18"/>
                <w:highlight w:val="yellow"/>
              </w:rPr>
            </w:pPr>
            <w:r w:rsidRPr="00DB6EC8">
              <w:rPr>
                <w:rFonts w:asciiTheme="minorHAnsi" w:hAnsiTheme="minorHAnsi"/>
                <w:b/>
                <w:color w:val="FFFFFF" w:themeColor="background1"/>
                <w:sz w:val="18"/>
                <w:szCs w:val="18"/>
              </w:rPr>
              <w:t>ISO</w:t>
            </w:r>
          </w:p>
        </w:tc>
        <w:tc>
          <w:tcPr>
            <w:tcW w:w="810" w:type="dxa"/>
            <w:shd w:val="clear" w:color="auto" w:fill="1795D2" w:themeFill="accent1"/>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b/>
                <w:color w:val="FFFFFF" w:themeColor="background1"/>
                <w:sz w:val="18"/>
                <w:szCs w:val="18"/>
                <w:highlight w:val="yellow"/>
              </w:rPr>
            </w:pPr>
            <w:r w:rsidRPr="00DB6EC8">
              <w:rPr>
                <w:rFonts w:asciiTheme="minorHAnsi" w:hAnsiTheme="minorHAnsi"/>
                <w:b/>
                <w:color w:val="FFFFFF" w:themeColor="background1"/>
                <w:sz w:val="18"/>
                <w:szCs w:val="18"/>
              </w:rPr>
              <w:t>140,583</w:t>
            </w:r>
          </w:p>
        </w:tc>
        <w:tc>
          <w:tcPr>
            <w:tcW w:w="748" w:type="dxa"/>
            <w:shd w:val="clear" w:color="auto" w:fill="1795D2" w:themeFill="accent1"/>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b/>
                <w:color w:val="FFFFFF" w:themeColor="background1"/>
                <w:sz w:val="18"/>
                <w:szCs w:val="18"/>
                <w:highlight w:val="yellow"/>
              </w:rPr>
            </w:pPr>
            <w:r w:rsidRPr="00DB6EC8">
              <w:rPr>
                <w:rFonts w:asciiTheme="minorHAnsi" w:hAnsiTheme="minorHAnsi"/>
                <w:b/>
                <w:color w:val="FFFFFF" w:themeColor="background1"/>
                <w:sz w:val="18"/>
                <w:szCs w:val="18"/>
              </w:rPr>
              <w:t>152,593</w:t>
            </w:r>
          </w:p>
        </w:tc>
        <w:tc>
          <w:tcPr>
            <w:tcW w:w="720" w:type="dxa"/>
            <w:shd w:val="clear" w:color="auto" w:fill="1795D2" w:themeFill="accent1"/>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b/>
                <w:color w:val="FFFFFF" w:themeColor="background1"/>
                <w:sz w:val="18"/>
                <w:szCs w:val="18"/>
                <w:highlight w:val="yellow"/>
              </w:rPr>
            </w:pPr>
            <w:r w:rsidRPr="00DB6EC8">
              <w:rPr>
                <w:rFonts w:asciiTheme="minorHAnsi" w:hAnsiTheme="minorHAnsi"/>
                <w:b/>
                <w:color w:val="FFFFFF" w:themeColor="background1"/>
                <w:sz w:val="18"/>
                <w:szCs w:val="18"/>
              </w:rPr>
              <w:t>0.9</w:t>
            </w:r>
          </w:p>
        </w:tc>
        <w:tc>
          <w:tcPr>
            <w:tcW w:w="720" w:type="dxa"/>
            <w:shd w:val="clear" w:color="auto" w:fill="1795D2" w:themeFill="accent1"/>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b/>
                <w:color w:val="FFFFFF" w:themeColor="background1"/>
                <w:sz w:val="18"/>
                <w:szCs w:val="18"/>
                <w:highlight w:val="yellow"/>
              </w:rPr>
            </w:pPr>
            <w:r w:rsidRPr="00DB6EC8">
              <w:rPr>
                <w:rFonts w:asciiTheme="minorHAnsi" w:hAnsiTheme="minorHAnsi"/>
                <w:b/>
                <w:color w:val="FFFFFF" w:themeColor="background1"/>
                <w:sz w:val="18"/>
                <w:szCs w:val="18"/>
              </w:rPr>
              <w:t>29,146</w:t>
            </w:r>
          </w:p>
        </w:tc>
        <w:tc>
          <w:tcPr>
            <w:tcW w:w="720" w:type="dxa"/>
            <w:shd w:val="clear" w:color="auto" w:fill="1795D2" w:themeFill="accent1"/>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b/>
                <w:color w:val="FFFFFF" w:themeColor="background1"/>
                <w:sz w:val="18"/>
                <w:szCs w:val="18"/>
                <w:highlight w:val="yellow"/>
              </w:rPr>
            </w:pPr>
            <w:r w:rsidRPr="00DB6EC8">
              <w:rPr>
                <w:rFonts w:asciiTheme="minorHAnsi" w:hAnsiTheme="minorHAnsi"/>
                <w:b/>
                <w:color w:val="FFFFFF" w:themeColor="background1"/>
                <w:sz w:val="18"/>
                <w:szCs w:val="18"/>
              </w:rPr>
              <w:t>31,820</w:t>
            </w:r>
          </w:p>
        </w:tc>
        <w:tc>
          <w:tcPr>
            <w:tcW w:w="720" w:type="dxa"/>
            <w:shd w:val="clear" w:color="auto" w:fill="1795D2" w:themeFill="accent1"/>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b/>
                <w:color w:val="FFFFFF" w:themeColor="background1"/>
                <w:sz w:val="18"/>
                <w:szCs w:val="18"/>
                <w:highlight w:val="yellow"/>
              </w:rPr>
            </w:pPr>
            <w:r w:rsidRPr="00DB6EC8">
              <w:rPr>
                <w:rFonts w:asciiTheme="minorHAnsi" w:hAnsiTheme="minorHAnsi"/>
                <w:b/>
                <w:color w:val="FFFFFF" w:themeColor="background1"/>
                <w:sz w:val="18"/>
                <w:szCs w:val="18"/>
              </w:rPr>
              <w:t>31,529</w:t>
            </w:r>
          </w:p>
        </w:tc>
        <w:tc>
          <w:tcPr>
            <w:tcW w:w="720" w:type="dxa"/>
            <w:shd w:val="clear" w:color="auto" w:fill="1795D2" w:themeFill="accent1"/>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b/>
                <w:color w:val="FFFFFF" w:themeColor="background1"/>
                <w:sz w:val="18"/>
                <w:szCs w:val="18"/>
                <w:highlight w:val="yellow"/>
              </w:rPr>
            </w:pPr>
            <w:r w:rsidRPr="00DB6EC8">
              <w:rPr>
                <w:rFonts w:asciiTheme="minorHAnsi" w:hAnsiTheme="minorHAnsi"/>
                <w:b/>
                <w:color w:val="FFFFFF" w:themeColor="background1"/>
                <w:sz w:val="18"/>
                <w:szCs w:val="18"/>
              </w:rPr>
              <w:t>34,531</w:t>
            </w:r>
          </w:p>
        </w:tc>
        <w:tc>
          <w:tcPr>
            <w:tcW w:w="720" w:type="dxa"/>
            <w:shd w:val="clear" w:color="auto" w:fill="1795D2" w:themeFill="accent1"/>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b/>
                <w:color w:val="FFFFFF" w:themeColor="background1"/>
                <w:sz w:val="18"/>
                <w:szCs w:val="18"/>
                <w:highlight w:val="yellow"/>
              </w:rPr>
            </w:pPr>
            <w:r w:rsidRPr="00DB6EC8">
              <w:rPr>
                <w:rFonts w:asciiTheme="minorHAnsi" w:hAnsiTheme="minorHAnsi"/>
                <w:b/>
                <w:color w:val="FFFFFF" w:themeColor="background1"/>
                <w:sz w:val="18"/>
                <w:szCs w:val="18"/>
              </w:rPr>
              <w:t>1.0</w:t>
            </w:r>
          </w:p>
        </w:tc>
        <w:tc>
          <w:tcPr>
            <w:tcW w:w="720" w:type="dxa"/>
            <w:shd w:val="clear" w:color="auto" w:fill="1795D2" w:themeFill="accent1"/>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b/>
                <w:color w:val="FFFFFF" w:themeColor="background1"/>
                <w:sz w:val="18"/>
                <w:szCs w:val="18"/>
                <w:highlight w:val="yellow"/>
              </w:rPr>
            </w:pPr>
            <w:r w:rsidRPr="00DB6EC8">
              <w:rPr>
                <w:rFonts w:asciiTheme="minorHAnsi" w:hAnsiTheme="minorHAnsi"/>
                <w:b/>
                <w:color w:val="FFFFFF" w:themeColor="background1"/>
                <w:sz w:val="18"/>
                <w:szCs w:val="18"/>
              </w:rPr>
              <w:t>23,029</w:t>
            </w:r>
          </w:p>
        </w:tc>
        <w:tc>
          <w:tcPr>
            <w:tcW w:w="720" w:type="dxa"/>
            <w:shd w:val="clear" w:color="auto" w:fill="1795D2" w:themeFill="accent1"/>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b/>
                <w:color w:val="FFFFFF" w:themeColor="background1"/>
                <w:sz w:val="18"/>
                <w:szCs w:val="18"/>
                <w:highlight w:val="yellow"/>
              </w:rPr>
            </w:pPr>
            <w:r w:rsidRPr="00DB6EC8">
              <w:rPr>
                <w:rFonts w:asciiTheme="minorHAnsi" w:hAnsiTheme="minorHAnsi"/>
                <w:b/>
                <w:color w:val="FFFFFF" w:themeColor="background1"/>
                <w:sz w:val="18"/>
                <w:szCs w:val="18"/>
              </w:rPr>
              <w:t>24,244</w:t>
            </w:r>
          </w:p>
        </w:tc>
        <w:tc>
          <w:tcPr>
            <w:tcW w:w="720" w:type="dxa"/>
            <w:shd w:val="clear" w:color="auto" w:fill="1795D2" w:themeFill="accent1"/>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b/>
                <w:color w:val="FFFFFF" w:themeColor="background1"/>
                <w:sz w:val="18"/>
                <w:szCs w:val="18"/>
                <w:highlight w:val="yellow"/>
              </w:rPr>
            </w:pPr>
            <w:r w:rsidRPr="00DB6EC8">
              <w:rPr>
                <w:rFonts w:asciiTheme="minorHAnsi" w:hAnsiTheme="minorHAnsi"/>
                <w:b/>
                <w:color w:val="FFFFFF" w:themeColor="background1"/>
                <w:sz w:val="18"/>
                <w:szCs w:val="18"/>
              </w:rPr>
              <w:t>23,727</w:t>
            </w:r>
          </w:p>
        </w:tc>
        <w:tc>
          <w:tcPr>
            <w:tcW w:w="720" w:type="dxa"/>
            <w:shd w:val="clear" w:color="auto" w:fill="1795D2" w:themeFill="accent1"/>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b/>
                <w:color w:val="FFFFFF" w:themeColor="background1"/>
                <w:sz w:val="18"/>
                <w:szCs w:val="18"/>
                <w:highlight w:val="yellow"/>
              </w:rPr>
            </w:pPr>
            <w:r w:rsidRPr="00DB6EC8">
              <w:rPr>
                <w:rFonts w:asciiTheme="minorHAnsi" w:hAnsiTheme="minorHAnsi"/>
                <w:b/>
                <w:color w:val="FFFFFF" w:themeColor="background1"/>
                <w:sz w:val="18"/>
                <w:szCs w:val="18"/>
              </w:rPr>
              <w:t>24,942</w:t>
            </w:r>
          </w:p>
        </w:tc>
        <w:tc>
          <w:tcPr>
            <w:tcW w:w="720" w:type="dxa"/>
            <w:shd w:val="clear" w:color="auto" w:fill="1795D2" w:themeFill="accent1"/>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b/>
                <w:color w:val="FFFFFF" w:themeColor="background1"/>
                <w:sz w:val="18"/>
                <w:szCs w:val="18"/>
                <w:highlight w:val="yellow"/>
              </w:rPr>
            </w:pPr>
            <w:r w:rsidRPr="00DB6EC8">
              <w:rPr>
                <w:rFonts w:asciiTheme="minorHAnsi" w:hAnsiTheme="minorHAnsi"/>
                <w:b/>
                <w:color w:val="FFFFFF" w:themeColor="background1"/>
                <w:sz w:val="18"/>
                <w:szCs w:val="18"/>
              </w:rPr>
              <w:t>0.6</w:t>
            </w:r>
          </w:p>
        </w:tc>
      </w:tr>
    </w:tbl>
    <w:p w:rsidR="00DB6EC8" w:rsidRPr="00DB6EC8" w:rsidRDefault="00DB6EC8" w:rsidP="003D70FB">
      <w:pPr>
        <w:keepNext/>
        <w:keepLines/>
        <w:numPr>
          <w:ilvl w:val="0"/>
          <w:numId w:val="32"/>
        </w:numPr>
        <w:tabs>
          <w:tab w:val="left" w:pos="-720"/>
        </w:tabs>
        <w:spacing w:before="120" w:after="80" w:line="240" w:lineRule="auto"/>
        <w:ind w:left="-270" w:right="-810" w:hanging="270"/>
        <w:rPr>
          <w:rFonts w:ascii="Calibri" w:eastAsia="Times New Roman" w:hAnsi="Calibri"/>
          <w:sz w:val="16"/>
          <w:szCs w:val="16"/>
        </w:rPr>
      </w:pPr>
      <w:r w:rsidRPr="00DB6EC8">
        <w:rPr>
          <w:rFonts w:ascii="Calibri" w:eastAsia="Times New Roman" w:hAnsi="Calibri"/>
          <w:sz w:val="16"/>
          <w:szCs w:val="16"/>
        </w:rPr>
        <w:t>A variety of factors cause state growth rates to differ from the overall growth rate for New England.</w:t>
      </w:r>
    </w:p>
    <w:p w:rsidR="00DB6EC8" w:rsidRPr="00DB6EC8" w:rsidRDefault="00DB6EC8" w:rsidP="003D70FB">
      <w:pPr>
        <w:numPr>
          <w:ilvl w:val="0"/>
          <w:numId w:val="32"/>
        </w:numPr>
        <w:tabs>
          <w:tab w:val="left" w:pos="-720"/>
        </w:tabs>
        <w:spacing w:after="200" w:line="240" w:lineRule="auto"/>
        <w:ind w:left="-270" w:right="-810" w:hanging="270"/>
        <w:rPr>
          <w:rFonts w:ascii="Calibri" w:eastAsia="Times New Roman" w:hAnsi="Calibri"/>
          <w:sz w:val="16"/>
          <w:szCs w:val="16"/>
        </w:rPr>
      </w:pPr>
      <w:r w:rsidRPr="00DB6EC8">
        <w:rPr>
          <w:rFonts w:ascii="Calibri" w:eastAsia="Times New Roman" w:hAnsi="Calibri"/>
          <w:sz w:val="16"/>
          <w:szCs w:val="16"/>
        </w:rPr>
        <w:t>“CAGR” stands for compound annual growth rate. CAGR values shown for the summer and winter peak loads are for the 90/10 forecasts.</w:t>
      </w:r>
    </w:p>
    <w:p w:rsidR="00DB6EC8" w:rsidRPr="00DB6EC8" w:rsidRDefault="00DB6EC8" w:rsidP="00DB6EC8">
      <w:pPr>
        <w:spacing w:after="200" w:line="276" w:lineRule="auto"/>
      </w:pPr>
      <w:r w:rsidRPr="00DB6EC8">
        <w:rPr>
          <w:i/>
        </w:rPr>
        <w:lastRenderedPageBreak/>
        <w:t>Net energy for load</w:t>
      </w:r>
      <w:r w:rsidRPr="00DB6EC8">
        <w:t xml:space="preserve"> (NEL) is the generation output within an area, accounting for electric energy imports from other areas and electric energy exports to other areas.</w:t>
      </w:r>
      <w:r w:rsidRPr="00DB6EC8">
        <w:rPr>
          <w:vertAlign w:val="superscript"/>
        </w:rPr>
        <w:footnoteReference w:id="72"/>
      </w:r>
      <w:r w:rsidRPr="00DB6EC8">
        <w:t xml:space="preserve"> It also accounts for system losses and excludes the electric energy used to operate pumped-storage hydroelectric plants. The compound annual growth rate (CAGR) for the ISO’s electric energy use is 0.9% for 2017 through 2026, 1.0% for the summer peak, and 0.6% for the winter peak.</w:t>
      </w:r>
      <w:r w:rsidRPr="00DB6EC8">
        <w:rPr>
          <w:sz w:val="22"/>
          <w:vertAlign w:val="superscript"/>
        </w:rPr>
        <w:footnoteReference w:id="73"/>
      </w:r>
      <w:r w:rsidRPr="00DB6EC8">
        <w:t xml:space="preserve"> The systemwide </w:t>
      </w:r>
      <w:r w:rsidRPr="00DB6EC8">
        <w:rPr>
          <w:i/>
        </w:rPr>
        <w:t>load factor</w:t>
      </w:r>
      <w:r w:rsidRPr="00DB6EC8">
        <w:t xml:space="preserve"> (</w:t>
      </w:r>
      <w:r w:rsidRPr="00DB6EC8">
        <w:rPr>
          <w:iCs/>
        </w:rPr>
        <w:t>i.e.</w:t>
      </w:r>
      <w:r w:rsidRPr="00DB6EC8">
        <w:t>, the ratio of the average hourly load during a year to peak hourly load) based on the 50/50 forecast declines over the forecast horizon, from 55.1% in 2017 to 54.7% in 2026.</w:t>
      </w:r>
    </w:p>
    <w:p w:rsidR="00DB6EC8" w:rsidRPr="00DB6EC8" w:rsidRDefault="00DB6EC8" w:rsidP="00DB6EC8">
      <w:pPr>
        <w:spacing w:after="200" w:line="276" w:lineRule="auto"/>
      </w:pPr>
      <w:r w:rsidRPr="00DB6EC8">
        <w:fldChar w:fldCharType="begin"/>
      </w:r>
      <w:r w:rsidRPr="00DB6EC8">
        <w:instrText xml:space="preserve"> REF _Ref387337830 \h  \* MERGEFORMAT </w:instrText>
      </w:r>
      <w:r w:rsidRPr="00DB6EC8">
        <w:fldChar w:fldCharType="separate"/>
      </w:r>
      <w:r w:rsidR="00314781" w:rsidRPr="003A5AFD">
        <w:t xml:space="preserve">Figure </w:t>
      </w:r>
      <w:r w:rsidR="00314781" w:rsidRPr="003A5AFD">
        <w:rPr>
          <w:noProof/>
        </w:rPr>
        <w:t>3</w:t>
      </w:r>
      <w:r w:rsidR="00314781" w:rsidRPr="003A5AFD">
        <w:rPr>
          <w:noProof/>
        </w:rPr>
        <w:noBreakHyphen/>
        <w:t>1</w:t>
      </w:r>
      <w:r w:rsidRPr="00DB6EC8">
        <w:fldChar w:fldCharType="end"/>
      </w:r>
      <w:r w:rsidRPr="00DB6EC8">
        <w:t xml:space="preserve"> shows the ISO’s actual gross summer peak demand (i.e., the load reconstituted to include the megawatt reduction attributable to ISO New England Operating Procedure No. 4 [OP 4], </w:t>
      </w:r>
      <w:r w:rsidRPr="00DB6EC8">
        <w:rPr>
          <w:i/>
        </w:rPr>
        <w:t>Action during a Capacity Deficiency</w:t>
      </w:r>
      <w:r w:rsidRPr="00DB6EC8">
        <w:t>, and FCM passive demand resources), the 50/50 gross load forecast, and the 90/10 gross load forecast.</w:t>
      </w:r>
      <w:r w:rsidRPr="00DB6EC8">
        <w:rPr>
          <w:vertAlign w:val="superscript"/>
        </w:rPr>
        <w:footnoteReference w:id="74"/>
      </w:r>
      <w:r w:rsidRPr="00DB6EC8">
        <w:t xml:space="preserve"> The actual gross load has been near or has exceeded the 90/10 forecast six times over the last 25 years because of hot and humid weather conditions, and it has been near or above the 50/50 gross forecast 11 times during the same period.</w:t>
      </w:r>
      <w:r w:rsidRPr="00DB6EC8">
        <w:rPr>
          <w:vertAlign w:val="superscript"/>
        </w:rPr>
        <w:footnoteReference w:id="75"/>
      </w:r>
      <w:r w:rsidRPr="00DB6EC8">
        <w:t xml:space="preserve"> </w:t>
      </w:r>
    </w:p>
    <w:p w:rsidR="0027191F" w:rsidRPr="00DB6EC8" w:rsidRDefault="0027191F" w:rsidP="00DB6EC8">
      <w:pPr>
        <w:keepNext/>
        <w:keepLines/>
        <w:spacing w:after="0" w:line="240" w:lineRule="auto"/>
        <w:jc w:val="center"/>
      </w:pPr>
      <w:r w:rsidRPr="0027191F">
        <w:rPr>
          <w:noProof/>
        </w:rPr>
        <w:lastRenderedPageBreak/>
        <w:drawing>
          <wp:inline distT="0" distB="0" distL="0" distR="0" wp14:anchorId="5DC1E044" wp14:editId="71C57FF8">
            <wp:extent cx="5001985" cy="3547544"/>
            <wp:effectExtent l="19050" t="19050" r="27305" b="1524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000740" cy="3546661"/>
                    </a:xfrm>
                    <a:prstGeom prst="rect">
                      <a:avLst/>
                    </a:prstGeom>
                    <a:noFill/>
                    <a:ln w="3175">
                      <a:solidFill>
                        <a:srgbClr val="000000"/>
                      </a:solidFill>
                    </a:ln>
                  </pic:spPr>
                </pic:pic>
              </a:graphicData>
            </a:graphic>
          </wp:inline>
        </w:drawing>
      </w:r>
    </w:p>
    <w:p w:rsidR="00DB6EC8" w:rsidRPr="00DB6EC8" w:rsidRDefault="00DB6EC8" w:rsidP="00DB6EC8">
      <w:pPr>
        <w:keepNext/>
        <w:keepLines/>
        <w:spacing w:before="120" w:after="80" w:line="240" w:lineRule="auto"/>
        <w:ind w:left="540" w:right="540"/>
        <w:rPr>
          <w:rFonts w:ascii="Calibri" w:hAnsi="Calibri"/>
          <w:b/>
          <w:bCs/>
          <w:szCs w:val="18"/>
        </w:rPr>
      </w:pPr>
      <w:bookmarkStart w:id="163" w:name="_Ref387337830"/>
      <w:bookmarkStart w:id="164" w:name="_Toc334601482"/>
      <w:bookmarkStart w:id="165" w:name="_Toc365440676"/>
      <w:bookmarkStart w:id="166" w:name="_Toc391985565"/>
      <w:bookmarkStart w:id="167" w:name="_Toc484957692"/>
      <w:bookmarkStart w:id="168" w:name="_Toc486233199"/>
      <w:r w:rsidRPr="00DB6EC8">
        <w:rPr>
          <w:rFonts w:ascii="Calibri" w:hAnsi="Calibri"/>
          <w:b/>
          <w:bCs/>
          <w:szCs w:val="18"/>
        </w:rPr>
        <w:t xml:space="preserve">Figure </w:t>
      </w:r>
      <w:r w:rsidRPr="00DB6EC8">
        <w:rPr>
          <w:rFonts w:ascii="Calibri" w:hAnsi="Calibri"/>
          <w:b/>
          <w:bCs/>
          <w:szCs w:val="18"/>
        </w:rPr>
        <w:fldChar w:fldCharType="begin"/>
      </w:r>
      <w:r w:rsidRPr="00DB6EC8">
        <w:rPr>
          <w:rFonts w:ascii="Calibri" w:hAnsi="Calibri"/>
          <w:b/>
          <w:bCs/>
          <w:szCs w:val="18"/>
        </w:rPr>
        <w:instrText xml:space="preserve"> STYLEREF 1 \s </w:instrText>
      </w:r>
      <w:r w:rsidRPr="00DB6EC8">
        <w:rPr>
          <w:rFonts w:ascii="Calibri" w:hAnsi="Calibri"/>
          <w:b/>
          <w:bCs/>
          <w:szCs w:val="18"/>
        </w:rPr>
        <w:fldChar w:fldCharType="separate"/>
      </w:r>
      <w:r w:rsidR="00314781">
        <w:rPr>
          <w:rFonts w:ascii="Calibri" w:hAnsi="Calibri"/>
          <w:b/>
          <w:bCs/>
          <w:noProof/>
          <w:szCs w:val="18"/>
        </w:rPr>
        <w:t>3</w:t>
      </w:r>
      <w:r w:rsidRPr="00DB6EC8">
        <w:rPr>
          <w:rFonts w:ascii="Calibri" w:hAnsi="Calibri"/>
          <w:b/>
          <w:bCs/>
          <w:szCs w:val="18"/>
        </w:rPr>
        <w:fldChar w:fldCharType="end"/>
      </w:r>
      <w:r w:rsidRPr="00DB6EC8">
        <w:rPr>
          <w:rFonts w:ascii="Calibri" w:hAnsi="Calibri"/>
          <w:b/>
          <w:bCs/>
          <w:szCs w:val="18"/>
        </w:rPr>
        <w:noBreakHyphen/>
      </w:r>
      <w:r w:rsidRPr="00DB6EC8">
        <w:rPr>
          <w:rFonts w:ascii="Calibri" w:hAnsi="Calibri"/>
          <w:b/>
          <w:bCs/>
          <w:szCs w:val="18"/>
        </w:rPr>
        <w:fldChar w:fldCharType="begin"/>
      </w:r>
      <w:r w:rsidRPr="00DB6EC8">
        <w:rPr>
          <w:rFonts w:ascii="Calibri" w:hAnsi="Calibri"/>
          <w:b/>
          <w:bCs/>
          <w:szCs w:val="18"/>
        </w:rPr>
        <w:instrText xml:space="preserve"> SEQ Figure \* ARABIC \s 1 </w:instrText>
      </w:r>
      <w:r w:rsidRPr="00DB6EC8">
        <w:rPr>
          <w:rFonts w:ascii="Calibri" w:hAnsi="Calibri"/>
          <w:b/>
          <w:bCs/>
          <w:szCs w:val="18"/>
        </w:rPr>
        <w:fldChar w:fldCharType="separate"/>
      </w:r>
      <w:r w:rsidR="00314781">
        <w:rPr>
          <w:rFonts w:ascii="Calibri" w:hAnsi="Calibri"/>
          <w:b/>
          <w:bCs/>
          <w:noProof/>
          <w:szCs w:val="18"/>
        </w:rPr>
        <w:t>1</w:t>
      </w:r>
      <w:r w:rsidRPr="00DB6EC8">
        <w:rPr>
          <w:rFonts w:ascii="Calibri" w:hAnsi="Calibri"/>
          <w:b/>
          <w:bCs/>
          <w:szCs w:val="18"/>
        </w:rPr>
        <w:fldChar w:fldCharType="end"/>
      </w:r>
      <w:bookmarkEnd w:id="163"/>
      <w:r w:rsidRPr="00DB6EC8">
        <w:rPr>
          <w:rFonts w:ascii="Calibri" w:hAnsi="Calibri"/>
          <w:b/>
          <w:bCs/>
          <w:szCs w:val="18"/>
        </w:rPr>
        <w:t>: The ISO’s actual summer peak loads (i.e., reconstituted to include the megawatt reductions from OP 4 actions, FCM passive demand resources, and BTM PV) and the 50/50 and 90/10 forecasts, 1992 to 2016 (MW).</w:t>
      </w:r>
      <w:bookmarkEnd w:id="164"/>
      <w:bookmarkEnd w:id="165"/>
      <w:bookmarkEnd w:id="166"/>
      <w:bookmarkEnd w:id="167"/>
      <w:bookmarkEnd w:id="168"/>
    </w:p>
    <w:p w:rsidR="00DB6EC8" w:rsidRPr="00DB6EC8" w:rsidRDefault="00DB6EC8" w:rsidP="00DB6EC8">
      <w:pPr>
        <w:keepNext/>
        <w:keepLines/>
        <w:spacing w:line="240" w:lineRule="auto"/>
        <w:ind w:left="540" w:right="540"/>
        <w:rPr>
          <w:rFonts w:ascii="Calibri" w:hAnsi="Calibri"/>
          <w:b/>
          <w:bCs/>
          <w:szCs w:val="18"/>
        </w:rPr>
      </w:pPr>
      <w:r w:rsidRPr="00DB6EC8">
        <w:rPr>
          <w:rFonts w:ascii="Calibri" w:hAnsi="Calibri"/>
          <w:b/>
          <w:sz w:val="16"/>
          <w:szCs w:val="16"/>
        </w:rPr>
        <w:t>Note</w:t>
      </w:r>
      <w:r w:rsidRPr="00DB6EC8">
        <w:rPr>
          <w:rFonts w:ascii="Calibri" w:hAnsi="Calibri"/>
          <w:sz w:val="16"/>
          <w:szCs w:val="16"/>
        </w:rPr>
        <w:t>: The forecasted load values are the first-year values of the CELT forecast for each year. For example, the forecasted loads for 2016 are the loads for the first year of the 2016 CELT Report.</w:t>
      </w:r>
      <w:r w:rsidRPr="00DB6EC8">
        <w:rPr>
          <w:rFonts w:ascii="Calibri" w:hAnsi="Calibri"/>
          <w:b/>
          <w:bCs/>
          <w:sz w:val="16"/>
          <w:szCs w:val="16"/>
        </w:rPr>
        <w:t xml:space="preserve"> </w:t>
      </w:r>
      <w:bookmarkStart w:id="169" w:name="_Toc334601015"/>
      <w:bookmarkStart w:id="170" w:name="_Toc365440984"/>
      <w:bookmarkStart w:id="171" w:name="_Ref385689858"/>
      <w:bookmarkStart w:id="172" w:name="_Ref388101172"/>
      <w:bookmarkStart w:id="173" w:name="_Ref390423729"/>
      <w:bookmarkStart w:id="174" w:name="_Toc396807608"/>
    </w:p>
    <w:p w:rsidR="00DB6EC8" w:rsidRPr="008A19F1" w:rsidRDefault="00DB6EC8" w:rsidP="00F0458F">
      <w:pPr>
        <w:pStyle w:val="Heading2"/>
      </w:pPr>
      <w:bookmarkStart w:id="175" w:name="_Ref387327848"/>
      <w:bookmarkStart w:id="176" w:name="_Toc396807611"/>
      <w:bookmarkStart w:id="177" w:name="_Toc484957891"/>
      <w:bookmarkStart w:id="178" w:name="_Toc490323016"/>
      <w:bookmarkEnd w:id="169"/>
      <w:bookmarkEnd w:id="170"/>
      <w:bookmarkEnd w:id="171"/>
      <w:bookmarkEnd w:id="172"/>
      <w:bookmarkEnd w:id="173"/>
      <w:bookmarkEnd w:id="174"/>
      <w:r w:rsidRPr="008A19F1">
        <w:t>Energy-Efficiency Forecast for New England</w:t>
      </w:r>
      <w:bookmarkEnd w:id="175"/>
      <w:bookmarkEnd w:id="176"/>
      <w:bookmarkEnd w:id="177"/>
      <w:bookmarkEnd w:id="178"/>
    </w:p>
    <w:p w:rsidR="00DB6EC8" w:rsidRPr="00DB6EC8" w:rsidRDefault="00DB6EC8" w:rsidP="00DB6EC8">
      <w:pPr>
        <w:spacing w:after="200" w:line="276" w:lineRule="auto"/>
      </w:pPr>
      <w:r w:rsidRPr="00DB6EC8">
        <w:t xml:space="preserve">The FCM provides the ISO with a comprehensive understanding of the savings in energy use over the FCM horizon. RSP17 uses qualified EE resources as a short-term projection of EE development for 2017 </w:t>
      </w:r>
      <w:r w:rsidRPr="005815C1">
        <w:t>through 2020. (See Section</w:t>
      </w:r>
      <w:r w:rsidR="00AB066D" w:rsidRPr="005815C1">
        <w:t xml:space="preserve"> </w:t>
      </w:r>
      <w:r w:rsidR="003A5AFD">
        <w:fldChar w:fldCharType="begin"/>
      </w:r>
      <w:r w:rsidR="003A5AFD">
        <w:instrText xml:space="preserve"> REF _Ref490324272 \r \h </w:instrText>
      </w:r>
      <w:r w:rsidR="003A5AFD">
        <w:fldChar w:fldCharType="separate"/>
      </w:r>
      <w:r w:rsidR="003A5AFD">
        <w:t>4.1.3</w:t>
      </w:r>
      <w:r w:rsidR="003A5AFD">
        <w:fldChar w:fldCharType="end"/>
      </w:r>
      <w:r w:rsidRPr="005815C1">
        <w:t xml:space="preserve"> for the summary of new capacity supply obligations [CSOs] for passive</w:t>
      </w:r>
      <w:r w:rsidRPr="00DB6EC8">
        <w:t xml:space="preserve"> demand resources, which may be different </w:t>
      </w:r>
      <w:r w:rsidR="00DF295A">
        <w:t>from</w:t>
      </w:r>
      <w:r w:rsidRPr="00DB6EC8">
        <w:t xml:space="preserve"> the qualified EE resources due to market considerations.)</w:t>
      </w:r>
      <w:r w:rsidR="00DF295A">
        <w:rPr>
          <w:rStyle w:val="FootnoteReference"/>
        </w:rPr>
        <w:footnoteReference w:id="76"/>
      </w:r>
      <w:r w:rsidRPr="00DB6EC8">
        <w:t xml:space="preserve"> The ISO’s regional energy-efficiency forecast, as summarized in this section for 2021 through 2026, is part of ongoing efforts to collect and analyze data in support of the long-term impacts of state-sponsored energy-efficiency programs on future demand.</w:t>
      </w:r>
      <w:r w:rsidRPr="00DB6EC8">
        <w:rPr>
          <w:vertAlign w:val="superscript"/>
        </w:rPr>
        <w:footnoteReference w:id="77"/>
      </w:r>
      <w:r w:rsidRPr="00DB6EC8">
        <w:t xml:space="preserve"> Individual program administrators and state regulatory agencies provide the ISO with the EE program performance and budget data used to </w:t>
      </w:r>
      <w:r w:rsidRPr="00DB6EC8">
        <w:lastRenderedPageBreak/>
        <w:t>create the forecast for 2021 to 2026. The ISO’s Energy-Efficiency Forecast Working Group assesses the forecast assumptions and offers input.</w:t>
      </w:r>
    </w:p>
    <w:p w:rsidR="00DB6EC8" w:rsidRPr="00DB6EC8" w:rsidRDefault="00DB6EC8" w:rsidP="00DB6EC8">
      <w:pPr>
        <w:keepNext/>
        <w:keepLines/>
        <w:spacing w:after="200" w:line="276" w:lineRule="auto"/>
      </w:pPr>
      <w:r w:rsidRPr="00DB6EC8">
        <w:t>The final EE forecast for 2021 to 2026 projects the growth of annual savings in the average, total, and peak energy use for the region and each state. The results, which are based on an average annual program spending rate among the six states of $1.194 billion per year, show that the regional annual average savings in energy use attributable to new energy-efficiency measures (i.e., not cumulative from EE savings before 2021) is 1,923 gigawatt-hours (GWh). The forecast for the total savings in energy use from the growth of EE projected for 2021 to 2026 is 11,537 GWh. The states’ growth of annual average savings in energy use ranges from a low of 57 GWh in New Hampshire to a high of 1,148 GWh in Massachusetts.</w:t>
      </w:r>
    </w:p>
    <w:p w:rsidR="00DB6EC8" w:rsidRPr="00DB6EC8" w:rsidRDefault="00DB6EC8" w:rsidP="00DB6EC8">
      <w:pPr>
        <w:keepNext/>
        <w:keepLines/>
        <w:spacing w:after="200" w:line="276" w:lineRule="auto"/>
      </w:pPr>
      <w:r w:rsidRPr="00DB6EC8">
        <w:fldChar w:fldCharType="begin"/>
      </w:r>
      <w:r w:rsidRPr="00DB6EC8">
        <w:instrText xml:space="preserve"> REF _Ref418237916 \h  \* MERGEFORMAT </w:instrText>
      </w:r>
      <w:r w:rsidRPr="00DB6EC8">
        <w:fldChar w:fldCharType="separate"/>
      </w:r>
      <w:r w:rsidR="00314781" w:rsidRPr="003A5AFD">
        <w:rPr>
          <w:bCs/>
          <w:szCs w:val="18"/>
        </w:rPr>
        <w:t xml:space="preserve">Table </w:t>
      </w:r>
      <w:r w:rsidR="00314781" w:rsidRPr="003A5AFD">
        <w:rPr>
          <w:bCs/>
          <w:noProof/>
          <w:szCs w:val="18"/>
        </w:rPr>
        <w:t>3</w:t>
      </w:r>
      <w:r w:rsidR="00314781" w:rsidRPr="003A5AFD">
        <w:rPr>
          <w:bCs/>
          <w:noProof/>
          <w:szCs w:val="18"/>
        </w:rPr>
        <w:noBreakHyphen/>
        <w:t>2</w:t>
      </w:r>
      <w:r w:rsidRPr="00DB6EC8">
        <w:fldChar w:fldCharType="end"/>
      </w:r>
      <w:r w:rsidRPr="00DB6EC8">
        <w:t xml:space="preserve"> shows the growth of regional passive demand resources and EE for 2017 through 2026. The ISO’s FCM-qualified EE resources are for 2017 to 2020, and the EE forecast is for 2021 to 2026. Over the entire forecast period, the regional annual peak demand is estimated to decrease by an average of 265 MW as a result of passive demand resources and energy efficiency. The forecast for the total decrease in summer peak demand attributable to </w:t>
      </w:r>
      <w:r w:rsidR="00A40BE1">
        <w:t xml:space="preserve">new </w:t>
      </w:r>
      <w:r w:rsidRPr="00DB6EC8">
        <w:t xml:space="preserve">PDRs and EE is 2,386 MW from 2017 to 2026. The states’ growth of the annual average savings in peak demand ranges from a low of 9 MW in New Hampshire to a high of 161 MW in Massachusetts. </w:t>
      </w:r>
    </w:p>
    <w:p w:rsidR="00DB6EC8" w:rsidRPr="00DB6EC8" w:rsidRDefault="00DB6EC8" w:rsidP="00DB6EC8">
      <w:pPr>
        <w:keepNext/>
        <w:keepLines/>
        <w:spacing w:after="120" w:line="240" w:lineRule="auto"/>
        <w:ind w:left="547" w:right="547"/>
        <w:jc w:val="center"/>
        <w:rPr>
          <w:rFonts w:ascii="Calibri" w:hAnsi="Calibri"/>
          <w:b/>
          <w:bCs/>
          <w:szCs w:val="18"/>
        </w:rPr>
      </w:pPr>
      <w:bookmarkStart w:id="179" w:name="_Ref418237916"/>
      <w:bookmarkStart w:id="180" w:name="_Toc484164907"/>
      <w:bookmarkStart w:id="181" w:name="_Toc491243998"/>
      <w:bookmarkStart w:id="182" w:name="_Ref325398910"/>
      <w:bookmarkStart w:id="183" w:name="_Toc330401253"/>
      <w:bookmarkStart w:id="184" w:name="_Toc334541926"/>
      <w:bookmarkStart w:id="185" w:name="_Toc334541963"/>
      <w:bookmarkStart w:id="186" w:name="_Toc365440701"/>
      <w:bookmarkStart w:id="187" w:name="_Toc391985599"/>
      <w:r w:rsidRPr="00DB6EC8">
        <w:rPr>
          <w:rFonts w:ascii="Calibri" w:hAnsi="Calibri"/>
          <w:b/>
          <w:bCs/>
          <w:szCs w:val="18"/>
        </w:rPr>
        <w:t xml:space="preserve">Table </w:t>
      </w:r>
      <w:r w:rsidR="00D95957">
        <w:rPr>
          <w:rFonts w:ascii="Calibri" w:hAnsi="Calibri"/>
          <w:b/>
          <w:bCs/>
          <w:szCs w:val="18"/>
        </w:rPr>
        <w:fldChar w:fldCharType="begin"/>
      </w:r>
      <w:r w:rsidR="00D95957">
        <w:rPr>
          <w:rFonts w:ascii="Calibri" w:hAnsi="Calibri"/>
          <w:b/>
          <w:bCs/>
          <w:szCs w:val="18"/>
        </w:rPr>
        <w:instrText xml:space="preserve"> STYLEREF 1 \s </w:instrText>
      </w:r>
      <w:r w:rsidR="00D95957">
        <w:rPr>
          <w:rFonts w:ascii="Calibri" w:hAnsi="Calibri"/>
          <w:b/>
          <w:bCs/>
          <w:szCs w:val="18"/>
        </w:rPr>
        <w:fldChar w:fldCharType="separate"/>
      </w:r>
      <w:r w:rsidR="00D95957">
        <w:rPr>
          <w:rFonts w:ascii="Calibri" w:hAnsi="Calibri"/>
          <w:b/>
          <w:bCs/>
          <w:noProof/>
          <w:szCs w:val="18"/>
        </w:rPr>
        <w:t>3</w:t>
      </w:r>
      <w:r w:rsidR="00D95957">
        <w:rPr>
          <w:rFonts w:ascii="Calibri" w:hAnsi="Calibri"/>
          <w:b/>
          <w:bCs/>
          <w:szCs w:val="18"/>
        </w:rPr>
        <w:fldChar w:fldCharType="end"/>
      </w:r>
      <w:r w:rsidR="00D95957">
        <w:rPr>
          <w:rFonts w:ascii="Calibri" w:hAnsi="Calibri"/>
          <w:b/>
          <w:bCs/>
          <w:szCs w:val="18"/>
        </w:rPr>
        <w:noBreakHyphen/>
      </w:r>
      <w:r w:rsidR="00D95957">
        <w:rPr>
          <w:rFonts w:ascii="Calibri" w:hAnsi="Calibri"/>
          <w:b/>
          <w:bCs/>
          <w:szCs w:val="18"/>
        </w:rPr>
        <w:fldChar w:fldCharType="begin"/>
      </w:r>
      <w:r w:rsidR="00D95957">
        <w:rPr>
          <w:rFonts w:ascii="Calibri" w:hAnsi="Calibri"/>
          <w:b/>
          <w:bCs/>
          <w:szCs w:val="18"/>
        </w:rPr>
        <w:instrText xml:space="preserve"> SEQ Table \* ARABIC \s 1 </w:instrText>
      </w:r>
      <w:r w:rsidR="00D95957">
        <w:rPr>
          <w:rFonts w:ascii="Calibri" w:hAnsi="Calibri"/>
          <w:b/>
          <w:bCs/>
          <w:szCs w:val="18"/>
        </w:rPr>
        <w:fldChar w:fldCharType="separate"/>
      </w:r>
      <w:r w:rsidR="00D95957">
        <w:rPr>
          <w:rFonts w:ascii="Calibri" w:hAnsi="Calibri"/>
          <w:b/>
          <w:bCs/>
          <w:noProof/>
          <w:szCs w:val="18"/>
        </w:rPr>
        <w:t>2</w:t>
      </w:r>
      <w:r w:rsidR="00D95957">
        <w:rPr>
          <w:rFonts w:ascii="Calibri" w:hAnsi="Calibri"/>
          <w:b/>
          <w:bCs/>
          <w:szCs w:val="18"/>
        </w:rPr>
        <w:fldChar w:fldCharType="end"/>
      </w:r>
      <w:bookmarkEnd w:id="179"/>
      <w:r w:rsidRPr="00DB6EC8">
        <w:rPr>
          <w:rFonts w:ascii="Calibri" w:hAnsi="Calibri"/>
          <w:b/>
          <w:bCs/>
          <w:szCs w:val="18"/>
        </w:rPr>
        <w:t xml:space="preserve"> </w:t>
      </w:r>
      <w:r w:rsidRPr="00DB6EC8">
        <w:rPr>
          <w:rFonts w:ascii="Calibri" w:hAnsi="Calibri"/>
          <w:b/>
          <w:bCs/>
          <w:szCs w:val="18"/>
        </w:rPr>
        <w:br/>
        <w:t xml:space="preserve">Summary of PDR and EE Forecast Annual Electric Energy Savings and Peak Demand Reductions </w:t>
      </w:r>
      <w:r w:rsidRPr="00DB6EC8">
        <w:rPr>
          <w:rFonts w:ascii="Calibri" w:hAnsi="Calibri"/>
          <w:b/>
          <w:bCs/>
          <w:szCs w:val="18"/>
        </w:rPr>
        <w:br/>
        <w:t>for New England and the States, 2017 and 2026 (GWh, MW)</w:t>
      </w:r>
      <w:bookmarkEnd w:id="180"/>
      <w:bookmarkEnd w:id="181"/>
    </w:p>
    <w:tbl>
      <w:tblPr>
        <w:tblStyle w:val="TableGrid6"/>
        <w:tblW w:w="0" w:type="auto"/>
        <w:jc w:val="center"/>
        <w:tblLayout w:type="fixed"/>
        <w:tblLook w:val="04A0" w:firstRow="1" w:lastRow="0" w:firstColumn="1" w:lastColumn="0" w:noHBand="0" w:noVBand="1"/>
      </w:tblPr>
      <w:tblGrid>
        <w:gridCol w:w="1050"/>
        <w:gridCol w:w="776"/>
        <w:gridCol w:w="777"/>
        <w:gridCol w:w="776"/>
        <w:gridCol w:w="777"/>
        <w:gridCol w:w="776"/>
        <w:gridCol w:w="777"/>
        <w:gridCol w:w="776"/>
        <w:gridCol w:w="777"/>
        <w:gridCol w:w="777"/>
      </w:tblGrid>
      <w:tr w:rsidR="00DB6EC8" w:rsidRPr="00DB6EC8" w:rsidTr="00DB6EC8">
        <w:trPr>
          <w:trHeight w:val="829"/>
          <w:jc w:val="center"/>
        </w:trPr>
        <w:tc>
          <w:tcPr>
            <w:tcW w:w="1050" w:type="dxa"/>
            <w:vMerge w:val="restart"/>
            <w:shd w:val="clear" w:color="auto" w:fill="1795D2" w:themeFill="accent1"/>
            <w:noWrap/>
            <w:tcMar>
              <w:left w:w="29" w:type="dxa"/>
              <w:right w:w="29" w:type="dxa"/>
            </w:tcMar>
            <w:vAlign w:val="center"/>
            <w:hideMark/>
          </w:tcPr>
          <w:p w:rsidR="00DB6EC8" w:rsidRPr="00DB6EC8" w:rsidRDefault="00DB6EC8" w:rsidP="00DB6EC8">
            <w:pPr>
              <w:spacing w:after="0" w:line="240" w:lineRule="auto"/>
              <w:jc w:val="center"/>
              <w:rPr>
                <w:rFonts w:asciiTheme="minorHAnsi" w:hAnsiTheme="minorHAnsi"/>
                <w:b/>
                <w:color w:val="FFFFFF" w:themeColor="background1"/>
                <w:sz w:val="18"/>
                <w:szCs w:val="18"/>
              </w:rPr>
            </w:pPr>
            <w:bookmarkStart w:id="188" w:name="_Toc418353127"/>
            <w:r w:rsidRPr="00DB6EC8">
              <w:rPr>
                <w:rFonts w:asciiTheme="minorHAnsi" w:hAnsiTheme="minorHAnsi"/>
                <w:b/>
                <w:color w:val="FFFFFF" w:themeColor="background1"/>
                <w:sz w:val="18"/>
                <w:szCs w:val="18"/>
              </w:rPr>
              <w:t>State</w:t>
            </w:r>
            <w:bookmarkEnd w:id="188"/>
          </w:p>
        </w:tc>
        <w:tc>
          <w:tcPr>
            <w:tcW w:w="2329" w:type="dxa"/>
            <w:gridSpan w:val="3"/>
            <w:shd w:val="clear" w:color="auto" w:fill="1795D2" w:themeFill="accent1"/>
            <w:noWrap/>
            <w:tcMar>
              <w:left w:w="29" w:type="dxa"/>
              <w:right w:w="29" w:type="dxa"/>
            </w:tcMar>
            <w:vAlign w:val="center"/>
            <w:hideMark/>
          </w:tcPr>
          <w:p w:rsidR="00DB6EC8" w:rsidRPr="00DB6EC8" w:rsidRDefault="00DB6EC8" w:rsidP="00DB6EC8">
            <w:pPr>
              <w:spacing w:after="0" w:line="240" w:lineRule="auto"/>
              <w:jc w:val="center"/>
              <w:rPr>
                <w:rFonts w:asciiTheme="minorHAnsi" w:hAnsiTheme="minorHAnsi"/>
                <w:b/>
                <w:bCs/>
                <w:color w:val="FFFFFF" w:themeColor="background1"/>
                <w:sz w:val="18"/>
                <w:szCs w:val="18"/>
              </w:rPr>
            </w:pPr>
            <w:bookmarkStart w:id="189" w:name="_Toc418353128"/>
            <w:r w:rsidRPr="00DB6EC8">
              <w:rPr>
                <w:rFonts w:asciiTheme="minorHAnsi" w:hAnsiTheme="minorHAnsi"/>
                <w:b/>
                <w:bCs/>
                <w:color w:val="FFFFFF" w:themeColor="background1"/>
                <w:sz w:val="18"/>
                <w:szCs w:val="18"/>
              </w:rPr>
              <w:t>Annual Energy Savings</w:t>
            </w:r>
          </w:p>
          <w:bookmarkEnd w:id="189"/>
          <w:p w:rsidR="00DB6EC8" w:rsidRPr="00DB6EC8" w:rsidRDefault="00DB6EC8" w:rsidP="00DB6EC8">
            <w:pPr>
              <w:spacing w:after="0" w:line="240" w:lineRule="auto"/>
              <w:jc w:val="center"/>
              <w:rPr>
                <w:rFonts w:asciiTheme="minorHAnsi" w:hAnsiTheme="minorHAnsi"/>
                <w:b/>
                <w:bCs/>
                <w:color w:val="FFFFFF" w:themeColor="background1"/>
                <w:sz w:val="18"/>
                <w:szCs w:val="18"/>
              </w:rPr>
            </w:pPr>
            <w:r w:rsidRPr="00DB6EC8">
              <w:rPr>
                <w:rFonts w:asciiTheme="minorHAnsi" w:hAnsiTheme="minorHAnsi"/>
                <w:b/>
                <w:bCs/>
                <w:color w:val="FFFFFF" w:themeColor="background1"/>
                <w:sz w:val="18"/>
                <w:szCs w:val="18"/>
              </w:rPr>
              <w:t>(GWh)</w:t>
            </w:r>
          </w:p>
        </w:tc>
        <w:tc>
          <w:tcPr>
            <w:tcW w:w="2330" w:type="dxa"/>
            <w:gridSpan w:val="3"/>
            <w:shd w:val="clear" w:color="auto" w:fill="1795D2" w:themeFill="accent1"/>
            <w:noWrap/>
            <w:tcMar>
              <w:left w:w="29" w:type="dxa"/>
              <w:right w:w="29" w:type="dxa"/>
            </w:tcMar>
            <w:vAlign w:val="center"/>
            <w:hideMark/>
          </w:tcPr>
          <w:p w:rsidR="00DB6EC8" w:rsidRPr="00DB6EC8" w:rsidRDefault="00DB6EC8" w:rsidP="00DB6EC8">
            <w:pPr>
              <w:spacing w:after="0" w:line="240" w:lineRule="auto"/>
              <w:jc w:val="center"/>
              <w:rPr>
                <w:rFonts w:asciiTheme="minorHAnsi" w:hAnsiTheme="minorHAnsi"/>
                <w:b/>
                <w:bCs/>
                <w:color w:val="FFFFFF" w:themeColor="background1"/>
                <w:sz w:val="18"/>
                <w:szCs w:val="18"/>
              </w:rPr>
            </w:pPr>
            <w:bookmarkStart w:id="190" w:name="_Toc418353129"/>
            <w:r w:rsidRPr="00DB6EC8">
              <w:rPr>
                <w:rFonts w:asciiTheme="minorHAnsi" w:hAnsiTheme="minorHAnsi"/>
                <w:b/>
                <w:bCs/>
                <w:color w:val="FFFFFF" w:themeColor="background1"/>
                <w:sz w:val="18"/>
                <w:szCs w:val="18"/>
              </w:rPr>
              <w:t>Summer Peak Demand Reductions</w:t>
            </w:r>
          </w:p>
          <w:bookmarkEnd w:id="190"/>
          <w:p w:rsidR="00DB6EC8" w:rsidRPr="00DB6EC8" w:rsidRDefault="00DB6EC8" w:rsidP="00DB6EC8">
            <w:pPr>
              <w:spacing w:after="0" w:line="240" w:lineRule="auto"/>
              <w:jc w:val="center"/>
              <w:rPr>
                <w:rFonts w:asciiTheme="minorHAnsi" w:hAnsiTheme="minorHAnsi"/>
                <w:b/>
                <w:bCs/>
                <w:color w:val="FFFFFF" w:themeColor="background1"/>
                <w:sz w:val="18"/>
                <w:szCs w:val="18"/>
              </w:rPr>
            </w:pPr>
            <w:r w:rsidRPr="00DB6EC8">
              <w:rPr>
                <w:rFonts w:asciiTheme="minorHAnsi" w:hAnsiTheme="minorHAnsi"/>
                <w:b/>
                <w:bCs/>
                <w:color w:val="FFFFFF" w:themeColor="background1"/>
                <w:sz w:val="18"/>
                <w:szCs w:val="18"/>
              </w:rPr>
              <w:t>(MW)</w:t>
            </w:r>
          </w:p>
        </w:tc>
        <w:tc>
          <w:tcPr>
            <w:tcW w:w="2330" w:type="dxa"/>
            <w:gridSpan w:val="3"/>
            <w:shd w:val="clear" w:color="auto" w:fill="1795D2" w:themeFill="accent1"/>
            <w:noWrap/>
            <w:tcMar>
              <w:left w:w="29" w:type="dxa"/>
              <w:right w:w="29" w:type="dxa"/>
            </w:tcMar>
            <w:vAlign w:val="center"/>
            <w:hideMark/>
          </w:tcPr>
          <w:p w:rsidR="00DB6EC8" w:rsidRPr="00DB6EC8" w:rsidRDefault="00DB6EC8" w:rsidP="00DB6EC8">
            <w:pPr>
              <w:spacing w:after="0" w:line="240" w:lineRule="auto"/>
              <w:jc w:val="center"/>
              <w:rPr>
                <w:rFonts w:asciiTheme="minorHAnsi" w:hAnsiTheme="minorHAnsi"/>
                <w:b/>
                <w:bCs/>
                <w:color w:val="FFFFFF" w:themeColor="background1"/>
                <w:sz w:val="18"/>
                <w:szCs w:val="18"/>
              </w:rPr>
            </w:pPr>
            <w:bookmarkStart w:id="191" w:name="_Toc418353130"/>
            <w:r w:rsidRPr="00DB6EC8">
              <w:rPr>
                <w:rFonts w:asciiTheme="minorHAnsi" w:hAnsiTheme="minorHAnsi"/>
                <w:b/>
                <w:bCs/>
                <w:color w:val="FFFFFF" w:themeColor="background1"/>
                <w:sz w:val="18"/>
                <w:szCs w:val="18"/>
              </w:rPr>
              <w:t>Winter Peak Demand Reductions</w:t>
            </w:r>
          </w:p>
          <w:bookmarkEnd w:id="191"/>
          <w:p w:rsidR="00DB6EC8" w:rsidRPr="00DB6EC8" w:rsidRDefault="00DB6EC8" w:rsidP="002F3E20">
            <w:pPr>
              <w:spacing w:after="0" w:line="240" w:lineRule="auto"/>
              <w:jc w:val="center"/>
              <w:rPr>
                <w:rFonts w:asciiTheme="minorHAnsi" w:hAnsiTheme="minorHAnsi"/>
                <w:b/>
                <w:bCs/>
                <w:color w:val="FFFFFF" w:themeColor="background1"/>
                <w:sz w:val="18"/>
                <w:szCs w:val="18"/>
              </w:rPr>
            </w:pPr>
            <w:r w:rsidRPr="00DB6EC8">
              <w:rPr>
                <w:rFonts w:asciiTheme="minorHAnsi" w:hAnsiTheme="minorHAnsi"/>
                <w:b/>
                <w:bCs/>
                <w:color w:val="FFFFFF" w:themeColor="background1"/>
                <w:sz w:val="18"/>
                <w:szCs w:val="18"/>
              </w:rPr>
              <w:t>(MW)</w:t>
            </w:r>
          </w:p>
        </w:tc>
      </w:tr>
      <w:tr w:rsidR="00DB6EC8" w:rsidRPr="00DB6EC8" w:rsidTr="00DB6EC8">
        <w:trPr>
          <w:trHeight w:val="312"/>
          <w:jc w:val="center"/>
        </w:trPr>
        <w:tc>
          <w:tcPr>
            <w:tcW w:w="1050" w:type="dxa"/>
            <w:vMerge/>
            <w:shd w:val="clear" w:color="auto" w:fill="1795D2" w:themeFill="accent1"/>
            <w:noWrap/>
            <w:tcMar>
              <w:left w:w="29" w:type="dxa"/>
              <w:right w:w="29" w:type="dxa"/>
            </w:tcMar>
            <w:vAlign w:val="center"/>
            <w:hideMark/>
          </w:tcPr>
          <w:p w:rsidR="00DB6EC8" w:rsidRPr="00DB6EC8" w:rsidRDefault="00DB6EC8" w:rsidP="00DB6EC8">
            <w:pPr>
              <w:spacing w:after="0" w:line="240" w:lineRule="auto"/>
              <w:jc w:val="center"/>
              <w:rPr>
                <w:rFonts w:asciiTheme="minorHAnsi" w:hAnsiTheme="minorHAnsi"/>
                <w:color w:val="FFFFFF" w:themeColor="background1"/>
                <w:sz w:val="18"/>
                <w:szCs w:val="18"/>
              </w:rPr>
            </w:pPr>
          </w:p>
        </w:tc>
        <w:tc>
          <w:tcPr>
            <w:tcW w:w="776" w:type="dxa"/>
            <w:shd w:val="clear" w:color="auto" w:fill="1795D2" w:themeFill="accent1"/>
            <w:noWrap/>
            <w:tcMar>
              <w:left w:w="29" w:type="dxa"/>
              <w:right w:w="29" w:type="dxa"/>
            </w:tcMar>
            <w:vAlign w:val="center"/>
            <w:hideMark/>
          </w:tcPr>
          <w:p w:rsidR="00DB6EC8" w:rsidRPr="00DB6EC8" w:rsidRDefault="00DB6EC8" w:rsidP="00DB6EC8">
            <w:pPr>
              <w:spacing w:after="0" w:line="240" w:lineRule="auto"/>
              <w:jc w:val="center"/>
              <w:rPr>
                <w:rFonts w:asciiTheme="minorHAnsi" w:hAnsiTheme="minorHAnsi"/>
                <w:b/>
                <w:bCs/>
                <w:color w:val="FFFFFF" w:themeColor="background1"/>
                <w:sz w:val="18"/>
                <w:szCs w:val="18"/>
              </w:rPr>
            </w:pPr>
            <w:r w:rsidRPr="00DB6EC8">
              <w:rPr>
                <w:rFonts w:asciiTheme="minorHAnsi" w:hAnsiTheme="minorHAnsi"/>
                <w:b/>
                <w:bCs/>
                <w:color w:val="FFFFFF" w:themeColor="background1"/>
                <w:sz w:val="18"/>
                <w:szCs w:val="18"/>
              </w:rPr>
              <w:t>2017</w:t>
            </w:r>
          </w:p>
        </w:tc>
        <w:tc>
          <w:tcPr>
            <w:tcW w:w="777" w:type="dxa"/>
            <w:shd w:val="clear" w:color="auto" w:fill="1795D2" w:themeFill="accent1"/>
            <w:noWrap/>
            <w:tcMar>
              <w:left w:w="29" w:type="dxa"/>
              <w:right w:w="29" w:type="dxa"/>
            </w:tcMar>
            <w:vAlign w:val="center"/>
            <w:hideMark/>
          </w:tcPr>
          <w:p w:rsidR="00DB6EC8" w:rsidRPr="00DB6EC8" w:rsidRDefault="00DB6EC8" w:rsidP="00DB6EC8">
            <w:pPr>
              <w:spacing w:after="0" w:line="240" w:lineRule="auto"/>
              <w:jc w:val="center"/>
              <w:rPr>
                <w:rFonts w:asciiTheme="minorHAnsi" w:hAnsiTheme="minorHAnsi"/>
                <w:b/>
                <w:bCs/>
                <w:color w:val="FFFFFF" w:themeColor="background1"/>
                <w:sz w:val="18"/>
                <w:szCs w:val="18"/>
              </w:rPr>
            </w:pPr>
            <w:r w:rsidRPr="00DB6EC8">
              <w:rPr>
                <w:rFonts w:asciiTheme="minorHAnsi" w:hAnsiTheme="minorHAnsi"/>
                <w:b/>
                <w:bCs/>
                <w:color w:val="FFFFFF" w:themeColor="background1"/>
                <w:sz w:val="18"/>
                <w:szCs w:val="18"/>
              </w:rPr>
              <w:t>2026</w:t>
            </w:r>
          </w:p>
        </w:tc>
        <w:tc>
          <w:tcPr>
            <w:tcW w:w="776" w:type="dxa"/>
            <w:shd w:val="clear" w:color="auto" w:fill="1795D2" w:themeFill="accent1"/>
            <w:noWrap/>
            <w:tcMar>
              <w:left w:w="29" w:type="dxa"/>
              <w:right w:w="29" w:type="dxa"/>
            </w:tcMar>
            <w:vAlign w:val="center"/>
            <w:hideMark/>
          </w:tcPr>
          <w:p w:rsidR="00DB6EC8" w:rsidRPr="00DB6EC8" w:rsidRDefault="00DB6EC8" w:rsidP="00DB6EC8">
            <w:pPr>
              <w:spacing w:after="0" w:line="240" w:lineRule="auto"/>
              <w:jc w:val="center"/>
              <w:rPr>
                <w:rFonts w:asciiTheme="minorHAnsi" w:hAnsiTheme="minorHAnsi"/>
                <w:b/>
                <w:bCs/>
                <w:color w:val="FFFFFF" w:themeColor="background1"/>
                <w:sz w:val="18"/>
                <w:szCs w:val="18"/>
              </w:rPr>
            </w:pPr>
            <w:r w:rsidRPr="00DB6EC8">
              <w:rPr>
                <w:rFonts w:asciiTheme="minorHAnsi" w:hAnsiTheme="minorHAnsi"/>
                <w:b/>
                <w:bCs/>
                <w:color w:val="FFFFFF" w:themeColor="background1"/>
                <w:sz w:val="18"/>
                <w:szCs w:val="18"/>
              </w:rPr>
              <w:t>CAGR</w:t>
            </w:r>
            <w:r w:rsidRPr="00DB6EC8">
              <w:rPr>
                <w:rFonts w:asciiTheme="minorHAnsi" w:hAnsiTheme="minorHAnsi"/>
                <w:b/>
                <w:bCs/>
                <w:color w:val="FFFFFF" w:themeColor="background1"/>
                <w:sz w:val="18"/>
                <w:szCs w:val="18"/>
                <w:vertAlign w:val="superscript"/>
              </w:rPr>
              <w:t>(a)</w:t>
            </w:r>
          </w:p>
        </w:tc>
        <w:tc>
          <w:tcPr>
            <w:tcW w:w="777" w:type="dxa"/>
            <w:shd w:val="clear" w:color="auto" w:fill="1795D2" w:themeFill="accent1"/>
            <w:noWrap/>
            <w:tcMar>
              <w:left w:w="29" w:type="dxa"/>
              <w:right w:w="29" w:type="dxa"/>
            </w:tcMar>
            <w:vAlign w:val="center"/>
            <w:hideMark/>
          </w:tcPr>
          <w:p w:rsidR="00DB6EC8" w:rsidRPr="00DB6EC8" w:rsidRDefault="00DB6EC8" w:rsidP="00DB6EC8">
            <w:pPr>
              <w:spacing w:after="0" w:line="240" w:lineRule="auto"/>
              <w:jc w:val="center"/>
              <w:rPr>
                <w:rFonts w:asciiTheme="minorHAnsi" w:hAnsiTheme="minorHAnsi"/>
                <w:b/>
                <w:bCs/>
                <w:color w:val="FFFFFF" w:themeColor="background1"/>
                <w:sz w:val="18"/>
                <w:szCs w:val="18"/>
              </w:rPr>
            </w:pPr>
            <w:r w:rsidRPr="00DB6EC8">
              <w:rPr>
                <w:rFonts w:asciiTheme="minorHAnsi" w:hAnsiTheme="minorHAnsi"/>
                <w:b/>
                <w:bCs/>
                <w:color w:val="FFFFFF" w:themeColor="background1"/>
                <w:sz w:val="18"/>
                <w:szCs w:val="18"/>
              </w:rPr>
              <w:t>2017</w:t>
            </w:r>
          </w:p>
        </w:tc>
        <w:tc>
          <w:tcPr>
            <w:tcW w:w="776" w:type="dxa"/>
            <w:shd w:val="clear" w:color="auto" w:fill="1795D2" w:themeFill="accent1"/>
            <w:noWrap/>
            <w:tcMar>
              <w:left w:w="29" w:type="dxa"/>
              <w:right w:w="29" w:type="dxa"/>
            </w:tcMar>
            <w:vAlign w:val="center"/>
            <w:hideMark/>
          </w:tcPr>
          <w:p w:rsidR="00DB6EC8" w:rsidRPr="00DB6EC8" w:rsidRDefault="00DB6EC8" w:rsidP="00DB6EC8">
            <w:pPr>
              <w:spacing w:after="0" w:line="240" w:lineRule="auto"/>
              <w:jc w:val="center"/>
              <w:rPr>
                <w:rFonts w:asciiTheme="minorHAnsi" w:hAnsiTheme="minorHAnsi"/>
                <w:b/>
                <w:bCs/>
                <w:color w:val="FFFFFF" w:themeColor="background1"/>
                <w:sz w:val="18"/>
                <w:szCs w:val="18"/>
              </w:rPr>
            </w:pPr>
            <w:r w:rsidRPr="00DB6EC8">
              <w:rPr>
                <w:rFonts w:asciiTheme="minorHAnsi" w:hAnsiTheme="minorHAnsi"/>
                <w:b/>
                <w:bCs/>
                <w:color w:val="FFFFFF" w:themeColor="background1"/>
                <w:sz w:val="18"/>
                <w:szCs w:val="18"/>
              </w:rPr>
              <w:t>2026</w:t>
            </w:r>
          </w:p>
        </w:tc>
        <w:tc>
          <w:tcPr>
            <w:tcW w:w="777" w:type="dxa"/>
            <w:shd w:val="clear" w:color="auto" w:fill="1795D2" w:themeFill="accent1"/>
            <w:noWrap/>
            <w:tcMar>
              <w:left w:w="29" w:type="dxa"/>
              <w:right w:w="29" w:type="dxa"/>
            </w:tcMar>
            <w:vAlign w:val="center"/>
            <w:hideMark/>
          </w:tcPr>
          <w:p w:rsidR="00DB6EC8" w:rsidRPr="00DB6EC8" w:rsidRDefault="00DB6EC8" w:rsidP="00DB6EC8">
            <w:pPr>
              <w:spacing w:after="0" w:line="240" w:lineRule="auto"/>
              <w:jc w:val="center"/>
              <w:rPr>
                <w:rFonts w:asciiTheme="minorHAnsi" w:hAnsiTheme="minorHAnsi"/>
                <w:b/>
                <w:bCs/>
                <w:color w:val="FFFFFF" w:themeColor="background1"/>
                <w:sz w:val="18"/>
                <w:szCs w:val="18"/>
              </w:rPr>
            </w:pPr>
            <w:r w:rsidRPr="00DB6EC8">
              <w:rPr>
                <w:rFonts w:asciiTheme="minorHAnsi" w:hAnsiTheme="minorHAnsi"/>
                <w:b/>
                <w:bCs/>
                <w:color w:val="FFFFFF" w:themeColor="background1"/>
                <w:sz w:val="18"/>
                <w:szCs w:val="18"/>
              </w:rPr>
              <w:t>CAGR</w:t>
            </w:r>
            <w:r w:rsidRPr="00DB6EC8">
              <w:rPr>
                <w:rFonts w:asciiTheme="minorHAnsi" w:hAnsiTheme="minorHAnsi"/>
                <w:b/>
                <w:bCs/>
                <w:color w:val="FFFFFF" w:themeColor="background1"/>
                <w:sz w:val="18"/>
                <w:szCs w:val="18"/>
                <w:vertAlign w:val="superscript"/>
              </w:rPr>
              <w:t>(a)</w:t>
            </w:r>
          </w:p>
        </w:tc>
        <w:tc>
          <w:tcPr>
            <w:tcW w:w="776" w:type="dxa"/>
            <w:shd w:val="clear" w:color="auto" w:fill="1795D2" w:themeFill="accent1"/>
            <w:noWrap/>
            <w:tcMar>
              <w:left w:w="29" w:type="dxa"/>
              <w:right w:w="29" w:type="dxa"/>
            </w:tcMar>
            <w:vAlign w:val="center"/>
            <w:hideMark/>
          </w:tcPr>
          <w:p w:rsidR="00DB6EC8" w:rsidRPr="00DB6EC8" w:rsidRDefault="00DB6EC8" w:rsidP="00DB6EC8">
            <w:pPr>
              <w:spacing w:after="0" w:line="240" w:lineRule="auto"/>
              <w:jc w:val="center"/>
              <w:rPr>
                <w:rFonts w:asciiTheme="minorHAnsi" w:hAnsiTheme="minorHAnsi"/>
                <w:b/>
                <w:bCs/>
                <w:color w:val="FFFFFF" w:themeColor="background1"/>
                <w:sz w:val="18"/>
                <w:szCs w:val="18"/>
              </w:rPr>
            </w:pPr>
            <w:r w:rsidRPr="00DB6EC8">
              <w:rPr>
                <w:rFonts w:asciiTheme="minorHAnsi" w:hAnsiTheme="minorHAnsi"/>
                <w:b/>
                <w:bCs/>
                <w:color w:val="FFFFFF" w:themeColor="background1"/>
                <w:sz w:val="18"/>
                <w:szCs w:val="18"/>
              </w:rPr>
              <w:t>2017</w:t>
            </w:r>
          </w:p>
        </w:tc>
        <w:tc>
          <w:tcPr>
            <w:tcW w:w="777" w:type="dxa"/>
            <w:shd w:val="clear" w:color="auto" w:fill="1795D2" w:themeFill="accent1"/>
            <w:noWrap/>
            <w:tcMar>
              <w:left w:w="29" w:type="dxa"/>
              <w:right w:w="29" w:type="dxa"/>
            </w:tcMar>
            <w:vAlign w:val="center"/>
            <w:hideMark/>
          </w:tcPr>
          <w:p w:rsidR="00DB6EC8" w:rsidRPr="00DB6EC8" w:rsidRDefault="00DB6EC8" w:rsidP="00DB6EC8">
            <w:pPr>
              <w:spacing w:after="0" w:line="240" w:lineRule="auto"/>
              <w:jc w:val="center"/>
              <w:rPr>
                <w:rFonts w:asciiTheme="minorHAnsi" w:hAnsiTheme="minorHAnsi"/>
                <w:b/>
                <w:bCs/>
                <w:color w:val="FFFFFF" w:themeColor="background1"/>
                <w:sz w:val="18"/>
                <w:szCs w:val="18"/>
              </w:rPr>
            </w:pPr>
            <w:r w:rsidRPr="00DB6EC8">
              <w:rPr>
                <w:rFonts w:asciiTheme="minorHAnsi" w:hAnsiTheme="minorHAnsi"/>
                <w:b/>
                <w:bCs/>
                <w:color w:val="FFFFFF" w:themeColor="background1"/>
                <w:sz w:val="18"/>
                <w:szCs w:val="18"/>
              </w:rPr>
              <w:t>2026</w:t>
            </w:r>
          </w:p>
        </w:tc>
        <w:tc>
          <w:tcPr>
            <w:tcW w:w="777" w:type="dxa"/>
            <w:shd w:val="clear" w:color="auto" w:fill="1795D2" w:themeFill="accent1"/>
            <w:noWrap/>
            <w:tcMar>
              <w:left w:w="29" w:type="dxa"/>
              <w:right w:w="29" w:type="dxa"/>
            </w:tcMar>
            <w:vAlign w:val="center"/>
            <w:hideMark/>
          </w:tcPr>
          <w:p w:rsidR="00DB6EC8" w:rsidRPr="00DB6EC8" w:rsidRDefault="00DB6EC8" w:rsidP="00DB6EC8">
            <w:pPr>
              <w:spacing w:after="0" w:line="240" w:lineRule="auto"/>
              <w:jc w:val="center"/>
              <w:rPr>
                <w:rFonts w:asciiTheme="minorHAnsi" w:hAnsiTheme="minorHAnsi"/>
                <w:b/>
                <w:bCs/>
                <w:color w:val="FFFFFF" w:themeColor="background1"/>
                <w:sz w:val="18"/>
                <w:szCs w:val="18"/>
              </w:rPr>
            </w:pPr>
            <w:r w:rsidRPr="00DB6EC8">
              <w:rPr>
                <w:rFonts w:asciiTheme="minorHAnsi" w:hAnsiTheme="minorHAnsi"/>
                <w:b/>
                <w:bCs/>
                <w:color w:val="FFFFFF" w:themeColor="background1"/>
                <w:sz w:val="18"/>
                <w:szCs w:val="18"/>
              </w:rPr>
              <w:t>CAGR</w:t>
            </w:r>
            <w:r w:rsidRPr="00DB6EC8">
              <w:rPr>
                <w:rFonts w:asciiTheme="minorHAnsi" w:hAnsiTheme="minorHAnsi"/>
                <w:b/>
                <w:bCs/>
                <w:color w:val="FFFFFF" w:themeColor="background1"/>
                <w:sz w:val="18"/>
                <w:szCs w:val="18"/>
                <w:vertAlign w:val="superscript"/>
              </w:rPr>
              <w:t>(a)</w:t>
            </w:r>
          </w:p>
        </w:tc>
      </w:tr>
      <w:tr w:rsidR="00DB6EC8" w:rsidRPr="00DB6EC8" w:rsidTr="00DB6EC8">
        <w:trPr>
          <w:trHeight w:val="312"/>
          <w:jc w:val="center"/>
        </w:trPr>
        <w:tc>
          <w:tcPr>
            <w:tcW w:w="1050" w:type="dxa"/>
            <w:noWrap/>
            <w:tcMar>
              <w:left w:w="115" w:type="dxa"/>
              <w:right w:w="0" w:type="dxa"/>
            </w:tcMar>
            <w:vAlign w:val="center"/>
            <w:hideMark/>
          </w:tcPr>
          <w:p w:rsidR="00DB6EC8" w:rsidRPr="00DB6EC8" w:rsidRDefault="00DB6EC8" w:rsidP="00DB6EC8">
            <w:pPr>
              <w:spacing w:after="0" w:line="240" w:lineRule="auto"/>
              <w:rPr>
                <w:rFonts w:asciiTheme="minorHAnsi" w:hAnsiTheme="minorHAnsi"/>
                <w:b/>
                <w:sz w:val="18"/>
                <w:szCs w:val="18"/>
              </w:rPr>
            </w:pPr>
            <w:r w:rsidRPr="00DB6EC8">
              <w:rPr>
                <w:rFonts w:asciiTheme="minorHAnsi" w:hAnsiTheme="minorHAnsi"/>
                <w:b/>
                <w:sz w:val="18"/>
                <w:szCs w:val="18"/>
              </w:rPr>
              <w:t>CT</w:t>
            </w:r>
          </w:p>
        </w:tc>
        <w:tc>
          <w:tcPr>
            <w:tcW w:w="776" w:type="dxa"/>
            <w:noWrap/>
            <w:tcMar>
              <w:top w:w="29" w:type="dxa"/>
              <w:left w:w="0" w:type="dxa"/>
              <w:bottom w:w="29" w:type="dxa"/>
              <w:right w:w="115" w:type="dxa"/>
            </w:tcMar>
            <w:vAlign w:val="center"/>
            <w:hideMark/>
          </w:tcPr>
          <w:p w:rsidR="00DB6EC8" w:rsidRPr="00DB6EC8" w:rsidRDefault="00DB6EC8" w:rsidP="00DB6EC8">
            <w:pPr>
              <w:spacing w:after="0" w:line="240" w:lineRule="auto"/>
              <w:jc w:val="right"/>
              <w:rPr>
                <w:rFonts w:asciiTheme="minorHAnsi" w:hAnsiTheme="minorHAnsi"/>
                <w:sz w:val="18"/>
                <w:szCs w:val="18"/>
              </w:rPr>
            </w:pPr>
            <w:r w:rsidRPr="00DB6EC8">
              <w:rPr>
                <w:rFonts w:asciiTheme="minorHAnsi" w:hAnsiTheme="minorHAnsi"/>
                <w:sz w:val="18"/>
                <w:szCs w:val="18"/>
              </w:rPr>
              <w:t>2,357</w:t>
            </w:r>
          </w:p>
        </w:tc>
        <w:tc>
          <w:tcPr>
            <w:tcW w:w="777" w:type="dxa"/>
            <w:noWrap/>
            <w:tcMar>
              <w:top w:w="29" w:type="dxa"/>
              <w:left w:w="0" w:type="dxa"/>
              <w:bottom w:w="29" w:type="dxa"/>
              <w:right w:w="115" w:type="dxa"/>
            </w:tcMar>
            <w:vAlign w:val="center"/>
            <w:hideMark/>
          </w:tcPr>
          <w:p w:rsidR="00DB6EC8" w:rsidRPr="00DB6EC8" w:rsidRDefault="00DB6EC8" w:rsidP="00DB6EC8">
            <w:pPr>
              <w:spacing w:after="0" w:line="240" w:lineRule="auto"/>
              <w:jc w:val="right"/>
              <w:rPr>
                <w:rFonts w:asciiTheme="minorHAnsi" w:hAnsiTheme="minorHAnsi"/>
                <w:sz w:val="18"/>
                <w:szCs w:val="18"/>
              </w:rPr>
            </w:pPr>
            <w:r w:rsidRPr="00DB6EC8">
              <w:rPr>
                <w:rFonts w:asciiTheme="minorHAnsi" w:hAnsiTheme="minorHAnsi"/>
                <w:sz w:val="18"/>
                <w:szCs w:val="18"/>
              </w:rPr>
              <w:t>5,705</w:t>
            </w:r>
          </w:p>
        </w:tc>
        <w:tc>
          <w:tcPr>
            <w:tcW w:w="776" w:type="dxa"/>
            <w:noWrap/>
            <w:tcMar>
              <w:top w:w="29" w:type="dxa"/>
              <w:left w:w="0" w:type="dxa"/>
              <w:bottom w:w="29" w:type="dxa"/>
              <w:right w:w="115" w:type="dxa"/>
            </w:tcMar>
            <w:vAlign w:val="center"/>
            <w:hideMark/>
          </w:tcPr>
          <w:p w:rsidR="00DB6EC8" w:rsidRPr="00DB6EC8" w:rsidRDefault="00DB6EC8" w:rsidP="00DB6EC8">
            <w:pPr>
              <w:spacing w:after="0" w:line="240" w:lineRule="auto"/>
              <w:jc w:val="right"/>
              <w:rPr>
                <w:rFonts w:asciiTheme="minorHAnsi" w:hAnsiTheme="minorHAnsi"/>
                <w:sz w:val="18"/>
                <w:szCs w:val="18"/>
              </w:rPr>
            </w:pPr>
            <w:r w:rsidRPr="00DB6EC8">
              <w:rPr>
                <w:rFonts w:asciiTheme="minorHAnsi" w:hAnsiTheme="minorHAnsi"/>
                <w:sz w:val="18"/>
                <w:szCs w:val="18"/>
              </w:rPr>
              <w:t>10.3</w:t>
            </w:r>
          </w:p>
        </w:tc>
        <w:tc>
          <w:tcPr>
            <w:tcW w:w="777" w:type="dxa"/>
            <w:noWrap/>
            <w:tcMar>
              <w:top w:w="29" w:type="dxa"/>
              <w:left w:w="0" w:type="dxa"/>
              <w:bottom w:w="29" w:type="dxa"/>
              <w:right w:w="115" w:type="dxa"/>
            </w:tcMar>
            <w:vAlign w:val="center"/>
            <w:hideMark/>
          </w:tcPr>
          <w:p w:rsidR="00DB6EC8" w:rsidRPr="00DB6EC8" w:rsidRDefault="00DB6EC8" w:rsidP="00DB6EC8">
            <w:pPr>
              <w:spacing w:after="0" w:line="240" w:lineRule="auto"/>
              <w:jc w:val="right"/>
              <w:rPr>
                <w:rFonts w:asciiTheme="minorHAnsi" w:hAnsiTheme="minorHAnsi"/>
                <w:sz w:val="18"/>
                <w:szCs w:val="18"/>
              </w:rPr>
            </w:pPr>
            <w:r w:rsidRPr="00DB6EC8">
              <w:rPr>
                <w:rFonts w:asciiTheme="minorHAnsi" w:hAnsiTheme="minorHAnsi"/>
                <w:sz w:val="18"/>
                <w:szCs w:val="18"/>
              </w:rPr>
              <w:t xml:space="preserve"> 421 </w:t>
            </w:r>
          </w:p>
        </w:tc>
        <w:tc>
          <w:tcPr>
            <w:tcW w:w="776" w:type="dxa"/>
            <w:noWrap/>
            <w:tcMar>
              <w:top w:w="29" w:type="dxa"/>
              <w:left w:w="0" w:type="dxa"/>
              <w:bottom w:w="29" w:type="dxa"/>
              <w:right w:w="115" w:type="dxa"/>
            </w:tcMar>
            <w:vAlign w:val="center"/>
            <w:hideMark/>
          </w:tcPr>
          <w:p w:rsidR="00DB6EC8" w:rsidRPr="00DB6EC8" w:rsidRDefault="00DB6EC8" w:rsidP="00DB6EC8">
            <w:pPr>
              <w:spacing w:after="0" w:line="240" w:lineRule="auto"/>
              <w:jc w:val="right"/>
              <w:rPr>
                <w:rFonts w:asciiTheme="minorHAnsi" w:hAnsiTheme="minorHAnsi"/>
                <w:sz w:val="18"/>
                <w:szCs w:val="18"/>
              </w:rPr>
            </w:pPr>
            <w:r w:rsidRPr="00DB6EC8">
              <w:rPr>
                <w:rFonts w:asciiTheme="minorHAnsi" w:hAnsiTheme="minorHAnsi"/>
                <w:sz w:val="18"/>
                <w:szCs w:val="18"/>
              </w:rPr>
              <w:t xml:space="preserve"> 930 </w:t>
            </w:r>
          </w:p>
        </w:tc>
        <w:tc>
          <w:tcPr>
            <w:tcW w:w="777" w:type="dxa"/>
            <w:noWrap/>
            <w:tcMar>
              <w:top w:w="29" w:type="dxa"/>
              <w:left w:w="0" w:type="dxa"/>
              <w:bottom w:w="29" w:type="dxa"/>
              <w:right w:w="115" w:type="dxa"/>
            </w:tcMar>
            <w:vAlign w:val="center"/>
            <w:hideMark/>
          </w:tcPr>
          <w:p w:rsidR="00DB6EC8" w:rsidRPr="00DB6EC8" w:rsidRDefault="00DB6EC8" w:rsidP="00DB6EC8">
            <w:pPr>
              <w:spacing w:after="0" w:line="240" w:lineRule="auto"/>
              <w:jc w:val="right"/>
              <w:rPr>
                <w:rFonts w:asciiTheme="minorHAnsi" w:hAnsiTheme="minorHAnsi"/>
                <w:sz w:val="18"/>
                <w:szCs w:val="18"/>
              </w:rPr>
            </w:pPr>
            <w:r w:rsidRPr="00DB6EC8">
              <w:rPr>
                <w:rFonts w:asciiTheme="minorHAnsi" w:hAnsiTheme="minorHAnsi"/>
                <w:sz w:val="18"/>
                <w:szCs w:val="18"/>
              </w:rPr>
              <w:t>9.2</w:t>
            </w:r>
          </w:p>
        </w:tc>
        <w:tc>
          <w:tcPr>
            <w:tcW w:w="776" w:type="dxa"/>
            <w:noWrap/>
            <w:tcMar>
              <w:top w:w="29" w:type="dxa"/>
              <w:left w:w="0" w:type="dxa"/>
              <w:bottom w:w="29" w:type="dxa"/>
              <w:right w:w="115" w:type="dxa"/>
            </w:tcMar>
            <w:vAlign w:val="center"/>
            <w:hideMark/>
          </w:tcPr>
          <w:p w:rsidR="00DB6EC8" w:rsidRPr="00DB6EC8" w:rsidRDefault="00DB6EC8" w:rsidP="00DB6EC8">
            <w:pPr>
              <w:spacing w:after="0" w:line="240" w:lineRule="auto"/>
              <w:jc w:val="right"/>
              <w:rPr>
                <w:rFonts w:asciiTheme="minorHAnsi" w:hAnsiTheme="minorHAnsi"/>
                <w:sz w:val="18"/>
                <w:szCs w:val="18"/>
              </w:rPr>
            </w:pPr>
            <w:r w:rsidRPr="00DB6EC8">
              <w:rPr>
                <w:rFonts w:asciiTheme="minorHAnsi" w:hAnsiTheme="minorHAnsi"/>
                <w:sz w:val="18"/>
                <w:szCs w:val="18"/>
              </w:rPr>
              <w:t xml:space="preserve"> 270 </w:t>
            </w:r>
          </w:p>
        </w:tc>
        <w:tc>
          <w:tcPr>
            <w:tcW w:w="777" w:type="dxa"/>
            <w:noWrap/>
            <w:tcMar>
              <w:top w:w="29" w:type="dxa"/>
              <w:left w:w="0" w:type="dxa"/>
              <w:bottom w:w="29" w:type="dxa"/>
              <w:right w:w="115" w:type="dxa"/>
            </w:tcMar>
            <w:vAlign w:val="center"/>
            <w:hideMark/>
          </w:tcPr>
          <w:p w:rsidR="00DB6EC8" w:rsidRPr="00DB6EC8" w:rsidRDefault="00DB6EC8" w:rsidP="00DB6EC8">
            <w:pPr>
              <w:spacing w:after="0" w:line="240" w:lineRule="auto"/>
              <w:jc w:val="right"/>
              <w:rPr>
                <w:rFonts w:asciiTheme="minorHAnsi" w:hAnsiTheme="minorHAnsi"/>
                <w:sz w:val="18"/>
                <w:szCs w:val="18"/>
              </w:rPr>
            </w:pPr>
            <w:r w:rsidRPr="00DB6EC8">
              <w:rPr>
                <w:rFonts w:asciiTheme="minorHAnsi" w:hAnsiTheme="minorHAnsi"/>
                <w:sz w:val="18"/>
                <w:szCs w:val="18"/>
              </w:rPr>
              <w:t xml:space="preserve"> 917 </w:t>
            </w:r>
          </w:p>
        </w:tc>
        <w:tc>
          <w:tcPr>
            <w:tcW w:w="777" w:type="dxa"/>
            <w:noWrap/>
            <w:tcMar>
              <w:top w:w="29" w:type="dxa"/>
              <w:left w:w="0" w:type="dxa"/>
              <w:bottom w:w="29" w:type="dxa"/>
              <w:right w:w="115" w:type="dxa"/>
            </w:tcMar>
            <w:vAlign w:val="center"/>
            <w:hideMark/>
          </w:tcPr>
          <w:p w:rsidR="00DB6EC8" w:rsidRPr="00DB6EC8" w:rsidRDefault="00DB6EC8" w:rsidP="00DB6EC8">
            <w:pPr>
              <w:spacing w:after="0" w:line="240" w:lineRule="auto"/>
              <w:jc w:val="right"/>
              <w:rPr>
                <w:rFonts w:asciiTheme="minorHAnsi" w:hAnsiTheme="minorHAnsi"/>
                <w:sz w:val="18"/>
                <w:szCs w:val="18"/>
              </w:rPr>
            </w:pPr>
            <w:r w:rsidRPr="00DB6EC8">
              <w:rPr>
                <w:rFonts w:asciiTheme="minorHAnsi" w:hAnsiTheme="minorHAnsi"/>
                <w:sz w:val="18"/>
                <w:szCs w:val="18"/>
              </w:rPr>
              <w:t>14.6</w:t>
            </w:r>
          </w:p>
        </w:tc>
      </w:tr>
      <w:tr w:rsidR="00DB6EC8" w:rsidRPr="00DB6EC8" w:rsidTr="00DB6EC8">
        <w:trPr>
          <w:trHeight w:val="312"/>
          <w:jc w:val="center"/>
        </w:trPr>
        <w:tc>
          <w:tcPr>
            <w:tcW w:w="1050" w:type="dxa"/>
            <w:shd w:val="clear" w:color="auto" w:fill="CCEAF9" w:themeFill="accent1" w:themeFillTint="33"/>
            <w:noWrap/>
            <w:tcMar>
              <w:left w:w="115" w:type="dxa"/>
              <w:right w:w="0" w:type="dxa"/>
            </w:tcMar>
            <w:vAlign w:val="center"/>
            <w:hideMark/>
          </w:tcPr>
          <w:p w:rsidR="00DB6EC8" w:rsidRPr="00DB6EC8" w:rsidRDefault="00DB6EC8" w:rsidP="00DB6EC8">
            <w:pPr>
              <w:spacing w:after="0" w:line="240" w:lineRule="auto"/>
              <w:rPr>
                <w:rFonts w:asciiTheme="minorHAnsi" w:hAnsiTheme="minorHAnsi"/>
                <w:b/>
                <w:sz w:val="18"/>
                <w:szCs w:val="18"/>
              </w:rPr>
            </w:pPr>
            <w:r w:rsidRPr="00DB6EC8">
              <w:rPr>
                <w:rFonts w:asciiTheme="minorHAnsi" w:hAnsiTheme="minorHAnsi"/>
                <w:b/>
                <w:sz w:val="18"/>
                <w:szCs w:val="18"/>
              </w:rPr>
              <w:t>ME</w:t>
            </w:r>
          </w:p>
        </w:tc>
        <w:tc>
          <w:tcPr>
            <w:tcW w:w="776" w:type="dxa"/>
            <w:shd w:val="clear" w:color="auto" w:fill="CCEAF9" w:themeFill="accent1" w:themeFillTint="33"/>
            <w:noWrap/>
            <w:tcMar>
              <w:top w:w="29" w:type="dxa"/>
              <w:left w:w="0" w:type="dxa"/>
              <w:bottom w:w="29" w:type="dxa"/>
              <w:right w:w="115" w:type="dxa"/>
            </w:tcMar>
            <w:vAlign w:val="center"/>
            <w:hideMark/>
          </w:tcPr>
          <w:p w:rsidR="00DB6EC8" w:rsidRPr="00DB6EC8" w:rsidRDefault="00DB6EC8" w:rsidP="00DB6EC8">
            <w:pPr>
              <w:spacing w:after="0" w:line="240" w:lineRule="auto"/>
              <w:jc w:val="right"/>
              <w:rPr>
                <w:rFonts w:asciiTheme="minorHAnsi" w:hAnsiTheme="minorHAnsi"/>
                <w:sz w:val="18"/>
                <w:szCs w:val="18"/>
              </w:rPr>
            </w:pPr>
            <w:r w:rsidRPr="00DB6EC8">
              <w:rPr>
                <w:rFonts w:asciiTheme="minorHAnsi" w:hAnsiTheme="minorHAnsi"/>
                <w:sz w:val="18"/>
                <w:szCs w:val="18"/>
              </w:rPr>
              <w:t>1,199</w:t>
            </w:r>
          </w:p>
        </w:tc>
        <w:tc>
          <w:tcPr>
            <w:tcW w:w="777" w:type="dxa"/>
            <w:shd w:val="clear" w:color="auto" w:fill="CCEAF9" w:themeFill="accent1" w:themeFillTint="33"/>
            <w:noWrap/>
            <w:tcMar>
              <w:top w:w="29" w:type="dxa"/>
              <w:left w:w="0" w:type="dxa"/>
              <w:bottom w:w="29" w:type="dxa"/>
              <w:right w:w="115" w:type="dxa"/>
            </w:tcMar>
            <w:vAlign w:val="center"/>
            <w:hideMark/>
          </w:tcPr>
          <w:p w:rsidR="00DB6EC8" w:rsidRPr="00DB6EC8" w:rsidRDefault="00DB6EC8" w:rsidP="00DB6EC8">
            <w:pPr>
              <w:spacing w:after="0" w:line="240" w:lineRule="auto"/>
              <w:jc w:val="right"/>
              <w:rPr>
                <w:rFonts w:asciiTheme="minorHAnsi" w:hAnsiTheme="minorHAnsi"/>
                <w:sz w:val="18"/>
                <w:szCs w:val="18"/>
              </w:rPr>
            </w:pPr>
            <w:r w:rsidRPr="00DB6EC8">
              <w:rPr>
                <w:rFonts w:asciiTheme="minorHAnsi" w:hAnsiTheme="minorHAnsi"/>
                <w:sz w:val="18"/>
                <w:szCs w:val="18"/>
              </w:rPr>
              <w:t>1,901</w:t>
            </w:r>
          </w:p>
        </w:tc>
        <w:tc>
          <w:tcPr>
            <w:tcW w:w="776" w:type="dxa"/>
            <w:shd w:val="clear" w:color="auto" w:fill="CCEAF9" w:themeFill="accent1" w:themeFillTint="33"/>
            <w:noWrap/>
            <w:tcMar>
              <w:top w:w="29" w:type="dxa"/>
              <w:left w:w="0" w:type="dxa"/>
              <w:bottom w:w="29" w:type="dxa"/>
              <w:right w:w="115" w:type="dxa"/>
            </w:tcMar>
            <w:vAlign w:val="center"/>
            <w:hideMark/>
          </w:tcPr>
          <w:p w:rsidR="00DB6EC8" w:rsidRPr="00DB6EC8" w:rsidRDefault="00DB6EC8" w:rsidP="00DB6EC8">
            <w:pPr>
              <w:spacing w:after="0" w:line="240" w:lineRule="auto"/>
              <w:jc w:val="right"/>
              <w:rPr>
                <w:rFonts w:asciiTheme="minorHAnsi" w:hAnsiTheme="minorHAnsi"/>
                <w:sz w:val="18"/>
                <w:szCs w:val="18"/>
              </w:rPr>
            </w:pPr>
            <w:r w:rsidRPr="00DB6EC8">
              <w:rPr>
                <w:rFonts w:asciiTheme="minorHAnsi" w:hAnsiTheme="minorHAnsi"/>
                <w:sz w:val="18"/>
                <w:szCs w:val="18"/>
              </w:rPr>
              <w:t>5.3</w:t>
            </w:r>
          </w:p>
        </w:tc>
        <w:tc>
          <w:tcPr>
            <w:tcW w:w="777" w:type="dxa"/>
            <w:shd w:val="clear" w:color="auto" w:fill="CCEAF9" w:themeFill="accent1" w:themeFillTint="33"/>
            <w:noWrap/>
            <w:tcMar>
              <w:top w:w="29" w:type="dxa"/>
              <w:left w:w="0" w:type="dxa"/>
              <w:bottom w:w="29" w:type="dxa"/>
              <w:right w:w="115" w:type="dxa"/>
            </w:tcMar>
            <w:vAlign w:val="center"/>
            <w:hideMark/>
          </w:tcPr>
          <w:p w:rsidR="00DB6EC8" w:rsidRPr="00DB6EC8" w:rsidRDefault="00DB6EC8" w:rsidP="00DB6EC8">
            <w:pPr>
              <w:spacing w:after="0" w:line="240" w:lineRule="auto"/>
              <w:jc w:val="right"/>
              <w:rPr>
                <w:rFonts w:asciiTheme="minorHAnsi" w:hAnsiTheme="minorHAnsi"/>
                <w:sz w:val="18"/>
                <w:szCs w:val="18"/>
              </w:rPr>
            </w:pPr>
            <w:r w:rsidRPr="00DB6EC8">
              <w:rPr>
                <w:rFonts w:asciiTheme="minorHAnsi" w:hAnsiTheme="minorHAnsi"/>
                <w:sz w:val="18"/>
                <w:szCs w:val="18"/>
              </w:rPr>
              <w:t xml:space="preserve"> 184 </w:t>
            </w:r>
          </w:p>
        </w:tc>
        <w:tc>
          <w:tcPr>
            <w:tcW w:w="776" w:type="dxa"/>
            <w:shd w:val="clear" w:color="auto" w:fill="CCEAF9" w:themeFill="accent1" w:themeFillTint="33"/>
            <w:noWrap/>
            <w:tcMar>
              <w:top w:w="29" w:type="dxa"/>
              <w:left w:w="0" w:type="dxa"/>
              <w:bottom w:w="29" w:type="dxa"/>
              <w:right w:w="115" w:type="dxa"/>
            </w:tcMar>
            <w:vAlign w:val="center"/>
            <w:hideMark/>
          </w:tcPr>
          <w:p w:rsidR="00DB6EC8" w:rsidRPr="00DB6EC8" w:rsidRDefault="00DB6EC8" w:rsidP="00DB6EC8">
            <w:pPr>
              <w:spacing w:after="0" w:line="240" w:lineRule="auto"/>
              <w:jc w:val="right"/>
              <w:rPr>
                <w:rFonts w:asciiTheme="minorHAnsi" w:hAnsiTheme="minorHAnsi"/>
                <w:sz w:val="18"/>
                <w:szCs w:val="18"/>
              </w:rPr>
            </w:pPr>
            <w:r w:rsidRPr="00DB6EC8">
              <w:rPr>
                <w:rFonts w:asciiTheme="minorHAnsi" w:hAnsiTheme="minorHAnsi"/>
                <w:sz w:val="18"/>
                <w:szCs w:val="18"/>
              </w:rPr>
              <w:t xml:space="preserve"> 240 </w:t>
            </w:r>
          </w:p>
        </w:tc>
        <w:tc>
          <w:tcPr>
            <w:tcW w:w="777" w:type="dxa"/>
            <w:shd w:val="clear" w:color="auto" w:fill="CCEAF9" w:themeFill="accent1" w:themeFillTint="33"/>
            <w:noWrap/>
            <w:tcMar>
              <w:top w:w="29" w:type="dxa"/>
              <w:left w:w="0" w:type="dxa"/>
              <w:bottom w:w="29" w:type="dxa"/>
              <w:right w:w="115" w:type="dxa"/>
            </w:tcMar>
            <w:vAlign w:val="center"/>
            <w:hideMark/>
          </w:tcPr>
          <w:p w:rsidR="00DB6EC8" w:rsidRPr="00DB6EC8" w:rsidRDefault="00DB6EC8" w:rsidP="00DB6EC8">
            <w:pPr>
              <w:spacing w:after="0" w:line="240" w:lineRule="auto"/>
              <w:jc w:val="right"/>
              <w:rPr>
                <w:rFonts w:asciiTheme="minorHAnsi" w:hAnsiTheme="minorHAnsi"/>
                <w:sz w:val="18"/>
                <w:szCs w:val="18"/>
              </w:rPr>
            </w:pPr>
            <w:r w:rsidRPr="00DB6EC8">
              <w:rPr>
                <w:rFonts w:asciiTheme="minorHAnsi" w:hAnsiTheme="minorHAnsi"/>
                <w:sz w:val="18"/>
                <w:szCs w:val="18"/>
              </w:rPr>
              <w:t>3.0</w:t>
            </w:r>
          </w:p>
        </w:tc>
        <w:tc>
          <w:tcPr>
            <w:tcW w:w="776" w:type="dxa"/>
            <w:shd w:val="clear" w:color="auto" w:fill="CCEAF9" w:themeFill="accent1" w:themeFillTint="33"/>
            <w:noWrap/>
            <w:tcMar>
              <w:top w:w="29" w:type="dxa"/>
              <w:left w:w="0" w:type="dxa"/>
              <w:bottom w:w="29" w:type="dxa"/>
              <w:right w:w="115" w:type="dxa"/>
            </w:tcMar>
            <w:vAlign w:val="center"/>
            <w:hideMark/>
          </w:tcPr>
          <w:p w:rsidR="00DB6EC8" w:rsidRPr="00DB6EC8" w:rsidRDefault="00DB6EC8" w:rsidP="00DB6EC8">
            <w:pPr>
              <w:spacing w:after="0" w:line="240" w:lineRule="auto"/>
              <w:jc w:val="right"/>
              <w:rPr>
                <w:rFonts w:asciiTheme="minorHAnsi" w:hAnsiTheme="minorHAnsi"/>
                <w:sz w:val="18"/>
                <w:szCs w:val="18"/>
              </w:rPr>
            </w:pPr>
            <w:r w:rsidRPr="00DB6EC8">
              <w:rPr>
                <w:rFonts w:asciiTheme="minorHAnsi" w:hAnsiTheme="minorHAnsi"/>
                <w:sz w:val="18"/>
                <w:szCs w:val="18"/>
              </w:rPr>
              <w:t xml:space="preserve"> 171 </w:t>
            </w:r>
          </w:p>
        </w:tc>
        <w:tc>
          <w:tcPr>
            <w:tcW w:w="777" w:type="dxa"/>
            <w:shd w:val="clear" w:color="auto" w:fill="CCEAF9" w:themeFill="accent1" w:themeFillTint="33"/>
            <w:noWrap/>
            <w:tcMar>
              <w:top w:w="29" w:type="dxa"/>
              <w:left w:w="0" w:type="dxa"/>
              <w:bottom w:w="29" w:type="dxa"/>
              <w:right w:w="115" w:type="dxa"/>
            </w:tcMar>
            <w:vAlign w:val="center"/>
            <w:hideMark/>
          </w:tcPr>
          <w:p w:rsidR="00DB6EC8" w:rsidRPr="00DB6EC8" w:rsidRDefault="00DB6EC8" w:rsidP="00DB6EC8">
            <w:pPr>
              <w:spacing w:after="0" w:line="240" w:lineRule="auto"/>
              <w:jc w:val="right"/>
              <w:rPr>
                <w:rFonts w:asciiTheme="minorHAnsi" w:hAnsiTheme="minorHAnsi"/>
                <w:sz w:val="18"/>
                <w:szCs w:val="18"/>
              </w:rPr>
            </w:pPr>
            <w:r w:rsidRPr="00DB6EC8">
              <w:rPr>
                <w:rFonts w:asciiTheme="minorHAnsi" w:hAnsiTheme="minorHAnsi"/>
                <w:sz w:val="18"/>
                <w:szCs w:val="18"/>
              </w:rPr>
              <w:t xml:space="preserve"> 215 </w:t>
            </w:r>
          </w:p>
        </w:tc>
        <w:tc>
          <w:tcPr>
            <w:tcW w:w="777" w:type="dxa"/>
            <w:shd w:val="clear" w:color="auto" w:fill="CCEAF9" w:themeFill="accent1" w:themeFillTint="33"/>
            <w:noWrap/>
            <w:tcMar>
              <w:top w:w="29" w:type="dxa"/>
              <w:left w:w="0" w:type="dxa"/>
              <w:bottom w:w="29" w:type="dxa"/>
              <w:right w:w="115" w:type="dxa"/>
            </w:tcMar>
            <w:vAlign w:val="center"/>
            <w:hideMark/>
          </w:tcPr>
          <w:p w:rsidR="00DB6EC8" w:rsidRPr="00DB6EC8" w:rsidRDefault="00DB6EC8" w:rsidP="00DB6EC8">
            <w:pPr>
              <w:spacing w:after="0" w:line="240" w:lineRule="auto"/>
              <w:jc w:val="right"/>
              <w:rPr>
                <w:rFonts w:asciiTheme="minorHAnsi" w:hAnsiTheme="minorHAnsi"/>
                <w:sz w:val="18"/>
                <w:szCs w:val="18"/>
              </w:rPr>
            </w:pPr>
            <w:r w:rsidRPr="00DB6EC8">
              <w:rPr>
                <w:rFonts w:asciiTheme="minorHAnsi" w:hAnsiTheme="minorHAnsi"/>
                <w:sz w:val="18"/>
                <w:szCs w:val="18"/>
              </w:rPr>
              <w:t>2.6</w:t>
            </w:r>
          </w:p>
        </w:tc>
      </w:tr>
      <w:tr w:rsidR="00DB6EC8" w:rsidRPr="00DB6EC8" w:rsidTr="00DB6EC8">
        <w:trPr>
          <w:trHeight w:val="312"/>
          <w:jc w:val="center"/>
        </w:trPr>
        <w:tc>
          <w:tcPr>
            <w:tcW w:w="1050" w:type="dxa"/>
            <w:noWrap/>
            <w:tcMar>
              <w:left w:w="115" w:type="dxa"/>
              <w:right w:w="0" w:type="dxa"/>
            </w:tcMar>
            <w:vAlign w:val="center"/>
            <w:hideMark/>
          </w:tcPr>
          <w:p w:rsidR="00DB6EC8" w:rsidRPr="00DB6EC8" w:rsidRDefault="00DB6EC8" w:rsidP="00DB6EC8">
            <w:pPr>
              <w:spacing w:after="0" w:line="240" w:lineRule="auto"/>
              <w:rPr>
                <w:rFonts w:asciiTheme="minorHAnsi" w:hAnsiTheme="minorHAnsi"/>
                <w:b/>
                <w:sz w:val="18"/>
                <w:szCs w:val="18"/>
              </w:rPr>
            </w:pPr>
            <w:r w:rsidRPr="00DB6EC8">
              <w:rPr>
                <w:rFonts w:asciiTheme="minorHAnsi" w:hAnsiTheme="minorHAnsi"/>
                <w:b/>
                <w:sz w:val="18"/>
                <w:szCs w:val="18"/>
              </w:rPr>
              <w:t>MA</w:t>
            </w:r>
          </w:p>
        </w:tc>
        <w:tc>
          <w:tcPr>
            <w:tcW w:w="776" w:type="dxa"/>
            <w:noWrap/>
            <w:tcMar>
              <w:top w:w="29" w:type="dxa"/>
              <w:left w:w="0" w:type="dxa"/>
              <w:bottom w:w="29" w:type="dxa"/>
              <w:right w:w="115" w:type="dxa"/>
            </w:tcMar>
            <w:vAlign w:val="center"/>
            <w:hideMark/>
          </w:tcPr>
          <w:p w:rsidR="00DB6EC8" w:rsidRPr="00DB6EC8" w:rsidRDefault="00DB6EC8" w:rsidP="00DB6EC8">
            <w:pPr>
              <w:spacing w:after="0" w:line="240" w:lineRule="auto"/>
              <w:jc w:val="right"/>
              <w:rPr>
                <w:rFonts w:asciiTheme="minorHAnsi" w:hAnsiTheme="minorHAnsi"/>
                <w:sz w:val="18"/>
                <w:szCs w:val="18"/>
              </w:rPr>
            </w:pPr>
            <w:r w:rsidRPr="00DB6EC8">
              <w:rPr>
                <w:rFonts w:asciiTheme="minorHAnsi" w:hAnsiTheme="minorHAnsi"/>
                <w:sz w:val="18"/>
                <w:szCs w:val="18"/>
              </w:rPr>
              <w:t>5,893</w:t>
            </w:r>
          </w:p>
        </w:tc>
        <w:tc>
          <w:tcPr>
            <w:tcW w:w="777" w:type="dxa"/>
            <w:noWrap/>
            <w:tcMar>
              <w:top w:w="29" w:type="dxa"/>
              <w:left w:w="0" w:type="dxa"/>
              <w:bottom w:w="29" w:type="dxa"/>
              <w:right w:w="115" w:type="dxa"/>
            </w:tcMar>
            <w:vAlign w:val="center"/>
            <w:hideMark/>
          </w:tcPr>
          <w:p w:rsidR="00DB6EC8" w:rsidRPr="00DB6EC8" w:rsidRDefault="00DB6EC8" w:rsidP="00DB6EC8">
            <w:pPr>
              <w:spacing w:after="0" w:line="240" w:lineRule="auto"/>
              <w:jc w:val="right"/>
              <w:rPr>
                <w:rFonts w:asciiTheme="minorHAnsi" w:hAnsiTheme="minorHAnsi"/>
                <w:sz w:val="18"/>
                <w:szCs w:val="18"/>
              </w:rPr>
            </w:pPr>
            <w:r w:rsidRPr="00DB6EC8">
              <w:rPr>
                <w:rFonts w:asciiTheme="minorHAnsi" w:hAnsiTheme="minorHAnsi"/>
                <w:sz w:val="18"/>
                <w:szCs w:val="18"/>
              </w:rPr>
              <w:t>16,158</w:t>
            </w:r>
          </w:p>
        </w:tc>
        <w:tc>
          <w:tcPr>
            <w:tcW w:w="776" w:type="dxa"/>
            <w:noWrap/>
            <w:tcMar>
              <w:top w:w="29" w:type="dxa"/>
              <w:left w:w="0" w:type="dxa"/>
              <w:bottom w:w="29" w:type="dxa"/>
              <w:right w:w="115" w:type="dxa"/>
            </w:tcMar>
            <w:vAlign w:val="center"/>
            <w:hideMark/>
          </w:tcPr>
          <w:p w:rsidR="00DB6EC8" w:rsidRPr="00DB6EC8" w:rsidRDefault="00DB6EC8" w:rsidP="00DB6EC8">
            <w:pPr>
              <w:spacing w:after="0" w:line="240" w:lineRule="auto"/>
              <w:jc w:val="right"/>
              <w:rPr>
                <w:rFonts w:asciiTheme="minorHAnsi" w:hAnsiTheme="minorHAnsi"/>
                <w:sz w:val="18"/>
                <w:szCs w:val="18"/>
              </w:rPr>
            </w:pPr>
            <w:r w:rsidRPr="00DB6EC8">
              <w:rPr>
                <w:rFonts w:asciiTheme="minorHAnsi" w:hAnsiTheme="minorHAnsi"/>
                <w:sz w:val="18"/>
                <w:szCs w:val="18"/>
              </w:rPr>
              <w:t>11.9</w:t>
            </w:r>
          </w:p>
        </w:tc>
        <w:tc>
          <w:tcPr>
            <w:tcW w:w="777" w:type="dxa"/>
            <w:noWrap/>
            <w:tcMar>
              <w:top w:w="29" w:type="dxa"/>
              <w:left w:w="0" w:type="dxa"/>
              <w:bottom w:w="29" w:type="dxa"/>
              <w:right w:w="115" w:type="dxa"/>
            </w:tcMar>
            <w:vAlign w:val="center"/>
            <w:hideMark/>
          </w:tcPr>
          <w:p w:rsidR="00DB6EC8" w:rsidRPr="00DB6EC8" w:rsidRDefault="00DB6EC8" w:rsidP="00DB6EC8">
            <w:pPr>
              <w:spacing w:after="0" w:line="240" w:lineRule="auto"/>
              <w:jc w:val="right"/>
              <w:rPr>
                <w:rFonts w:asciiTheme="minorHAnsi" w:hAnsiTheme="minorHAnsi"/>
                <w:sz w:val="18"/>
                <w:szCs w:val="18"/>
              </w:rPr>
            </w:pPr>
            <w:r w:rsidRPr="00DB6EC8">
              <w:rPr>
                <w:rFonts w:asciiTheme="minorHAnsi" w:hAnsiTheme="minorHAnsi"/>
                <w:sz w:val="18"/>
                <w:szCs w:val="18"/>
              </w:rPr>
              <w:t xml:space="preserve"> 1,077 </w:t>
            </w:r>
          </w:p>
        </w:tc>
        <w:tc>
          <w:tcPr>
            <w:tcW w:w="776" w:type="dxa"/>
            <w:noWrap/>
            <w:tcMar>
              <w:top w:w="29" w:type="dxa"/>
              <w:left w:w="0" w:type="dxa"/>
              <w:bottom w:w="29" w:type="dxa"/>
              <w:right w:w="115" w:type="dxa"/>
            </w:tcMar>
            <w:vAlign w:val="center"/>
            <w:hideMark/>
          </w:tcPr>
          <w:p w:rsidR="00DB6EC8" w:rsidRPr="00DB6EC8" w:rsidRDefault="00DB6EC8" w:rsidP="00DB6EC8">
            <w:pPr>
              <w:spacing w:after="0" w:line="240" w:lineRule="auto"/>
              <w:jc w:val="right"/>
              <w:rPr>
                <w:rFonts w:asciiTheme="minorHAnsi" w:hAnsiTheme="minorHAnsi"/>
                <w:sz w:val="18"/>
                <w:szCs w:val="18"/>
              </w:rPr>
            </w:pPr>
            <w:r w:rsidRPr="00DB6EC8">
              <w:rPr>
                <w:rFonts w:asciiTheme="minorHAnsi" w:hAnsiTheme="minorHAnsi"/>
                <w:sz w:val="18"/>
                <w:szCs w:val="18"/>
              </w:rPr>
              <w:t xml:space="preserve"> 2,568 </w:t>
            </w:r>
          </w:p>
        </w:tc>
        <w:tc>
          <w:tcPr>
            <w:tcW w:w="777" w:type="dxa"/>
            <w:noWrap/>
            <w:tcMar>
              <w:top w:w="29" w:type="dxa"/>
              <w:left w:w="0" w:type="dxa"/>
              <w:bottom w:w="29" w:type="dxa"/>
              <w:right w:w="115" w:type="dxa"/>
            </w:tcMar>
            <w:vAlign w:val="center"/>
            <w:hideMark/>
          </w:tcPr>
          <w:p w:rsidR="00DB6EC8" w:rsidRPr="00DB6EC8" w:rsidRDefault="00DB6EC8" w:rsidP="00DB6EC8">
            <w:pPr>
              <w:spacing w:after="0" w:line="240" w:lineRule="auto"/>
              <w:jc w:val="right"/>
              <w:rPr>
                <w:rFonts w:asciiTheme="minorHAnsi" w:hAnsiTheme="minorHAnsi"/>
                <w:sz w:val="18"/>
                <w:szCs w:val="18"/>
              </w:rPr>
            </w:pPr>
            <w:r w:rsidRPr="00DB6EC8">
              <w:rPr>
                <w:rFonts w:asciiTheme="minorHAnsi" w:hAnsiTheme="minorHAnsi"/>
                <w:sz w:val="18"/>
                <w:szCs w:val="18"/>
              </w:rPr>
              <w:t>10.1</w:t>
            </w:r>
          </w:p>
        </w:tc>
        <w:tc>
          <w:tcPr>
            <w:tcW w:w="776" w:type="dxa"/>
            <w:noWrap/>
            <w:tcMar>
              <w:top w:w="29" w:type="dxa"/>
              <w:left w:w="0" w:type="dxa"/>
              <w:bottom w:w="29" w:type="dxa"/>
              <w:right w:w="115" w:type="dxa"/>
            </w:tcMar>
            <w:vAlign w:val="center"/>
            <w:hideMark/>
          </w:tcPr>
          <w:p w:rsidR="00DB6EC8" w:rsidRPr="00DB6EC8" w:rsidRDefault="00DB6EC8" w:rsidP="00DB6EC8">
            <w:pPr>
              <w:spacing w:after="0" w:line="240" w:lineRule="auto"/>
              <w:jc w:val="right"/>
              <w:rPr>
                <w:rFonts w:asciiTheme="minorHAnsi" w:hAnsiTheme="minorHAnsi"/>
                <w:sz w:val="18"/>
                <w:szCs w:val="18"/>
              </w:rPr>
            </w:pPr>
            <w:r w:rsidRPr="00DB6EC8">
              <w:rPr>
                <w:rFonts w:asciiTheme="minorHAnsi" w:hAnsiTheme="minorHAnsi"/>
                <w:sz w:val="18"/>
                <w:szCs w:val="18"/>
              </w:rPr>
              <w:t xml:space="preserve"> 1,006 </w:t>
            </w:r>
          </w:p>
        </w:tc>
        <w:tc>
          <w:tcPr>
            <w:tcW w:w="777" w:type="dxa"/>
            <w:noWrap/>
            <w:tcMar>
              <w:top w:w="29" w:type="dxa"/>
              <w:left w:w="0" w:type="dxa"/>
              <w:bottom w:w="29" w:type="dxa"/>
              <w:right w:w="115" w:type="dxa"/>
            </w:tcMar>
            <w:vAlign w:val="center"/>
            <w:hideMark/>
          </w:tcPr>
          <w:p w:rsidR="00DB6EC8" w:rsidRPr="00DB6EC8" w:rsidRDefault="00DB6EC8" w:rsidP="00DB6EC8">
            <w:pPr>
              <w:spacing w:after="0" w:line="240" w:lineRule="auto"/>
              <w:jc w:val="right"/>
              <w:rPr>
                <w:rFonts w:asciiTheme="minorHAnsi" w:hAnsiTheme="minorHAnsi"/>
                <w:sz w:val="18"/>
                <w:szCs w:val="18"/>
              </w:rPr>
            </w:pPr>
            <w:r w:rsidRPr="00DB6EC8">
              <w:rPr>
                <w:rFonts w:asciiTheme="minorHAnsi" w:hAnsiTheme="minorHAnsi"/>
                <w:sz w:val="18"/>
                <w:szCs w:val="18"/>
              </w:rPr>
              <w:t xml:space="preserve"> 2,475 </w:t>
            </w:r>
          </w:p>
        </w:tc>
        <w:tc>
          <w:tcPr>
            <w:tcW w:w="777" w:type="dxa"/>
            <w:noWrap/>
            <w:tcMar>
              <w:top w:w="29" w:type="dxa"/>
              <w:left w:w="0" w:type="dxa"/>
              <w:bottom w:w="29" w:type="dxa"/>
              <w:right w:w="115" w:type="dxa"/>
            </w:tcMar>
            <w:vAlign w:val="center"/>
            <w:hideMark/>
          </w:tcPr>
          <w:p w:rsidR="00DB6EC8" w:rsidRPr="00DB6EC8" w:rsidRDefault="00DB6EC8" w:rsidP="00DB6EC8">
            <w:pPr>
              <w:spacing w:after="0" w:line="240" w:lineRule="auto"/>
              <w:jc w:val="right"/>
              <w:rPr>
                <w:rFonts w:asciiTheme="minorHAnsi" w:hAnsiTheme="minorHAnsi"/>
                <w:sz w:val="18"/>
                <w:szCs w:val="18"/>
              </w:rPr>
            </w:pPr>
            <w:r w:rsidRPr="00DB6EC8">
              <w:rPr>
                <w:rFonts w:asciiTheme="minorHAnsi" w:hAnsiTheme="minorHAnsi"/>
                <w:sz w:val="18"/>
                <w:szCs w:val="18"/>
              </w:rPr>
              <w:t>10.5</w:t>
            </w:r>
          </w:p>
        </w:tc>
      </w:tr>
      <w:tr w:rsidR="00DB6EC8" w:rsidRPr="00DB6EC8" w:rsidTr="00DB6EC8">
        <w:trPr>
          <w:trHeight w:val="312"/>
          <w:jc w:val="center"/>
        </w:trPr>
        <w:tc>
          <w:tcPr>
            <w:tcW w:w="1050" w:type="dxa"/>
            <w:shd w:val="clear" w:color="auto" w:fill="CCEAF9" w:themeFill="accent1" w:themeFillTint="33"/>
            <w:noWrap/>
            <w:tcMar>
              <w:left w:w="115" w:type="dxa"/>
              <w:right w:w="0" w:type="dxa"/>
            </w:tcMar>
            <w:vAlign w:val="center"/>
            <w:hideMark/>
          </w:tcPr>
          <w:p w:rsidR="00DB6EC8" w:rsidRPr="00DB6EC8" w:rsidRDefault="00DB6EC8" w:rsidP="00DB6EC8">
            <w:pPr>
              <w:spacing w:after="0" w:line="240" w:lineRule="auto"/>
              <w:rPr>
                <w:rFonts w:asciiTheme="minorHAnsi" w:hAnsiTheme="minorHAnsi"/>
                <w:b/>
                <w:sz w:val="18"/>
                <w:szCs w:val="18"/>
              </w:rPr>
            </w:pPr>
            <w:r w:rsidRPr="00DB6EC8">
              <w:rPr>
                <w:rFonts w:asciiTheme="minorHAnsi" w:hAnsiTheme="minorHAnsi"/>
                <w:b/>
                <w:sz w:val="18"/>
                <w:szCs w:val="18"/>
              </w:rPr>
              <w:t>NH</w:t>
            </w:r>
          </w:p>
        </w:tc>
        <w:tc>
          <w:tcPr>
            <w:tcW w:w="776" w:type="dxa"/>
            <w:shd w:val="clear" w:color="auto" w:fill="CCEAF9" w:themeFill="accent1" w:themeFillTint="33"/>
            <w:noWrap/>
            <w:tcMar>
              <w:top w:w="29" w:type="dxa"/>
              <w:left w:w="0" w:type="dxa"/>
              <w:bottom w:w="29" w:type="dxa"/>
              <w:right w:w="115" w:type="dxa"/>
            </w:tcMar>
            <w:vAlign w:val="center"/>
            <w:hideMark/>
          </w:tcPr>
          <w:p w:rsidR="00DB6EC8" w:rsidRPr="00DB6EC8" w:rsidRDefault="00DB6EC8" w:rsidP="00DB6EC8">
            <w:pPr>
              <w:spacing w:after="0" w:line="240" w:lineRule="auto"/>
              <w:jc w:val="right"/>
              <w:rPr>
                <w:rFonts w:asciiTheme="minorHAnsi" w:hAnsiTheme="minorHAnsi"/>
                <w:sz w:val="18"/>
                <w:szCs w:val="18"/>
              </w:rPr>
            </w:pPr>
            <w:r w:rsidRPr="00DB6EC8">
              <w:rPr>
                <w:rFonts w:asciiTheme="minorHAnsi" w:hAnsiTheme="minorHAnsi"/>
                <w:sz w:val="18"/>
                <w:szCs w:val="18"/>
              </w:rPr>
              <w:t>542</w:t>
            </w:r>
          </w:p>
        </w:tc>
        <w:tc>
          <w:tcPr>
            <w:tcW w:w="777" w:type="dxa"/>
            <w:shd w:val="clear" w:color="auto" w:fill="CCEAF9" w:themeFill="accent1" w:themeFillTint="33"/>
            <w:noWrap/>
            <w:tcMar>
              <w:top w:w="29" w:type="dxa"/>
              <w:left w:w="0" w:type="dxa"/>
              <w:bottom w:w="29" w:type="dxa"/>
              <w:right w:w="115" w:type="dxa"/>
            </w:tcMar>
            <w:vAlign w:val="center"/>
            <w:hideMark/>
          </w:tcPr>
          <w:p w:rsidR="00DB6EC8" w:rsidRPr="00DB6EC8" w:rsidRDefault="00DB6EC8" w:rsidP="00DB6EC8">
            <w:pPr>
              <w:spacing w:after="0" w:line="240" w:lineRule="auto"/>
              <w:jc w:val="right"/>
              <w:rPr>
                <w:rFonts w:asciiTheme="minorHAnsi" w:hAnsiTheme="minorHAnsi"/>
                <w:sz w:val="18"/>
                <w:szCs w:val="18"/>
              </w:rPr>
            </w:pPr>
            <w:r w:rsidRPr="00DB6EC8">
              <w:rPr>
                <w:rFonts w:asciiTheme="minorHAnsi" w:hAnsiTheme="minorHAnsi"/>
                <w:sz w:val="18"/>
                <w:szCs w:val="18"/>
              </w:rPr>
              <w:t>1,046</w:t>
            </w:r>
          </w:p>
        </w:tc>
        <w:tc>
          <w:tcPr>
            <w:tcW w:w="776" w:type="dxa"/>
            <w:shd w:val="clear" w:color="auto" w:fill="CCEAF9" w:themeFill="accent1" w:themeFillTint="33"/>
            <w:noWrap/>
            <w:tcMar>
              <w:top w:w="29" w:type="dxa"/>
              <w:left w:w="0" w:type="dxa"/>
              <w:bottom w:w="29" w:type="dxa"/>
              <w:right w:w="115" w:type="dxa"/>
            </w:tcMar>
            <w:vAlign w:val="center"/>
            <w:hideMark/>
          </w:tcPr>
          <w:p w:rsidR="00DB6EC8" w:rsidRPr="00DB6EC8" w:rsidRDefault="00DB6EC8" w:rsidP="00DB6EC8">
            <w:pPr>
              <w:spacing w:after="0" w:line="240" w:lineRule="auto"/>
              <w:jc w:val="right"/>
              <w:rPr>
                <w:rFonts w:asciiTheme="minorHAnsi" w:hAnsiTheme="minorHAnsi"/>
                <w:sz w:val="18"/>
                <w:szCs w:val="18"/>
              </w:rPr>
            </w:pPr>
            <w:r w:rsidRPr="00DB6EC8">
              <w:rPr>
                <w:rFonts w:asciiTheme="minorHAnsi" w:hAnsiTheme="minorHAnsi"/>
                <w:sz w:val="18"/>
                <w:szCs w:val="18"/>
              </w:rPr>
              <w:t>7.6</w:t>
            </w:r>
          </w:p>
        </w:tc>
        <w:tc>
          <w:tcPr>
            <w:tcW w:w="777" w:type="dxa"/>
            <w:shd w:val="clear" w:color="auto" w:fill="CCEAF9" w:themeFill="accent1" w:themeFillTint="33"/>
            <w:noWrap/>
            <w:tcMar>
              <w:top w:w="29" w:type="dxa"/>
              <w:left w:w="0" w:type="dxa"/>
              <w:bottom w:w="29" w:type="dxa"/>
              <w:right w:w="115" w:type="dxa"/>
            </w:tcMar>
            <w:vAlign w:val="center"/>
            <w:hideMark/>
          </w:tcPr>
          <w:p w:rsidR="00DB6EC8" w:rsidRPr="00DB6EC8" w:rsidRDefault="00DB6EC8" w:rsidP="00DB6EC8">
            <w:pPr>
              <w:spacing w:after="0" w:line="240" w:lineRule="auto"/>
              <w:jc w:val="right"/>
              <w:rPr>
                <w:rFonts w:asciiTheme="minorHAnsi" w:hAnsiTheme="minorHAnsi"/>
                <w:sz w:val="18"/>
                <w:szCs w:val="18"/>
              </w:rPr>
            </w:pPr>
            <w:r w:rsidRPr="00DB6EC8">
              <w:rPr>
                <w:rFonts w:asciiTheme="minorHAnsi" w:hAnsiTheme="minorHAnsi"/>
                <w:sz w:val="18"/>
                <w:szCs w:val="18"/>
              </w:rPr>
              <w:t xml:space="preserve"> 97 </w:t>
            </w:r>
          </w:p>
        </w:tc>
        <w:tc>
          <w:tcPr>
            <w:tcW w:w="776" w:type="dxa"/>
            <w:shd w:val="clear" w:color="auto" w:fill="CCEAF9" w:themeFill="accent1" w:themeFillTint="33"/>
            <w:noWrap/>
            <w:tcMar>
              <w:top w:w="29" w:type="dxa"/>
              <w:left w:w="0" w:type="dxa"/>
              <w:bottom w:w="29" w:type="dxa"/>
              <w:right w:w="115" w:type="dxa"/>
            </w:tcMar>
            <w:vAlign w:val="center"/>
            <w:hideMark/>
          </w:tcPr>
          <w:p w:rsidR="00DB6EC8" w:rsidRPr="00DB6EC8" w:rsidRDefault="00DB6EC8" w:rsidP="00DB6EC8">
            <w:pPr>
              <w:spacing w:after="0" w:line="240" w:lineRule="auto"/>
              <w:jc w:val="right"/>
              <w:rPr>
                <w:rFonts w:asciiTheme="minorHAnsi" w:hAnsiTheme="minorHAnsi"/>
                <w:sz w:val="18"/>
                <w:szCs w:val="18"/>
              </w:rPr>
            </w:pPr>
            <w:r w:rsidRPr="00DB6EC8">
              <w:rPr>
                <w:rFonts w:asciiTheme="minorHAnsi" w:hAnsiTheme="minorHAnsi"/>
                <w:sz w:val="18"/>
                <w:szCs w:val="18"/>
              </w:rPr>
              <w:t xml:space="preserve"> 177 </w:t>
            </w:r>
          </w:p>
        </w:tc>
        <w:tc>
          <w:tcPr>
            <w:tcW w:w="777" w:type="dxa"/>
            <w:shd w:val="clear" w:color="auto" w:fill="CCEAF9" w:themeFill="accent1" w:themeFillTint="33"/>
            <w:noWrap/>
            <w:tcMar>
              <w:top w:w="29" w:type="dxa"/>
              <w:left w:w="0" w:type="dxa"/>
              <w:bottom w:w="29" w:type="dxa"/>
              <w:right w:w="115" w:type="dxa"/>
            </w:tcMar>
            <w:vAlign w:val="center"/>
            <w:hideMark/>
          </w:tcPr>
          <w:p w:rsidR="00DB6EC8" w:rsidRPr="00DB6EC8" w:rsidRDefault="00DB6EC8" w:rsidP="00DB6EC8">
            <w:pPr>
              <w:spacing w:after="0" w:line="240" w:lineRule="auto"/>
              <w:jc w:val="right"/>
              <w:rPr>
                <w:rFonts w:asciiTheme="minorHAnsi" w:hAnsiTheme="minorHAnsi"/>
                <w:sz w:val="18"/>
                <w:szCs w:val="18"/>
              </w:rPr>
            </w:pPr>
            <w:r w:rsidRPr="00DB6EC8">
              <w:rPr>
                <w:rFonts w:asciiTheme="minorHAnsi" w:hAnsiTheme="minorHAnsi"/>
                <w:sz w:val="18"/>
                <w:szCs w:val="18"/>
              </w:rPr>
              <w:t>7</w:t>
            </w:r>
          </w:p>
        </w:tc>
        <w:tc>
          <w:tcPr>
            <w:tcW w:w="776" w:type="dxa"/>
            <w:shd w:val="clear" w:color="auto" w:fill="CCEAF9" w:themeFill="accent1" w:themeFillTint="33"/>
            <w:noWrap/>
            <w:tcMar>
              <w:top w:w="29" w:type="dxa"/>
              <w:left w:w="0" w:type="dxa"/>
              <w:bottom w:w="29" w:type="dxa"/>
              <w:right w:w="115" w:type="dxa"/>
            </w:tcMar>
            <w:vAlign w:val="center"/>
            <w:hideMark/>
          </w:tcPr>
          <w:p w:rsidR="00DB6EC8" w:rsidRPr="00DB6EC8" w:rsidRDefault="00DB6EC8" w:rsidP="00DB6EC8">
            <w:pPr>
              <w:spacing w:after="0" w:line="240" w:lineRule="auto"/>
              <w:jc w:val="right"/>
              <w:rPr>
                <w:rFonts w:asciiTheme="minorHAnsi" w:hAnsiTheme="minorHAnsi"/>
                <w:sz w:val="18"/>
                <w:szCs w:val="18"/>
              </w:rPr>
            </w:pPr>
            <w:r w:rsidRPr="00DB6EC8">
              <w:rPr>
                <w:rFonts w:asciiTheme="minorHAnsi" w:hAnsiTheme="minorHAnsi"/>
                <w:sz w:val="18"/>
                <w:szCs w:val="18"/>
              </w:rPr>
              <w:t xml:space="preserve"> 79 </w:t>
            </w:r>
          </w:p>
        </w:tc>
        <w:tc>
          <w:tcPr>
            <w:tcW w:w="777" w:type="dxa"/>
            <w:shd w:val="clear" w:color="auto" w:fill="CCEAF9" w:themeFill="accent1" w:themeFillTint="33"/>
            <w:noWrap/>
            <w:tcMar>
              <w:top w:w="29" w:type="dxa"/>
              <w:left w:w="0" w:type="dxa"/>
              <w:bottom w:w="29" w:type="dxa"/>
              <w:right w:w="115" w:type="dxa"/>
            </w:tcMar>
            <w:vAlign w:val="center"/>
            <w:hideMark/>
          </w:tcPr>
          <w:p w:rsidR="00DB6EC8" w:rsidRPr="00DB6EC8" w:rsidRDefault="00DB6EC8" w:rsidP="00DB6EC8">
            <w:pPr>
              <w:spacing w:after="0" w:line="240" w:lineRule="auto"/>
              <w:jc w:val="right"/>
              <w:rPr>
                <w:rFonts w:asciiTheme="minorHAnsi" w:hAnsiTheme="minorHAnsi"/>
                <w:sz w:val="18"/>
                <w:szCs w:val="18"/>
              </w:rPr>
            </w:pPr>
            <w:r w:rsidRPr="00DB6EC8">
              <w:rPr>
                <w:rFonts w:asciiTheme="minorHAnsi" w:hAnsiTheme="minorHAnsi"/>
                <w:sz w:val="18"/>
                <w:szCs w:val="18"/>
              </w:rPr>
              <w:t xml:space="preserve"> 143 </w:t>
            </w:r>
          </w:p>
        </w:tc>
        <w:tc>
          <w:tcPr>
            <w:tcW w:w="777" w:type="dxa"/>
            <w:shd w:val="clear" w:color="auto" w:fill="CCEAF9" w:themeFill="accent1" w:themeFillTint="33"/>
            <w:noWrap/>
            <w:tcMar>
              <w:top w:w="29" w:type="dxa"/>
              <w:left w:w="0" w:type="dxa"/>
              <w:bottom w:w="29" w:type="dxa"/>
              <w:right w:w="115" w:type="dxa"/>
            </w:tcMar>
            <w:vAlign w:val="center"/>
            <w:hideMark/>
          </w:tcPr>
          <w:p w:rsidR="00DB6EC8" w:rsidRPr="00DB6EC8" w:rsidRDefault="00DB6EC8" w:rsidP="00DB6EC8">
            <w:pPr>
              <w:spacing w:after="0" w:line="240" w:lineRule="auto"/>
              <w:jc w:val="right"/>
              <w:rPr>
                <w:rFonts w:asciiTheme="minorHAnsi" w:hAnsiTheme="minorHAnsi"/>
                <w:sz w:val="18"/>
                <w:szCs w:val="18"/>
              </w:rPr>
            </w:pPr>
            <w:r w:rsidRPr="00DB6EC8">
              <w:rPr>
                <w:rFonts w:asciiTheme="minorHAnsi" w:hAnsiTheme="minorHAnsi"/>
                <w:sz w:val="18"/>
                <w:szCs w:val="18"/>
              </w:rPr>
              <w:t>6.8</w:t>
            </w:r>
          </w:p>
        </w:tc>
      </w:tr>
      <w:tr w:rsidR="00DB6EC8" w:rsidRPr="00DB6EC8" w:rsidTr="00DB6EC8">
        <w:trPr>
          <w:trHeight w:val="312"/>
          <w:jc w:val="center"/>
        </w:trPr>
        <w:tc>
          <w:tcPr>
            <w:tcW w:w="1050" w:type="dxa"/>
            <w:noWrap/>
            <w:tcMar>
              <w:left w:w="115" w:type="dxa"/>
              <w:right w:w="0" w:type="dxa"/>
            </w:tcMar>
            <w:vAlign w:val="center"/>
            <w:hideMark/>
          </w:tcPr>
          <w:p w:rsidR="00DB6EC8" w:rsidRPr="00DB6EC8" w:rsidRDefault="00DB6EC8" w:rsidP="00DB6EC8">
            <w:pPr>
              <w:spacing w:after="0" w:line="240" w:lineRule="auto"/>
              <w:rPr>
                <w:rFonts w:asciiTheme="minorHAnsi" w:hAnsiTheme="minorHAnsi"/>
                <w:b/>
                <w:sz w:val="18"/>
                <w:szCs w:val="18"/>
              </w:rPr>
            </w:pPr>
            <w:r w:rsidRPr="00DB6EC8">
              <w:rPr>
                <w:rFonts w:asciiTheme="minorHAnsi" w:hAnsiTheme="minorHAnsi"/>
                <w:b/>
                <w:sz w:val="18"/>
                <w:szCs w:val="18"/>
              </w:rPr>
              <w:t>RI</w:t>
            </w:r>
          </w:p>
        </w:tc>
        <w:tc>
          <w:tcPr>
            <w:tcW w:w="776" w:type="dxa"/>
            <w:noWrap/>
            <w:tcMar>
              <w:top w:w="29" w:type="dxa"/>
              <w:left w:w="0" w:type="dxa"/>
              <w:bottom w:w="29" w:type="dxa"/>
              <w:right w:w="115" w:type="dxa"/>
            </w:tcMar>
            <w:vAlign w:val="center"/>
            <w:hideMark/>
          </w:tcPr>
          <w:p w:rsidR="00DB6EC8" w:rsidRPr="00DB6EC8" w:rsidRDefault="00DB6EC8" w:rsidP="00DB6EC8">
            <w:pPr>
              <w:spacing w:after="0" w:line="240" w:lineRule="auto"/>
              <w:jc w:val="right"/>
              <w:rPr>
                <w:rFonts w:asciiTheme="minorHAnsi" w:hAnsiTheme="minorHAnsi"/>
                <w:sz w:val="18"/>
                <w:szCs w:val="18"/>
              </w:rPr>
            </w:pPr>
            <w:r w:rsidRPr="00DB6EC8">
              <w:rPr>
                <w:rFonts w:asciiTheme="minorHAnsi" w:hAnsiTheme="minorHAnsi"/>
                <w:sz w:val="18"/>
                <w:szCs w:val="18"/>
              </w:rPr>
              <w:t>1,020</w:t>
            </w:r>
          </w:p>
        </w:tc>
        <w:tc>
          <w:tcPr>
            <w:tcW w:w="777" w:type="dxa"/>
            <w:noWrap/>
            <w:tcMar>
              <w:top w:w="29" w:type="dxa"/>
              <w:left w:w="0" w:type="dxa"/>
              <w:bottom w:w="29" w:type="dxa"/>
              <w:right w:w="115" w:type="dxa"/>
            </w:tcMar>
            <w:vAlign w:val="center"/>
            <w:hideMark/>
          </w:tcPr>
          <w:p w:rsidR="00DB6EC8" w:rsidRPr="00DB6EC8" w:rsidRDefault="00DB6EC8" w:rsidP="00DB6EC8">
            <w:pPr>
              <w:spacing w:after="0" w:line="240" w:lineRule="auto"/>
              <w:jc w:val="right"/>
              <w:rPr>
                <w:rFonts w:asciiTheme="minorHAnsi" w:hAnsiTheme="minorHAnsi"/>
                <w:sz w:val="18"/>
                <w:szCs w:val="18"/>
              </w:rPr>
            </w:pPr>
            <w:r w:rsidRPr="00DB6EC8">
              <w:rPr>
                <w:rFonts w:asciiTheme="minorHAnsi" w:hAnsiTheme="minorHAnsi"/>
                <w:sz w:val="18"/>
                <w:szCs w:val="18"/>
              </w:rPr>
              <w:t>2,436</w:t>
            </w:r>
          </w:p>
        </w:tc>
        <w:tc>
          <w:tcPr>
            <w:tcW w:w="776" w:type="dxa"/>
            <w:noWrap/>
            <w:tcMar>
              <w:top w:w="29" w:type="dxa"/>
              <w:left w:w="0" w:type="dxa"/>
              <w:bottom w:w="29" w:type="dxa"/>
              <w:right w:w="115" w:type="dxa"/>
            </w:tcMar>
            <w:vAlign w:val="center"/>
            <w:hideMark/>
          </w:tcPr>
          <w:p w:rsidR="00DB6EC8" w:rsidRPr="00DB6EC8" w:rsidRDefault="00DB6EC8" w:rsidP="00DB6EC8">
            <w:pPr>
              <w:spacing w:after="0" w:line="240" w:lineRule="auto"/>
              <w:jc w:val="right"/>
              <w:rPr>
                <w:rFonts w:asciiTheme="minorHAnsi" w:hAnsiTheme="minorHAnsi"/>
                <w:sz w:val="18"/>
                <w:szCs w:val="18"/>
              </w:rPr>
            </w:pPr>
            <w:r w:rsidRPr="00DB6EC8">
              <w:rPr>
                <w:rFonts w:asciiTheme="minorHAnsi" w:hAnsiTheme="minorHAnsi"/>
                <w:sz w:val="18"/>
                <w:szCs w:val="18"/>
              </w:rPr>
              <w:t>10.2</w:t>
            </w:r>
          </w:p>
        </w:tc>
        <w:tc>
          <w:tcPr>
            <w:tcW w:w="777" w:type="dxa"/>
            <w:noWrap/>
            <w:tcMar>
              <w:top w:w="29" w:type="dxa"/>
              <w:left w:w="0" w:type="dxa"/>
              <w:bottom w:w="29" w:type="dxa"/>
              <w:right w:w="115" w:type="dxa"/>
            </w:tcMar>
            <w:vAlign w:val="center"/>
            <w:hideMark/>
          </w:tcPr>
          <w:p w:rsidR="00DB6EC8" w:rsidRPr="00DB6EC8" w:rsidRDefault="00DB6EC8" w:rsidP="00DB6EC8">
            <w:pPr>
              <w:spacing w:after="0" w:line="240" w:lineRule="auto"/>
              <w:jc w:val="right"/>
              <w:rPr>
                <w:rFonts w:asciiTheme="minorHAnsi" w:hAnsiTheme="minorHAnsi"/>
                <w:sz w:val="18"/>
                <w:szCs w:val="18"/>
              </w:rPr>
            </w:pPr>
            <w:r w:rsidRPr="00DB6EC8">
              <w:rPr>
                <w:rFonts w:asciiTheme="minorHAnsi" w:hAnsiTheme="minorHAnsi"/>
                <w:sz w:val="18"/>
                <w:szCs w:val="18"/>
              </w:rPr>
              <w:t xml:space="preserve"> 179 </w:t>
            </w:r>
          </w:p>
        </w:tc>
        <w:tc>
          <w:tcPr>
            <w:tcW w:w="776" w:type="dxa"/>
            <w:noWrap/>
            <w:tcMar>
              <w:top w:w="29" w:type="dxa"/>
              <w:left w:w="0" w:type="dxa"/>
              <w:bottom w:w="29" w:type="dxa"/>
              <w:right w:w="115" w:type="dxa"/>
            </w:tcMar>
            <w:vAlign w:val="center"/>
            <w:hideMark/>
          </w:tcPr>
          <w:p w:rsidR="00DB6EC8" w:rsidRPr="00DB6EC8" w:rsidRDefault="00DB6EC8" w:rsidP="00DB6EC8">
            <w:pPr>
              <w:spacing w:after="0" w:line="240" w:lineRule="auto"/>
              <w:jc w:val="right"/>
              <w:rPr>
                <w:rFonts w:asciiTheme="minorHAnsi" w:hAnsiTheme="minorHAnsi"/>
                <w:sz w:val="18"/>
                <w:szCs w:val="18"/>
              </w:rPr>
            </w:pPr>
            <w:r w:rsidRPr="00DB6EC8">
              <w:rPr>
                <w:rFonts w:asciiTheme="minorHAnsi" w:hAnsiTheme="minorHAnsi"/>
                <w:sz w:val="18"/>
                <w:szCs w:val="18"/>
              </w:rPr>
              <w:t xml:space="preserve"> 391 </w:t>
            </w:r>
          </w:p>
        </w:tc>
        <w:tc>
          <w:tcPr>
            <w:tcW w:w="777" w:type="dxa"/>
            <w:noWrap/>
            <w:tcMar>
              <w:top w:w="29" w:type="dxa"/>
              <w:left w:w="0" w:type="dxa"/>
              <w:bottom w:w="29" w:type="dxa"/>
              <w:right w:w="115" w:type="dxa"/>
            </w:tcMar>
            <w:vAlign w:val="center"/>
            <w:hideMark/>
          </w:tcPr>
          <w:p w:rsidR="00DB6EC8" w:rsidRPr="00DB6EC8" w:rsidRDefault="00DB6EC8" w:rsidP="00DB6EC8">
            <w:pPr>
              <w:spacing w:after="0" w:line="240" w:lineRule="auto"/>
              <w:jc w:val="right"/>
              <w:rPr>
                <w:rFonts w:asciiTheme="minorHAnsi" w:hAnsiTheme="minorHAnsi"/>
                <w:sz w:val="18"/>
                <w:szCs w:val="18"/>
              </w:rPr>
            </w:pPr>
            <w:r w:rsidRPr="00DB6EC8">
              <w:rPr>
                <w:rFonts w:asciiTheme="minorHAnsi" w:hAnsiTheme="minorHAnsi"/>
                <w:sz w:val="18"/>
                <w:szCs w:val="18"/>
              </w:rPr>
              <w:t>9.1</w:t>
            </w:r>
          </w:p>
        </w:tc>
        <w:tc>
          <w:tcPr>
            <w:tcW w:w="776" w:type="dxa"/>
            <w:noWrap/>
            <w:tcMar>
              <w:top w:w="29" w:type="dxa"/>
              <w:left w:w="0" w:type="dxa"/>
              <w:bottom w:w="29" w:type="dxa"/>
              <w:right w:w="115" w:type="dxa"/>
            </w:tcMar>
            <w:vAlign w:val="center"/>
            <w:hideMark/>
          </w:tcPr>
          <w:p w:rsidR="00DB6EC8" w:rsidRPr="00DB6EC8" w:rsidRDefault="00DB6EC8" w:rsidP="00DB6EC8">
            <w:pPr>
              <w:spacing w:after="0" w:line="240" w:lineRule="auto"/>
              <w:jc w:val="right"/>
              <w:rPr>
                <w:rFonts w:asciiTheme="minorHAnsi" w:hAnsiTheme="minorHAnsi"/>
                <w:sz w:val="18"/>
                <w:szCs w:val="18"/>
              </w:rPr>
            </w:pPr>
            <w:r w:rsidRPr="00DB6EC8">
              <w:rPr>
                <w:rFonts w:asciiTheme="minorHAnsi" w:hAnsiTheme="minorHAnsi"/>
                <w:sz w:val="18"/>
                <w:szCs w:val="18"/>
              </w:rPr>
              <w:t xml:space="preserve"> 175 </w:t>
            </w:r>
          </w:p>
        </w:tc>
        <w:tc>
          <w:tcPr>
            <w:tcW w:w="777" w:type="dxa"/>
            <w:noWrap/>
            <w:tcMar>
              <w:top w:w="29" w:type="dxa"/>
              <w:left w:w="0" w:type="dxa"/>
              <w:bottom w:w="29" w:type="dxa"/>
              <w:right w:w="115" w:type="dxa"/>
            </w:tcMar>
            <w:vAlign w:val="center"/>
            <w:hideMark/>
          </w:tcPr>
          <w:p w:rsidR="00DB6EC8" w:rsidRPr="00DB6EC8" w:rsidRDefault="00DB6EC8" w:rsidP="00DB6EC8">
            <w:pPr>
              <w:spacing w:after="0" w:line="240" w:lineRule="auto"/>
              <w:jc w:val="right"/>
              <w:rPr>
                <w:rFonts w:asciiTheme="minorHAnsi" w:hAnsiTheme="minorHAnsi"/>
                <w:sz w:val="18"/>
                <w:szCs w:val="18"/>
              </w:rPr>
            </w:pPr>
            <w:r w:rsidRPr="00DB6EC8">
              <w:rPr>
                <w:rFonts w:asciiTheme="minorHAnsi" w:hAnsiTheme="minorHAnsi"/>
                <w:sz w:val="18"/>
                <w:szCs w:val="18"/>
              </w:rPr>
              <w:t xml:space="preserve"> 393 </w:t>
            </w:r>
          </w:p>
        </w:tc>
        <w:tc>
          <w:tcPr>
            <w:tcW w:w="777" w:type="dxa"/>
            <w:noWrap/>
            <w:tcMar>
              <w:top w:w="29" w:type="dxa"/>
              <w:left w:w="0" w:type="dxa"/>
              <w:bottom w:w="29" w:type="dxa"/>
              <w:right w:w="115" w:type="dxa"/>
            </w:tcMar>
            <w:vAlign w:val="center"/>
            <w:hideMark/>
          </w:tcPr>
          <w:p w:rsidR="00DB6EC8" w:rsidRPr="00DB6EC8" w:rsidRDefault="00DB6EC8" w:rsidP="00DB6EC8">
            <w:pPr>
              <w:spacing w:after="0" w:line="240" w:lineRule="auto"/>
              <w:jc w:val="right"/>
              <w:rPr>
                <w:rFonts w:asciiTheme="minorHAnsi" w:hAnsiTheme="minorHAnsi"/>
                <w:sz w:val="18"/>
                <w:szCs w:val="18"/>
              </w:rPr>
            </w:pPr>
            <w:r w:rsidRPr="00DB6EC8">
              <w:rPr>
                <w:rFonts w:asciiTheme="minorHAnsi" w:hAnsiTheme="minorHAnsi"/>
                <w:sz w:val="18"/>
                <w:szCs w:val="18"/>
              </w:rPr>
              <w:t>9.4</w:t>
            </w:r>
          </w:p>
        </w:tc>
      </w:tr>
      <w:tr w:rsidR="00DB6EC8" w:rsidRPr="00DB6EC8" w:rsidTr="00DB6EC8">
        <w:trPr>
          <w:trHeight w:val="312"/>
          <w:jc w:val="center"/>
        </w:trPr>
        <w:tc>
          <w:tcPr>
            <w:tcW w:w="1050" w:type="dxa"/>
            <w:shd w:val="clear" w:color="auto" w:fill="CCEAF9" w:themeFill="accent1" w:themeFillTint="33"/>
            <w:noWrap/>
            <w:tcMar>
              <w:left w:w="115" w:type="dxa"/>
              <w:right w:w="0" w:type="dxa"/>
            </w:tcMar>
            <w:vAlign w:val="center"/>
            <w:hideMark/>
          </w:tcPr>
          <w:p w:rsidR="00DB6EC8" w:rsidRPr="00DB6EC8" w:rsidRDefault="00DB6EC8" w:rsidP="00DB6EC8">
            <w:pPr>
              <w:spacing w:after="0" w:line="240" w:lineRule="auto"/>
              <w:rPr>
                <w:rFonts w:asciiTheme="minorHAnsi" w:hAnsiTheme="minorHAnsi"/>
                <w:b/>
                <w:sz w:val="18"/>
                <w:szCs w:val="18"/>
              </w:rPr>
            </w:pPr>
            <w:r w:rsidRPr="00DB6EC8">
              <w:rPr>
                <w:rFonts w:asciiTheme="minorHAnsi" w:hAnsiTheme="minorHAnsi"/>
                <w:b/>
                <w:sz w:val="18"/>
                <w:szCs w:val="18"/>
              </w:rPr>
              <w:t>VT</w:t>
            </w:r>
          </w:p>
        </w:tc>
        <w:tc>
          <w:tcPr>
            <w:tcW w:w="776" w:type="dxa"/>
            <w:shd w:val="clear" w:color="auto" w:fill="CCEAF9" w:themeFill="accent1" w:themeFillTint="33"/>
            <w:noWrap/>
            <w:tcMar>
              <w:top w:w="29" w:type="dxa"/>
              <w:left w:w="0" w:type="dxa"/>
              <w:bottom w:w="29" w:type="dxa"/>
              <w:right w:w="115" w:type="dxa"/>
            </w:tcMar>
            <w:vAlign w:val="center"/>
            <w:hideMark/>
          </w:tcPr>
          <w:p w:rsidR="00DB6EC8" w:rsidRPr="00DB6EC8" w:rsidRDefault="00DB6EC8" w:rsidP="00DB6EC8">
            <w:pPr>
              <w:spacing w:after="0" w:line="240" w:lineRule="auto"/>
              <w:jc w:val="right"/>
              <w:rPr>
                <w:rFonts w:asciiTheme="minorHAnsi" w:hAnsiTheme="minorHAnsi"/>
                <w:sz w:val="18"/>
                <w:szCs w:val="18"/>
              </w:rPr>
            </w:pPr>
            <w:r w:rsidRPr="00DB6EC8">
              <w:rPr>
                <w:rFonts w:asciiTheme="minorHAnsi" w:hAnsiTheme="minorHAnsi"/>
                <w:sz w:val="18"/>
                <w:szCs w:val="18"/>
              </w:rPr>
              <w:t>892</w:t>
            </w:r>
          </w:p>
        </w:tc>
        <w:tc>
          <w:tcPr>
            <w:tcW w:w="777" w:type="dxa"/>
            <w:shd w:val="clear" w:color="auto" w:fill="CCEAF9" w:themeFill="accent1" w:themeFillTint="33"/>
            <w:noWrap/>
            <w:tcMar>
              <w:top w:w="29" w:type="dxa"/>
              <w:left w:w="0" w:type="dxa"/>
              <w:bottom w:w="29" w:type="dxa"/>
              <w:right w:w="115" w:type="dxa"/>
            </w:tcMar>
            <w:vAlign w:val="center"/>
            <w:hideMark/>
          </w:tcPr>
          <w:p w:rsidR="00DB6EC8" w:rsidRPr="00DB6EC8" w:rsidRDefault="00DB6EC8" w:rsidP="00DB6EC8">
            <w:pPr>
              <w:spacing w:after="0" w:line="240" w:lineRule="auto"/>
              <w:jc w:val="right"/>
              <w:rPr>
                <w:rFonts w:asciiTheme="minorHAnsi" w:hAnsiTheme="minorHAnsi"/>
                <w:sz w:val="18"/>
                <w:szCs w:val="18"/>
              </w:rPr>
            </w:pPr>
            <w:r w:rsidRPr="00DB6EC8">
              <w:rPr>
                <w:rFonts w:asciiTheme="minorHAnsi" w:hAnsiTheme="minorHAnsi"/>
                <w:sz w:val="18"/>
                <w:szCs w:val="18"/>
              </w:rPr>
              <w:t>1,330</w:t>
            </w:r>
          </w:p>
        </w:tc>
        <w:tc>
          <w:tcPr>
            <w:tcW w:w="776" w:type="dxa"/>
            <w:shd w:val="clear" w:color="auto" w:fill="CCEAF9" w:themeFill="accent1" w:themeFillTint="33"/>
            <w:noWrap/>
            <w:tcMar>
              <w:top w:w="29" w:type="dxa"/>
              <w:left w:w="0" w:type="dxa"/>
              <w:bottom w:w="29" w:type="dxa"/>
              <w:right w:w="115" w:type="dxa"/>
            </w:tcMar>
            <w:vAlign w:val="center"/>
            <w:hideMark/>
          </w:tcPr>
          <w:p w:rsidR="00DB6EC8" w:rsidRPr="00DB6EC8" w:rsidRDefault="00DB6EC8" w:rsidP="00DB6EC8">
            <w:pPr>
              <w:spacing w:after="0" w:line="240" w:lineRule="auto"/>
              <w:jc w:val="right"/>
              <w:rPr>
                <w:rFonts w:asciiTheme="minorHAnsi" w:hAnsiTheme="minorHAnsi"/>
                <w:sz w:val="18"/>
                <w:szCs w:val="18"/>
              </w:rPr>
            </w:pPr>
            <w:r w:rsidRPr="00DB6EC8">
              <w:rPr>
                <w:rFonts w:asciiTheme="minorHAnsi" w:hAnsiTheme="minorHAnsi"/>
                <w:sz w:val="18"/>
                <w:szCs w:val="18"/>
              </w:rPr>
              <w:t>4.5</w:t>
            </w:r>
          </w:p>
        </w:tc>
        <w:tc>
          <w:tcPr>
            <w:tcW w:w="777" w:type="dxa"/>
            <w:shd w:val="clear" w:color="auto" w:fill="CCEAF9" w:themeFill="accent1" w:themeFillTint="33"/>
            <w:noWrap/>
            <w:tcMar>
              <w:top w:w="29" w:type="dxa"/>
              <w:left w:w="0" w:type="dxa"/>
              <w:bottom w:w="29" w:type="dxa"/>
              <w:right w:w="115" w:type="dxa"/>
            </w:tcMar>
            <w:vAlign w:val="center"/>
            <w:hideMark/>
          </w:tcPr>
          <w:p w:rsidR="00DB6EC8" w:rsidRPr="00DB6EC8" w:rsidRDefault="00DB6EC8" w:rsidP="00DB6EC8">
            <w:pPr>
              <w:spacing w:after="0" w:line="240" w:lineRule="auto"/>
              <w:jc w:val="right"/>
              <w:rPr>
                <w:rFonts w:asciiTheme="minorHAnsi" w:hAnsiTheme="minorHAnsi"/>
                <w:sz w:val="18"/>
                <w:szCs w:val="18"/>
              </w:rPr>
            </w:pPr>
            <w:r w:rsidRPr="00DB6EC8">
              <w:rPr>
                <w:rFonts w:asciiTheme="minorHAnsi" w:hAnsiTheme="minorHAnsi"/>
                <w:sz w:val="18"/>
                <w:szCs w:val="18"/>
              </w:rPr>
              <w:t xml:space="preserve"> 132 </w:t>
            </w:r>
          </w:p>
        </w:tc>
        <w:tc>
          <w:tcPr>
            <w:tcW w:w="776" w:type="dxa"/>
            <w:shd w:val="clear" w:color="auto" w:fill="CCEAF9" w:themeFill="accent1" w:themeFillTint="33"/>
            <w:noWrap/>
            <w:tcMar>
              <w:top w:w="29" w:type="dxa"/>
              <w:left w:w="0" w:type="dxa"/>
              <w:bottom w:w="29" w:type="dxa"/>
              <w:right w:w="115" w:type="dxa"/>
            </w:tcMar>
            <w:vAlign w:val="center"/>
            <w:hideMark/>
          </w:tcPr>
          <w:p w:rsidR="00DB6EC8" w:rsidRPr="00DB6EC8" w:rsidRDefault="00DB6EC8" w:rsidP="00DB6EC8">
            <w:pPr>
              <w:spacing w:after="0" w:line="240" w:lineRule="auto"/>
              <w:jc w:val="right"/>
              <w:rPr>
                <w:rFonts w:asciiTheme="minorHAnsi" w:hAnsiTheme="minorHAnsi"/>
                <w:sz w:val="18"/>
                <w:szCs w:val="18"/>
              </w:rPr>
            </w:pPr>
            <w:r w:rsidRPr="00DB6EC8">
              <w:rPr>
                <w:rFonts w:asciiTheme="minorHAnsi" w:hAnsiTheme="minorHAnsi"/>
                <w:sz w:val="18"/>
                <w:szCs w:val="18"/>
              </w:rPr>
              <w:t xml:space="preserve"> 169 </w:t>
            </w:r>
          </w:p>
        </w:tc>
        <w:tc>
          <w:tcPr>
            <w:tcW w:w="777" w:type="dxa"/>
            <w:shd w:val="clear" w:color="auto" w:fill="CCEAF9" w:themeFill="accent1" w:themeFillTint="33"/>
            <w:noWrap/>
            <w:tcMar>
              <w:top w:w="29" w:type="dxa"/>
              <w:left w:w="0" w:type="dxa"/>
              <w:bottom w:w="29" w:type="dxa"/>
              <w:right w:w="115" w:type="dxa"/>
            </w:tcMar>
            <w:vAlign w:val="center"/>
            <w:hideMark/>
          </w:tcPr>
          <w:p w:rsidR="00DB6EC8" w:rsidRPr="00DB6EC8" w:rsidRDefault="00DB6EC8" w:rsidP="00DB6EC8">
            <w:pPr>
              <w:spacing w:after="0" w:line="240" w:lineRule="auto"/>
              <w:jc w:val="right"/>
              <w:rPr>
                <w:rFonts w:asciiTheme="minorHAnsi" w:hAnsiTheme="minorHAnsi"/>
                <w:sz w:val="18"/>
                <w:szCs w:val="18"/>
              </w:rPr>
            </w:pPr>
            <w:r w:rsidRPr="00DB6EC8">
              <w:rPr>
                <w:rFonts w:asciiTheme="minorHAnsi" w:hAnsiTheme="minorHAnsi"/>
                <w:sz w:val="18"/>
                <w:szCs w:val="18"/>
              </w:rPr>
              <w:t>2.8</w:t>
            </w:r>
          </w:p>
        </w:tc>
        <w:tc>
          <w:tcPr>
            <w:tcW w:w="776" w:type="dxa"/>
            <w:shd w:val="clear" w:color="auto" w:fill="CCEAF9" w:themeFill="accent1" w:themeFillTint="33"/>
            <w:noWrap/>
            <w:tcMar>
              <w:top w:w="29" w:type="dxa"/>
              <w:left w:w="0" w:type="dxa"/>
              <w:bottom w:w="29" w:type="dxa"/>
              <w:right w:w="115" w:type="dxa"/>
            </w:tcMar>
            <w:vAlign w:val="center"/>
            <w:hideMark/>
          </w:tcPr>
          <w:p w:rsidR="00DB6EC8" w:rsidRPr="00DB6EC8" w:rsidRDefault="00DB6EC8" w:rsidP="00DB6EC8">
            <w:pPr>
              <w:spacing w:after="0" w:line="240" w:lineRule="auto"/>
              <w:jc w:val="right"/>
              <w:rPr>
                <w:rFonts w:asciiTheme="minorHAnsi" w:hAnsiTheme="minorHAnsi"/>
                <w:sz w:val="18"/>
                <w:szCs w:val="18"/>
              </w:rPr>
            </w:pPr>
            <w:r w:rsidRPr="00DB6EC8">
              <w:rPr>
                <w:rFonts w:asciiTheme="minorHAnsi" w:hAnsiTheme="minorHAnsi"/>
                <w:sz w:val="18"/>
                <w:szCs w:val="18"/>
              </w:rPr>
              <w:t xml:space="preserve"> 131 </w:t>
            </w:r>
          </w:p>
        </w:tc>
        <w:tc>
          <w:tcPr>
            <w:tcW w:w="777" w:type="dxa"/>
            <w:shd w:val="clear" w:color="auto" w:fill="CCEAF9" w:themeFill="accent1" w:themeFillTint="33"/>
            <w:noWrap/>
            <w:tcMar>
              <w:top w:w="29" w:type="dxa"/>
              <w:left w:w="0" w:type="dxa"/>
              <w:bottom w:w="29" w:type="dxa"/>
              <w:right w:w="115" w:type="dxa"/>
            </w:tcMar>
            <w:vAlign w:val="center"/>
            <w:hideMark/>
          </w:tcPr>
          <w:p w:rsidR="00DB6EC8" w:rsidRPr="00DB6EC8" w:rsidRDefault="00DB6EC8" w:rsidP="00DB6EC8">
            <w:pPr>
              <w:spacing w:after="0" w:line="240" w:lineRule="auto"/>
              <w:jc w:val="right"/>
              <w:rPr>
                <w:rFonts w:asciiTheme="minorHAnsi" w:hAnsiTheme="minorHAnsi"/>
                <w:sz w:val="18"/>
                <w:szCs w:val="18"/>
              </w:rPr>
            </w:pPr>
            <w:r w:rsidRPr="00DB6EC8">
              <w:rPr>
                <w:rFonts w:asciiTheme="minorHAnsi" w:hAnsiTheme="minorHAnsi"/>
                <w:sz w:val="18"/>
                <w:szCs w:val="18"/>
              </w:rPr>
              <w:t xml:space="preserve"> 169 </w:t>
            </w:r>
          </w:p>
        </w:tc>
        <w:tc>
          <w:tcPr>
            <w:tcW w:w="777" w:type="dxa"/>
            <w:shd w:val="clear" w:color="auto" w:fill="CCEAF9" w:themeFill="accent1" w:themeFillTint="33"/>
            <w:noWrap/>
            <w:tcMar>
              <w:top w:w="29" w:type="dxa"/>
              <w:left w:w="0" w:type="dxa"/>
              <w:bottom w:w="29" w:type="dxa"/>
              <w:right w:w="115" w:type="dxa"/>
            </w:tcMar>
            <w:vAlign w:val="center"/>
            <w:hideMark/>
          </w:tcPr>
          <w:p w:rsidR="00DB6EC8" w:rsidRPr="00DB6EC8" w:rsidRDefault="00DB6EC8" w:rsidP="00DB6EC8">
            <w:pPr>
              <w:spacing w:after="0" w:line="240" w:lineRule="auto"/>
              <w:jc w:val="right"/>
              <w:rPr>
                <w:rFonts w:asciiTheme="minorHAnsi" w:hAnsiTheme="minorHAnsi"/>
                <w:sz w:val="18"/>
                <w:szCs w:val="18"/>
              </w:rPr>
            </w:pPr>
            <w:r w:rsidRPr="00DB6EC8">
              <w:rPr>
                <w:rFonts w:asciiTheme="minorHAnsi" w:hAnsiTheme="minorHAnsi"/>
                <w:sz w:val="18"/>
                <w:szCs w:val="18"/>
              </w:rPr>
              <w:t>2.9</w:t>
            </w:r>
          </w:p>
        </w:tc>
      </w:tr>
      <w:tr w:rsidR="00DB6EC8" w:rsidRPr="00DB6EC8" w:rsidTr="00DB6EC8">
        <w:trPr>
          <w:trHeight w:val="312"/>
          <w:jc w:val="center"/>
        </w:trPr>
        <w:tc>
          <w:tcPr>
            <w:tcW w:w="1050" w:type="dxa"/>
            <w:shd w:val="clear" w:color="auto" w:fill="1795D2" w:themeFill="accent1"/>
            <w:noWrap/>
            <w:tcMar>
              <w:left w:w="115" w:type="dxa"/>
              <w:right w:w="0" w:type="dxa"/>
            </w:tcMar>
            <w:vAlign w:val="center"/>
            <w:hideMark/>
          </w:tcPr>
          <w:p w:rsidR="00DB6EC8" w:rsidRPr="00DB6EC8" w:rsidRDefault="00DB6EC8" w:rsidP="00DB6EC8">
            <w:pPr>
              <w:spacing w:after="0" w:line="240" w:lineRule="auto"/>
              <w:rPr>
                <w:rFonts w:asciiTheme="minorHAnsi" w:hAnsiTheme="minorHAnsi"/>
                <w:b/>
                <w:color w:val="FFFFFF" w:themeColor="background1"/>
                <w:sz w:val="18"/>
                <w:szCs w:val="18"/>
              </w:rPr>
            </w:pPr>
            <w:r w:rsidRPr="00DB6EC8">
              <w:rPr>
                <w:rFonts w:asciiTheme="minorHAnsi" w:hAnsiTheme="minorHAnsi"/>
                <w:b/>
                <w:color w:val="FFFFFF" w:themeColor="background1"/>
                <w:sz w:val="18"/>
                <w:szCs w:val="18"/>
              </w:rPr>
              <w:t>ISO</w:t>
            </w:r>
          </w:p>
        </w:tc>
        <w:tc>
          <w:tcPr>
            <w:tcW w:w="776" w:type="dxa"/>
            <w:shd w:val="clear" w:color="auto" w:fill="1795D2" w:themeFill="accent1"/>
            <w:noWrap/>
            <w:tcMar>
              <w:top w:w="29" w:type="dxa"/>
              <w:left w:w="0" w:type="dxa"/>
              <w:bottom w:w="29" w:type="dxa"/>
              <w:right w:w="115" w:type="dxa"/>
            </w:tcMar>
            <w:vAlign w:val="center"/>
            <w:hideMark/>
          </w:tcPr>
          <w:p w:rsidR="00DB6EC8" w:rsidRPr="00DB6EC8" w:rsidRDefault="00DB6EC8" w:rsidP="00DB6EC8">
            <w:pPr>
              <w:spacing w:after="0" w:line="240" w:lineRule="auto"/>
              <w:jc w:val="right"/>
              <w:rPr>
                <w:rFonts w:asciiTheme="minorHAnsi" w:hAnsiTheme="minorHAnsi"/>
                <w:b/>
                <w:color w:val="FFFFFF" w:themeColor="background1"/>
                <w:sz w:val="18"/>
                <w:szCs w:val="18"/>
              </w:rPr>
            </w:pPr>
            <w:r w:rsidRPr="00DB6EC8">
              <w:rPr>
                <w:rFonts w:asciiTheme="minorHAnsi" w:hAnsiTheme="minorHAnsi"/>
                <w:b/>
                <w:color w:val="FFFFFF" w:themeColor="background1"/>
                <w:sz w:val="18"/>
                <w:szCs w:val="18"/>
              </w:rPr>
              <w:t>11,903</w:t>
            </w:r>
          </w:p>
        </w:tc>
        <w:tc>
          <w:tcPr>
            <w:tcW w:w="777" w:type="dxa"/>
            <w:shd w:val="clear" w:color="auto" w:fill="1795D2" w:themeFill="accent1"/>
            <w:noWrap/>
            <w:tcMar>
              <w:top w:w="29" w:type="dxa"/>
              <w:left w:w="0" w:type="dxa"/>
              <w:bottom w:w="29" w:type="dxa"/>
              <w:right w:w="115" w:type="dxa"/>
            </w:tcMar>
            <w:vAlign w:val="center"/>
            <w:hideMark/>
          </w:tcPr>
          <w:p w:rsidR="00DB6EC8" w:rsidRPr="00DB6EC8" w:rsidRDefault="00DB6EC8" w:rsidP="00DB6EC8">
            <w:pPr>
              <w:spacing w:after="0" w:line="240" w:lineRule="auto"/>
              <w:jc w:val="right"/>
              <w:rPr>
                <w:rFonts w:asciiTheme="minorHAnsi" w:hAnsiTheme="minorHAnsi"/>
                <w:b/>
                <w:color w:val="FFFFFF" w:themeColor="background1"/>
                <w:sz w:val="18"/>
                <w:szCs w:val="18"/>
              </w:rPr>
            </w:pPr>
            <w:r w:rsidRPr="00DB6EC8">
              <w:rPr>
                <w:rFonts w:asciiTheme="minorHAnsi" w:hAnsiTheme="minorHAnsi"/>
                <w:b/>
                <w:color w:val="FFFFFF" w:themeColor="background1"/>
                <w:sz w:val="18"/>
                <w:szCs w:val="18"/>
              </w:rPr>
              <w:t>28,575</w:t>
            </w:r>
          </w:p>
        </w:tc>
        <w:tc>
          <w:tcPr>
            <w:tcW w:w="776" w:type="dxa"/>
            <w:shd w:val="clear" w:color="auto" w:fill="1795D2" w:themeFill="accent1"/>
            <w:noWrap/>
            <w:tcMar>
              <w:top w:w="29" w:type="dxa"/>
              <w:left w:w="0" w:type="dxa"/>
              <w:bottom w:w="29" w:type="dxa"/>
              <w:right w:w="115" w:type="dxa"/>
            </w:tcMar>
            <w:vAlign w:val="center"/>
            <w:hideMark/>
          </w:tcPr>
          <w:p w:rsidR="00DB6EC8" w:rsidRPr="00DB6EC8" w:rsidRDefault="00DB6EC8" w:rsidP="00DB6EC8">
            <w:pPr>
              <w:spacing w:after="0" w:line="240" w:lineRule="auto"/>
              <w:jc w:val="right"/>
              <w:rPr>
                <w:rFonts w:asciiTheme="minorHAnsi" w:hAnsiTheme="minorHAnsi"/>
                <w:b/>
                <w:color w:val="FFFFFF" w:themeColor="background1"/>
                <w:sz w:val="18"/>
                <w:szCs w:val="18"/>
              </w:rPr>
            </w:pPr>
            <w:r w:rsidRPr="00DB6EC8">
              <w:rPr>
                <w:rFonts w:asciiTheme="minorHAnsi" w:hAnsiTheme="minorHAnsi"/>
                <w:b/>
                <w:color w:val="FFFFFF" w:themeColor="background1"/>
                <w:sz w:val="18"/>
                <w:szCs w:val="18"/>
              </w:rPr>
              <w:t>10.2</w:t>
            </w:r>
          </w:p>
        </w:tc>
        <w:tc>
          <w:tcPr>
            <w:tcW w:w="777" w:type="dxa"/>
            <w:shd w:val="clear" w:color="auto" w:fill="1795D2" w:themeFill="accent1"/>
            <w:noWrap/>
            <w:tcMar>
              <w:top w:w="29" w:type="dxa"/>
              <w:left w:w="0" w:type="dxa"/>
              <w:bottom w:w="29" w:type="dxa"/>
              <w:right w:w="115" w:type="dxa"/>
            </w:tcMar>
            <w:vAlign w:val="center"/>
            <w:hideMark/>
          </w:tcPr>
          <w:p w:rsidR="00DB6EC8" w:rsidRPr="00DB6EC8" w:rsidRDefault="00DB6EC8" w:rsidP="00DB6EC8">
            <w:pPr>
              <w:spacing w:after="0" w:line="240" w:lineRule="auto"/>
              <w:jc w:val="right"/>
              <w:rPr>
                <w:rFonts w:asciiTheme="minorHAnsi" w:hAnsiTheme="minorHAnsi"/>
                <w:b/>
                <w:color w:val="FFFFFF" w:themeColor="background1"/>
                <w:sz w:val="18"/>
                <w:szCs w:val="18"/>
              </w:rPr>
            </w:pPr>
            <w:r w:rsidRPr="00DB6EC8">
              <w:rPr>
                <w:rFonts w:asciiTheme="minorHAnsi" w:hAnsiTheme="minorHAnsi"/>
                <w:b/>
                <w:color w:val="FFFFFF" w:themeColor="background1"/>
                <w:sz w:val="18"/>
                <w:szCs w:val="18"/>
              </w:rPr>
              <w:t xml:space="preserve"> 2,089 </w:t>
            </w:r>
          </w:p>
        </w:tc>
        <w:tc>
          <w:tcPr>
            <w:tcW w:w="776" w:type="dxa"/>
            <w:shd w:val="clear" w:color="auto" w:fill="1795D2" w:themeFill="accent1"/>
            <w:noWrap/>
            <w:tcMar>
              <w:top w:w="29" w:type="dxa"/>
              <w:left w:w="0" w:type="dxa"/>
              <w:bottom w:w="29" w:type="dxa"/>
              <w:right w:w="115" w:type="dxa"/>
            </w:tcMar>
            <w:vAlign w:val="center"/>
            <w:hideMark/>
          </w:tcPr>
          <w:p w:rsidR="00DB6EC8" w:rsidRPr="00DB6EC8" w:rsidRDefault="00DB6EC8" w:rsidP="00DB6EC8">
            <w:pPr>
              <w:spacing w:after="0" w:line="240" w:lineRule="auto"/>
              <w:jc w:val="right"/>
              <w:rPr>
                <w:rFonts w:asciiTheme="minorHAnsi" w:hAnsiTheme="minorHAnsi"/>
                <w:b/>
                <w:color w:val="FFFFFF" w:themeColor="background1"/>
                <w:sz w:val="18"/>
                <w:szCs w:val="18"/>
              </w:rPr>
            </w:pPr>
            <w:r w:rsidRPr="00DB6EC8">
              <w:rPr>
                <w:rFonts w:asciiTheme="minorHAnsi" w:hAnsiTheme="minorHAnsi"/>
                <w:b/>
                <w:color w:val="FFFFFF" w:themeColor="background1"/>
                <w:sz w:val="18"/>
                <w:szCs w:val="18"/>
              </w:rPr>
              <w:t xml:space="preserve"> 4,475 </w:t>
            </w:r>
          </w:p>
        </w:tc>
        <w:tc>
          <w:tcPr>
            <w:tcW w:w="777" w:type="dxa"/>
            <w:shd w:val="clear" w:color="auto" w:fill="1795D2" w:themeFill="accent1"/>
            <w:noWrap/>
            <w:tcMar>
              <w:top w:w="29" w:type="dxa"/>
              <w:left w:w="0" w:type="dxa"/>
              <w:bottom w:w="29" w:type="dxa"/>
              <w:right w:w="115" w:type="dxa"/>
            </w:tcMar>
            <w:vAlign w:val="center"/>
            <w:hideMark/>
          </w:tcPr>
          <w:p w:rsidR="00DB6EC8" w:rsidRPr="00DB6EC8" w:rsidRDefault="00DB6EC8" w:rsidP="00DB6EC8">
            <w:pPr>
              <w:spacing w:after="0" w:line="240" w:lineRule="auto"/>
              <w:jc w:val="right"/>
              <w:rPr>
                <w:rFonts w:asciiTheme="minorHAnsi" w:hAnsiTheme="minorHAnsi"/>
                <w:b/>
                <w:color w:val="FFFFFF" w:themeColor="background1"/>
                <w:sz w:val="18"/>
                <w:szCs w:val="18"/>
              </w:rPr>
            </w:pPr>
            <w:r w:rsidRPr="00DB6EC8">
              <w:rPr>
                <w:rFonts w:asciiTheme="minorHAnsi" w:hAnsiTheme="minorHAnsi"/>
                <w:b/>
                <w:color w:val="FFFFFF" w:themeColor="background1"/>
                <w:sz w:val="18"/>
                <w:szCs w:val="18"/>
              </w:rPr>
              <w:t>8.8</w:t>
            </w:r>
          </w:p>
        </w:tc>
        <w:tc>
          <w:tcPr>
            <w:tcW w:w="776" w:type="dxa"/>
            <w:shd w:val="clear" w:color="auto" w:fill="1795D2" w:themeFill="accent1"/>
            <w:noWrap/>
            <w:tcMar>
              <w:top w:w="29" w:type="dxa"/>
              <w:left w:w="0" w:type="dxa"/>
              <w:bottom w:w="29" w:type="dxa"/>
              <w:right w:w="115" w:type="dxa"/>
            </w:tcMar>
            <w:vAlign w:val="center"/>
            <w:hideMark/>
          </w:tcPr>
          <w:p w:rsidR="00DB6EC8" w:rsidRPr="00DB6EC8" w:rsidRDefault="00DB6EC8" w:rsidP="00DB6EC8">
            <w:pPr>
              <w:spacing w:after="0" w:line="240" w:lineRule="auto"/>
              <w:jc w:val="right"/>
              <w:rPr>
                <w:rFonts w:asciiTheme="minorHAnsi" w:hAnsiTheme="minorHAnsi"/>
                <w:b/>
                <w:color w:val="FFFFFF" w:themeColor="background1"/>
                <w:sz w:val="18"/>
                <w:szCs w:val="18"/>
              </w:rPr>
            </w:pPr>
            <w:r w:rsidRPr="00DB6EC8">
              <w:rPr>
                <w:rFonts w:asciiTheme="minorHAnsi" w:hAnsiTheme="minorHAnsi"/>
                <w:b/>
                <w:color w:val="FFFFFF" w:themeColor="background1"/>
                <w:sz w:val="18"/>
                <w:szCs w:val="18"/>
              </w:rPr>
              <w:t xml:space="preserve"> 1,832 </w:t>
            </w:r>
          </w:p>
        </w:tc>
        <w:tc>
          <w:tcPr>
            <w:tcW w:w="777" w:type="dxa"/>
            <w:shd w:val="clear" w:color="auto" w:fill="1795D2" w:themeFill="accent1"/>
            <w:noWrap/>
            <w:tcMar>
              <w:top w:w="29" w:type="dxa"/>
              <w:left w:w="0" w:type="dxa"/>
              <w:bottom w:w="29" w:type="dxa"/>
              <w:right w:w="115" w:type="dxa"/>
            </w:tcMar>
            <w:vAlign w:val="center"/>
            <w:hideMark/>
          </w:tcPr>
          <w:p w:rsidR="00DB6EC8" w:rsidRPr="00DB6EC8" w:rsidRDefault="00DB6EC8" w:rsidP="00DB6EC8">
            <w:pPr>
              <w:spacing w:after="0" w:line="240" w:lineRule="auto"/>
              <w:jc w:val="right"/>
              <w:rPr>
                <w:rFonts w:asciiTheme="minorHAnsi" w:hAnsiTheme="minorHAnsi"/>
                <w:b/>
                <w:color w:val="FFFFFF" w:themeColor="background1"/>
                <w:sz w:val="18"/>
                <w:szCs w:val="18"/>
              </w:rPr>
            </w:pPr>
            <w:r w:rsidRPr="00DB6EC8">
              <w:rPr>
                <w:rFonts w:asciiTheme="minorHAnsi" w:hAnsiTheme="minorHAnsi"/>
                <w:b/>
                <w:color w:val="FFFFFF" w:themeColor="background1"/>
                <w:sz w:val="18"/>
                <w:szCs w:val="18"/>
              </w:rPr>
              <w:t xml:space="preserve"> 4,312 </w:t>
            </w:r>
          </w:p>
        </w:tc>
        <w:tc>
          <w:tcPr>
            <w:tcW w:w="777" w:type="dxa"/>
            <w:shd w:val="clear" w:color="auto" w:fill="1795D2" w:themeFill="accent1"/>
            <w:noWrap/>
            <w:tcMar>
              <w:top w:w="29" w:type="dxa"/>
              <w:left w:w="0" w:type="dxa"/>
              <w:bottom w:w="29" w:type="dxa"/>
              <w:right w:w="115" w:type="dxa"/>
            </w:tcMar>
            <w:vAlign w:val="center"/>
            <w:hideMark/>
          </w:tcPr>
          <w:p w:rsidR="00DB6EC8" w:rsidRPr="00DB6EC8" w:rsidRDefault="00DB6EC8" w:rsidP="00DB6EC8">
            <w:pPr>
              <w:spacing w:after="0" w:line="240" w:lineRule="auto"/>
              <w:jc w:val="right"/>
              <w:rPr>
                <w:rFonts w:asciiTheme="minorHAnsi" w:hAnsiTheme="minorHAnsi"/>
                <w:b/>
                <w:color w:val="FFFFFF" w:themeColor="background1"/>
                <w:sz w:val="18"/>
                <w:szCs w:val="18"/>
              </w:rPr>
            </w:pPr>
            <w:r w:rsidRPr="00DB6EC8">
              <w:rPr>
                <w:rFonts w:asciiTheme="minorHAnsi" w:hAnsiTheme="minorHAnsi"/>
                <w:b/>
                <w:color w:val="FFFFFF" w:themeColor="background1"/>
                <w:sz w:val="18"/>
                <w:szCs w:val="18"/>
              </w:rPr>
              <w:t>10.0</w:t>
            </w:r>
          </w:p>
        </w:tc>
      </w:tr>
    </w:tbl>
    <w:p w:rsidR="00DB6EC8" w:rsidRPr="00DB6EC8" w:rsidRDefault="00DB6EC8" w:rsidP="003D70FB">
      <w:pPr>
        <w:numPr>
          <w:ilvl w:val="0"/>
          <w:numId w:val="57"/>
        </w:numPr>
        <w:tabs>
          <w:tab w:val="left" w:pos="-720"/>
        </w:tabs>
        <w:spacing w:before="120" w:line="240" w:lineRule="auto"/>
        <w:ind w:left="810" w:right="-806" w:hanging="270"/>
        <w:rPr>
          <w:rFonts w:ascii="Calibri" w:eastAsia="Times New Roman" w:hAnsi="Calibri"/>
          <w:sz w:val="16"/>
          <w:szCs w:val="16"/>
        </w:rPr>
      </w:pPr>
      <w:r w:rsidRPr="00DB6EC8">
        <w:rPr>
          <w:rFonts w:ascii="Calibri" w:eastAsia="Times New Roman" w:hAnsi="Calibri"/>
          <w:sz w:val="16"/>
          <w:szCs w:val="16"/>
        </w:rPr>
        <w:t xml:space="preserve">“CAGR” stands for compound annual growth rate. </w:t>
      </w:r>
    </w:p>
    <w:p w:rsidR="00DB6EC8" w:rsidRPr="00DB6EC8" w:rsidRDefault="00DB6EC8" w:rsidP="00F0458F">
      <w:pPr>
        <w:pStyle w:val="Heading2"/>
      </w:pPr>
      <w:bookmarkStart w:id="192" w:name="_Ref387327878"/>
      <w:bookmarkStart w:id="193" w:name="_Toc396807613"/>
      <w:bookmarkStart w:id="194" w:name="_Toc484957892"/>
      <w:bookmarkStart w:id="195" w:name="_Ref485738114"/>
      <w:bookmarkStart w:id="196" w:name="_Toc490323017"/>
      <w:bookmarkStart w:id="197" w:name="_Toc365440990"/>
      <w:bookmarkEnd w:id="182"/>
      <w:bookmarkEnd w:id="183"/>
      <w:bookmarkEnd w:id="184"/>
      <w:bookmarkEnd w:id="185"/>
      <w:bookmarkEnd w:id="186"/>
      <w:bookmarkEnd w:id="187"/>
      <w:r w:rsidRPr="00DB6EC8">
        <w:t xml:space="preserve">Distributed </w:t>
      </w:r>
      <w:r w:rsidRPr="00DB6EC8">
        <w:rPr>
          <w:szCs w:val="24"/>
        </w:rPr>
        <w:t>Generation</w:t>
      </w:r>
      <w:r w:rsidRPr="00DB6EC8">
        <w:t xml:space="preserve"> Forecast</w:t>
      </w:r>
      <w:bookmarkEnd w:id="192"/>
      <w:bookmarkEnd w:id="193"/>
      <w:r w:rsidRPr="00DB6EC8">
        <w:t xml:space="preserve"> for New England</w:t>
      </w:r>
      <w:bookmarkEnd w:id="194"/>
      <w:bookmarkEnd w:id="195"/>
      <w:bookmarkEnd w:id="196"/>
    </w:p>
    <w:p w:rsidR="00DB6EC8" w:rsidRPr="00DB6EC8" w:rsidRDefault="00DB6EC8" w:rsidP="00DB6EC8">
      <w:pPr>
        <w:spacing w:after="200" w:line="276" w:lineRule="auto"/>
      </w:pPr>
      <w:r w:rsidRPr="00DB6EC8">
        <w:t>Small-scale, distributed photovoltaic generation resources have been growing significantly in New England since 2012. BTM PV distributed generation reduces regional annual energy use and summer peak demand, as accounted for in the ISO’s PV nameplate capacity forecast and PV energy forecast.</w:t>
      </w:r>
    </w:p>
    <w:p w:rsidR="00DB6EC8" w:rsidRPr="00DB6EC8" w:rsidRDefault="00DB6EC8" w:rsidP="00F0458F">
      <w:pPr>
        <w:pStyle w:val="Heading3"/>
      </w:pPr>
      <w:bookmarkStart w:id="198" w:name="_Toc484957893"/>
      <w:bookmarkStart w:id="199" w:name="_Toc490323018"/>
      <w:r w:rsidRPr="00DB6EC8">
        <w:t>Distributed Generation Forecast Working Group</w:t>
      </w:r>
      <w:bookmarkEnd w:id="198"/>
      <w:bookmarkEnd w:id="199"/>
    </w:p>
    <w:p w:rsidR="00DB6EC8" w:rsidRPr="00DB6EC8" w:rsidRDefault="00DB6EC8" w:rsidP="00DB6EC8">
      <w:pPr>
        <w:spacing w:after="200" w:line="276" w:lineRule="auto"/>
      </w:pPr>
      <w:r w:rsidRPr="00DB6EC8">
        <w:t xml:space="preserve"> In 2013, the ISO established the Distributed Generation Forecast Working Group (DGFWG) to support the DG forecast process. This support entails the collection of policy information from state agency </w:t>
      </w:r>
      <w:r w:rsidRPr="00DB6EC8">
        <w:lastRenderedPageBreak/>
        <w:t>representatives with strong knowledge of DG programs and DG interconnection data from electric power distribution companies and DG program administrators.</w:t>
      </w:r>
      <w:r w:rsidRPr="00DB6EC8">
        <w:rPr>
          <w:vertAlign w:val="superscript"/>
        </w:rPr>
        <w:footnoteReference w:id="78"/>
      </w:r>
      <w:r w:rsidRPr="00DB6EC8">
        <w:t xml:space="preserve"> </w:t>
      </w:r>
    </w:p>
    <w:p w:rsidR="00DB6EC8" w:rsidRPr="00DB6EC8" w:rsidRDefault="00DB6EC8" w:rsidP="00DB6EC8">
      <w:pPr>
        <w:spacing w:after="200" w:line="276" w:lineRule="auto"/>
      </w:pPr>
      <w:r w:rsidRPr="00DB6EC8">
        <w:t>Because PV facilities constitute the largest segment of DG resources throughout New England and have been growing rapidly in recent years, the ISO’s analysis of DG and the DG forecast focuses exclusively on the growth of photovoltaics. However, the ISO continues to monitor the growth of non-PV DG through the DGFWG to determine whether separate forecasts of these resources may be warranted.</w:t>
      </w:r>
      <w:r w:rsidRPr="00DB6EC8">
        <w:rPr>
          <w:vertAlign w:val="superscript"/>
        </w:rPr>
        <w:footnoteReference w:id="79"/>
      </w:r>
    </w:p>
    <w:p w:rsidR="00DB6EC8" w:rsidRPr="00DB6EC8" w:rsidRDefault="00DB6EC8" w:rsidP="00F0458F">
      <w:pPr>
        <w:pStyle w:val="Heading3"/>
      </w:pPr>
      <w:bookmarkStart w:id="200" w:name="_Toc484957894"/>
      <w:bookmarkStart w:id="201" w:name="_Toc490323019"/>
      <w:r w:rsidRPr="00DB6EC8">
        <w:t>PV Nameplate Capacity Forecast</w:t>
      </w:r>
      <w:bookmarkEnd w:id="200"/>
      <w:bookmarkEnd w:id="201"/>
    </w:p>
    <w:p w:rsidR="00DB6EC8" w:rsidRPr="00DB6EC8" w:rsidRDefault="00DB6EC8" w:rsidP="00DB6EC8">
      <w:pPr>
        <w:rPr>
          <w:rFonts w:eastAsia="Times New Roman"/>
        </w:rPr>
      </w:pPr>
      <w:r w:rsidRPr="00DB6EC8">
        <w:rPr>
          <w:rFonts w:eastAsia="Times New Roman"/>
        </w:rPr>
        <w:t xml:space="preserve">Using a policy-based approach, the ISO develops a nameplate PV forecast based on recent historical </w:t>
      </w:r>
      <w:r w:rsidRPr="00EC65F1">
        <w:rPr>
          <w:rFonts w:eastAsia="Times New Roman"/>
        </w:rPr>
        <w:t>installation trends and updated state and federal policy information.</w:t>
      </w:r>
      <w:bookmarkStart w:id="202" w:name="_Ref422924403"/>
      <w:r w:rsidRPr="00EC65F1">
        <w:rPr>
          <w:rFonts w:eastAsia="Times New Roman"/>
          <w:vertAlign w:val="superscript"/>
        </w:rPr>
        <w:footnoteReference w:id="80"/>
      </w:r>
      <w:bookmarkEnd w:id="202"/>
      <w:r w:rsidRPr="00EC65F1">
        <w:rPr>
          <w:rFonts w:eastAsia="Times New Roman"/>
        </w:rPr>
        <w:t xml:space="preserve"> </w:t>
      </w:r>
      <w:r w:rsidR="00EC65F1" w:rsidRPr="00EC65F1">
        <w:rPr>
          <w:rFonts w:eastAsia="Times New Roman"/>
        </w:rPr>
        <w:fldChar w:fldCharType="begin"/>
      </w:r>
      <w:r w:rsidR="00EC65F1" w:rsidRPr="00EC65F1">
        <w:rPr>
          <w:rFonts w:eastAsia="Times New Roman"/>
        </w:rPr>
        <w:instrText xml:space="preserve"> REF _Ref485804685 \h  \* MERGEFORMAT </w:instrText>
      </w:r>
      <w:r w:rsidR="00EC65F1" w:rsidRPr="00EC65F1">
        <w:rPr>
          <w:rFonts w:eastAsia="Times New Roman"/>
        </w:rPr>
      </w:r>
      <w:r w:rsidR="00EC65F1" w:rsidRPr="00EC65F1">
        <w:rPr>
          <w:rFonts w:eastAsia="Times New Roman"/>
        </w:rPr>
        <w:fldChar w:fldCharType="separate"/>
      </w:r>
      <w:r w:rsidR="00314781" w:rsidRPr="003A5AFD">
        <w:rPr>
          <w:bCs/>
          <w:szCs w:val="18"/>
        </w:rPr>
        <w:t xml:space="preserve">Table </w:t>
      </w:r>
      <w:r w:rsidR="00314781" w:rsidRPr="003A5AFD">
        <w:rPr>
          <w:bCs/>
          <w:noProof/>
          <w:szCs w:val="18"/>
        </w:rPr>
        <w:t>3</w:t>
      </w:r>
      <w:r w:rsidR="00314781" w:rsidRPr="003A5AFD">
        <w:rPr>
          <w:bCs/>
          <w:noProof/>
          <w:szCs w:val="18"/>
        </w:rPr>
        <w:noBreakHyphen/>
        <w:t>3</w:t>
      </w:r>
      <w:r w:rsidR="00EC65F1" w:rsidRPr="00EC65F1">
        <w:rPr>
          <w:rFonts w:eastAsia="Times New Roman"/>
        </w:rPr>
        <w:fldChar w:fldCharType="end"/>
      </w:r>
      <w:r w:rsidRPr="00DB6EC8">
        <w:rPr>
          <w:rFonts w:eastAsia="Times New Roman"/>
        </w:rPr>
        <w:t xml:space="preserve"> lists the state-by-state forecast of annual and cumulative PV nameplate capacities, after applying discount factors, through the 10-year planning horizon. These projections include all existing and future PV in the FCM, as well as PV that does and does not participate in the ISO’s wholesale energy markets and that reduces the load the ISO observes.</w:t>
      </w:r>
      <w:r w:rsidRPr="00DB6EC8">
        <w:rPr>
          <w:rFonts w:eastAsia="Times New Roman"/>
          <w:vertAlign w:val="superscript"/>
        </w:rPr>
        <w:footnoteReference w:id="81"/>
      </w:r>
      <w:r w:rsidRPr="00DB6EC8">
        <w:rPr>
          <w:rFonts w:eastAsia="Times New Roman"/>
        </w:rPr>
        <w:t xml:space="preserve"> To avoid double</w:t>
      </w:r>
      <w:r w:rsidR="002F3E20">
        <w:rPr>
          <w:rFonts w:eastAsia="Times New Roman"/>
        </w:rPr>
        <w:t xml:space="preserve"> </w:t>
      </w:r>
      <w:r w:rsidRPr="00DB6EC8">
        <w:rPr>
          <w:rFonts w:eastAsia="Times New Roman"/>
        </w:rPr>
        <w:t xml:space="preserve">counting, the ISO classifies the forecast into three different types of PV, each of which receives a different treatment in system planning studies: </w:t>
      </w:r>
    </w:p>
    <w:p w:rsidR="00DB6EC8" w:rsidRPr="00DB6EC8" w:rsidRDefault="00DB6EC8" w:rsidP="003D70FB">
      <w:pPr>
        <w:numPr>
          <w:ilvl w:val="0"/>
          <w:numId w:val="58"/>
        </w:numPr>
        <w:spacing w:after="120"/>
        <w:rPr>
          <w:color w:val="000000"/>
        </w:rPr>
      </w:pPr>
      <w:r w:rsidRPr="00DB6EC8">
        <w:rPr>
          <w:color w:val="000000"/>
        </w:rPr>
        <w:t>FCM resources with capacity supply obligations</w:t>
      </w:r>
    </w:p>
    <w:p w:rsidR="00DB6EC8" w:rsidRPr="00DB6EC8" w:rsidRDefault="00DB6EC8" w:rsidP="003D70FB">
      <w:pPr>
        <w:numPr>
          <w:ilvl w:val="0"/>
          <w:numId w:val="58"/>
        </w:numPr>
        <w:spacing w:after="120"/>
        <w:rPr>
          <w:color w:val="000000"/>
        </w:rPr>
      </w:pPr>
      <w:r w:rsidRPr="00DB6EC8">
        <w:rPr>
          <w:i/>
          <w:color w:val="000000"/>
        </w:rPr>
        <w:t>Energy-only resources</w:t>
      </w:r>
      <w:r w:rsidRPr="00DB6EC8">
        <w:rPr>
          <w:color w:val="000000"/>
        </w:rPr>
        <w:t xml:space="preserve"> (EORs), which are generation resources that participate in the wholesale energy markets </w:t>
      </w:r>
      <w:r w:rsidR="00B41E67">
        <w:rPr>
          <w:color w:val="000000"/>
        </w:rPr>
        <w:t xml:space="preserve">and receive energy market revenues </w:t>
      </w:r>
      <w:r w:rsidRPr="00DB6EC8">
        <w:rPr>
          <w:color w:val="000000"/>
        </w:rPr>
        <w:t>but choose to not participate in the FCM</w:t>
      </w:r>
      <w:r w:rsidRPr="00DB6EC8">
        <w:rPr>
          <w:color w:val="000000"/>
          <w:vertAlign w:val="superscript"/>
        </w:rPr>
        <w:footnoteReference w:id="82"/>
      </w:r>
    </w:p>
    <w:p w:rsidR="00DB6EC8" w:rsidRPr="00DB6EC8" w:rsidRDefault="00DB6EC8" w:rsidP="003D70FB">
      <w:pPr>
        <w:numPr>
          <w:ilvl w:val="0"/>
          <w:numId w:val="58"/>
        </w:numPr>
        <w:autoSpaceDE w:val="0"/>
        <w:autoSpaceDN w:val="0"/>
        <w:adjustRightInd w:val="0"/>
        <w:spacing w:after="200" w:line="276" w:lineRule="auto"/>
        <w:rPr>
          <w:rFonts w:eastAsia="Times New Roman"/>
          <w:color w:val="000000"/>
          <w:szCs w:val="24"/>
        </w:rPr>
      </w:pPr>
      <w:r w:rsidRPr="00DB6EC8">
        <w:rPr>
          <w:rFonts w:eastAsia="Times New Roman"/>
          <w:color w:val="000000"/>
          <w:szCs w:val="24"/>
        </w:rPr>
        <w:t xml:space="preserve">Behind-the-meter resources (BTM PV) </w:t>
      </w:r>
    </w:p>
    <w:p w:rsidR="00DB6EC8" w:rsidRPr="00DB6EC8" w:rsidRDefault="00DB6EC8" w:rsidP="00DB6EC8">
      <w:pPr>
        <w:autoSpaceDE w:val="0"/>
        <w:autoSpaceDN w:val="0"/>
        <w:adjustRightInd w:val="0"/>
        <w:spacing w:after="200" w:line="276" w:lineRule="auto"/>
      </w:pPr>
      <w:r w:rsidRPr="00DB6EC8">
        <w:t xml:space="preserve">System planning studies treat PV resources participating in the ISO wholesale markets as resources with sizes and locations visible to the ISO. PV resources with FCM capacity supply obligations are considered either generators or demand resources. Energy-only resources are registered in the ISO’s Customer Asset Management System (CAMS) and collect energy payments, but they do not necessarily supply the ISO with generator characteristics. Both FCM and </w:t>
      </w:r>
      <w:r w:rsidR="00344B29">
        <w:t xml:space="preserve">energy-only </w:t>
      </w:r>
      <w:r w:rsidRPr="00DB6EC8">
        <w:t>resources are market resources that do not reduce the gross demand forecast.</w:t>
      </w:r>
    </w:p>
    <w:p w:rsidR="00DB6EC8" w:rsidRPr="00DB6EC8" w:rsidRDefault="00DB6EC8" w:rsidP="00DB6EC8">
      <w:pPr>
        <w:keepNext/>
        <w:keepLines/>
        <w:widowControl w:val="0"/>
        <w:spacing w:after="120" w:line="240" w:lineRule="auto"/>
        <w:jc w:val="center"/>
        <w:rPr>
          <w:rFonts w:ascii="Calibri" w:hAnsi="Calibri"/>
          <w:b/>
          <w:bCs/>
        </w:rPr>
      </w:pPr>
      <w:bookmarkStart w:id="203" w:name="_Ref485804685"/>
      <w:bookmarkStart w:id="204" w:name="_Toc484164908"/>
      <w:bookmarkStart w:id="205" w:name="_Toc491243999"/>
      <w:r w:rsidRPr="004D34D9">
        <w:rPr>
          <w:rFonts w:ascii="Calibri" w:hAnsi="Calibri"/>
          <w:b/>
          <w:bCs/>
          <w:szCs w:val="18"/>
        </w:rPr>
        <w:lastRenderedPageBreak/>
        <w:t xml:space="preserve">Table </w:t>
      </w:r>
      <w:r w:rsidR="00D95957">
        <w:rPr>
          <w:rFonts w:ascii="Calibri" w:hAnsi="Calibri"/>
          <w:b/>
          <w:bCs/>
          <w:szCs w:val="18"/>
        </w:rPr>
        <w:fldChar w:fldCharType="begin"/>
      </w:r>
      <w:r w:rsidR="00D95957">
        <w:rPr>
          <w:rFonts w:ascii="Calibri" w:hAnsi="Calibri"/>
          <w:b/>
          <w:bCs/>
          <w:szCs w:val="18"/>
        </w:rPr>
        <w:instrText xml:space="preserve"> STYLEREF 1 \s </w:instrText>
      </w:r>
      <w:r w:rsidR="00D95957">
        <w:rPr>
          <w:rFonts w:ascii="Calibri" w:hAnsi="Calibri"/>
          <w:b/>
          <w:bCs/>
          <w:szCs w:val="18"/>
        </w:rPr>
        <w:fldChar w:fldCharType="separate"/>
      </w:r>
      <w:r w:rsidR="00D95957">
        <w:rPr>
          <w:rFonts w:ascii="Calibri" w:hAnsi="Calibri"/>
          <w:b/>
          <w:bCs/>
          <w:noProof/>
          <w:szCs w:val="18"/>
        </w:rPr>
        <w:t>3</w:t>
      </w:r>
      <w:r w:rsidR="00D95957">
        <w:rPr>
          <w:rFonts w:ascii="Calibri" w:hAnsi="Calibri"/>
          <w:b/>
          <w:bCs/>
          <w:szCs w:val="18"/>
        </w:rPr>
        <w:fldChar w:fldCharType="end"/>
      </w:r>
      <w:r w:rsidR="00D95957">
        <w:rPr>
          <w:rFonts w:ascii="Calibri" w:hAnsi="Calibri"/>
          <w:b/>
          <w:bCs/>
          <w:szCs w:val="18"/>
        </w:rPr>
        <w:noBreakHyphen/>
      </w:r>
      <w:r w:rsidR="00D95957">
        <w:rPr>
          <w:rFonts w:ascii="Calibri" w:hAnsi="Calibri"/>
          <w:b/>
          <w:bCs/>
          <w:szCs w:val="18"/>
        </w:rPr>
        <w:fldChar w:fldCharType="begin"/>
      </w:r>
      <w:r w:rsidR="00D95957">
        <w:rPr>
          <w:rFonts w:ascii="Calibri" w:hAnsi="Calibri"/>
          <w:b/>
          <w:bCs/>
          <w:szCs w:val="18"/>
        </w:rPr>
        <w:instrText xml:space="preserve"> SEQ Table \* ARABIC \s 1 </w:instrText>
      </w:r>
      <w:r w:rsidR="00D95957">
        <w:rPr>
          <w:rFonts w:ascii="Calibri" w:hAnsi="Calibri"/>
          <w:b/>
          <w:bCs/>
          <w:szCs w:val="18"/>
        </w:rPr>
        <w:fldChar w:fldCharType="separate"/>
      </w:r>
      <w:r w:rsidR="00D95957">
        <w:rPr>
          <w:rFonts w:ascii="Calibri" w:hAnsi="Calibri"/>
          <w:b/>
          <w:bCs/>
          <w:noProof/>
          <w:szCs w:val="18"/>
        </w:rPr>
        <w:t>3</w:t>
      </w:r>
      <w:r w:rsidR="00D95957">
        <w:rPr>
          <w:rFonts w:ascii="Calibri" w:hAnsi="Calibri"/>
          <w:b/>
          <w:bCs/>
          <w:szCs w:val="18"/>
        </w:rPr>
        <w:fldChar w:fldCharType="end"/>
      </w:r>
      <w:bookmarkEnd w:id="203"/>
      <w:r w:rsidRPr="00DB6EC8">
        <w:rPr>
          <w:rFonts w:ascii="Calibri" w:hAnsi="Calibri"/>
          <w:b/>
          <w:bCs/>
          <w:szCs w:val="18"/>
        </w:rPr>
        <w:br/>
        <w:t>New England States’ Annual and Cumulative PV Nameplate Capacities,</w:t>
      </w:r>
      <w:r w:rsidR="00C06CD9">
        <w:rPr>
          <w:rFonts w:ascii="Calibri" w:hAnsi="Calibri"/>
          <w:b/>
          <w:bCs/>
          <w:szCs w:val="18"/>
        </w:rPr>
        <w:t xml:space="preserve"> </w:t>
      </w:r>
      <w:r w:rsidRPr="00DB6EC8">
        <w:rPr>
          <w:rFonts w:ascii="Calibri" w:hAnsi="Calibri"/>
          <w:b/>
          <w:bCs/>
          <w:szCs w:val="18"/>
        </w:rPr>
        <w:t>2017 to 2026 (MW</w:t>
      </w:r>
      <w:r w:rsidRPr="00DB6EC8">
        <w:rPr>
          <w:rFonts w:ascii="Calibri" w:hAnsi="Calibri"/>
          <w:b/>
          <w:bCs/>
          <w:szCs w:val="18"/>
          <w:vertAlign w:val="subscript"/>
        </w:rPr>
        <w:t>AC</w:t>
      </w:r>
      <w:r w:rsidRPr="00DB6EC8">
        <w:rPr>
          <w:rFonts w:ascii="Calibri" w:hAnsi="Calibri"/>
          <w:b/>
          <w:bCs/>
          <w:szCs w:val="18"/>
        </w:rPr>
        <w:t>)</w:t>
      </w:r>
      <w:bookmarkEnd w:id="204"/>
      <w:bookmarkEnd w:id="205"/>
    </w:p>
    <w:tbl>
      <w:tblPr>
        <w:tblW w:w="8340" w:type="dxa"/>
        <w:jc w:val="center"/>
        <w:tblInd w:w="-30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0" w:type="dxa"/>
          <w:right w:w="0" w:type="dxa"/>
        </w:tblCellMar>
        <w:tblLook w:val="04A0" w:firstRow="1" w:lastRow="0" w:firstColumn="1" w:lastColumn="0" w:noHBand="0" w:noVBand="1"/>
      </w:tblPr>
      <w:tblGrid>
        <w:gridCol w:w="1469"/>
        <w:gridCol w:w="962"/>
        <w:gridCol w:w="18"/>
        <w:gridCol w:w="965"/>
        <w:gridCol w:w="16"/>
        <w:gridCol w:w="966"/>
        <w:gridCol w:w="16"/>
        <w:gridCol w:w="981"/>
        <w:gridCol w:w="982"/>
        <w:gridCol w:w="982"/>
        <w:gridCol w:w="983"/>
      </w:tblGrid>
      <w:tr w:rsidR="00DB6EC8" w:rsidRPr="00DB6EC8" w:rsidTr="007A79E9">
        <w:trPr>
          <w:trHeight w:val="600"/>
          <w:jc w:val="center"/>
        </w:trPr>
        <w:tc>
          <w:tcPr>
            <w:tcW w:w="1469" w:type="dxa"/>
            <w:vMerge w:val="restart"/>
            <w:shd w:val="clear" w:color="auto" w:fill="1795D2" w:themeFill="accent1"/>
            <w:noWrap/>
            <w:tcMar>
              <w:top w:w="0" w:type="dxa"/>
              <w:left w:w="108" w:type="dxa"/>
              <w:bottom w:w="0" w:type="dxa"/>
              <w:right w:w="108" w:type="dxa"/>
            </w:tcMar>
            <w:vAlign w:val="center"/>
            <w:hideMark/>
          </w:tcPr>
          <w:p w:rsidR="00DB6EC8" w:rsidRPr="00DB6EC8" w:rsidRDefault="00DB6EC8" w:rsidP="00DB6EC8">
            <w:pPr>
              <w:keepNext/>
              <w:keepLines/>
              <w:spacing w:after="0" w:line="240" w:lineRule="auto"/>
              <w:jc w:val="center"/>
              <w:rPr>
                <w:rFonts w:asciiTheme="minorHAnsi" w:hAnsiTheme="minorHAnsi"/>
                <w:b/>
                <w:bCs/>
                <w:color w:val="FFFFFF" w:themeColor="background1"/>
                <w:sz w:val="18"/>
                <w:szCs w:val="18"/>
              </w:rPr>
            </w:pPr>
            <w:r w:rsidRPr="00DB6EC8">
              <w:rPr>
                <w:rFonts w:asciiTheme="minorHAnsi" w:hAnsiTheme="minorHAnsi"/>
                <w:b/>
                <w:bCs/>
                <w:color w:val="FFFFFF" w:themeColor="background1"/>
                <w:sz w:val="18"/>
                <w:szCs w:val="18"/>
              </w:rPr>
              <w:t>Year</w:t>
            </w:r>
          </w:p>
        </w:tc>
        <w:tc>
          <w:tcPr>
            <w:tcW w:w="962" w:type="dxa"/>
            <w:vMerge w:val="restart"/>
            <w:shd w:val="clear" w:color="auto" w:fill="1795D2" w:themeFill="accent1"/>
            <w:tcMar>
              <w:top w:w="0" w:type="dxa"/>
              <w:left w:w="108" w:type="dxa"/>
              <w:bottom w:w="0" w:type="dxa"/>
              <w:right w:w="108" w:type="dxa"/>
            </w:tcMar>
            <w:vAlign w:val="center"/>
            <w:hideMark/>
          </w:tcPr>
          <w:p w:rsidR="00DB6EC8" w:rsidRPr="00DB6EC8" w:rsidRDefault="00DB6EC8" w:rsidP="00DB6EC8">
            <w:pPr>
              <w:keepNext/>
              <w:keepLines/>
              <w:spacing w:after="0" w:line="240" w:lineRule="auto"/>
              <w:jc w:val="center"/>
              <w:rPr>
                <w:rFonts w:asciiTheme="minorHAnsi" w:hAnsiTheme="minorHAnsi"/>
                <w:b/>
                <w:bCs/>
                <w:color w:val="FFFFFF" w:themeColor="background1"/>
                <w:sz w:val="18"/>
                <w:szCs w:val="18"/>
              </w:rPr>
            </w:pPr>
            <w:r w:rsidRPr="00DB6EC8">
              <w:rPr>
                <w:rFonts w:asciiTheme="minorHAnsi" w:hAnsiTheme="minorHAnsi"/>
                <w:b/>
                <w:bCs/>
                <w:color w:val="FFFFFF" w:themeColor="background1"/>
                <w:sz w:val="18"/>
                <w:szCs w:val="18"/>
              </w:rPr>
              <w:t>Annual Sum of States</w:t>
            </w:r>
          </w:p>
        </w:tc>
        <w:tc>
          <w:tcPr>
            <w:tcW w:w="5909" w:type="dxa"/>
            <w:gridSpan w:val="9"/>
            <w:shd w:val="clear" w:color="auto" w:fill="1795D2" w:themeFill="accent1"/>
            <w:noWrap/>
            <w:tcMar>
              <w:top w:w="0" w:type="dxa"/>
              <w:left w:w="108" w:type="dxa"/>
              <w:bottom w:w="0" w:type="dxa"/>
              <w:right w:w="108" w:type="dxa"/>
            </w:tcMar>
            <w:vAlign w:val="center"/>
            <w:hideMark/>
          </w:tcPr>
          <w:p w:rsidR="00DB6EC8" w:rsidRPr="00DB6EC8" w:rsidRDefault="00DB6EC8" w:rsidP="00DB6EC8">
            <w:pPr>
              <w:keepNext/>
              <w:keepLines/>
              <w:spacing w:after="0" w:line="240" w:lineRule="auto"/>
              <w:jc w:val="center"/>
              <w:rPr>
                <w:rFonts w:asciiTheme="minorHAnsi" w:hAnsiTheme="minorHAnsi"/>
                <w:b/>
                <w:bCs/>
                <w:color w:val="FFFFFF" w:themeColor="background1"/>
                <w:sz w:val="18"/>
                <w:szCs w:val="18"/>
              </w:rPr>
            </w:pPr>
            <w:r w:rsidRPr="00DB6EC8">
              <w:rPr>
                <w:rFonts w:asciiTheme="minorHAnsi" w:hAnsiTheme="minorHAnsi"/>
                <w:b/>
                <w:bCs/>
                <w:color w:val="FFFFFF" w:themeColor="background1"/>
                <w:sz w:val="18"/>
                <w:szCs w:val="18"/>
              </w:rPr>
              <w:t>Annual Total Capacities (MW, AC nameplate rating)</w:t>
            </w:r>
          </w:p>
        </w:tc>
      </w:tr>
      <w:tr w:rsidR="00DB6EC8" w:rsidRPr="00DB6EC8" w:rsidTr="007A79E9">
        <w:trPr>
          <w:trHeight w:val="300"/>
          <w:jc w:val="center"/>
        </w:trPr>
        <w:tc>
          <w:tcPr>
            <w:tcW w:w="1469" w:type="dxa"/>
            <w:vMerge/>
            <w:shd w:val="clear" w:color="auto" w:fill="1795D2" w:themeFill="accent1"/>
            <w:vAlign w:val="center"/>
            <w:hideMark/>
          </w:tcPr>
          <w:p w:rsidR="00DB6EC8" w:rsidRPr="00DB6EC8" w:rsidRDefault="00DB6EC8" w:rsidP="00DB6EC8">
            <w:pPr>
              <w:keepNext/>
              <w:keepLines/>
              <w:spacing w:after="0" w:line="240" w:lineRule="auto"/>
              <w:rPr>
                <w:rFonts w:asciiTheme="minorHAnsi" w:hAnsiTheme="minorHAnsi"/>
                <w:b/>
                <w:bCs/>
                <w:color w:val="FFFFFF" w:themeColor="background1"/>
                <w:sz w:val="18"/>
                <w:szCs w:val="18"/>
              </w:rPr>
            </w:pPr>
          </w:p>
        </w:tc>
        <w:tc>
          <w:tcPr>
            <w:tcW w:w="962" w:type="dxa"/>
            <w:vMerge/>
            <w:shd w:val="clear" w:color="auto" w:fill="1795D2" w:themeFill="accent1"/>
            <w:vAlign w:val="center"/>
            <w:hideMark/>
          </w:tcPr>
          <w:p w:rsidR="00DB6EC8" w:rsidRPr="00DB6EC8" w:rsidRDefault="00DB6EC8" w:rsidP="00DB6EC8">
            <w:pPr>
              <w:keepNext/>
              <w:keepLines/>
              <w:spacing w:after="0" w:line="240" w:lineRule="auto"/>
              <w:rPr>
                <w:rFonts w:asciiTheme="minorHAnsi" w:hAnsiTheme="minorHAnsi"/>
                <w:b/>
                <w:bCs/>
                <w:color w:val="FFFFFF" w:themeColor="background1"/>
                <w:sz w:val="18"/>
                <w:szCs w:val="18"/>
              </w:rPr>
            </w:pPr>
          </w:p>
        </w:tc>
        <w:tc>
          <w:tcPr>
            <w:tcW w:w="983" w:type="dxa"/>
            <w:gridSpan w:val="2"/>
            <w:shd w:val="clear" w:color="auto" w:fill="1795D2" w:themeFill="accent1"/>
            <w:noWrap/>
            <w:tcMar>
              <w:top w:w="0" w:type="dxa"/>
              <w:left w:w="108" w:type="dxa"/>
              <w:bottom w:w="0" w:type="dxa"/>
              <w:right w:w="108" w:type="dxa"/>
            </w:tcMar>
            <w:vAlign w:val="center"/>
            <w:hideMark/>
          </w:tcPr>
          <w:p w:rsidR="00DB6EC8" w:rsidRPr="00DB6EC8" w:rsidRDefault="00DB6EC8" w:rsidP="00DB6EC8">
            <w:pPr>
              <w:keepNext/>
              <w:keepLines/>
              <w:spacing w:after="0" w:line="240" w:lineRule="auto"/>
              <w:jc w:val="center"/>
              <w:rPr>
                <w:rFonts w:asciiTheme="minorHAnsi" w:hAnsiTheme="minorHAnsi"/>
                <w:b/>
                <w:bCs/>
                <w:color w:val="FFFFFF" w:themeColor="background1"/>
                <w:sz w:val="18"/>
                <w:szCs w:val="18"/>
              </w:rPr>
            </w:pPr>
            <w:r w:rsidRPr="00DB6EC8">
              <w:rPr>
                <w:rFonts w:asciiTheme="minorHAnsi" w:hAnsiTheme="minorHAnsi"/>
                <w:b/>
                <w:bCs/>
                <w:color w:val="FFFFFF" w:themeColor="background1"/>
                <w:sz w:val="18"/>
                <w:szCs w:val="18"/>
              </w:rPr>
              <w:t>CT</w:t>
            </w:r>
          </w:p>
        </w:tc>
        <w:tc>
          <w:tcPr>
            <w:tcW w:w="982" w:type="dxa"/>
            <w:gridSpan w:val="2"/>
            <w:shd w:val="clear" w:color="auto" w:fill="1795D2" w:themeFill="accent1"/>
            <w:noWrap/>
            <w:tcMar>
              <w:top w:w="0" w:type="dxa"/>
              <w:left w:w="108" w:type="dxa"/>
              <w:bottom w:w="0" w:type="dxa"/>
              <w:right w:w="108" w:type="dxa"/>
            </w:tcMar>
            <w:vAlign w:val="center"/>
            <w:hideMark/>
          </w:tcPr>
          <w:p w:rsidR="00DB6EC8" w:rsidRPr="00DB6EC8" w:rsidRDefault="00DB6EC8" w:rsidP="00DB6EC8">
            <w:pPr>
              <w:keepNext/>
              <w:keepLines/>
              <w:spacing w:after="0" w:line="240" w:lineRule="auto"/>
              <w:jc w:val="center"/>
              <w:rPr>
                <w:rFonts w:asciiTheme="minorHAnsi" w:hAnsiTheme="minorHAnsi"/>
                <w:b/>
                <w:bCs/>
                <w:color w:val="FFFFFF" w:themeColor="background1"/>
                <w:sz w:val="18"/>
                <w:szCs w:val="18"/>
              </w:rPr>
            </w:pPr>
            <w:r w:rsidRPr="00DB6EC8">
              <w:rPr>
                <w:rFonts w:asciiTheme="minorHAnsi" w:hAnsiTheme="minorHAnsi"/>
                <w:b/>
                <w:bCs/>
                <w:color w:val="FFFFFF" w:themeColor="background1"/>
                <w:sz w:val="18"/>
                <w:szCs w:val="18"/>
              </w:rPr>
              <w:t>MA</w:t>
            </w:r>
          </w:p>
        </w:tc>
        <w:tc>
          <w:tcPr>
            <w:tcW w:w="997" w:type="dxa"/>
            <w:gridSpan w:val="2"/>
            <w:shd w:val="clear" w:color="auto" w:fill="1795D2" w:themeFill="accent1"/>
            <w:noWrap/>
            <w:tcMar>
              <w:top w:w="0" w:type="dxa"/>
              <w:left w:w="108" w:type="dxa"/>
              <w:bottom w:w="0" w:type="dxa"/>
              <w:right w:w="108" w:type="dxa"/>
            </w:tcMar>
            <w:vAlign w:val="center"/>
            <w:hideMark/>
          </w:tcPr>
          <w:p w:rsidR="00DB6EC8" w:rsidRPr="00DB6EC8" w:rsidRDefault="00DB6EC8" w:rsidP="00DB6EC8">
            <w:pPr>
              <w:keepNext/>
              <w:keepLines/>
              <w:spacing w:after="0" w:line="240" w:lineRule="auto"/>
              <w:jc w:val="center"/>
              <w:rPr>
                <w:rFonts w:asciiTheme="minorHAnsi" w:hAnsiTheme="minorHAnsi"/>
                <w:b/>
                <w:bCs/>
                <w:color w:val="FFFFFF" w:themeColor="background1"/>
                <w:sz w:val="18"/>
                <w:szCs w:val="18"/>
              </w:rPr>
            </w:pPr>
            <w:r w:rsidRPr="00DB6EC8">
              <w:rPr>
                <w:rFonts w:asciiTheme="minorHAnsi" w:hAnsiTheme="minorHAnsi"/>
                <w:b/>
                <w:bCs/>
                <w:color w:val="FFFFFF" w:themeColor="background1"/>
                <w:sz w:val="18"/>
                <w:szCs w:val="18"/>
              </w:rPr>
              <w:t>ME</w:t>
            </w:r>
          </w:p>
        </w:tc>
        <w:tc>
          <w:tcPr>
            <w:tcW w:w="982" w:type="dxa"/>
            <w:shd w:val="clear" w:color="auto" w:fill="1795D2" w:themeFill="accent1"/>
            <w:noWrap/>
            <w:tcMar>
              <w:top w:w="0" w:type="dxa"/>
              <w:left w:w="108" w:type="dxa"/>
              <w:bottom w:w="0" w:type="dxa"/>
              <w:right w:w="108" w:type="dxa"/>
            </w:tcMar>
            <w:vAlign w:val="center"/>
            <w:hideMark/>
          </w:tcPr>
          <w:p w:rsidR="00DB6EC8" w:rsidRPr="00DB6EC8" w:rsidRDefault="00DB6EC8" w:rsidP="00DB6EC8">
            <w:pPr>
              <w:keepNext/>
              <w:keepLines/>
              <w:spacing w:after="0" w:line="240" w:lineRule="auto"/>
              <w:jc w:val="center"/>
              <w:rPr>
                <w:rFonts w:asciiTheme="minorHAnsi" w:hAnsiTheme="minorHAnsi"/>
                <w:b/>
                <w:bCs/>
                <w:color w:val="FFFFFF" w:themeColor="background1"/>
                <w:sz w:val="18"/>
                <w:szCs w:val="18"/>
              </w:rPr>
            </w:pPr>
            <w:r w:rsidRPr="00DB6EC8">
              <w:rPr>
                <w:rFonts w:asciiTheme="minorHAnsi" w:hAnsiTheme="minorHAnsi"/>
                <w:b/>
                <w:bCs/>
                <w:color w:val="FFFFFF" w:themeColor="background1"/>
                <w:sz w:val="18"/>
                <w:szCs w:val="18"/>
              </w:rPr>
              <w:t>NH</w:t>
            </w:r>
          </w:p>
        </w:tc>
        <w:tc>
          <w:tcPr>
            <w:tcW w:w="982" w:type="dxa"/>
            <w:shd w:val="clear" w:color="auto" w:fill="1795D2" w:themeFill="accent1"/>
            <w:noWrap/>
            <w:tcMar>
              <w:top w:w="0" w:type="dxa"/>
              <w:left w:w="108" w:type="dxa"/>
              <w:bottom w:w="0" w:type="dxa"/>
              <w:right w:w="108" w:type="dxa"/>
            </w:tcMar>
            <w:vAlign w:val="center"/>
            <w:hideMark/>
          </w:tcPr>
          <w:p w:rsidR="00DB6EC8" w:rsidRPr="00DB6EC8" w:rsidRDefault="00DB6EC8" w:rsidP="00DB6EC8">
            <w:pPr>
              <w:keepNext/>
              <w:keepLines/>
              <w:spacing w:after="0" w:line="240" w:lineRule="auto"/>
              <w:jc w:val="center"/>
              <w:rPr>
                <w:rFonts w:asciiTheme="minorHAnsi" w:hAnsiTheme="minorHAnsi"/>
                <w:b/>
                <w:bCs/>
                <w:color w:val="FFFFFF" w:themeColor="background1"/>
                <w:sz w:val="18"/>
                <w:szCs w:val="18"/>
              </w:rPr>
            </w:pPr>
            <w:r w:rsidRPr="00DB6EC8">
              <w:rPr>
                <w:rFonts w:asciiTheme="minorHAnsi" w:hAnsiTheme="minorHAnsi"/>
                <w:b/>
                <w:bCs/>
                <w:color w:val="FFFFFF" w:themeColor="background1"/>
                <w:sz w:val="18"/>
                <w:szCs w:val="18"/>
              </w:rPr>
              <w:t>RI</w:t>
            </w:r>
          </w:p>
        </w:tc>
        <w:tc>
          <w:tcPr>
            <w:tcW w:w="983" w:type="dxa"/>
            <w:shd w:val="clear" w:color="auto" w:fill="1795D2" w:themeFill="accent1"/>
            <w:noWrap/>
            <w:tcMar>
              <w:top w:w="0" w:type="dxa"/>
              <w:left w:w="108" w:type="dxa"/>
              <w:bottom w:w="0" w:type="dxa"/>
              <w:right w:w="108" w:type="dxa"/>
            </w:tcMar>
            <w:vAlign w:val="center"/>
            <w:hideMark/>
          </w:tcPr>
          <w:p w:rsidR="00DB6EC8" w:rsidRPr="00DB6EC8" w:rsidRDefault="00DB6EC8" w:rsidP="00DB6EC8">
            <w:pPr>
              <w:keepNext/>
              <w:keepLines/>
              <w:spacing w:after="0" w:line="240" w:lineRule="auto"/>
              <w:jc w:val="center"/>
              <w:rPr>
                <w:rFonts w:asciiTheme="minorHAnsi" w:hAnsiTheme="minorHAnsi"/>
                <w:b/>
                <w:bCs/>
                <w:color w:val="FFFFFF" w:themeColor="background1"/>
                <w:sz w:val="18"/>
                <w:szCs w:val="18"/>
              </w:rPr>
            </w:pPr>
            <w:r w:rsidRPr="00DB6EC8">
              <w:rPr>
                <w:rFonts w:asciiTheme="minorHAnsi" w:hAnsiTheme="minorHAnsi"/>
                <w:b/>
                <w:bCs/>
                <w:color w:val="FFFFFF" w:themeColor="background1"/>
                <w:sz w:val="18"/>
                <w:szCs w:val="18"/>
              </w:rPr>
              <w:t>VT</w:t>
            </w:r>
          </w:p>
        </w:tc>
      </w:tr>
      <w:tr w:rsidR="00DB6EC8" w:rsidRPr="00DB6EC8" w:rsidTr="007A79E9">
        <w:trPr>
          <w:trHeight w:val="300"/>
          <w:jc w:val="center"/>
        </w:trPr>
        <w:tc>
          <w:tcPr>
            <w:tcW w:w="1469" w:type="dxa"/>
            <w:shd w:val="clear" w:color="auto" w:fill="auto"/>
            <w:noWrap/>
            <w:tcMar>
              <w:top w:w="0" w:type="dxa"/>
              <w:left w:w="115" w:type="dxa"/>
              <w:bottom w:w="0" w:type="dxa"/>
              <w:right w:w="115" w:type="dxa"/>
            </w:tcMar>
            <w:vAlign w:val="center"/>
            <w:hideMark/>
          </w:tcPr>
          <w:p w:rsidR="00DB6EC8" w:rsidRPr="00DB6EC8" w:rsidRDefault="00DB6EC8" w:rsidP="00DB6EC8">
            <w:pPr>
              <w:keepNext/>
              <w:keepLines/>
              <w:spacing w:after="0" w:line="240" w:lineRule="auto"/>
              <w:rPr>
                <w:rFonts w:asciiTheme="minorHAnsi" w:hAnsiTheme="minorHAnsi"/>
                <w:b/>
                <w:bCs/>
                <w:color w:val="000000"/>
                <w:sz w:val="18"/>
                <w:szCs w:val="18"/>
              </w:rPr>
            </w:pPr>
            <w:r w:rsidRPr="00DB6EC8">
              <w:rPr>
                <w:rFonts w:asciiTheme="minorHAnsi" w:hAnsiTheme="minorHAnsi"/>
                <w:b/>
                <w:sz w:val="18"/>
                <w:szCs w:val="18"/>
              </w:rPr>
              <w:t>Through 2016</w:t>
            </w:r>
          </w:p>
        </w:tc>
        <w:tc>
          <w:tcPr>
            <w:tcW w:w="980" w:type="dxa"/>
            <w:gridSpan w:val="2"/>
            <w:shd w:val="clear" w:color="auto" w:fill="auto"/>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b/>
                <w:bCs/>
                <w:color w:val="000000"/>
                <w:sz w:val="18"/>
                <w:szCs w:val="18"/>
              </w:rPr>
            </w:pPr>
            <w:r w:rsidRPr="00DB6EC8">
              <w:rPr>
                <w:rFonts w:asciiTheme="minorHAnsi" w:hAnsiTheme="minorHAnsi" w:cs="Calibri"/>
                <w:color w:val="000000"/>
                <w:sz w:val="18"/>
                <w:szCs w:val="18"/>
              </w:rPr>
              <w:t>1,918.0</w:t>
            </w:r>
          </w:p>
        </w:tc>
        <w:tc>
          <w:tcPr>
            <w:tcW w:w="981" w:type="dxa"/>
            <w:gridSpan w:val="2"/>
            <w:shd w:val="clear" w:color="auto" w:fill="auto"/>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color w:val="000000"/>
                <w:sz w:val="18"/>
                <w:szCs w:val="18"/>
              </w:rPr>
            </w:pPr>
            <w:r w:rsidRPr="00DB6EC8">
              <w:rPr>
                <w:rFonts w:asciiTheme="minorHAnsi" w:hAnsiTheme="minorHAnsi"/>
                <w:sz w:val="18"/>
                <w:szCs w:val="18"/>
              </w:rPr>
              <w:t>281.5</w:t>
            </w:r>
          </w:p>
        </w:tc>
        <w:tc>
          <w:tcPr>
            <w:tcW w:w="982" w:type="dxa"/>
            <w:gridSpan w:val="2"/>
            <w:shd w:val="clear" w:color="auto" w:fill="auto"/>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color w:val="000000"/>
                <w:sz w:val="18"/>
                <w:szCs w:val="18"/>
              </w:rPr>
            </w:pPr>
            <w:r w:rsidRPr="00DB6EC8">
              <w:rPr>
                <w:rFonts w:asciiTheme="minorHAnsi" w:hAnsiTheme="minorHAnsi"/>
                <w:sz w:val="18"/>
                <w:szCs w:val="18"/>
              </w:rPr>
              <w:t>1,324.8</w:t>
            </w:r>
          </w:p>
        </w:tc>
        <w:tc>
          <w:tcPr>
            <w:tcW w:w="981" w:type="dxa"/>
            <w:shd w:val="clear" w:color="auto" w:fill="auto"/>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color w:val="000000"/>
                <w:sz w:val="18"/>
                <w:szCs w:val="18"/>
              </w:rPr>
            </w:pPr>
            <w:r w:rsidRPr="00DB6EC8">
              <w:rPr>
                <w:rFonts w:asciiTheme="minorHAnsi" w:hAnsiTheme="minorHAnsi"/>
                <w:sz w:val="18"/>
                <w:szCs w:val="18"/>
              </w:rPr>
              <w:t>22.1</w:t>
            </w:r>
          </w:p>
        </w:tc>
        <w:tc>
          <w:tcPr>
            <w:tcW w:w="982" w:type="dxa"/>
            <w:shd w:val="clear" w:color="auto" w:fill="auto"/>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color w:val="000000"/>
                <w:sz w:val="18"/>
                <w:szCs w:val="18"/>
              </w:rPr>
            </w:pPr>
            <w:r w:rsidRPr="00DB6EC8">
              <w:rPr>
                <w:rFonts w:asciiTheme="minorHAnsi" w:hAnsiTheme="minorHAnsi"/>
                <w:sz w:val="18"/>
                <w:szCs w:val="18"/>
              </w:rPr>
              <w:t>54.3</w:t>
            </w:r>
          </w:p>
        </w:tc>
        <w:tc>
          <w:tcPr>
            <w:tcW w:w="982" w:type="dxa"/>
            <w:shd w:val="clear" w:color="auto" w:fill="auto"/>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color w:val="000000"/>
                <w:sz w:val="18"/>
                <w:szCs w:val="18"/>
              </w:rPr>
            </w:pPr>
            <w:r w:rsidRPr="00DB6EC8">
              <w:rPr>
                <w:rFonts w:asciiTheme="minorHAnsi" w:hAnsiTheme="minorHAnsi"/>
                <w:sz w:val="18"/>
                <w:szCs w:val="18"/>
              </w:rPr>
              <w:t>36.8</w:t>
            </w:r>
          </w:p>
        </w:tc>
        <w:tc>
          <w:tcPr>
            <w:tcW w:w="983" w:type="dxa"/>
            <w:shd w:val="clear" w:color="auto" w:fill="auto"/>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color w:val="000000"/>
                <w:sz w:val="18"/>
                <w:szCs w:val="18"/>
              </w:rPr>
            </w:pPr>
            <w:r w:rsidRPr="00DB6EC8">
              <w:rPr>
                <w:rFonts w:asciiTheme="minorHAnsi" w:hAnsiTheme="minorHAnsi"/>
                <w:sz w:val="18"/>
                <w:szCs w:val="18"/>
              </w:rPr>
              <w:t>198.4</w:t>
            </w:r>
          </w:p>
        </w:tc>
      </w:tr>
      <w:tr w:rsidR="00DB6EC8" w:rsidRPr="00DB6EC8" w:rsidTr="007A79E9">
        <w:trPr>
          <w:trHeight w:val="300"/>
          <w:jc w:val="center"/>
        </w:trPr>
        <w:tc>
          <w:tcPr>
            <w:tcW w:w="1469" w:type="dxa"/>
            <w:shd w:val="clear" w:color="auto" w:fill="CCEAF9" w:themeFill="accent1" w:themeFillTint="33"/>
            <w:noWrap/>
            <w:tcMar>
              <w:top w:w="0" w:type="dxa"/>
              <w:left w:w="115" w:type="dxa"/>
              <w:bottom w:w="0" w:type="dxa"/>
              <w:right w:w="115" w:type="dxa"/>
            </w:tcMar>
            <w:vAlign w:val="center"/>
            <w:hideMark/>
          </w:tcPr>
          <w:p w:rsidR="00DB6EC8" w:rsidRPr="00DB6EC8" w:rsidRDefault="00DB6EC8" w:rsidP="00DB6EC8">
            <w:pPr>
              <w:keepNext/>
              <w:keepLines/>
              <w:spacing w:after="0" w:line="240" w:lineRule="auto"/>
              <w:rPr>
                <w:rFonts w:asciiTheme="minorHAnsi" w:hAnsiTheme="minorHAnsi"/>
                <w:b/>
                <w:bCs/>
                <w:color w:val="000000"/>
                <w:sz w:val="18"/>
                <w:szCs w:val="18"/>
              </w:rPr>
            </w:pPr>
            <w:r w:rsidRPr="00DB6EC8">
              <w:rPr>
                <w:rFonts w:asciiTheme="minorHAnsi" w:hAnsiTheme="minorHAnsi"/>
                <w:b/>
                <w:sz w:val="18"/>
                <w:szCs w:val="18"/>
              </w:rPr>
              <w:t>2017</w:t>
            </w:r>
          </w:p>
        </w:tc>
        <w:tc>
          <w:tcPr>
            <w:tcW w:w="980" w:type="dxa"/>
            <w:gridSpan w:val="2"/>
            <w:shd w:val="clear" w:color="auto" w:fill="CCEAF9" w:themeFill="accent1" w:themeFillTint="33"/>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b/>
                <w:bCs/>
                <w:color w:val="000000"/>
                <w:sz w:val="18"/>
                <w:szCs w:val="18"/>
              </w:rPr>
            </w:pPr>
            <w:r w:rsidRPr="00DB6EC8">
              <w:rPr>
                <w:rFonts w:asciiTheme="minorHAnsi" w:hAnsiTheme="minorHAnsi" w:cs="Calibri"/>
                <w:color w:val="000000"/>
                <w:sz w:val="18"/>
                <w:szCs w:val="18"/>
              </w:rPr>
              <w:t>497.9</w:t>
            </w:r>
          </w:p>
        </w:tc>
        <w:tc>
          <w:tcPr>
            <w:tcW w:w="981" w:type="dxa"/>
            <w:gridSpan w:val="2"/>
            <w:shd w:val="clear" w:color="auto" w:fill="CCEAF9" w:themeFill="accent1" w:themeFillTint="33"/>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color w:val="000000"/>
                <w:sz w:val="18"/>
                <w:szCs w:val="18"/>
              </w:rPr>
            </w:pPr>
            <w:r w:rsidRPr="00DB6EC8">
              <w:rPr>
                <w:rFonts w:asciiTheme="minorHAnsi" w:hAnsiTheme="minorHAnsi"/>
                <w:sz w:val="18"/>
                <w:szCs w:val="18"/>
              </w:rPr>
              <w:t>132.8</w:t>
            </w:r>
          </w:p>
        </w:tc>
        <w:tc>
          <w:tcPr>
            <w:tcW w:w="982" w:type="dxa"/>
            <w:gridSpan w:val="2"/>
            <w:shd w:val="clear" w:color="auto" w:fill="CCEAF9" w:themeFill="accent1" w:themeFillTint="33"/>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color w:val="000000"/>
                <w:sz w:val="18"/>
                <w:szCs w:val="18"/>
              </w:rPr>
            </w:pPr>
            <w:r w:rsidRPr="00DB6EC8">
              <w:rPr>
                <w:rFonts w:asciiTheme="minorHAnsi" w:hAnsiTheme="minorHAnsi"/>
                <w:sz w:val="18"/>
                <w:szCs w:val="18"/>
              </w:rPr>
              <w:t>273.9</w:t>
            </w:r>
          </w:p>
        </w:tc>
        <w:tc>
          <w:tcPr>
            <w:tcW w:w="981" w:type="dxa"/>
            <w:shd w:val="clear" w:color="auto" w:fill="CCEAF9" w:themeFill="accent1" w:themeFillTint="33"/>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color w:val="000000"/>
                <w:sz w:val="18"/>
                <w:szCs w:val="18"/>
              </w:rPr>
            </w:pPr>
            <w:r w:rsidRPr="00DB6EC8">
              <w:rPr>
                <w:rFonts w:asciiTheme="minorHAnsi" w:hAnsiTheme="minorHAnsi"/>
                <w:sz w:val="18"/>
                <w:szCs w:val="18"/>
              </w:rPr>
              <w:t>6.8</w:t>
            </w:r>
          </w:p>
        </w:tc>
        <w:tc>
          <w:tcPr>
            <w:tcW w:w="982" w:type="dxa"/>
            <w:shd w:val="clear" w:color="auto" w:fill="CCEAF9" w:themeFill="accent1" w:themeFillTint="33"/>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color w:val="000000"/>
                <w:sz w:val="18"/>
                <w:szCs w:val="18"/>
              </w:rPr>
            </w:pPr>
            <w:r w:rsidRPr="00DB6EC8">
              <w:rPr>
                <w:rFonts w:asciiTheme="minorHAnsi" w:hAnsiTheme="minorHAnsi"/>
                <w:sz w:val="18"/>
                <w:szCs w:val="18"/>
              </w:rPr>
              <w:t>18.1</w:t>
            </w:r>
          </w:p>
        </w:tc>
        <w:tc>
          <w:tcPr>
            <w:tcW w:w="982" w:type="dxa"/>
            <w:shd w:val="clear" w:color="auto" w:fill="CCEAF9" w:themeFill="accent1" w:themeFillTint="33"/>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color w:val="000000"/>
                <w:sz w:val="18"/>
                <w:szCs w:val="18"/>
              </w:rPr>
            </w:pPr>
            <w:r w:rsidRPr="00DB6EC8">
              <w:rPr>
                <w:rFonts w:asciiTheme="minorHAnsi" w:hAnsiTheme="minorHAnsi"/>
                <w:sz w:val="18"/>
                <w:szCs w:val="18"/>
              </w:rPr>
              <w:t>41.3</w:t>
            </w:r>
          </w:p>
        </w:tc>
        <w:tc>
          <w:tcPr>
            <w:tcW w:w="983" w:type="dxa"/>
            <w:shd w:val="clear" w:color="auto" w:fill="CCEAF9" w:themeFill="accent1" w:themeFillTint="33"/>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color w:val="000000"/>
                <w:sz w:val="18"/>
                <w:szCs w:val="18"/>
              </w:rPr>
            </w:pPr>
            <w:r w:rsidRPr="00DB6EC8">
              <w:rPr>
                <w:rFonts w:asciiTheme="minorHAnsi" w:hAnsiTheme="minorHAnsi"/>
                <w:sz w:val="18"/>
                <w:szCs w:val="18"/>
              </w:rPr>
              <w:t>25.0</w:t>
            </w:r>
          </w:p>
        </w:tc>
      </w:tr>
      <w:tr w:rsidR="00DB6EC8" w:rsidRPr="00DB6EC8" w:rsidTr="007A79E9">
        <w:trPr>
          <w:trHeight w:val="300"/>
          <w:jc w:val="center"/>
        </w:trPr>
        <w:tc>
          <w:tcPr>
            <w:tcW w:w="1469" w:type="dxa"/>
            <w:shd w:val="clear" w:color="auto" w:fill="auto"/>
            <w:noWrap/>
            <w:tcMar>
              <w:top w:w="0" w:type="dxa"/>
              <w:left w:w="115" w:type="dxa"/>
              <w:bottom w:w="0" w:type="dxa"/>
              <w:right w:w="115" w:type="dxa"/>
            </w:tcMar>
            <w:vAlign w:val="center"/>
            <w:hideMark/>
          </w:tcPr>
          <w:p w:rsidR="00DB6EC8" w:rsidRPr="00DB6EC8" w:rsidRDefault="00DB6EC8" w:rsidP="00DB6EC8">
            <w:pPr>
              <w:keepNext/>
              <w:keepLines/>
              <w:spacing w:after="0" w:line="240" w:lineRule="auto"/>
              <w:rPr>
                <w:rFonts w:asciiTheme="minorHAnsi" w:hAnsiTheme="minorHAnsi"/>
                <w:b/>
                <w:bCs/>
                <w:color w:val="000000"/>
                <w:sz w:val="18"/>
                <w:szCs w:val="18"/>
              </w:rPr>
            </w:pPr>
            <w:r w:rsidRPr="00DB6EC8">
              <w:rPr>
                <w:rFonts w:asciiTheme="minorHAnsi" w:hAnsiTheme="minorHAnsi"/>
                <w:b/>
                <w:sz w:val="18"/>
                <w:szCs w:val="18"/>
              </w:rPr>
              <w:t>2018</w:t>
            </w:r>
          </w:p>
        </w:tc>
        <w:tc>
          <w:tcPr>
            <w:tcW w:w="980" w:type="dxa"/>
            <w:gridSpan w:val="2"/>
            <w:shd w:val="clear" w:color="auto" w:fill="auto"/>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b/>
                <w:bCs/>
                <w:color w:val="000000"/>
                <w:sz w:val="18"/>
                <w:szCs w:val="18"/>
              </w:rPr>
            </w:pPr>
            <w:r w:rsidRPr="00DB6EC8">
              <w:rPr>
                <w:rFonts w:asciiTheme="minorHAnsi" w:hAnsiTheme="minorHAnsi" w:cs="Calibri"/>
                <w:color w:val="000000"/>
                <w:sz w:val="18"/>
                <w:szCs w:val="18"/>
              </w:rPr>
              <w:t>478.2</w:t>
            </w:r>
          </w:p>
        </w:tc>
        <w:tc>
          <w:tcPr>
            <w:tcW w:w="981" w:type="dxa"/>
            <w:gridSpan w:val="2"/>
            <w:shd w:val="clear" w:color="auto" w:fill="auto"/>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color w:val="000000"/>
                <w:sz w:val="18"/>
                <w:szCs w:val="18"/>
              </w:rPr>
            </w:pPr>
            <w:r w:rsidRPr="00DB6EC8">
              <w:rPr>
                <w:rFonts w:asciiTheme="minorHAnsi" w:hAnsiTheme="minorHAnsi"/>
                <w:sz w:val="18"/>
                <w:szCs w:val="18"/>
              </w:rPr>
              <w:t>132.8</w:t>
            </w:r>
          </w:p>
        </w:tc>
        <w:tc>
          <w:tcPr>
            <w:tcW w:w="982" w:type="dxa"/>
            <w:gridSpan w:val="2"/>
            <w:shd w:val="clear" w:color="auto" w:fill="auto"/>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color w:val="000000"/>
                <w:sz w:val="18"/>
                <w:szCs w:val="18"/>
              </w:rPr>
            </w:pPr>
            <w:r w:rsidRPr="00DB6EC8">
              <w:rPr>
                <w:rFonts w:asciiTheme="minorHAnsi" w:hAnsiTheme="minorHAnsi"/>
                <w:sz w:val="18"/>
                <w:szCs w:val="18"/>
              </w:rPr>
              <w:t>260.2</w:t>
            </w:r>
          </w:p>
        </w:tc>
        <w:tc>
          <w:tcPr>
            <w:tcW w:w="981" w:type="dxa"/>
            <w:shd w:val="clear" w:color="auto" w:fill="auto"/>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color w:val="000000"/>
                <w:sz w:val="18"/>
                <w:szCs w:val="18"/>
              </w:rPr>
            </w:pPr>
            <w:r w:rsidRPr="00DB6EC8">
              <w:rPr>
                <w:rFonts w:asciiTheme="minorHAnsi" w:hAnsiTheme="minorHAnsi"/>
                <w:sz w:val="18"/>
                <w:szCs w:val="18"/>
              </w:rPr>
              <w:t>6.8</w:t>
            </w:r>
          </w:p>
        </w:tc>
        <w:tc>
          <w:tcPr>
            <w:tcW w:w="982" w:type="dxa"/>
            <w:shd w:val="clear" w:color="auto" w:fill="auto"/>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color w:val="000000"/>
                <w:sz w:val="18"/>
                <w:szCs w:val="18"/>
              </w:rPr>
            </w:pPr>
            <w:r w:rsidRPr="00DB6EC8">
              <w:rPr>
                <w:rFonts w:asciiTheme="minorHAnsi" w:hAnsiTheme="minorHAnsi"/>
                <w:sz w:val="18"/>
                <w:szCs w:val="18"/>
              </w:rPr>
              <w:t>12.0</w:t>
            </w:r>
          </w:p>
        </w:tc>
        <w:tc>
          <w:tcPr>
            <w:tcW w:w="982" w:type="dxa"/>
            <w:shd w:val="clear" w:color="auto" w:fill="auto"/>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color w:val="000000"/>
                <w:sz w:val="18"/>
                <w:szCs w:val="18"/>
              </w:rPr>
            </w:pPr>
            <w:r w:rsidRPr="00DB6EC8">
              <w:rPr>
                <w:rFonts w:asciiTheme="minorHAnsi" w:hAnsiTheme="minorHAnsi"/>
                <w:sz w:val="18"/>
                <w:szCs w:val="18"/>
              </w:rPr>
              <w:t>41.3</w:t>
            </w:r>
          </w:p>
        </w:tc>
        <w:tc>
          <w:tcPr>
            <w:tcW w:w="983" w:type="dxa"/>
            <w:shd w:val="clear" w:color="auto" w:fill="auto"/>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color w:val="000000"/>
                <w:sz w:val="18"/>
                <w:szCs w:val="18"/>
              </w:rPr>
            </w:pPr>
            <w:r w:rsidRPr="00DB6EC8">
              <w:rPr>
                <w:rFonts w:asciiTheme="minorHAnsi" w:hAnsiTheme="minorHAnsi"/>
                <w:sz w:val="18"/>
                <w:szCs w:val="18"/>
              </w:rPr>
              <w:t>25.0</w:t>
            </w:r>
          </w:p>
        </w:tc>
      </w:tr>
      <w:tr w:rsidR="00DB6EC8" w:rsidRPr="00DB6EC8" w:rsidTr="007A79E9">
        <w:trPr>
          <w:trHeight w:val="300"/>
          <w:jc w:val="center"/>
        </w:trPr>
        <w:tc>
          <w:tcPr>
            <w:tcW w:w="1469" w:type="dxa"/>
            <w:shd w:val="clear" w:color="auto" w:fill="CCEAF9" w:themeFill="accent1" w:themeFillTint="33"/>
            <w:noWrap/>
            <w:tcMar>
              <w:top w:w="0" w:type="dxa"/>
              <w:left w:w="115" w:type="dxa"/>
              <w:bottom w:w="0" w:type="dxa"/>
              <w:right w:w="115" w:type="dxa"/>
            </w:tcMar>
            <w:vAlign w:val="center"/>
            <w:hideMark/>
          </w:tcPr>
          <w:p w:rsidR="00DB6EC8" w:rsidRPr="00DB6EC8" w:rsidRDefault="00DB6EC8" w:rsidP="00DB6EC8">
            <w:pPr>
              <w:keepNext/>
              <w:keepLines/>
              <w:spacing w:after="0" w:line="240" w:lineRule="auto"/>
              <w:rPr>
                <w:rFonts w:asciiTheme="minorHAnsi" w:hAnsiTheme="minorHAnsi"/>
                <w:b/>
                <w:bCs/>
                <w:color w:val="000000"/>
                <w:sz w:val="18"/>
                <w:szCs w:val="18"/>
              </w:rPr>
            </w:pPr>
            <w:r w:rsidRPr="00DB6EC8">
              <w:rPr>
                <w:rFonts w:asciiTheme="minorHAnsi" w:hAnsiTheme="minorHAnsi"/>
                <w:b/>
                <w:sz w:val="18"/>
                <w:szCs w:val="18"/>
              </w:rPr>
              <w:t>2019</w:t>
            </w:r>
          </w:p>
        </w:tc>
        <w:tc>
          <w:tcPr>
            <w:tcW w:w="980" w:type="dxa"/>
            <w:gridSpan w:val="2"/>
            <w:shd w:val="clear" w:color="auto" w:fill="CCEAF9" w:themeFill="accent1" w:themeFillTint="33"/>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b/>
                <w:bCs/>
                <w:color w:val="000000"/>
                <w:sz w:val="18"/>
                <w:szCs w:val="18"/>
              </w:rPr>
            </w:pPr>
            <w:r w:rsidRPr="00DB6EC8">
              <w:rPr>
                <w:rFonts w:asciiTheme="minorHAnsi" w:hAnsiTheme="minorHAnsi" w:cs="Calibri"/>
                <w:color w:val="000000"/>
                <w:sz w:val="18"/>
                <w:szCs w:val="18"/>
              </w:rPr>
              <w:t>371.8</w:t>
            </w:r>
          </w:p>
        </w:tc>
        <w:tc>
          <w:tcPr>
            <w:tcW w:w="981" w:type="dxa"/>
            <w:gridSpan w:val="2"/>
            <w:shd w:val="clear" w:color="auto" w:fill="CCEAF9" w:themeFill="accent1" w:themeFillTint="33"/>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color w:val="000000"/>
                <w:sz w:val="18"/>
                <w:szCs w:val="18"/>
              </w:rPr>
            </w:pPr>
            <w:r w:rsidRPr="00DB6EC8">
              <w:rPr>
                <w:rFonts w:asciiTheme="minorHAnsi" w:hAnsiTheme="minorHAnsi"/>
                <w:sz w:val="18"/>
                <w:szCs w:val="18"/>
              </w:rPr>
              <w:t>132.8</w:t>
            </w:r>
          </w:p>
        </w:tc>
        <w:tc>
          <w:tcPr>
            <w:tcW w:w="982" w:type="dxa"/>
            <w:gridSpan w:val="2"/>
            <w:shd w:val="clear" w:color="auto" w:fill="CCEAF9" w:themeFill="accent1" w:themeFillTint="33"/>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color w:val="000000"/>
                <w:sz w:val="18"/>
                <w:szCs w:val="18"/>
              </w:rPr>
            </w:pPr>
            <w:r w:rsidRPr="00DB6EC8">
              <w:rPr>
                <w:rFonts w:asciiTheme="minorHAnsi" w:hAnsiTheme="minorHAnsi"/>
                <w:sz w:val="18"/>
                <w:szCs w:val="18"/>
              </w:rPr>
              <w:t>164.4</w:t>
            </w:r>
          </w:p>
        </w:tc>
        <w:tc>
          <w:tcPr>
            <w:tcW w:w="981" w:type="dxa"/>
            <w:shd w:val="clear" w:color="auto" w:fill="CCEAF9" w:themeFill="accent1" w:themeFillTint="33"/>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color w:val="000000"/>
                <w:sz w:val="18"/>
                <w:szCs w:val="18"/>
              </w:rPr>
            </w:pPr>
            <w:r w:rsidRPr="00DB6EC8">
              <w:rPr>
                <w:rFonts w:asciiTheme="minorHAnsi" w:hAnsiTheme="minorHAnsi"/>
                <w:sz w:val="18"/>
                <w:szCs w:val="18"/>
              </w:rPr>
              <w:t>6.8</w:t>
            </w:r>
          </w:p>
        </w:tc>
        <w:tc>
          <w:tcPr>
            <w:tcW w:w="982" w:type="dxa"/>
            <w:shd w:val="clear" w:color="auto" w:fill="CCEAF9" w:themeFill="accent1" w:themeFillTint="33"/>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color w:val="000000"/>
                <w:sz w:val="18"/>
                <w:szCs w:val="18"/>
              </w:rPr>
            </w:pPr>
            <w:r w:rsidRPr="00DB6EC8">
              <w:rPr>
                <w:rFonts w:asciiTheme="minorHAnsi" w:hAnsiTheme="minorHAnsi"/>
                <w:sz w:val="18"/>
                <w:szCs w:val="18"/>
              </w:rPr>
              <w:t>7.4</w:t>
            </w:r>
          </w:p>
        </w:tc>
        <w:tc>
          <w:tcPr>
            <w:tcW w:w="982" w:type="dxa"/>
            <w:shd w:val="clear" w:color="auto" w:fill="CCEAF9" w:themeFill="accent1" w:themeFillTint="33"/>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color w:val="000000"/>
                <w:sz w:val="18"/>
                <w:szCs w:val="18"/>
              </w:rPr>
            </w:pPr>
            <w:r w:rsidRPr="00DB6EC8">
              <w:rPr>
                <w:rFonts w:asciiTheme="minorHAnsi" w:hAnsiTheme="minorHAnsi"/>
                <w:sz w:val="18"/>
                <w:szCs w:val="18"/>
              </w:rPr>
              <w:t>35.3</w:t>
            </w:r>
          </w:p>
        </w:tc>
        <w:tc>
          <w:tcPr>
            <w:tcW w:w="983" w:type="dxa"/>
            <w:shd w:val="clear" w:color="auto" w:fill="CCEAF9" w:themeFill="accent1" w:themeFillTint="33"/>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color w:val="000000"/>
                <w:sz w:val="18"/>
                <w:szCs w:val="18"/>
              </w:rPr>
            </w:pPr>
            <w:r w:rsidRPr="00DB6EC8">
              <w:rPr>
                <w:rFonts w:asciiTheme="minorHAnsi" w:hAnsiTheme="minorHAnsi"/>
                <w:sz w:val="18"/>
                <w:szCs w:val="18"/>
              </w:rPr>
              <w:t>25.0</w:t>
            </w:r>
          </w:p>
        </w:tc>
      </w:tr>
      <w:tr w:rsidR="00DB6EC8" w:rsidRPr="00DB6EC8" w:rsidTr="007A79E9">
        <w:trPr>
          <w:trHeight w:val="300"/>
          <w:jc w:val="center"/>
        </w:trPr>
        <w:tc>
          <w:tcPr>
            <w:tcW w:w="1469" w:type="dxa"/>
            <w:shd w:val="clear" w:color="auto" w:fill="auto"/>
            <w:noWrap/>
            <w:tcMar>
              <w:top w:w="0" w:type="dxa"/>
              <w:left w:w="115" w:type="dxa"/>
              <w:bottom w:w="0" w:type="dxa"/>
              <w:right w:w="115" w:type="dxa"/>
            </w:tcMar>
            <w:vAlign w:val="center"/>
            <w:hideMark/>
          </w:tcPr>
          <w:p w:rsidR="00DB6EC8" w:rsidRPr="00DB6EC8" w:rsidRDefault="00DB6EC8" w:rsidP="00DB6EC8">
            <w:pPr>
              <w:keepNext/>
              <w:keepLines/>
              <w:spacing w:after="0" w:line="240" w:lineRule="auto"/>
              <w:rPr>
                <w:rFonts w:asciiTheme="minorHAnsi" w:hAnsiTheme="minorHAnsi"/>
                <w:b/>
                <w:bCs/>
                <w:color w:val="000000"/>
                <w:sz w:val="18"/>
                <w:szCs w:val="18"/>
              </w:rPr>
            </w:pPr>
            <w:r w:rsidRPr="00DB6EC8">
              <w:rPr>
                <w:rFonts w:asciiTheme="minorHAnsi" w:hAnsiTheme="minorHAnsi"/>
                <w:b/>
                <w:sz w:val="18"/>
                <w:szCs w:val="18"/>
              </w:rPr>
              <w:t>2020</w:t>
            </w:r>
          </w:p>
        </w:tc>
        <w:tc>
          <w:tcPr>
            <w:tcW w:w="980" w:type="dxa"/>
            <w:gridSpan w:val="2"/>
            <w:shd w:val="clear" w:color="auto" w:fill="auto"/>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b/>
                <w:bCs/>
                <w:color w:val="000000"/>
                <w:sz w:val="18"/>
                <w:szCs w:val="18"/>
              </w:rPr>
            </w:pPr>
            <w:r w:rsidRPr="00DB6EC8">
              <w:rPr>
                <w:rFonts w:asciiTheme="minorHAnsi" w:hAnsiTheme="minorHAnsi" w:cs="Calibri"/>
                <w:color w:val="000000"/>
                <w:sz w:val="18"/>
                <w:szCs w:val="18"/>
              </w:rPr>
              <w:t>286.6</w:t>
            </w:r>
          </w:p>
        </w:tc>
        <w:tc>
          <w:tcPr>
            <w:tcW w:w="981" w:type="dxa"/>
            <w:gridSpan w:val="2"/>
            <w:shd w:val="clear" w:color="auto" w:fill="auto"/>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color w:val="000000"/>
                <w:sz w:val="18"/>
                <w:szCs w:val="18"/>
              </w:rPr>
            </w:pPr>
            <w:r w:rsidRPr="00DB6EC8">
              <w:rPr>
                <w:rFonts w:asciiTheme="minorHAnsi" w:hAnsiTheme="minorHAnsi"/>
                <w:sz w:val="18"/>
                <w:szCs w:val="18"/>
              </w:rPr>
              <w:t>58.9</w:t>
            </w:r>
          </w:p>
        </w:tc>
        <w:tc>
          <w:tcPr>
            <w:tcW w:w="982" w:type="dxa"/>
            <w:gridSpan w:val="2"/>
            <w:shd w:val="clear" w:color="auto" w:fill="auto"/>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color w:val="000000"/>
                <w:sz w:val="18"/>
                <w:szCs w:val="18"/>
              </w:rPr>
            </w:pPr>
            <w:r w:rsidRPr="00DB6EC8">
              <w:rPr>
                <w:rFonts w:asciiTheme="minorHAnsi" w:hAnsiTheme="minorHAnsi"/>
                <w:sz w:val="18"/>
                <w:szCs w:val="18"/>
              </w:rPr>
              <w:t>160.0</w:t>
            </w:r>
          </w:p>
        </w:tc>
        <w:tc>
          <w:tcPr>
            <w:tcW w:w="981" w:type="dxa"/>
            <w:shd w:val="clear" w:color="auto" w:fill="auto"/>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color w:val="000000"/>
                <w:sz w:val="18"/>
                <w:szCs w:val="18"/>
              </w:rPr>
            </w:pPr>
            <w:r w:rsidRPr="00DB6EC8">
              <w:rPr>
                <w:rFonts w:asciiTheme="minorHAnsi" w:hAnsiTheme="minorHAnsi"/>
                <w:sz w:val="18"/>
                <w:szCs w:val="18"/>
              </w:rPr>
              <w:t>6.2</w:t>
            </w:r>
          </w:p>
        </w:tc>
        <w:tc>
          <w:tcPr>
            <w:tcW w:w="982" w:type="dxa"/>
            <w:shd w:val="clear" w:color="auto" w:fill="auto"/>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color w:val="000000"/>
                <w:sz w:val="18"/>
                <w:szCs w:val="18"/>
              </w:rPr>
            </w:pPr>
            <w:r w:rsidRPr="00DB6EC8">
              <w:rPr>
                <w:rFonts w:asciiTheme="minorHAnsi" w:hAnsiTheme="minorHAnsi"/>
                <w:sz w:val="18"/>
                <w:szCs w:val="18"/>
              </w:rPr>
              <w:t>7.2</w:t>
            </w:r>
          </w:p>
        </w:tc>
        <w:tc>
          <w:tcPr>
            <w:tcW w:w="982" w:type="dxa"/>
            <w:shd w:val="clear" w:color="auto" w:fill="auto"/>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color w:val="000000"/>
                <w:sz w:val="18"/>
                <w:szCs w:val="18"/>
              </w:rPr>
            </w:pPr>
            <w:r w:rsidRPr="00DB6EC8">
              <w:rPr>
                <w:rFonts w:asciiTheme="minorHAnsi" w:hAnsiTheme="minorHAnsi"/>
                <w:sz w:val="18"/>
                <w:szCs w:val="18"/>
              </w:rPr>
              <w:t>31.8</w:t>
            </w:r>
          </w:p>
        </w:tc>
        <w:tc>
          <w:tcPr>
            <w:tcW w:w="983" w:type="dxa"/>
            <w:shd w:val="clear" w:color="auto" w:fill="auto"/>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color w:val="000000"/>
                <w:sz w:val="18"/>
                <w:szCs w:val="18"/>
              </w:rPr>
            </w:pPr>
            <w:r w:rsidRPr="00DB6EC8">
              <w:rPr>
                <w:rFonts w:asciiTheme="minorHAnsi" w:hAnsiTheme="minorHAnsi"/>
                <w:sz w:val="18"/>
                <w:szCs w:val="18"/>
              </w:rPr>
              <w:t>22.5</w:t>
            </w:r>
          </w:p>
        </w:tc>
      </w:tr>
      <w:tr w:rsidR="00DB6EC8" w:rsidRPr="00DB6EC8" w:rsidTr="007A79E9">
        <w:trPr>
          <w:trHeight w:val="300"/>
          <w:jc w:val="center"/>
        </w:trPr>
        <w:tc>
          <w:tcPr>
            <w:tcW w:w="1469" w:type="dxa"/>
            <w:shd w:val="clear" w:color="auto" w:fill="CCEAF9" w:themeFill="accent1" w:themeFillTint="33"/>
            <w:noWrap/>
            <w:tcMar>
              <w:top w:w="0" w:type="dxa"/>
              <w:left w:w="115" w:type="dxa"/>
              <w:bottom w:w="0" w:type="dxa"/>
              <w:right w:w="115" w:type="dxa"/>
            </w:tcMar>
            <w:vAlign w:val="center"/>
            <w:hideMark/>
          </w:tcPr>
          <w:p w:rsidR="00DB6EC8" w:rsidRPr="00DB6EC8" w:rsidRDefault="00DB6EC8" w:rsidP="00DB6EC8">
            <w:pPr>
              <w:keepNext/>
              <w:keepLines/>
              <w:spacing w:after="0" w:line="240" w:lineRule="auto"/>
              <w:rPr>
                <w:rFonts w:asciiTheme="minorHAnsi" w:hAnsiTheme="minorHAnsi"/>
                <w:b/>
                <w:bCs/>
                <w:color w:val="000000"/>
                <w:sz w:val="18"/>
                <w:szCs w:val="18"/>
              </w:rPr>
            </w:pPr>
            <w:r w:rsidRPr="00DB6EC8">
              <w:rPr>
                <w:rFonts w:asciiTheme="minorHAnsi" w:hAnsiTheme="minorHAnsi"/>
                <w:b/>
                <w:sz w:val="18"/>
                <w:szCs w:val="18"/>
              </w:rPr>
              <w:t>2021</w:t>
            </w:r>
          </w:p>
        </w:tc>
        <w:tc>
          <w:tcPr>
            <w:tcW w:w="980" w:type="dxa"/>
            <w:gridSpan w:val="2"/>
            <w:shd w:val="clear" w:color="auto" w:fill="CCEAF9" w:themeFill="accent1" w:themeFillTint="33"/>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b/>
                <w:bCs/>
                <w:color w:val="000000"/>
                <w:sz w:val="18"/>
                <w:szCs w:val="18"/>
              </w:rPr>
            </w:pPr>
            <w:r w:rsidRPr="00DB6EC8">
              <w:rPr>
                <w:rFonts w:asciiTheme="minorHAnsi" w:hAnsiTheme="minorHAnsi" w:cs="Calibri"/>
                <w:color w:val="000000"/>
                <w:sz w:val="18"/>
                <w:szCs w:val="18"/>
              </w:rPr>
              <w:t>249.6</w:t>
            </w:r>
          </w:p>
        </w:tc>
        <w:tc>
          <w:tcPr>
            <w:tcW w:w="981" w:type="dxa"/>
            <w:gridSpan w:val="2"/>
            <w:shd w:val="clear" w:color="auto" w:fill="CCEAF9" w:themeFill="accent1" w:themeFillTint="33"/>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color w:val="000000"/>
                <w:sz w:val="18"/>
                <w:szCs w:val="18"/>
              </w:rPr>
            </w:pPr>
            <w:r w:rsidRPr="00DB6EC8">
              <w:rPr>
                <w:rFonts w:asciiTheme="minorHAnsi" w:hAnsiTheme="minorHAnsi"/>
                <w:sz w:val="18"/>
                <w:szCs w:val="18"/>
              </w:rPr>
              <w:t>44.7</w:t>
            </w:r>
          </w:p>
        </w:tc>
        <w:tc>
          <w:tcPr>
            <w:tcW w:w="982" w:type="dxa"/>
            <w:gridSpan w:val="2"/>
            <w:shd w:val="clear" w:color="auto" w:fill="CCEAF9" w:themeFill="accent1" w:themeFillTint="33"/>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color w:val="000000"/>
                <w:sz w:val="18"/>
                <w:szCs w:val="18"/>
              </w:rPr>
            </w:pPr>
            <w:r w:rsidRPr="00DB6EC8">
              <w:rPr>
                <w:rFonts w:asciiTheme="minorHAnsi" w:hAnsiTheme="minorHAnsi"/>
                <w:sz w:val="18"/>
                <w:szCs w:val="18"/>
              </w:rPr>
              <w:t>155.6</w:t>
            </w:r>
          </w:p>
        </w:tc>
        <w:tc>
          <w:tcPr>
            <w:tcW w:w="981" w:type="dxa"/>
            <w:shd w:val="clear" w:color="auto" w:fill="CCEAF9" w:themeFill="accent1" w:themeFillTint="33"/>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color w:val="000000"/>
                <w:sz w:val="18"/>
                <w:szCs w:val="18"/>
              </w:rPr>
            </w:pPr>
            <w:r w:rsidRPr="00DB6EC8">
              <w:rPr>
                <w:rFonts w:asciiTheme="minorHAnsi" w:hAnsiTheme="minorHAnsi"/>
                <w:sz w:val="18"/>
                <w:szCs w:val="18"/>
              </w:rPr>
              <w:t>5.8</w:t>
            </w:r>
          </w:p>
        </w:tc>
        <w:tc>
          <w:tcPr>
            <w:tcW w:w="982" w:type="dxa"/>
            <w:shd w:val="clear" w:color="auto" w:fill="CCEAF9" w:themeFill="accent1" w:themeFillTint="33"/>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color w:val="000000"/>
                <w:sz w:val="18"/>
                <w:szCs w:val="18"/>
              </w:rPr>
            </w:pPr>
            <w:r w:rsidRPr="00DB6EC8">
              <w:rPr>
                <w:rFonts w:asciiTheme="minorHAnsi" w:hAnsiTheme="minorHAnsi"/>
                <w:sz w:val="18"/>
                <w:szCs w:val="18"/>
              </w:rPr>
              <w:t>7.0</w:t>
            </w:r>
          </w:p>
        </w:tc>
        <w:tc>
          <w:tcPr>
            <w:tcW w:w="982" w:type="dxa"/>
            <w:shd w:val="clear" w:color="auto" w:fill="CCEAF9" w:themeFill="accent1" w:themeFillTint="33"/>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color w:val="000000"/>
                <w:sz w:val="18"/>
                <w:szCs w:val="18"/>
              </w:rPr>
            </w:pPr>
            <w:r w:rsidRPr="00DB6EC8">
              <w:rPr>
                <w:rFonts w:asciiTheme="minorHAnsi" w:hAnsiTheme="minorHAnsi"/>
                <w:sz w:val="18"/>
                <w:szCs w:val="18"/>
              </w:rPr>
              <w:t>15.2</w:t>
            </w:r>
          </w:p>
        </w:tc>
        <w:tc>
          <w:tcPr>
            <w:tcW w:w="983" w:type="dxa"/>
            <w:shd w:val="clear" w:color="auto" w:fill="CCEAF9" w:themeFill="accent1" w:themeFillTint="33"/>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color w:val="000000"/>
                <w:sz w:val="18"/>
                <w:szCs w:val="18"/>
              </w:rPr>
            </w:pPr>
            <w:r w:rsidRPr="00DB6EC8">
              <w:rPr>
                <w:rFonts w:asciiTheme="minorHAnsi" w:hAnsiTheme="minorHAnsi"/>
                <w:sz w:val="18"/>
                <w:szCs w:val="18"/>
              </w:rPr>
              <w:t>21.3</w:t>
            </w:r>
          </w:p>
        </w:tc>
      </w:tr>
      <w:tr w:rsidR="00DB6EC8" w:rsidRPr="00DB6EC8" w:rsidTr="007A79E9">
        <w:trPr>
          <w:trHeight w:val="300"/>
          <w:jc w:val="center"/>
        </w:trPr>
        <w:tc>
          <w:tcPr>
            <w:tcW w:w="1469" w:type="dxa"/>
            <w:shd w:val="clear" w:color="auto" w:fill="auto"/>
            <w:noWrap/>
            <w:tcMar>
              <w:top w:w="0" w:type="dxa"/>
              <w:left w:w="115" w:type="dxa"/>
              <w:bottom w:w="0" w:type="dxa"/>
              <w:right w:w="115" w:type="dxa"/>
            </w:tcMar>
            <w:vAlign w:val="center"/>
            <w:hideMark/>
          </w:tcPr>
          <w:p w:rsidR="00DB6EC8" w:rsidRPr="00DB6EC8" w:rsidRDefault="00DB6EC8" w:rsidP="00DB6EC8">
            <w:pPr>
              <w:keepNext/>
              <w:keepLines/>
              <w:spacing w:after="0" w:line="240" w:lineRule="auto"/>
              <w:rPr>
                <w:rFonts w:asciiTheme="minorHAnsi" w:hAnsiTheme="minorHAnsi"/>
                <w:b/>
                <w:bCs/>
                <w:color w:val="000000"/>
                <w:sz w:val="18"/>
                <w:szCs w:val="18"/>
              </w:rPr>
            </w:pPr>
            <w:r w:rsidRPr="00DB6EC8">
              <w:rPr>
                <w:rFonts w:asciiTheme="minorHAnsi" w:hAnsiTheme="minorHAnsi"/>
                <w:b/>
                <w:sz w:val="18"/>
                <w:szCs w:val="18"/>
              </w:rPr>
              <w:t>2022</w:t>
            </w:r>
          </w:p>
        </w:tc>
        <w:tc>
          <w:tcPr>
            <w:tcW w:w="980" w:type="dxa"/>
            <w:gridSpan w:val="2"/>
            <w:shd w:val="clear" w:color="auto" w:fill="auto"/>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b/>
                <w:bCs/>
                <w:color w:val="000000"/>
                <w:sz w:val="18"/>
                <w:szCs w:val="18"/>
              </w:rPr>
            </w:pPr>
            <w:r w:rsidRPr="00DB6EC8">
              <w:rPr>
                <w:rFonts w:asciiTheme="minorHAnsi" w:hAnsiTheme="minorHAnsi" w:cs="Calibri"/>
                <w:color w:val="000000"/>
                <w:sz w:val="18"/>
                <w:szCs w:val="18"/>
              </w:rPr>
              <w:t>239.8</w:t>
            </w:r>
          </w:p>
        </w:tc>
        <w:tc>
          <w:tcPr>
            <w:tcW w:w="981" w:type="dxa"/>
            <w:gridSpan w:val="2"/>
            <w:shd w:val="clear" w:color="auto" w:fill="auto"/>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color w:val="000000"/>
                <w:sz w:val="18"/>
                <w:szCs w:val="18"/>
              </w:rPr>
            </w:pPr>
            <w:r w:rsidRPr="00DB6EC8">
              <w:rPr>
                <w:rFonts w:asciiTheme="minorHAnsi" w:hAnsiTheme="minorHAnsi"/>
                <w:sz w:val="18"/>
                <w:szCs w:val="18"/>
              </w:rPr>
              <w:t>43.5</w:t>
            </w:r>
          </w:p>
        </w:tc>
        <w:tc>
          <w:tcPr>
            <w:tcW w:w="982" w:type="dxa"/>
            <w:gridSpan w:val="2"/>
            <w:shd w:val="clear" w:color="auto" w:fill="auto"/>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color w:val="000000"/>
                <w:sz w:val="18"/>
                <w:szCs w:val="18"/>
              </w:rPr>
            </w:pPr>
            <w:r w:rsidRPr="00DB6EC8">
              <w:rPr>
                <w:rFonts w:asciiTheme="minorHAnsi" w:hAnsiTheme="minorHAnsi"/>
                <w:sz w:val="18"/>
                <w:szCs w:val="18"/>
              </w:rPr>
              <w:t>151.1</w:t>
            </w:r>
          </w:p>
        </w:tc>
        <w:tc>
          <w:tcPr>
            <w:tcW w:w="981" w:type="dxa"/>
            <w:shd w:val="clear" w:color="auto" w:fill="auto"/>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color w:val="000000"/>
                <w:sz w:val="18"/>
                <w:szCs w:val="18"/>
              </w:rPr>
            </w:pPr>
            <w:r w:rsidRPr="00DB6EC8">
              <w:rPr>
                <w:rFonts w:asciiTheme="minorHAnsi" w:hAnsiTheme="minorHAnsi"/>
                <w:sz w:val="18"/>
                <w:szCs w:val="18"/>
              </w:rPr>
              <w:t>5.8</w:t>
            </w:r>
          </w:p>
        </w:tc>
        <w:tc>
          <w:tcPr>
            <w:tcW w:w="982" w:type="dxa"/>
            <w:shd w:val="clear" w:color="auto" w:fill="auto"/>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color w:val="000000"/>
                <w:sz w:val="18"/>
                <w:szCs w:val="18"/>
              </w:rPr>
            </w:pPr>
            <w:r w:rsidRPr="00DB6EC8">
              <w:rPr>
                <w:rFonts w:asciiTheme="minorHAnsi" w:hAnsiTheme="minorHAnsi"/>
                <w:sz w:val="18"/>
                <w:szCs w:val="18"/>
              </w:rPr>
              <w:t>6.8</w:t>
            </w:r>
          </w:p>
        </w:tc>
        <w:tc>
          <w:tcPr>
            <w:tcW w:w="982" w:type="dxa"/>
            <w:shd w:val="clear" w:color="auto" w:fill="auto"/>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color w:val="000000"/>
                <w:sz w:val="18"/>
                <w:szCs w:val="18"/>
              </w:rPr>
            </w:pPr>
            <w:r w:rsidRPr="00DB6EC8">
              <w:rPr>
                <w:rFonts w:asciiTheme="minorHAnsi" w:hAnsiTheme="minorHAnsi"/>
                <w:sz w:val="18"/>
                <w:szCs w:val="18"/>
              </w:rPr>
              <w:t>11.3</w:t>
            </w:r>
          </w:p>
        </w:tc>
        <w:tc>
          <w:tcPr>
            <w:tcW w:w="983" w:type="dxa"/>
            <w:shd w:val="clear" w:color="auto" w:fill="auto"/>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color w:val="000000"/>
                <w:sz w:val="18"/>
                <w:szCs w:val="18"/>
              </w:rPr>
            </w:pPr>
            <w:r w:rsidRPr="00DB6EC8">
              <w:rPr>
                <w:rFonts w:asciiTheme="minorHAnsi" w:hAnsiTheme="minorHAnsi"/>
                <w:sz w:val="18"/>
                <w:szCs w:val="18"/>
              </w:rPr>
              <w:t>21.3</w:t>
            </w:r>
          </w:p>
        </w:tc>
      </w:tr>
      <w:tr w:rsidR="00DB6EC8" w:rsidRPr="00DB6EC8" w:rsidTr="007A79E9">
        <w:trPr>
          <w:trHeight w:val="300"/>
          <w:jc w:val="center"/>
        </w:trPr>
        <w:tc>
          <w:tcPr>
            <w:tcW w:w="1469" w:type="dxa"/>
            <w:shd w:val="clear" w:color="auto" w:fill="CCEAF9" w:themeFill="accent1" w:themeFillTint="33"/>
            <w:noWrap/>
            <w:tcMar>
              <w:top w:w="0" w:type="dxa"/>
              <w:left w:w="115" w:type="dxa"/>
              <w:bottom w:w="0" w:type="dxa"/>
              <w:right w:w="115" w:type="dxa"/>
            </w:tcMar>
            <w:vAlign w:val="center"/>
            <w:hideMark/>
          </w:tcPr>
          <w:p w:rsidR="00DB6EC8" w:rsidRPr="00DB6EC8" w:rsidRDefault="00DB6EC8" w:rsidP="00DB6EC8">
            <w:pPr>
              <w:keepNext/>
              <w:keepLines/>
              <w:spacing w:after="0" w:line="240" w:lineRule="auto"/>
              <w:rPr>
                <w:rFonts w:asciiTheme="minorHAnsi" w:hAnsiTheme="minorHAnsi"/>
                <w:b/>
                <w:bCs/>
                <w:color w:val="000000"/>
                <w:sz w:val="18"/>
                <w:szCs w:val="18"/>
              </w:rPr>
            </w:pPr>
            <w:r w:rsidRPr="00DB6EC8">
              <w:rPr>
                <w:rFonts w:asciiTheme="minorHAnsi" w:hAnsiTheme="minorHAnsi"/>
                <w:b/>
                <w:sz w:val="18"/>
                <w:szCs w:val="18"/>
              </w:rPr>
              <w:t>2023</w:t>
            </w:r>
          </w:p>
        </w:tc>
        <w:tc>
          <w:tcPr>
            <w:tcW w:w="980" w:type="dxa"/>
            <w:gridSpan w:val="2"/>
            <w:shd w:val="clear" w:color="auto" w:fill="CCEAF9" w:themeFill="accent1" w:themeFillTint="33"/>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b/>
                <w:bCs/>
                <w:color w:val="000000"/>
                <w:sz w:val="18"/>
                <w:szCs w:val="18"/>
              </w:rPr>
            </w:pPr>
            <w:r w:rsidRPr="00DB6EC8">
              <w:rPr>
                <w:rFonts w:asciiTheme="minorHAnsi" w:hAnsiTheme="minorHAnsi" w:cs="Calibri"/>
                <w:color w:val="000000"/>
                <w:sz w:val="18"/>
                <w:szCs w:val="18"/>
              </w:rPr>
              <w:t>233.6</w:t>
            </w:r>
          </w:p>
        </w:tc>
        <w:tc>
          <w:tcPr>
            <w:tcW w:w="981" w:type="dxa"/>
            <w:gridSpan w:val="2"/>
            <w:shd w:val="clear" w:color="auto" w:fill="CCEAF9" w:themeFill="accent1" w:themeFillTint="33"/>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color w:val="000000"/>
                <w:sz w:val="18"/>
                <w:szCs w:val="18"/>
              </w:rPr>
            </w:pPr>
            <w:r w:rsidRPr="00DB6EC8">
              <w:rPr>
                <w:rFonts w:asciiTheme="minorHAnsi" w:hAnsiTheme="minorHAnsi"/>
                <w:sz w:val="18"/>
                <w:szCs w:val="18"/>
              </w:rPr>
              <w:t>42.2</w:t>
            </w:r>
          </w:p>
        </w:tc>
        <w:tc>
          <w:tcPr>
            <w:tcW w:w="982" w:type="dxa"/>
            <w:gridSpan w:val="2"/>
            <w:shd w:val="clear" w:color="auto" w:fill="CCEAF9" w:themeFill="accent1" w:themeFillTint="33"/>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color w:val="000000"/>
                <w:sz w:val="18"/>
                <w:szCs w:val="18"/>
              </w:rPr>
            </w:pPr>
            <w:r w:rsidRPr="00DB6EC8">
              <w:rPr>
                <w:rFonts w:asciiTheme="minorHAnsi" w:hAnsiTheme="minorHAnsi"/>
                <w:sz w:val="18"/>
                <w:szCs w:val="18"/>
              </w:rPr>
              <w:t>146.7</w:t>
            </w:r>
          </w:p>
        </w:tc>
        <w:tc>
          <w:tcPr>
            <w:tcW w:w="981" w:type="dxa"/>
            <w:shd w:val="clear" w:color="auto" w:fill="CCEAF9" w:themeFill="accent1" w:themeFillTint="33"/>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color w:val="000000"/>
                <w:sz w:val="18"/>
                <w:szCs w:val="18"/>
              </w:rPr>
            </w:pPr>
            <w:r w:rsidRPr="00DB6EC8">
              <w:rPr>
                <w:rFonts w:asciiTheme="minorHAnsi" w:hAnsiTheme="minorHAnsi"/>
                <w:sz w:val="18"/>
                <w:szCs w:val="18"/>
              </w:rPr>
              <w:t>5.8</w:t>
            </w:r>
          </w:p>
        </w:tc>
        <w:tc>
          <w:tcPr>
            <w:tcW w:w="982" w:type="dxa"/>
            <w:shd w:val="clear" w:color="auto" w:fill="CCEAF9" w:themeFill="accent1" w:themeFillTint="33"/>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color w:val="000000"/>
                <w:sz w:val="18"/>
                <w:szCs w:val="18"/>
              </w:rPr>
            </w:pPr>
            <w:r w:rsidRPr="00DB6EC8">
              <w:rPr>
                <w:rFonts w:asciiTheme="minorHAnsi" w:hAnsiTheme="minorHAnsi"/>
                <w:sz w:val="18"/>
                <w:szCs w:val="18"/>
              </w:rPr>
              <w:t>6.6</w:t>
            </w:r>
          </w:p>
        </w:tc>
        <w:tc>
          <w:tcPr>
            <w:tcW w:w="982" w:type="dxa"/>
            <w:shd w:val="clear" w:color="auto" w:fill="CCEAF9" w:themeFill="accent1" w:themeFillTint="33"/>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color w:val="000000"/>
                <w:sz w:val="18"/>
                <w:szCs w:val="18"/>
              </w:rPr>
            </w:pPr>
            <w:r w:rsidRPr="00DB6EC8">
              <w:rPr>
                <w:rFonts w:asciiTheme="minorHAnsi" w:hAnsiTheme="minorHAnsi"/>
                <w:sz w:val="18"/>
                <w:szCs w:val="18"/>
              </w:rPr>
              <w:t>11.1</w:t>
            </w:r>
          </w:p>
        </w:tc>
        <w:tc>
          <w:tcPr>
            <w:tcW w:w="983" w:type="dxa"/>
            <w:shd w:val="clear" w:color="auto" w:fill="CCEAF9" w:themeFill="accent1" w:themeFillTint="33"/>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color w:val="000000"/>
                <w:sz w:val="18"/>
                <w:szCs w:val="18"/>
              </w:rPr>
            </w:pPr>
            <w:r w:rsidRPr="00DB6EC8">
              <w:rPr>
                <w:rFonts w:asciiTheme="minorHAnsi" w:hAnsiTheme="minorHAnsi"/>
                <w:sz w:val="18"/>
                <w:szCs w:val="18"/>
              </w:rPr>
              <w:t>21.3</w:t>
            </w:r>
          </w:p>
        </w:tc>
      </w:tr>
      <w:tr w:rsidR="00DB6EC8" w:rsidRPr="00DB6EC8" w:rsidTr="007A79E9">
        <w:trPr>
          <w:trHeight w:val="300"/>
          <w:jc w:val="center"/>
        </w:trPr>
        <w:tc>
          <w:tcPr>
            <w:tcW w:w="1469" w:type="dxa"/>
            <w:shd w:val="clear" w:color="auto" w:fill="auto"/>
            <w:noWrap/>
            <w:tcMar>
              <w:top w:w="0" w:type="dxa"/>
              <w:left w:w="115" w:type="dxa"/>
              <w:bottom w:w="0" w:type="dxa"/>
              <w:right w:w="115" w:type="dxa"/>
            </w:tcMar>
            <w:vAlign w:val="center"/>
            <w:hideMark/>
          </w:tcPr>
          <w:p w:rsidR="00DB6EC8" w:rsidRPr="00DB6EC8" w:rsidRDefault="00DB6EC8" w:rsidP="00DB6EC8">
            <w:pPr>
              <w:keepNext/>
              <w:keepLines/>
              <w:spacing w:after="0" w:line="240" w:lineRule="auto"/>
              <w:rPr>
                <w:rFonts w:asciiTheme="minorHAnsi" w:hAnsiTheme="minorHAnsi"/>
                <w:b/>
                <w:bCs/>
                <w:color w:val="000000"/>
                <w:sz w:val="18"/>
                <w:szCs w:val="18"/>
              </w:rPr>
            </w:pPr>
            <w:r w:rsidRPr="00DB6EC8">
              <w:rPr>
                <w:rFonts w:asciiTheme="minorHAnsi" w:hAnsiTheme="minorHAnsi"/>
                <w:b/>
                <w:sz w:val="18"/>
                <w:szCs w:val="18"/>
              </w:rPr>
              <w:t>2024</w:t>
            </w:r>
          </w:p>
        </w:tc>
        <w:tc>
          <w:tcPr>
            <w:tcW w:w="980" w:type="dxa"/>
            <w:gridSpan w:val="2"/>
            <w:shd w:val="clear" w:color="auto" w:fill="auto"/>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b/>
                <w:bCs/>
                <w:color w:val="000000"/>
                <w:sz w:val="18"/>
                <w:szCs w:val="18"/>
              </w:rPr>
            </w:pPr>
            <w:r w:rsidRPr="00DB6EC8">
              <w:rPr>
                <w:rFonts w:asciiTheme="minorHAnsi" w:hAnsiTheme="minorHAnsi" w:cs="Calibri"/>
                <w:color w:val="000000"/>
                <w:sz w:val="18"/>
                <w:szCs w:val="18"/>
              </w:rPr>
              <w:t>156.3</w:t>
            </w:r>
          </w:p>
        </w:tc>
        <w:tc>
          <w:tcPr>
            <w:tcW w:w="981" w:type="dxa"/>
            <w:gridSpan w:val="2"/>
            <w:shd w:val="clear" w:color="auto" w:fill="auto"/>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color w:val="000000"/>
                <w:sz w:val="18"/>
                <w:szCs w:val="18"/>
              </w:rPr>
            </w:pPr>
            <w:r w:rsidRPr="00DB6EC8">
              <w:rPr>
                <w:rFonts w:asciiTheme="minorHAnsi" w:hAnsiTheme="minorHAnsi"/>
                <w:sz w:val="18"/>
                <w:szCs w:val="18"/>
              </w:rPr>
              <w:t>40.9</w:t>
            </w:r>
          </w:p>
        </w:tc>
        <w:tc>
          <w:tcPr>
            <w:tcW w:w="982" w:type="dxa"/>
            <w:gridSpan w:val="2"/>
            <w:shd w:val="clear" w:color="auto" w:fill="auto"/>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color w:val="000000"/>
                <w:sz w:val="18"/>
                <w:szCs w:val="18"/>
              </w:rPr>
            </w:pPr>
            <w:r w:rsidRPr="00DB6EC8">
              <w:rPr>
                <w:rFonts w:asciiTheme="minorHAnsi" w:hAnsiTheme="minorHAnsi"/>
                <w:sz w:val="18"/>
                <w:szCs w:val="18"/>
              </w:rPr>
              <w:t>71.1</w:t>
            </w:r>
          </w:p>
        </w:tc>
        <w:tc>
          <w:tcPr>
            <w:tcW w:w="981" w:type="dxa"/>
            <w:shd w:val="clear" w:color="auto" w:fill="auto"/>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color w:val="000000"/>
                <w:sz w:val="18"/>
                <w:szCs w:val="18"/>
              </w:rPr>
            </w:pPr>
            <w:r w:rsidRPr="00DB6EC8">
              <w:rPr>
                <w:rFonts w:asciiTheme="minorHAnsi" w:hAnsiTheme="minorHAnsi"/>
                <w:sz w:val="18"/>
                <w:szCs w:val="18"/>
              </w:rPr>
              <w:t>5.8</w:t>
            </w:r>
          </w:p>
        </w:tc>
        <w:tc>
          <w:tcPr>
            <w:tcW w:w="982" w:type="dxa"/>
            <w:shd w:val="clear" w:color="auto" w:fill="auto"/>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color w:val="000000"/>
                <w:sz w:val="18"/>
                <w:szCs w:val="18"/>
              </w:rPr>
            </w:pPr>
            <w:r w:rsidRPr="00DB6EC8">
              <w:rPr>
                <w:rFonts w:asciiTheme="minorHAnsi" w:hAnsiTheme="minorHAnsi"/>
                <w:sz w:val="18"/>
                <w:szCs w:val="18"/>
              </w:rPr>
              <w:t>6.4</w:t>
            </w:r>
          </w:p>
        </w:tc>
        <w:tc>
          <w:tcPr>
            <w:tcW w:w="982" w:type="dxa"/>
            <w:shd w:val="clear" w:color="auto" w:fill="auto"/>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color w:val="000000"/>
                <w:sz w:val="18"/>
                <w:szCs w:val="18"/>
              </w:rPr>
            </w:pPr>
            <w:r w:rsidRPr="00DB6EC8">
              <w:rPr>
                <w:rFonts w:asciiTheme="minorHAnsi" w:hAnsiTheme="minorHAnsi"/>
                <w:sz w:val="18"/>
                <w:szCs w:val="18"/>
              </w:rPr>
              <w:t>10.8</w:t>
            </w:r>
          </w:p>
        </w:tc>
        <w:tc>
          <w:tcPr>
            <w:tcW w:w="983" w:type="dxa"/>
            <w:shd w:val="clear" w:color="auto" w:fill="auto"/>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color w:val="000000"/>
                <w:sz w:val="18"/>
                <w:szCs w:val="18"/>
              </w:rPr>
            </w:pPr>
            <w:r w:rsidRPr="00DB6EC8">
              <w:rPr>
                <w:rFonts w:asciiTheme="minorHAnsi" w:hAnsiTheme="minorHAnsi"/>
                <w:sz w:val="18"/>
                <w:szCs w:val="18"/>
              </w:rPr>
              <w:t>21.3</w:t>
            </w:r>
          </w:p>
        </w:tc>
      </w:tr>
      <w:tr w:rsidR="00DB6EC8" w:rsidRPr="00DB6EC8" w:rsidTr="007A79E9">
        <w:trPr>
          <w:trHeight w:val="300"/>
          <w:jc w:val="center"/>
        </w:trPr>
        <w:tc>
          <w:tcPr>
            <w:tcW w:w="1469" w:type="dxa"/>
            <w:shd w:val="clear" w:color="auto" w:fill="CCEAF9" w:themeFill="accent1" w:themeFillTint="33"/>
            <w:noWrap/>
            <w:tcMar>
              <w:top w:w="0" w:type="dxa"/>
              <w:left w:w="115" w:type="dxa"/>
              <w:bottom w:w="0" w:type="dxa"/>
              <w:right w:w="115" w:type="dxa"/>
            </w:tcMar>
            <w:vAlign w:val="center"/>
            <w:hideMark/>
          </w:tcPr>
          <w:p w:rsidR="00DB6EC8" w:rsidRPr="00DB6EC8" w:rsidRDefault="00DB6EC8" w:rsidP="00DB6EC8">
            <w:pPr>
              <w:keepNext/>
              <w:keepLines/>
              <w:spacing w:after="0" w:line="240" w:lineRule="auto"/>
              <w:rPr>
                <w:rFonts w:asciiTheme="minorHAnsi" w:hAnsiTheme="minorHAnsi"/>
                <w:b/>
                <w:bCs/>
                <w:color w:val="000000"/>
                <w:sz w:val="18"/>
                <w:szCs w:val="18"/>
              </w:rPr>
            </w:pPr>
            <w:r w:rsidRPr="00DB6EC8">
              <w:rPr>
                <w:rFonts w:asciiTheme="minorHAnsi" w:hAnsiTheme="minorHAnsi"/>
                <w:b/>
                <w:sz w:val="18"/>
                <w:szCs w:val="18"/>
              </w:rPr>
              <w:t>2025</w:t>
            </w:r>
          </w:p>
        </w:tc>
        <w:tc>
          <w:tcPr>
            <w:tcW w:w="980" w:type="dxa"/>
            <w:gridSpan w:val="2"/>
            <w:shd w:val="clear" w:color="auto" w:fill="CCEAF9" w:themeFill="accent1" w:themeFillTint="33"/>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b/>
                <w:bCs/>
                <w:color w:val="000000"/>
                <w:sz w:val="18"/>
                <w:szCs w:val="18"/>
              </w:rPr>
            </w:pPr>
            <w:r w:rsidRPr="00DB6EC8">
              <w:rPr>
                <w:rFonts w:asciiTheme="minorHAnsi" w:hAnsiTheme="minorHAnsi" w:cs="Calibri"/>
                <w:color w:val="000000"/>
                <w:sz w:val="18"/>
                <w:szCs w:val="18"/>
              </w:rPr>
              <w:t>152.4</w:t>
            </w:r>
          </w:p>
        </w:tc>
        <w:tc>
          <w:tcPr>
            <w:tcW w:w="981" w:type="dxa"/>
            <w:gridSpan w:val="2"/>
            <w:shd w:val="clear" w:color="auto" w:fill="CCEAF9" w:themeFill="accent1" w:themeFillTint="33"/>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color w:val="000000"/>
                <w:sz w:val="18"/>
                <w:szCs w:val="18"/>
              </w:rPr>
            </w:pPr>
            <w:r w:rsidRPr="00DB6EC8">
              <w:rPr>
                <w:rFonts w:asciiTheme="minorHAnsi" w:hAnsiTheme="minorHAnsi"/>
                <w:sz w:val="18"/>
                <w:szCs w:val="18"/>
              </w:rPr>
              <w:t>39.6</w:t>
            </w:r>
          </w:p>
        </w:tc>
        <w:tc>
          <w:tcPr>
            <w:tcW w:w="982" w:type="dxa"/>
            <w:gridSpan w:val="2"/>
            <w:shd w:val="clear" w:color="auto" w:fill="CCEAF9" w:themeFill="accent1" w:themeFillTint="33"/>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color w:val="000000"/>
                <w:sz w:val="18"/>
                <w:szCs w:val="18"/>
              </w:rPr>
            </w:pPr>
            <w:r w:rsidRPr="00DB6EC8">
              <w:rPr>
                <w:rFonts w:asciiTheme="minorHAnsi" w:hAnsiTheme="minorHAnsi"/>
                <w:sz w:val="18"/>
                <w:szCs w:val="18"/>
              </w:rPr>
              <w:t>68.9</w:t>
            </w:r>
          </w:p>
        </w:tc>
        <w:tc>
          <w:tcPr>
            <w:tcW w:w="981" w:type="dxa"/>
            <w:shd w:val="clear" w:color="auto" w:fill="CCEAF9" w:themeFill="accent1" w:themeFillTint="33"/>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color w:val="000000"/>
                <w:sz w:val="18"/>
                <w:szCs w:val="18"/>
              </w:rPr>
            </w:pPr>
            <w:r w:rsidRPr="00DB6EC8">
              <w:rPr>
                <w:rFonts w:asciiTheme="minorHAnsi" w:hAnsiTheme="minorHAnsi"/>
                <w:sz w:val="18"/>
                <w:szCs w:val="18"/>
              </w:rPr>
              <w:t>5.8</w:t>
            </w:r>
          </w:p>
        </w:tc>
        <w:tc>
          <w:tcPr>
            <w:tcW w:w="982" w:type="dxa"/>
            <w:shd w:val="clear" w:color="auto" w:fill="CCEAF9" w:themeFill="accent1" w:themeFillTint="33"/>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color w:val="000000"/>
                <w:sz w:val="18"/>
                <w:szCs w:val="18"/>
              </w:rPr>
            </w:pPr>
            <w:r w:rsidRPr="00DB6EC8">
              <w:rPr>
                <w:rFonts w:asciiTheme="minorHAnsi" w:hAnsiTheme="minorHAnsi"/>
                <w:sz w:val="18"/>
                <w:szCs w:val="18"/>
              </w:rPr>
              <w:t>6.2</w:t>
            </w:r>
          </w:p>
        </w:tc>
        <w:tc>
          <w:tcPr>
            <w:tcW w:w="982" w:type="dxa"/>
            <w:shd w:val="clear" w:color="auto" w:fill="CCEAF9" w:themeFill="accent1" w:themeFillTint="33"/>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color w:val="000000"/>
                <w:sz w:val="18"/>
                <w:szCs w:val="18"/>
              </w:rPr>
            </w:pPr>
            <w:r w:rsidRPr="00DB6EC8">
              <w:rPr>
                <w:rFonts w:asciiTheme="minorHAnsi" w:hAnsiTheme="minorHAnsi"/>
                <w:sz w:val="18"/>
                <w:szCs w:val="18"/>
              </w:rPr>
              <w:t>10.6</w:t>
            </w:r>
          </w:p>
        </w:tc>
        <w:tc>
          <w:tcPr>
            <w:tcW w:w="983" w:type="dxa"/>
            <w:shd w:val="clear" w:color="auto" w:fill="CCEAF9" w:themeFill="accent1" w:themeFillTint="33"/>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color w:val="000000"/>
                <w:sz w:val="18"/>
                <w:szCs w:val="18"/>
              </w:rPr>
            </w:pPr>
            <w:r w:rsidRPr="00DB6EC8">
              <w:rPr>
                <w:rFonts w:asciiTheme="minorHAnsi" w:hAnsiTheme="minorHAnsi"/>
                <w:sz w:val="18"/>
                <w:szCs w:val="18"/>
              </w:rPr>
              <w:t>21.3</w:t>
            </w:r>
          </w:p>
        </w:tc>
      </w:tr>
      <w:tr w:rsidR="00DB6EC8" w:rsidRPr="00DB6EC8" w:rsidTr="007A79E9">
        <w:trPr>
          <w:trHeight w:val="300"/>
          <w:jc w:val="center"/>
        </w:trPr>
        <w:tc>
          <w:tcPr>
            <w:tcW w:w="1469" w:type="dxa"/>
            <w:shd w:val="clear" w:color="auto" w:fill="auto"/>
            <w:noWrap/>
            <w:tcMar>
              <w:top w:w="0" w:type="dxa"/>
              <w:left w:w="115" w:type="dxa"/>
              <w:bottom w:w="0" w:type="dxa"/>
              <w:right w:w="115" w:type="dxa"/>
            </w:tcMar>
            <w:vAlign w:val="center"/>
            <w:hideMark/>
          </w:tcPr>
          <w:p w:rsidR="00DB6EC8" w:rsidRPr="00DB6EC8" w:rsidRDefault="00DB6EC8" w:rsidP="00DB6EC8">
            <w:pPr>
              <w:keepNext/>
              <w:keepLines/>
              <w:spacing w:after="0" w:line="240" w:lineRule="auto"/>
              <w:rPr>
                <w:rFonts w:asciiTheme="minorHAnsi" w:hAnsiTheme="minorHAnsi"/>
                <w:b/>
                <w:bCs/>
                <w:color w:val="000000"/>
                <w:sz w:val="18"/>
                <w:szCs w:val="18"/>
              </w:rPr>
            </w:pPr>
            <w:r w:rsidRPr="00DB6EC8">
              <w:rPr>
                <w:rFonts w:asciiTheme="minorHAnsi" w:hAnsiTheme="minorHAnsi"/>
                <w:b/>
                <w:sz w:val="18"/>
                <w:szCs w:val="18"/>
              </w:rPr>
              <w:t>2026</w:t>
            </w:r>
          </w:p>
        </w:tc>
        <w:tc>
          <w:tcPr>
            <w:tcW w:w="980" w:type="dxa"/>
            <w:gridSpan w:val="2"/>
            <w:shd w:val="clear" w:color="auto" w:fill="auto"/>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b/>
                <w:bCs/>
                <w:color w:val="000000"/>
                <w:sz w:val="18"/>
                <w:szCs w:val="18"/>
              </w:rPr>
            </w:pPr>
            <w:r w:rsidRPr="00DB6EC8">
              <w:rPr>
                <w:rFonts w:asciiTheme="minorHAnsi" w:hAnsiTheme="minorHAnsi" w:cs="Calibri"/>
                <w:color w:val="000000"/>
                <w:sz w:val="18"/>
                <w:szCs w:val="18"/>
              </w:rPr>
              <w:t>148.5</w:t>
            </w:r>
          </w:p>
        </w:tc>
        <w:tc>
          <w:tcPr>
            <w:tcW w:w="981" w:type="dxa"/>
            <w:gridSpan w:val="2"/>
            <w:shd w:val="clear" w:color="auto" w:fill="auto"/>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color w:val="000000"/>
                <w:sz w:val="18"/>
                <w:szCs w:val="18"/>
              </w:rPr>
            </w:pPr>
            <w:r w:rsidRPr="00DB6EC8">
              <w:rPr>
                <w:rFonts w:asciiTheme="minorHAnsi" w:hAnsiTheme="minorHAnsi"/>
                <w:sz w:val="18"/>
                <w:szCs w:val="18"/>
              </w:rPr>
              <w:t>38.4</w:t>
            </w:r>
          </w:p>
        </w:tc>
        <w:tc>
          <w:tcPr>
            <w:tcW w:w="982" w:type="dxa"/>
            <w:gridSpan w:val="2"/>
            <w:shd w:val="clear" w:color="auto" w:fill="auto"/>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color w:val="000000"/>
                <w:sz w:val="18"/>
                <w:szCs w:val="18"/>
              </w:rPr>
            </w:pPr>
            <w:r w:rsidRPr="00DB6EC8">
              <w:rPr>
                <w:rFonts w:asciiTheme="minorHAnsi" w:hAnsiTheme="minorHAnsi"/>
                <w:sz w:val="18"/>
                <w:szCs w:val="18"/>
              </w:rPr>
              <w:t>66.7</w:t>
            </w:r>
          </w:p>
        </w:tc>
        <w:tc>
          <w:tcPr>
            <w:tcW w:w="981" w:type="dxa"/>
            <w:shd w:val="clear" w:color="auto" w:fill="auto"/>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color w:val="000000"/>
                <w:sz w:val="18"/>
                <w:szCs w:val="18"/>
              </w:rPr>
            </w:pPr>
            <w:r w:rsidRPr="00DB6EC8">
              <w:rPr>
                <w:rFonts w:asciiTheme="minorHAnsi" w:hAnsiTheme="minorHAnsi"/>
                <w:sz w:val="18"/>
                <w:szCs w:val="18"/>
              </w:rPr>
              <w:t>5.8</w:t>
            </w:r>
          </w:p>
        </w:tc>
        <w:tc>
          <w:tcPr>
            <w:tcW w:w="982" w:type="dxa"/>
            <w:shd w:val="clear" w:color="auto" w:fill="auto"/>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color w:val="000000"/>
                <w:sz w:val="18"/>
                <w:szCs w:val="18"/>
              </w:rPr>
            </w:pPr>
            <w:r w:rsidRPr="00DB6EC8">
              <w:rPr>
                <w:rFonts w:asciiTheme="minorHAnsi" w:hAnsiTheme="minorHAnsi"/>
                <w:sz w:val="18"/>
                <w:szCs w:val="18"/>
              </w:rPr>
              <w:t>6.0</w:t>
            </w:r>
          </w:p>
        </w:tc>
        <w:tc>
          <w:tcPr>
            <w:tcW w:w="982" w:type="dxa"/>
            <w:shd w:val="clear" w:color="auto" w:fill="auto"/>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color w:val="000000"/>
                <w:sz w:val="18"/>
                <w:szCs w:val="18"/>
              </w:rPr>
            </w:pPr>
            <w:r w:rsidRPr="00DB6EC8">
              <w:rPr>
                <w:rFonts w:asciiTheme="minorHAnsi" w:hAnsiTheme="minorHAnsi"/>
                <w:sz w:val="18"/>
                <w:szCs w:val="18"/>
              </w:rPr>
              <w:t>10.4</w:t>
            </w:r>
          </w:p>
        </w:tc>
        <w:tc>
          <w:tcPr>
            <w:tcW w:w="983" w:type="dxa"/>
            <w:shd w:val="clear" w:color="auto" w:fill="auto"/>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color w:val="000000"/>
                <w:sz w:val="18"/>
                <w:szCs w:val="18"/>
              </w:rPr>
            </w:pPr>
            <w:r w:rsidRPr="00DB6EC8">
              <w:rPr>
                <w:rFonts w:asciiTheme="minorHAnsi" w:hAnsiTheme="minorHAnsi"/>
                <w:sz w:val="18"/>
                <w:szCs w:val="18"/>
              </w:rPr>
              <w:t>21.3</w:t>
            </w:r>
          </w:p>
        </w:tc>
      </w:tr>
      <w:tr w:rsidR="00DB6EC8" w:rsidRPr="00DB6EC8" w:rsidTr="007A79E9">
        <w:trPr>
          <w:trHeight w:val="300"/>
          <w:jc w:val="center"/>
        </w:trPr>
        <w:tc>
          <w:tcPr>
            <w:tcW w:w="1469" w:type="dxa"/>
            <w:shd w:val="clear" w:color="auto" w:fill="1795D2" w:themeFill="accent1"/>
            <w:noWrap/>
            <w:tcMar>
              <w:top w:w="0" w:type="dxa"/>
              <w:left w:w="108" w:type="dxa"/>
              <w:bottom w:w="0" w:type="dxa"/>
              <w:right w:w="108" w:type="dxa"/>
            </w:tcMar>
            <w:vAlign w:val="center"/>
            <w:hideMark/>
          </w:tcPr>
          <w:p w:rsidR="00DB6EC8" w:rsidRPr="00DB6EC8" w:rsidRDefault="00DB6EC8" w:rsidP="00DB6EC8">
            <w:pPr>
              <w:keepNext/>
              <w:keepLines/>
              <w:spacing w:after="0" w:line="240" w:lineRule="auto"/>
              <w:rPr>
                <w:rFonts w:asciiTheme="minorHAnsi" w:hAnsiTheme="minorHAnsi"/>
                <w:b/>
                <w:bCs/>
                <w:color w:val="FFFFFF" w:themeColor="background1"/>
                <w:sz w:val="18"/>
                <w:szCs w:val="18"/>
              </w:rPr>
            </w:pPr>
            <w:r w:rsidRPr="00DB6EC8">
              <w:rPr>
                <w:rFonts w:asciiTheme="minorHAnsi" w:hAnsiTheme="minorHAnsi"/>
                <w:b/>
                <w:bCs/>
                <w:color w:val="FFFFFF" w:themeColor="background1"/>
                <w:sz w:val="18"/>
                <w:szCs w:val="18"/>
              </w:rPr>
              <w:t>Total</w:t>
            </w:r>
          </w:p>
        </w:tc>
        <w:tc>
          <w:tcPr>
            <w:tcW w:w="980" w:type="dxa"/>
            <w:gridSpan w:val="2"/>
            <w:shd w:val="clear" w:color="auto" w:fill="1795D2" w:themeFill="accent1"/>
            <w:tcMar>
              <w:right w:w="115" w:type="dxa"/>
            </w:tcMar>
            <w:vAlign w:val="center"/>
          </w:tcPr>
          <w:p w:rsidR="00DB6EC8" w:rsidRPr="00DB6EC8" w:rsidRDefault="00DB6EC8" w:rsidP="00DB6EC8">
            <w:pPr>
              <w:keepNext/>
              <w:keepLines/>
              <w:spacing w:after="0" w:line="240" w:lineRule="auto"/>
              <w:jc w:val="right"/>
              <w:rPr>
                <w:rFonts w:asciiTheme="minorHAnsi" w:eastAsia="Times New Roman" w:hAnsiTheme="minorHAnsi" w:cs="Tahoma"/>
                <w:b/>
                <w:bCs/>
                <w:color w:val="FFFFFF" w:themeColor="background1"/>
                <w:sz w:val="18"/>
                <w:szCs w:val="18"/>
              </w:rPr>
            </w:pPr>
            <w:r w:rsidRPr="00DB6EC8">
              <w:rPr>
                <w:rFonts w:asciiTheme="minorHAnsi" w:hAnsiTheme="minorHAnsi" w:cs="Calibri"/>
                <w:b/>
                <w:color w:val="FFFFFF" w:themeColor="background1"/>
                <w:sz w:val="18"/>
                <w:szCs w:val="18"/>
              </w:rPr>
              <w:t>4,732.7</w:t>
            </w:r>
          </w:p>
        </w:tc>
        <w:tc>
          <w:tcPr>
            <w:tcW w:w="981" w:type="dxa"/>
            <w:gridSpan w:val="2"/>
            <w:shd w:val="clear" w:color="auto" w:fill="1795D2" w:themeFill="accent1"/>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b/>
                <w:bCs/>
                <w:color w:val="FFFFFF" w:themeColor="background1"/>
                <w:sz w:val="18"/>
                <w:szCs w:val="18"/>
              </w:rPr>
            </w:pPr>
            <w:r w:rsidRPr="00DB6EC8">
              <w:rPr>
                <w:rFonts w:asciiTheme="minorHAnsi" w:hAnsiTheme="minorHAnsi"/>
                <w:b/>
                <w:color w:val="FFFFFF" w:themeColor="background1"/>
                <w:sz w:val="18"/>
                <w:szCs w:val="18"/>
              </w:rPr>
              <w:t>988.2</w:t>
            </w:r>
          </w:p>
        </w:tc>
        <w:tc>
          <w:tcPr>
            <w:tcW w:w="982" w:type="dxa"/>
            <w:gridSpan w:val="2"/>
            <w:shd w:val="clear" w:color="auto" w:fill="1795D2" w:themeFill="accent1"/>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b/>
                <w:bCs/>
                <w:color w:val="FFFFFF" w:themeColor="background1"/>
                <w:sz w:val="18"/>
                <w:szCs w:val="18"/>
              </w:rPr>
            </w:pPr>
            <w:r w:rsidRPr="00DB6EC8">
              <w:rPr>
                <w:rFonts w:asciiTheme="minorHAnsi" w:hAnsiTheme="minorHAnsi"/>
                <w:b/>
                <w:color w:val="FFFFFF" w:themeColor="background1"/>
                <w:sz w:val="18"/>
                <w:szCs w:val="18"/>
              </w:rPr>
              <w:t>2,843.3</w:t>
            </w:r>
          </w:p>
        </w:tc>
        <w:tc>
          <w:tcPr>
            <w:tcW w:w="981" w:type="dxa"/>
            <w:shd w:val="clear" w:color="auto" w:fill="1795D2" w:themeFill="accent1"/>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b/>
                <w:bCs/>
                <w:color w:val="FFFFFF" w:themeColor="background1"/>
                <w:sz w:val="18"/>
                <w:szCs w:val="18"/>
              </w:rPr>
            </w:pPr>
            <w:r w:rsidRPr="00DB6EC8">
              <w:rPr>
                <w:rFonts w:asciiTheme="minorHAnsi" w:hAnsiTheme="minorHAnsi"/>
                <w:b/>
                <w:color w:val="FFFFFF" w:themeColor="background1"/>
                <w:sz w:val="18"/>
                <w:szCs w:val="18"/>
              </w:rPr>
              <w:t>83.7</w:t>
            </w:r>
          </w:p>
        </w:tc>
        <w:tc>
          <w:tcPr>
            <w:tcW w:w="982" w:type="dxa"/>
            <w:shd w:val="clear" w:color="auto" w:fill="1795D2" w:themeFill="accent1"/>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b/>
                <w:bCs/>
                <w:color w:val="FFFFFF" w:themeColor="background1"/>
                <w:sz w:val="18"/>
                <w:szCs w:val="18"/>
              </w:rPr>
            </w:pPr>
            <w:r w:rsidRPr="00DB6EC8">
              <w:rPr>
                <w:rFonts w:asciiTheme="minorHAnsi" w:hAnsiTheme="minorHAnsi"/>
                <w:b/>
                <w:color w:val="FFFFFF" w:themeColor="background1"/>
                <w:sz w:val="18"/>
                <w:szCs w:val="18"/>
              </w:rPr>
              <w:t>138.2</w:t>
            </w:r>
          </w:p>
        </w:tc>
        <w:tc>
          <w:tcPr>
            <w:tcW w:w="982" w:type="dxa"/>
            <w:shd w:val="clear" w:color="auto" w:fill="1795D2" w:themeFill="accent1"/>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b/>
                <w:bCs/>
                <w:color w:val="FFFFFF" w:themeColor="background1"/>
                <w:sz w:val="18"/>
                <w:szCs w:val="18"/>
              </w:rPr>
            </w:pPr>
            <w:r w:rsidRPr="00DB6EC8">
              <w:rPr>
                <w:rFonts w:asciiTheme="minorHAnsi" w:hAnsiTheme="minorHAnsi"/>
                <w:b/>
                <w:color w:val="FFFFFF" w:themeColor="background1"/>
                <w:sz w:val="18"/>
                <w:szCs w:val="18"/>
              </w:rPr>
              <w:t>255.9</w:t>
            </w:r>
          </w:p>
        </w:tc>
        <w:tc>
          <w:tcPr>
            <w:tcW w:w="983" w:type="dxa"/>
            <w:shd w:val="clear" w:color="auto" w:fill="1795D2" w:themeFill="accent1"/>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b/>
                <w:bCs/>
                <w:color w:val="FFFFFF" w:themeColor="background1"/>
                <w:sz w:val="18"/>
                <w:szCs w:val="18"/>
              </w:rPr>
            </w:pPr>
            <w:r w:rsidRPr="00DB6EC8">
              <w:rPr>
                <w:rFonts w:asciiTheme="minorHAnsi" w:hAnsiTheme="minorHAnsi"/>
                <w:b/>
                <w:color w:val="FFFFFF" w:themeColor="background1"/>
                <w:sz w:val="18"/>
                <w:szCs w:val="18"/>
              </w:rPr>
              <w:t>423.4</w:t>
            </w:r>
          </w:p>
        </w:tc>
      </w:tr>
    </w:tbl>
    <w:p w:rsidR="00DB6EC8" w:rsidRPr="00DB6EC8" w:rsidRDefault="00DB6EC8" w:rsidP="00C06CD9">
      <w:pPr>
        <w:spacing w:after="120" w:line="240" w:lineRule="auto"/>
        <w:rPr>
          <w:rFonts w:eastAsia="Times New Roman"/>
        </w:rPr>
      </w:pPr>
    </w:p>
    <w:p w:rsidR="00DB6EC8" w:rsidRPr="00DB6EC8" w:rsidRDefault="00DB6EC8" w:rsidP="00DB6EC8">
      <w:pPr>
        <w:spacing w:after="200" w:line="276" w:lineRule="auto"/>
      </w:pPr>
      <w:r w:rsidRPr="005815C1">
        <w:t xml:space="preserve">System planning studies, including Installed Capacity Requirement </w:t>
      </w:r>
      <w:r w:rsidR="005815C1" w:rsidRPr="005815C1">
        <w:t xml:space="preserve">(ICR) </w:t>
      </w:r>
      <w:r w:rsidRPr="005815C1">
        <w:t>calculations</w:t>
      </w:r>
      <w:r w:rsidR="005815C1">
        <w:t xml:space="preserve"> (see Section </w:t>
      </w:r>
      <w:r w:rsidR="005815C1">
        <w:fldChar w:fldCharType="begin"/>
      </w:r>
      <w:r w:rsidR="005815C1">
        <w:instrText xml:space="preserve"> REF _Ref387673339 \r \h </w:instrText>
      </w:r>
      <w:r w:rsidR="005815C1">
        <w:fldChar w:fldCharType="separate"/>
      </w:r>
      <w:r w:rsidR="00314781">
        <w:t>4.1.1</w:t>
      </w:r>
      <w:r w:rsidR="005815C1">
        <w:fldChar w:fldCharType="end"/>
      </w:r>
      <w:r w:rsidR="005815C1">
        <w:t>)</w:t>
      </w:r>
      <w:r w:rsidRPr="005815C1">
        <w:t>, consider behind-</w:t>
      </w:r>
      <w:r w:rsidRPr="00DB6EC8">
        <w:t xml:space="preserve">the-meter PV as part of the demand forecast. BTM PV facilities do not participate in the ISO markets and are not registered in CAMS. For this reason, the ISO has an incomplete set of information on these resource characteristics, including their energy production data. Figure 3-2 illustrates the classification of the 2017 PV forecast into FCM, non-FCM </w:t>
      </w:r>
      <w:r w:rsidR="004D34D9">
        <w:t>energy-only resources,</w:t>
      </w:r>
      <w:r w:rsidRPr="00DB6EC8">
        <w:t xml:space="preserve"> and BTM </w:t>
      </w:r>
      <w:r w:rsidRPr="00711D32">
        <w:t>PV.</w:t>
      </w:r>
      <w:r w:rsidR="00083AAC" w:rsidRPr="00711D32">
        <w:t xml:space="preserve"> </w:t>
      </w:r>
      <w:r w:rsidR="00D95957" w:rsidRPr="00711D32">
        <w:fldChar w:fldCharType="begin"/>
      </w:r>
      <w:r w:rsidR="00D95957" w:rsidRPr="00711D32">
        <w:instrText xml:space="preserve"> REF _Ref491176226 \h  \* MERGEFORMAT </w:instrText>
      </w:r>
      <w:r w:rsidR="00D95957" w:rsidRPr="00711D32">
        <w:fldChar w:fldCharType="separate"/>
      </w:r>
      <w:r w:rsidR="00D95957" w:rsidRPr="00711D32">
        <w:t xml:space="preserve">Table </w:t>
      </w:r>
      <w:r w:rsidR="00D95957" w:rsidRPr="00711D32">
        <w:rPr>
          <w:noProof/>
        </w:rPr>
        <w:t>3</w:t>
      </w:r>
      <w:r w:rsidR="00D95957" w:rsidRPr="00711D32">
        <w:noBreakHyphen/>
      </w:r>
      <w:r w:rsidR="00D95957" w:rsidRPr="00711D32">
        <w:rPr>
          <w:noProof/>
        </w:rPr>
        <w:t>4</w:t>
      </w:r>
      <w:r w:rsidR="00D95957" w:rsidRPr="00711D32">
        <w:fldChar w:fldCharType="end"/>
      </w:r>
      <w:r w:rsidR="00D95957" w:rsidRPr="00711D32">
        <w:t xml:space="preserve"> shows </w:t>
      </w:r>
      <w:r w:rsidR="00083AAC" w:rsidRPr="00711D32">
        <w:t>the data for this figure.</w:t>
      </w:r>
    </w:p>
    <w:p w:rsidR="00083AAC" w:rsidRPr="00DB6EC8" w:rsidRDefault="00083AAC" w:rsidP="00C06CD9">
      <w:pPr>
        <w:keepNext/>
        <w:keepLines/>
        <w:tabs>
          <w:tab w:val="num" w:pos="1440"/>
          <w:tab w:val="num" w:pos="2160"/>
        </w:tabs>
        <w:autoSpaceDE w:val="0"/>
        <w:autoSpaceDN w:val="0"/>
        <w:adjustRightInd w:val="0"/>
        <w:spacing w:after="0" w:line="240" w:lineRule="auto"/>
        <w:jc w:val="center"/>
      </w:pPr>
      <w:bookmarkStart w:id="206" w:name="_Toc396807618"/>
      <w:r w:rsidRPr="00083AAC">
        <w:rPr>
          <w:noProof/>
        </w:rPr>
        <w:drawing>
          <wp:inline distT="0" distB="0" distL="0" distR="0" wp14:anchorId="47579028" wp14:editId="05421DE2">
            <wp:extent cx="5467552" cy="2935111"/>
            <wp:effectExtent l="19050" t="19050" r="19050" b="1778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66854" cy="2934736"/>
                    </a:xfrm>
                    <a:prstGeom prst="rect">
                      <a:avLst/>
                    </a:prstGeom>
                    <a:noFill/>
                    <a:ln w="3175">
                      <a:solidFill>
                        <a:srgbClr val="000000"/>
                      </a:solidFill>
                    </a:ln>
                  </pic:spPr>
                </pic:pic>
              </a:graphicData>
            </a:graphic>
          </wp:inline>
        </w:drawing>
      </w:r>
    </w:p>
    <w:p w:rsidR="00C06CD9" w:rsidRDefault="00DB6EC8" w:rsidP="00C06CD9">
      <w:pPr>
        <w:pStyle w:val="CommentText"/>
        <w:keepNext/>
        <w:keepLines/>
        <w:spacing w:before="120" w:after="80"/>
        <w:ind w:left="180" w:right="180"/>
        <w:rPr>
          <w:rFonts w:ascii="Calibri" w:hAnsi="Calibri"/>
          <w:b/>
          <w:bCs/>
          <w:szCs w:val="18"/>
        </w:rPr>
      </w:pPr>
      <w:bookmarkStart w:id="207" w:name="_Ref417898643"/>
      <w:bookmarkStart w:id="208" w:name="_Toc484957693"/>
      <w:bookmarkStart w:id="209" w:name="_Toc486233200"/>
      <w:r w:rsidRPr="00D95957">
        <w:rPr>
          <w:rFonts w:ascii="Calibri" w:hAnsi="Calibri"/>
          <w:b/>
          <w:bCs/>
          <w:szCs w:val="18"/>
        </w:rPr>
        <w:t xml:space="preserve">Figure </w:t>
      </w:r>
      <w:r w:rsidRPr="00D95957">
        <w:rPr>
          <w:rFonts w:ascii="Calibri" w:hAnsi="Calibri"/>
          <w:b/>
          <w:bCs/>
          <w:szCs w:val="18"/>
        </w:rPr>
        <w:fldChar w:fldCharType="begin"/>
      </w:r>
      <w:r w:rsidRPr="00D95957">
        <w:rPr>
          <w:rFonts w:ascii="Calibri" w:hAnsi="Calibri"/>
          <w:b/>
          <w:bCs/>
          <w:szCs w:val="18"/>
        </w:rPr>
        <w:instrText xml:space="preserve"> STYLEREF 1 \s </w:instrText>
      </w:r>
      <w:r w:rsidRPr="00D95957">
        <w:rPr>
          <w:rFonts w:ascii="Calibri" w:hAnsi="Calibri"/>
          <w:b/>
          <w:bCs/>
          <w:szCs w:val="18"/>
        </w:rPr>
        <w:fldChar w:fldCharType="separate"/>
      </w:r>
      <w:r w:rsidR="00314781" w:rsidRPr="00D95957">
        <w:rPr>
          <w:rFonts w:ascii="Calibri" w:hAnsi="Calibri"/>
          <w:b/>
          <w:bCs/>
          <w:noProof/>
          <w:szCs w:val="18"/>
        </w:rPr>
        <w:t>3</w:t>
      </w:r>
      <w:r w:rsidRPr="00D95957">
        <w:rPr>
          <w:rFonts w:ascii="Calibri" w:hAnsi="Calibri"/>
          <w:b/>
          <w:bCs/>
          <w:szCs w:val="18"/>
        </w:rPr>
        <w:fldChar w:fldCharType="end"/>
      </w:r>
      <w:r w:rsidRPr="00D95957">
        <w:rPr>
          <w:rFonts w:ascii="Calibri" w:hAnsi="Calibri"/>
          <w:b/>
          <w:bCs/>
          <w:szCs w:val="18"/>
        </w:rPr>
        <w:noBreakHyphen/>
      </w:r>
      <w:r w:rsidRPr="00D95957">
        <w:rPr>
          <w:rFonts w:ascii="Calibri" w:hAnsi="Calibri"/>
          <w:b/>
          <w:bCs/>
          <w:szCs w:val="18"/>
        </w:rPr>
        <w:fldChar w:fldCharType="begin"/>
      </w:r>
      <w:r w:rsidRPr="00D95957">
        <w:rPr>
          <w:rFonts w:ascii="Calibri" w:hAnsi="Calibri"/>
          <w:b/>
          <w:bCs/>
          <w:szCs w:val="18"/>
        </w:rPr>
        <w:instrText xml:space="preserve"> SEQ Figure \* ARABIC \s 1 </w:instrText>
      </w:r>
      <w:r w:rsidRPr="00D95957">
        <w:rPr>
          <w:rFonts w:ascii="Calibri" w:hAnsi="Calibri"/>
          <w:b/>
          <w:bCs/>
          <w:szCs w:val="18"/>
        </w:rPr>
        <w:fldChar w:fldCharType="separate"/>
      </w:r>
      <w:r w:rsidR="00314781" w:rsidRPr="00D95957">
        <w:rPr>
          <w:rFonts w:ascii="Calibri" w:hAnsi="Calibri"/>
          <w:b/>
          <w:bCs/>
          <w:noProof/>
          <w:szCs w:val="18"/>
        </w:rPr>
        <w:t>2</w:t>
      </w:r>
      <w:r w:rsidRPr="00D95957">
        <w:rPr>
          <w:rFonts w:ascii="Calibri" w:hAnsi="Calibri"/>
          <w:b/>
          <w:bCs/>
          <w:szCs w:val="18"/>
        </w:rPr>
        <w:fldChar w:fldCharType="end"/>
      </w:r>
      <w:bookmarkEnd w:id="207"/>
      <w:r w:rsidRPr="00D95957">
        <w:rPr>
          <w:rFonts w:ascii="Calibri" w:hAnsi="Calibri"/>
          <w:b/>
          <w:bCs/>
          <w:szCs w:val="18"/>
        </w:rPr>
        <w:t>: Cumulative New England PV forecast for each classification of PV, 2017 to 2026 (MW).</w:t>
      </w:r>
      <w:bookmarkEnd w:id="208"/>
      <w:bookmarkEnd w:id="209"/>
    </w:p>
    <w:p w:rsidR="00D95957" w:rsidRDefault="00DB6EC8" w:rsidP="00C06CD9">
      <w:pPr>
        <w:pStyle w:val="CommentText"/>
        <w:ind w:left="180" w:right="180"/>
        <w:rPr>
          <w:rFonts w:ascii="Calibri" w:hAnsi="Calibri" w:cs="Arial"/>
          <w:sz w:val="16"/>
          <w:szCs w:val="16"/>
        </w:rPr>
      </w:pPr>
      <w:r w:rsidRPr="00DB6EC8">
        <w:rPr>
          <w:rFonts w:ascii="Calibri" w:hAnsi="Calibri" w:cs="Arial"/>
          <w:b/>
          <w:sz w:val="16"/>
          <w:szCs w:val="16"/>
        </w:rPr>
        <w:t>Notes:</w:t>
      </w:r>
      <w:r w:rsidRPr="00DB6EC8">
        <w:rPr>
          <w:rFonts w:ascii="Calibri" w:hAnsi="Calibri" w:cs="Arial"/>
          <w:sz w:val="16"/>
          <w:szCs w:val="16"/>
        </w:rPr>
        <w:t xml:space="preserve"> The FCM category reflects the PV nameplate of all or portions of the FCM-qualified resources. The FCM value is held constant </w:t>
      </w:r>
      <w:r w:rsidRPr="00AB066D">
        <w:rPr>
          <w:rFonts w:ascii="Calibri" w:hAnsi="Calibri" w:cs="Arial"/>
          <w:sz w:val="16"/>
          <w:szCs w:val="16"/>
        </w:rPr>
        <w:t xml:space="preserve">for years beyond FCA #11 (see </w:t>
      </w:r>
      <w:r w:rsidRPr="00F87553">
        <w:rPr>
          <w:rFonts w:ascii="Calibri" w:hAnsi="Calibri" w:cs="Arial"/>
          <w:sz w:val="16"/>
          <w:szCs w:val="16"/>
        </w:rPr>
        <w:t xml:space="preserve">Section </w:t>
      </w:r>
      <w:r w:rsidR="00F87553" w:rsidRPr="00F87553">
        <w:rPr>
          <w:rFonts w:ascii="Calibri" w:hAnsi="Calibri" w:cs="Arial"/>
          <w:sz w:val="16"/>
          <w:szCs w:val="16"/>
        </w:rPr>
        <w:fldChar w:fldCharType="begin"/>
      </w:r>
      <w:r w:rsidR="00F87553" w:rsidRPr="00F87553">
        <w:rPr>
          <w:rFonts w:ascii="Calibri" w:hAnsi="Calibri" w:cs="Arial"/>
          <w:sz w:val="16"/>
          <w:szCs w:val="16"/>
        </w:rPr>
        <w:instrText xml:space="preserve"> REF _Ref491174411 \r \h </w:instrText>
      </w:r>
      <w:r w:rsidR="00F87553">
        <w:rPr>
          <w:rFonts w:ascii="Calibri" w:hAnsi="Calibri" w:cs="Arial"/>
          <w:sz w:val="16"/>
          <w:szCs w:val="16"/>
        </w:rPr>
        <w:instrText xml:space="preserve"> \* MERGEFORMAT </w:instrText>
      </w:r>
      <w:r w:rsidR="00F87553" w:rsidRPr="00F87553">
        <w:rPr>
          <w:rFonts w:ascii="Calibri" w:hAnsi="Calibri" w:cs="Arial"/>
          <w:sz w:val="16"/>
          <w:szCs w:val="16"/>
        </w:rPr>
      </w:r>
      <w:r w:rsidR="00F87553" w:rsidRPr="00F87553">
        <w:rPr>
          <w:rFonts w:ascii="Calibri" w:hAnsi="Calibri" w:cs="Arial"/>
          <w:sz w:val="16"/>
          <w:szCs w:val="16"/>
        </w:rPr>
        <w:fldChar w:fldCharType="separate"/>
      </w:r>
      <w:r w:rsidR="00F87553" w:rsidRPr="00F87553">
        <w:rPr>
          <w:rFonts w:ascii="Calibri" w:hAnsi="Calibri" w:cs="Arial"/>
          <w:sz w:val="16"/>
          <w:szCs w:val="16"/>
        </w:rPr>
        <w:t>4.1.3</w:t>
      </w:r>
      <w:r w:rsidR="00F87553" w:rsidRPr="00F87553">
        <w:rPr>
          <w:rFonts w:ascii="Calibri" w:hAnsi="Calibri" w:cs="Arial"/>
          <w:sz w:val="16"/>
          <w:szCs w:val="16"/>
        </w:rPr>
        <w:fldChar w:fldCharType="end"/>
      </w:r>
      <w:r w:rsidRPr="00F87553">
        <w:rPr>
          <w:rFonts w:ascii="Calibri" w:hAnsi="Calibri" w:cs="Arial"/>
          <w:sz w:val="16"/>
          <w:szCs w:val="16"/>
        </w:rPr>
        <w:t>). The</w:t>
      </w:r>
      <w:r w:rsidRPr="00AB066D">
        <w:rPr>
          <w:rFonts w:ascii="Calibri" w:hAnsi="Calibri" w:cs="Arial"/>
          <w:sz w:val="16"/>
          <w:szCs w:val="16"/>
        </w:rPr>
        <w:t xml:space="preserve"> net load forecast reflects reductions of BTM PV.</w:t>
      </w:r>
    </w:p>
    <w:p w:rsidR="00083AAC" w:rsidRDefault="00083AAC" w:rsidP="00C06CD9">
      <w:pPr>
        <w:pStyle w:val="Caption"/>
        <w:keepNext/>
        <w:keepLines/>
      </w:pPr>
      <w:bookmarkStart w:id="210" w:name="_Ref491176226"/>
      <w:bookmarkStart w:id="211" w:name="_Toc491244000"/>
      <w:r>
        <w:lastRenderedPageBreak/>
        <w:t xml:space="preserve">Table </w:t>
      </w:r>
      <w:r w:rsidR="00CC063D">
        <w:fldChar w:fldCharType="begin"/>
      </w:r>
      <w:r w:rsidR="00CC063D">
        <w:instrText xml:space="preserve"> STYLEREF 1 \s </w:instrText>
      </w:r>
      <w:r w:rsidR="00CC063D">
        <w:fldChar w:fldCharType="separate"/>
      </w:r>
      <w:r w:rsidR="00D95957">
        <w:rPr>
          <w:noProof/>
        </w:rPr>
        <w:t>3</w:t>
      </w:r>
      <w:r w:rsidR="00CC063D">
        <w:rPr>
          <w:noProof/>
        </w:rPr>
        <w:fldChar w:fldCharType="end"/>
      </w:r>
      <w:r w:rsidR="00D95957">
        <w:noBreakHyphen/>
      </w:r>
      <w:r w:rsidR="00CC063D">
        <w:fldChar w:fldCharType="begin"/>
      </w:r>
      <w:r w:rsidR="00CC063D">
        <w:instrText xml:space="preserve"> SEQ Table \* ARABIC \s 1 </w:instrText>
      </w:r>
      <w:r w:rsidR="00CC063D">
        <w:fldChar w:fldCharType="separate"/>
      </w:r>
      <w:r w:rsidR="00D95957">
        <w:rPr>
          <w:noProof/>
        </w:rPr>
        <w:t>4</w:t>
      </w:r>
      <w:r w:rsidR="00CC063D">
        <w:rPr>
          <w:noProof/>
        </w:rPr>
        <w:fldChar w:fldCharType="end"/>
      </w:r>
      <w:bookmarkEnd w:id="210"/>
      <w:r>
        <w:br/>
      </w:r>
      <w:r w:rsidRPr="00711D32">
        <w:t>Cumulative New England PV Forecast for Each Classification of PV, 2017 to 2026 (MW)</w:t>
      </w:r>
      <w:bookmarkEnd w:id="211"/>
    </w:p>
    <w:tbl>
      <w:tblPr>
        <w:tblStyle w:val="TableGrid"/>
        <w:tblW w:w="0" w:type="auto"/>
        <w:jc w:val="center"/>
        <w:tblLook w:val="04A0" w:firstRow="1" w:lastRow="0" w:firstColumn="1" w:lastColumn="0" w:noHBand="0" w:noVBand="1"/>
      </w:tblPr>
      <w:tblGrid>
        <w:gridCol w:w="890"/>
        <w:gridCol w:w="737"/>
        <w:gridCol w:w="737"/>
        <w:gridCol w:w="737"/>
        <w:gridCol w:w="738"/>
        <w:gridCol w:w="737"/>
        <w:gridCol w:w="737"/>
        <w:gridCol w:w="737"/>
        <w:gridCol w:w="738"/>
        <w:gridCol w:w="737"/>
        <w:gridCol w:w="737"/>
        <w:gridCol w:w="738"/>
      </w:tblGrid>
      <w:tr w:rsidR="00374DE7" w:rsidRPr="00747D01" w:rsidTr="00747D01">
        <w:trPr>
          <w:jc w:val="center"/>
        </w:trPr>
        <w:tc>
          <w:tcPr>
            <w:tcW w:w="890" w:type="dxa"/>
            <w:shd w:val="clear" w:color="auto" w:fill="1795D2" w:themeFill="accent1"/>
            <w:tcMar>
              <w:left w:w="58" w:type="dxa"/>
              <w:right w:w="58" w:type="dxa"/>
            </w:tcMar>
            <w:vAlign w:val="center"/>
          </w:tcPr>
          <w:p w:rsidR="00A65C5B" w:rsidRPr="00747D01" w:rsidRDefault="00374DE7" w:rsidP="00C06CD9">
            <w:pPr>
              <w:pStyle w:val="CommentText"/>
              <w:keepNext/>
              <w:keepLines/>
              <w:spacing w:before="40" w:after="40"/>
              <w:jc w:val="center"/>
              <w:rPr>
                <w:rFonts w:asciiTheme="minorHAnsi" w:hAnsiTheme="minorHAnsi"/>
                <w:b/>
                <w:color w:val="FFFFFF" w:themeColor="background1"/>
                <w:sz w:val="18"/>
                <w:szCs w:val="18"/>
              </w:rPr>
            </w:pPr>
            <w:r w:rsidRPr="00747D01">
              <w:rPr>
                <w:rFonts w:asciiTheme="minorHAnsi" w:hAnsiTheme="minorHAnsi"/>
                <w:b/>
                <w:color w:val="FFFFFF" w:themeColor="background1"/>
                <w:sz w:val="18"/>
                <w:szCs w:val="18"/>
              </w:rPr>
              <w:t>PV Category</w:t>
            </w:r>
          </w:p>
        </w:tc>
        <w:tc>
          <w:tcPr>
            <w:tcW w:w="737" w:type="dxa"/>
            <w:shd w:val="clear" w:color="auto" w:fill="1795D2" w:themeFill="accent1"/>
            <w:tcMar>
              <w:left w:w="58" w:type="dxa"/>
              <w:right w:w="58" w:type="dxa"/>
            </w:tcMar>
            <w:vAlign w:val="center"/>
          </w:tcPr>
          <w:p w:rsidR="00A65C5B" w:rsidRPr="00747D01" w:rsidRDefault="00A65C5B" w:rsidP="00C06CD9">
            <w:pPr>
              <w:pStyle w:val="CommentText"/>
              <w:keepNext/>
              <w:keepLines/>
              <w:spacing w:before="40" w:after="40"/>
              <w:jc w:val="center"/>
              <w:rPr>
                <w:rFonts w:asciiTheme="minorHAnsi" w:hAnsiTheme="minorHAnsi"/>
                <w:b/>
                <w:color w:val="FFFFFF" w:themeColor="background1"/>
                <w:sz w:val="18"/>
                <w:szCs w:val="18"/>
              </w:rPr>
            </w:pPr>
            <w:r w:rsidRPr="00747D01">
              <w:rPr>
                <w:rFonts w:asciiTheme="minorHAnsi" w:hAnsiTheme="minorHAnsi"/>
                <w:b/>
                <w:color w:val="FFFFFF" w:themeColor="background1"/>
                <w:sz w:val="18"/>
                <w:szCs w:val="18"/>
              </w:rPr>
              <w:t>2016</w:t>
            </w:r>
          </w:p>
        </w:tc>
        <w:tc>
          <w:tcPr>
            <w:tcW w:w="737" w:type="dxa"/>
            <w:shd w:val="clear" w:color="auto" w:fill="1795D2" w:themeFill="accent1"/>
            <w:tcMar>
              <w:left w:w="58" w:type="dxa"/>
              <w:right w:w="58" w:type="dxa"/>
            </w:tcMar>
            <w:vAlign w:val="center"/>
          </w:tcPr>
          <w:p w:rsidR="00A65C5B" w:rsidRPr="00747D01" w:rsidRDefault="00374DE7" w:rsidP="00C06CD9">
            <w:pPr>
              <w:pStyle w:val="CommentText"/>
              <w:keepNext/>
              <w:keepLines/>
              <w:spacing w:before="40" w:after="40"/>
              <w:jc w:val="center"/>
              <w:rPr>
                <w:rFonts w:asciiTheme="minorHAnsi" w:hAnsiTheme="minorHAnsi"/>
                <w:b/>
                <w:color w:val="FFFFFF" w:themeColor="background1"/>
                <w:sz w:val="18"/>
                <w:szCs w:val="18"/>
              </w:rPr>
            </w:pPr>
            <w:r w:rsidRPr="00747D01">
              <w:rPr>
                <w:rFonts w:asciiTheme="minorHAnsi" w:hAnsiTheme="minorHAnsi"/>
                <w:b/>
                <w:color w:val="FFFFFF" w:themeColor="background1"/>
                <w:sz w:val="18"/>
                <w:szCs w:val="18"/>
              </w:rPr>
              <w:t>2017</w:t>
            </w:r>
          </w:p>
        </w:tc>
        <w:tc>
          <w:tcPr>
            <w:tcW w:w="737" w:type="dxa"/>
            <w:shd w:val="clear" w:color="auto" w:fill="1795D2" w:themeFill="accent1"/>
            <w:tcMar>
              <w:left w:w="58" w:type="dxa"/>
              <w:right w:w="58" w:type="dxa"/>
            </w:tcMar>
            <w:vAlign w:val="center"/>
          </w:tcPr>
          <w:p w:rsidR="00A65C5B" w:rsidRPr="00747D01" w:rsidRDefault="00374DE7" w:rsidP="00C06CD9">
            <w:pPr>
              <w:pStyle w:val="CommentText"/>
              <w:keepNext/>
              <w:keepLines/>
              <w:spacing w:before="40" w:after="40"/>
              <w:jc w:val="center"/>
              <w:rPr>
                <w:rFonts w:asciiTheme="minorHAnsi" w:hAnsiTheme="minorHAnsi"/>
                <w:b/>
                <w:color w:val="FFFFFF" w:themeColor="background1"/>
                <w:sz w:val="18"/>
                <w:szCs w:val="18"/>
              </w:rPr>
            </w:pPr>
            <w:r w:rsidRPr="00747D01">
              <w:rPr>
                <w:rFonts w:asciiTheme="minorHAnsi" w:hAnsiTheme="minorHAnsi"/>
                <w:b/>
                <w:color w:val="FFFFFF" w:themeColor="background1"/>
                <w:sz w:val="18"/>
                <w:szCs w:val="18"/>
              </w:rPr>
              <w:t>2018</w:t>
            </w:r>
          </w:p>
        </w:tc>
        <w:tc>
          <w:tcPr>
            <w:tcW w:w="738" w:type="dxa"/>
            <w:shd w:val="clear" w:color="auto" w:fill="1795D2" w:themeFill="accent1"/>
            <w:tcMar>
              <w:left w:w="58" w:type="dxa"/>
              <w:right w:w="58" w:type="dxa"/>
            </w:tcMar>
            <w:vAlign w:val="center"/>
          </w:tcPr>
          <w:p w:rsidR="00A65C5B" w:rsidRPr="00747D01" w:rsidRDefault="00374DE7" w:rsidP="00C06CD9">
            <w:pPr>
              <w:pStyle w:val="CommentText"/>
              <w:keepNext/>
              <w:keepLines/>
              <w:spacing w:before="40" w:after="40"/>
              <w:jc w:val="center"/>
              <w:rPr>
                <w:rFonts w:asciiTheme="minorHAnsi" w:hAnsiTheme="minorHAnsi"/>
                <w:b/>
                <w:color w:val="FFFFFF" w:themeColor="background1"/>
                <w:sz w:val="18"/>
                <w:szCs w:val="18"/>
              </w:rPr>
            </w:pPr>
            <w:r w:rsidRPr="00747D01">
              <w:rPr>
                <w:rFonts w:asciiTheme="minorHAnsi" w:hAnsiTheme="minorHAnsi"/>
                <w:b/>
                <w:color w:val="FFFFFF" w:themeColor="background1"/>
                <w:sz w:val="18"/>
                <w:szCs w:val="18"/>
              </w:rPr>
              <w:t>2019</w:t>
            </w:r>
          </w:p>
        </w:tc>
        <w:tc>
          <w:tcPr>
            <w:tcW w:w="737" w:type="dxa"/>
            <w:shd w:val="clear" w:color="auto" w:fill="1795D2" w:themeFill="accent1"/>
            <w:tcMar>
              <w:left w:w="58" w:type="dxa"/>
              <w:right w:w="58" w:type="dxa"/>
            </w:tcMar>
            <w:vAlign w:val="center"/>
          </w:tcPr>
          <w:p w:rsidR="00A65C5B" w:rsidRPr="00747D01" w:rsidRDefault="00374DE7" w:rsidP="00C06CD9">
            <w:pPr>
              <w:pStyle w:val="CommentText"/>
              <w:keepNext/>
              <w:keepLines/>
              <w:spacing w:before="40" w:after="40"/>
              <w:jc w:val="center"/>
              <w:rPr>
                <w:rFonts w:asciiTheme="minorHAnsi" w:hAnsiTheme="minorHAnsi"/>
                <w:b/>
                <w:color w:val="FFFFFF" w:themeColor="background1"/>
                <w:sz w:val="18"/>
                <w:szCs w:val="18"/>
              </w:rPr>
            </w:pPr>
            <w:r w:rsidRPr="00747D01">
              <w:rPr>
                <w:rFonts w:asciiTheme="minorHAnsi" w:hAnsiTheme="minorHAnsi"/>
                <w:b/>
                <w:color w:val="FFFFFF" w:themeColor="background1"/>
                <w:sz w:val="18"/>
                <w:szCs w:val="18"/>
              </w:rPr>
              <w:t>2020</w:t>
            </w:r>
          </w:p>
        </w:tc>
        <w:tc>
          <w:tcPr>
            <w:tcW w:w="737" w:type="dxa"/>
            <w:shd w:val="clear" w:color="auto" w:fill="1795D2" w:themeFill="accent1"/>
            <w:tcMar>
              <w:left w:w="58" w:type="dxa"/>
              <w:right w:w="58" w:type="dxa"/>
            </w:tcMar>
            <w:vAlign w:val="center"/>
          </w:tcPr>
          <w:p w:rsidR="00A65C5B" w:rsidRPr="00747D01" w:rsidRDefault="00374DE7" w:rsidP="00C06CD9">
            <w:pPr>
              <w:pStyle w:val="CommentText"/>
              <w:keepNext/>
              <w:keepLines/>
              <w:spacing w:before="40" w:after="40"/>
              <w:jc w:val="center"/>
              <w:rPr>
                <w:rFonts w:asciiTheme="minorHAnsi" w:hAnsiTheme="minorHAnsi"/>
                <w:b/>
                <w:color w:val="FFFFFF" w:themeColor="background1"/>
                <w:sz w:val="18"/>
                <w:szCs w:val="18"/>
              </w:rPr>
            </w:pPr>
            <w:r w:rsidRPr="00747D01">
              <w:rPr>
                <w:rFonts w:asciiTheme="minorHAnsi" w:hAnsiTheme="minorHAnsi"/>
                <w:b/>
                <w:color w:val="FFFFFF" w:themeColor="background1"/>
                <w:sz w:val="18"/>
                <w:szCs w:val="18"/>
              </w:rPr>
              <w:t>2021</w:t>
            </w:r>
          </w:p>
        </w:tc>
        <w:tc>
          <w:tcPr>
            <w:tcW w:w="737" w:type="dxa"/>
            <w:shd w:val="clear" w:color="auto" w:fill="1795D2" w:themeFill="accent1"/>
            <w:tcMar>
              <w:left w:w="58" w:type="dxa"/>
              <w:right w:w="58" w:type="dxa"/>
            </w:tcMar>
            <w:vAlign w:val="center"/>
          </w:tcPr>
          <w:p w:rsidR="00A65C5B" w:rsidRPr="00747D01" w:rsidRDefault="00374DE7" w:rsidP="00C06CD9">
            <w:pPr>
              <w:pStyle w:val="CommentText"/>
              <w:keepNext/>
              <w:keepLines/>
              <w:spacing w:before="40" w:after="40"/>
              <w:jc w:val="center"/>
              <w:rPr>
                <w:rFonts w:asciiTheme="minorHAnsi" w:hAnsiTheme="minorHAnsi"/>
                <w:b/>
                <w:color w:val="FFFFFF" w:themeColor="background1"/>
                <w:sz w:val="18"/>
                <w:szCs w:val="18"/>
              </w:rPr>
            </w:pPr>
            <w:r w:rsidRPr="00747D01">
              <w:rPr>
                <w:rFonts w:asciiTheme="minorHAnsi" w:hAnsiTheme="minorHAnsi"/>
                <w:b/>
                <w:color w:val="FFFFFF" w:themeColor="background1"/>
                <w:sz w:val="18"/>
                <w:szCs w:val="18"/>
              </w:rPr>
              <w:t>2022</w:t>
            </w:r>
          </w:p>
        </w:tc>
        <w:tc>
          <w:tcPr>
            <w:tcW w:w="738" w:type="dxa"/>
            <w:shd w:val="clear" w:color="auto" w:fill="1795D2" w:themeFill="accent1"/>
            <w:tcMar>
              <w:left w:w="58" w:type="dxa"/>
              <w:right w:w="58" w:type="dxa"/>
            </w:tcMar>
            <w:vAlign w:val="center"/>
          </w:tcPr>
          <w:p w:rsidR="00A65C5B" w:rsidRPr="00747D01" w:rsidRDefault="00374DE7" w:rsidP="00C06CD9">
            <w:pPr>
              <w:pStyle w:val="CommentText"/>
              <w:keepNext/>
              <w:keepLines/>
              <w:spacing w:before="40" w:after="40"/>
              <w:jc w:val="center"/>
              <w:rPr>
                <w:rFonts w:asciiTheme="minorHAnsi" w:hAnsiTheme="minorHAnsi"/>
                <w:b/>
                <w:color w:val="FFFFFF" w:themeColor="background1"/>
                <w:sz w:val="18"/>
                <w:szCs w:val="18"/>
              </w:rPr>
            </w:pPr>
            <w:r w:rsidRPr="00747D01">
              <w:rPr>
                <w:rFonts w:asciiTheme="minorHAnsi" w:hAnsiTheme="minorHAnsi"/>
                <w:b/>
                <w:color w:val="FFFFFF" w:themeColor="background1"/>
                <w:sz w:val="18"/>
                <w:szCs w:val="18"/>
              </w:rPr>
              <w:t>2023</w:t>
            </w:r>
          </w:p>
        </w:tc>
        <w:tc>
          <w:tcPr>
            <w:tcW w:w="737" w:type="dxa"/>
            <w:shd w:val="clear" w:color="auto" w:fill="1795D2" w:themeFill="accent1"/>
            <w:tcMar>
              <w:left w:w="58" w:type="dxa"/>
              <w:right w:w="58" w:type="dxa"/>
            </w:tcMar>
            <w:vAlign w:val="center"/>
          </w:tcPr>
          <w:p w:rsidR="00A65C5B" w:rsidRPr="00747D01" w:rsidRDefault="00374DE7" w:rsidP="00C06CD9">
            <w:pPr>
              <w:pStyle w:val="CommentText"/>
              <w:keepNext/>
              <w:keepLines/>
              <w:spacing w:before="40" w:after="40"/>
              <w:jc w:val="center"/>
              <w:rPr>
                <w:rFonts w:asciiTheme="minorHAnsi" w:hAnsiTheme="minorHAnsi"/>
                <w:b/>
                <w:color w:val="FFFFFF" w:themeColor="background1"/>
                <w:sz w:val="18"/>
                <w:szCs w:val="18"/>
              </w:rPr>
            </w:pPr>
            <w:r w:rsidRPr="00747D01">
              <w:rPr>
                <w:rFonts w:asciiTheme="minorHAnsi" w:hAnsiTheme="minorHAnsi"/>
                <w:b/>
                <w:color w:val="FFFFFF" w:themeColor="background1"/>
                <w:sz w:val="18"/>
                <w:szCs w:val="18"/>
              </w:rPr>
              <w:t>2024</w:t>
            </w:r>
          </w:p>
        </w:tc>
        <w:tc>
          <w:tcPr>
            <w:tcW w:w="737" w:type="dxa"/>
            <w:shd w:val="clear" w:color="auto" w:fill="1795D2" w:themeFill="accent1"/>
            <w:tcMar>
              <w:left w:w="58" w:type="dxa"/>
              <w:right w:w="58" w:type="dxa"/>
            </w:tcMar>
            <w:vAlign w:val="center"/>
          </w:tcPr>
          <w:p w:rsidR="00A65C5B" w:rsidRPr="00747D01" w:rsidRDefault="00374DE7" w:rsidP="00C06CD9">
            <w:pPr>
              <w:pStyle w:val="CommentText"/>
              <w:keepNext/>
              <w:keepLines/>
              <w:spacing w:before="40" w:after="40"/>
              <w:jc w:val="center"/>
              <w:rPr>
                <w:rFonts w:asciiTheme="minorHAnsi" w:hAnsiTheme="minorHAnsi"/>
                <w:b/>
                <w:color w:val="FFFFFF" w:themeColor="background1"/>
                <w:sz w:val="18"/>
                <w:szCs w:val="18"/>
              </w:rPr>
            </w:pPr>
            <w:r w:rsidRPr="00747D01">
              <w:rPr>
                <w:rFonts w:asciiTheme="minorHAnsi" w:hAnsiTheme="minorHAnsi"/>
                <w:b/>
                <w:color w:val="FFFFFF" w:themeColor="background1"/>
                <w:sz w:val="18"/>
                <w:szCs w:val="18"/>
              </w:rPr>
              <w:t>2025</w:t>
            </w:r>
          </w:p>
        </w:tc>
        <w:tc>
          <w:tcPr>
            <w:tcW w:w="738" w:type="dxa"/>
            <w:shd w:val="clear" w:color="auto" w:fill="1795D2" w:themeFill="accent1"/>
            <w:tcMar>
              <w:left w:w="58" w:type="dxa"/>
              <w:right w:w="58" w:type="dxa"/>
            </w:tcMar>
            <w:vAlign w:val="center"/>
          </w:tcPr>
          <w:p w:rsidR="00A65C5B" w:rsidRPr="00747D01" w:rsidRDefault="00A65C5B" w:rsidP="00C06CD9">
            <w:pPr>
              <w:pStyle w:val="CommentText"/>
              <w:keepNext/>
              <w:keepLines/>
              <w:spacing w:before="40" w:after="40"/>
              <w:jc w:val="center"/>
              <w:rPr>
                <w:rFonts w:asciiTheme="minorHAnsi" w:hAnsiTheme="minorHAnsi"/>
                <w:b/>
                <w:color w:val="FFFFFF" w:themeColor="background1"/>
                <w:sz w:val="18"/>
                <w:szCs w:val="18"/>
              </w:rPr>
            </w:pPr>
            <w:r w:rsidRPr="00747D01">
              <w:rPr>
                <w:rFonts w:asciiTheme="minorHAnsi" w:hAnsiTheme="minorHAnsi"/>
                <w:b/>
                <w:color w:val="FFFFFF" w:themeColor="background1"/>
                <w:sz w:val="18"/>
                <w:szCs w:val="18"/>
              </w:rPr>
              <w:t>2026</w:t>
            </w:r>
          </w:p>
        </w:tc>
      </w:tr>
      <w:tr w:rsidR="00374DE7" w:rsidRPr="00747D01" w:rsidTr="00747D01">
        <w:trPr>
          <w:jc w:val="center"/>
        </w:trPr>
        <w:tc>
          <w:tcPr>
            <w:tcW w:w="890" w:type="dxa"/>
            <w:tcMar>
              <w:left w:w="58" w:type="dxa"/>
              <w:right w:w="58" w:type="dxa"/>
            </w:tcMar>
            <w:vAlign w:val="center"/>
          </w:tcPr>
          <w:p w:rsidR="00907F9C" w:rsidRPr="00747D01" w:rsidRDefault="00907F9C" w:rsidP="00747D01">
            <w:pPr>
              <w:pStyle w:val="CommentText"/>
              <w:spacing w:before="40" w:after="40"/>
              <w:rPr>
                <w:rFonts w:asciiTheme="minorHAnsi" w:hAnsiTheme="minorHAnsi"/>
                <w:sz w:val="18"/>
                <w:szCs w:val="18"/>
              </w:rPr>
            </w:pPr>
            <w:r w:rsidRPr="00747D01">
              <w:rPr>
                <w:rFonts w:asciiTheme="minorHAnsi" w:hAnsiTheme="minorHAnsi"/>
                <w:b/>
                <w:sz w:val="18"/>
                <w:szCs w:val="18"/>
              </w:rPr>
              <w:t>FCM PV</w:t>
            </w:r>
          </w:p>
        </w:tc>
        <w:tc>
          <w:tcPr>
            <w:tcW w:w="737" w:type="dxa"/>
            <w:tcMar>
              <w:left w:w="58" w:type="dxa"/>
              <w:right w:w="58" w:type="dxa"/>
            </w:tcMar>
            <w:vAlign w:val="center"/>
          </w:tcPr>
          <w:p w:rsidR="00907F9C" w:rsidRPr="00747D01" w:rsidRDefault="00907F9C" w:rsidP="00747D01">
            <w:pPr>
              <w:pStyle w:val="CommentText"/>
              <w:spacing w:before="40" w:after="40"/>
              <w:jc w:val="right"/>
              <w:rPr>
                <w:rFonts w:asciiTheme="minorHAnsi" w:hAnsiTheme="minorHAnsi"/>
                <w:sz w:val="18"/>
                <w:szCs w:val="18"/>
              </w:rPr>
            </w:pPr>
            <w:r w:rsidRPr="00747D01">
              <w:rPr>
                <w:rFonts w:asciiTheme="minorHAnsi" w:hAnsiTheme="minorHAnsi" w:cs="Arial"/>
                <w:sz w:val="18"/>
                <w:szCs w:val="18"/>
              </w:rPr>
              <w:t>27.4</w:t>
            </w:r>
          </w:p>
        </w:tc>
        <w:tc>
          <w:tcPr>
            <w:tcW w:w="737" w:type="dxa"/>
            <w:tcMar>
              <w:left w:w="58" w:type="dxa"/>
              <w:right w:w="58" w:type="dxa"/>
            </w:tcMar>
            <w:vAlign w:val="center"/>
          </w:tcPr>
          <w:p w:rsidR="00907F9C" w:rsidRPr="00747D01" w:rsidRDefault="00907F9C" w:rsidP="00747D01">
            <w:pPr>
              <w:pStyle w:val="CommentText"/>
              <w:spacing w:before="40" w:after="40"/>
              <w:jc w:val="right"/>
              <w:rPr>
                <w:rFonts w:asciiTheme="minorHAnsi" w:hAnsiTheme="minorHAnsi"/>
                <w:sz w:val="18"/>
                <w:szCs w:val="18"/>
              </w:rPr>
            </w:pPr>
            <w:r w:rsidRPr="00747D01">
              <w:rPr>
                <w:rFonts w:asciiTheme="minorHAnsi" w:hAnsiTheme="minorHAnsi" w:cs="Arial"/>
                <w:sz w:val="18"/>
                <w:szCs w:val="18"/>
              </w:rPr>
              <w:t>27.4</w:t>
            </w:r>
          </w:p>
        </w:tc>
        <w:tc>
          <w:tcPr>
            <w:tcW w:w="737" w:type="dxa"/>
            <w:tcMar>
              <w:left w:w="58" w:type="dxa"/>
              <w:right w:w="58" w:type="dxa"/>
            </w:tcMar>
            <w:vAlign w:val="center"/>
          </w:tcPr>
          <w:p w:rsidR="00907F9C" w:rsidRPr="00747D01" w:rsidRDefault="00907F9C" w:rsidP="00747D01">
            <w:pPr>
              <w:pStyle w:val="CommentText"/>
              <w:spacing w:before="40" w:after="40"/>
              <w:jc w:val="right"/>
              <w:rPr>
                <w:rFonts w:asciiTheme="minorHAnsi" w:hAnsiTheme="minorHAnsi"/>
                <w:sz w:val="18"/>
                <w:szCs w:val="18"/>
              </w:rPr>
            </w:pPr>
            <w:r w:rsidRPr="00747D01">
              <w:rPr>
                <w:rFonts w:asciiTheme="minorHAnsi" w:hAnsiTheme="minorHAnsi" w:cs="Arial"/>
                <w:sz w:val="18"/>
                <w:szCs w:val="18"/>
              </w:rPr>
              <w:t>64.4</w:t>
            </w:r>
          </w:p>
        </w:tc>
        <w:tc>
          <w:tcPr>
            <w:tcW w:w="738" w:type="dxa"/>
            <w:tcMar>
              <w:left w:w="58" w:type="dxa"/>
              <w:right w:w="58" w:type="dxa"/>
            </w:tcMar>
            <w:vAlign w:val="center"/>
          </w:tcPr>
          <w:p w:rsidR="00907F9C" w:rsidRPr="00747D01" w:rsidRDefault="00907F9C" w:rsidP="00747D01">
            <w:pPr>
              <w:pStyle w:val="CommentText"/>
              <w:spacing w:before="40" w:after="40"/>
              <w:jc w:val="right"/>
              <w:rPr>
                <w:rFonts w:asciiTheme="minorHAnsi" w:hAnsiTheme="minorHAnsi"/>
                <w:sz w:val="18"/>
                <w:szCs w:val="18"/>
              </w:rPr>
            </w:pPr>
            <w:r w:rsidRPr="00747D01">
              <w:rPr>
                <w:rFonts w:asciiTheme="minorHAnsi" w:hAnsiTheme="minorHAnsi" w:cs="Arial"/>
                <w:sz w:val="18"/>
                <w:szCs w:val="18"/>
              </w:rPr>
              <w:t>149.2</w:t>
            </w:r>
          </w:p>
        </w:tc>
        <w:tc>
          <w:tcPr>
            <w:tcW w:w="737" w:type="dxa"/>
            <w:tcMar>
              <w:left w:w="58" w:type="dxa"/>
              <w:right w:w="58" w:type="dxa"/>
            </w:tcMar>
            <w:vAlign w:val="center"/>
          </w:tcPr>
          <w:p w:rsidR="00907F9C" w:rsidRPr="00747D01" w:rsidRDefault="00907F9C" w:rsidP="00747D01">
            <w:pPr>
              <w:pStyle w:val="CommentText"/>
              <w:spacing w:before="40" w:after="40"/>
              <w:jc w:val="right"/>
              <w:rPr>
                <w:rFonts w:asciiTheme="minorHAnsi" w:hAnsiTheme="minorHAnsi"/>
                <w:sz w:val="18"/>
                <w:szCs w:val="18"/>
              </w:rPr>
            </w:pPr>
            <w:r w:rsidRPr="00747D01">
              <w:rPr>
                <w:rFonts w:asciiTheme="minorHAnsi" w:hAnsiTheme="minorHAnsi" w:cs="Arial"/>
                <w:sz w:val="18"/>
                <w:szCs w:val="18"/>
              </w:rPr>
              <w:t>165.9</w:t>
            </w:r>
          </w:p>
        </w:tc>
        <w:tc>
          <w:tcPr>
            <w:tcW w:w="737" w:type="dxa"/>
            <w:tcMar>
              <w:left w:w="58" w:type="dxa"/>
              <w:right w:w="58" w:type="dxa"/>
            </w:tcMar>
            <w:vAlign w:val="center"/>
          </w:tcPr>
          <w:p w:rsidR="00907F9C" w:rsidRPr="00747D01" w:rsidRDefault="00907F9C" w:rsidP="00747D01">
            <w:pPr>
              <w:pStyle w:val="CommentText"/>
              <w:spacing w:before="40" w:after="40"/>
              <w:jc w:val="right"/>
              <w:rPr>
                <w:rFonts w:asciiTheme="minorHAnsi" w:hAnsiTheme="minorHAnsi"/>
                <w:sz w:val="18"/>
                <w:szCs w:val="18"/>
              </w:rPr>
            </w:pPr>
            <w:r w:rsidRPr="00747D01">
              <w:rPr>
                <w:rFonts w:asciiTheme="minorHAnsi" w:hAnsiTheme="minorHAnsi" w:cs="Arial"/>
                <w:sz w:val="18"/>
                <w:szCs w:val="18"/>
              </w:rPr>
              <w:t>165.9</w:t>
            </w:r>
          </w:p>
        </w:tc>
        <w:tc>
          <w:tcPr>
            <w:tcW w:w="737" w:type="dxa"/>
            <w:tcMar>
              <w:left w:w="58" w:type="dxa"/>
              <w:right w:w="58" w:type="dxa"/>
            </w:tcMar>
            <w:vAlign w:val="center"/>
          </w:tcPr>
          <w:p w:rsidR="00907F9C" w:rsidRPr="00747D01" w:rsidRDefault="00907F9C" w:rsidP="00747D01">
            <w:pPr>
              <w:pStyle w:val="CommentText"/>
              <w:spacing w:before="40" w:after="40"/>
              <w:jc w:val="right"/>
              <w:rPr>
                <w:rFonts w:asciiTheme="minorHAnsi" w:hAnsiTheme="minorHAnsi"/>
                <w:sz w:val="18"/>
                <w:szCs w:val="18"/>
              </w:rPr>
            </w:pPr>
            <w:r w:rsidRPr="00747D01">
              <w:rPr>
                <w:rFonts w:asciiTheme="minorHAnsi" w:hAnsiTheme="minorHAnsi" w:cs="Arial"/>
                <w:sz w:val="18"/>
                <w:szCs w:val="18"/>
              </w:rPr>
              <w:t>165.9</w:t>
            </w:r>
          </w:p>
        </w:tc>
        <w:tc>
          <w:tcPr>
            <w:tcW w:w="738" w:type="dxa"/>
            <w:tcMar>
              <w:left w:w="58" w:type="dxa"/>
              <w:right w:w="58" w:type="dxa"/>
            </w:tcMar>
            <w:vAlign w:val="center"/>
          </w:tcPr>
          <w:p w:rsidR="00907F9C" w:rsidRPr="00747D01" w:rsidRDefault="00907F9C" w:rsidP="00747D01">
            <w:pPr>
              <w:pStyle w:val="CommentText"/>
              <w:spacing w:before="40" w:after="40"/>
              <w:jc w:val="right"/>
              <w:rPr>
                <w:rFonts w:asciiTheme="minorHAnsi" w:hAnsiTheme="minorHAnsi"/>
                <w:sz w:val="18"/>
                <w:szCs w:val="18"/>
              </w:rPr>
            </w:pPr>
            <w:r w:rsidRPr="00747D01">
              <w:rPr>
                <w:rFonts w:asciiTheme="minorHAnsi" w:hAnsiTheme="minorHAnsi" w:cs="Arial"/>
                <w:sz w:val="18"/>
                <w:szCs w:val="18"/>
              </w:rPr>
              <w:t>165.9</w:t>
            </w:r>
          </w:p>
        </w:tc>
        <w:tc>
          <w:tcPr>
            <w:tcW w:w="737" w:type="dxa"/>
            <w:tcMar>
              <w:left w:w="58" w:type="dxa"/>
              <w:right w:w="58" w:type="dxa"/>
            </w:tcMar>
            <w:vAlign w:val="center"/>
          </w:tcPr>
          <w:p w:rsidR="00907F9C" w:rsidRPr="00747D01" w:rsidRDefault="00907F9C" w:rsidP="00747D01">
            <w:pPr>
              <w:pStyle w:val="CommentText"/>
              <w:spacing w:before="40" w:after="40"/>
              <w:jc w:val="right"/>
              <w:rPr>
                <w:rFonts w:asciiTheme="minorHAnsi" w:hAnsiTheme="minorHAnsi"/>
                <w:sz w:val="18"/>
                <w:szCs w:val="18"/>
              </w:rPr>
            </w:pPr>
            <w:r w:rsidRPr="00747D01">
              <w:rPr>
                <w:rFonts w:asciiTheme="minorHAnsi" w:hAnsiTheme="minorHAnsi" w:cs="Arial"/>
                <w:sz w:val="18"/>
                <w:szCs w:val="18"/>
              </w:rPr>
              <w:t>165.9</w:t>
            </w:r>
          </w:p>
        </w:tc>
        <w:tc>
          <w:tcPr>
            <w:tcW w:w="737" w:type="dxa"/>
            <w:tcMar>
              <w:left w:w="58" w:type="dxa"/>
              <w:right w:w="58" w:type="dxa"/>
            </w:tcMar>
            <w:vAlign w:val="center"/>
          </w:tcPr>
          <w:p w:rsidR="00907F9C" w:rsidRPr="00747D01" w:rsidRDefault="00907F9C" w:rsidP="00747D01">
            <w:pPr>
              <w:pStyle w:val="CommentText"/>
              <w:spacing w:before="40" w:after="40"/>
              <w:jc w:val="right"/>
              <w:rPr>
                <w:rFonts w:asciiTheme="minorHAnsi" w:hAnsiTheme="minorHAnsi"/>
                <w:sz w:val="18"/>
                <w:szCs w:val="18"/>
              </w:rPr>
            </w:pPr>
            <w:r w:rsidRPr="00747D01">
              <w:rPr>
                <w:rFonts w:asciiTheme="minorHAnsi" w:hAnsiTheme="minorHAnsi" w:cs="Arial"/>
                <w:sz w:val="18"/>
                <w:szCs w:val="18"/>
              </w:rPr>
              <w:t>165.9</w:t>
            </w:r>
          </w:p>
        </w:tc>
        <w:tc>
          <w:tcPr>
            <w:tcW w:w="738" w:type="dxa"/>
            <w:tcMar>
              <w:left w:w="58" w:type="dxa"/>
              <w:right w:w="58" w:type="dxa"/>
            </w:tcMar>
            <w:vAlign w:val="center"/>
          </w:tcPr>
          <w:p w:rsidR="00907F9C" w:rsidRPr="00747D01" w:rsidRDefault="00907F9C" w:rsidP="00747D01">
            <w:pPr>
              <w:pStyle w:val="CommentText"/>
              <w:spacing w:before="40" w:after="40"/>
              <w:jc w:val="right"/>
              <w:rPr>
                <w:rFonts w:asciiTheme="minorHAnsi" w:hAnsiTheme="minorHAnsi"/>
                <w:sz w:val="18"/>
                <w:szCs w:val="18"/>
              </w:rPr>
            </w:pPr>
            <w:r w:rsidRPr="00747D01">
              <w:rPr>
                <w:rFonts w:asciiTheme="minorHAnsi" w:hAnsiTheme="minorHAnsi" w:cs="Arial"/>
                <w:sz w:val="18"/>
                <w:szCs w:val="18"/>
              </w:rPr>
              <w:t>165.9</w:t>
            </w:r>
          </w:p>
        </w:tc>
      </w:tr>
      <w:tr w:rsidR="00E1725F" w:rsidRPr="00747D01" w:rsidTr="00747D01">
        <w:trPr>
          <w:jc w:val="center"/>
        </w:trPr>
        <w:tc>
          <w:tcPr>
            <w:tcW w:w="890" w:type="dxa"/>
            <w:shd w:val="clear" w:color="auto" w:fill="CCEAF9" w:themeFill="accent1" w:themeFillTint="33"/>
            <w:tcMar>
              <w:left w:w="58" w:type="dxa"/>
              <w:right w:w="58" w:type="dxa"/>
            </w:tcMar>
            <w:vAlign w:val="center"/>
          </w:tcPr>
          <w:p w:rsidR="00E1725F" w:rsidRPr="00747D01" w:rsidRDefault="00E1725F" w:rsidP="00747D01">
            <w:pPr>
              <w:pStyle w:val="CommentText"/>
              <w:spacing w:before="40" w:after="40"/>
              <w:rPr>
                <w:rFonts w:asciiTheme="minorHAnsi" w:hAnsiTheme="minorHAnsi"/>
                <w:sz w:val="18"/>
                <w:szCs w:val="18"/>
              </w:rPr>
            </w:pPr>
            <w:r w:rsidRPr="00747D01">
              <w:rPr>
                <w:rFonts w:asciiTheme="minorHAnsi" w:hAnsiTheme="minorHAnsi"/>
                <w:b/>
                <w:sz w:val="18"/>
                <w:szCs w:val="18"/>
              </w:rPr>
              <w:t>Non-FCM, Energy-Only PV</w:t>
            </w:r>
          </w:p>
        </w:tc>
        <w:tc>
          <w:tcPr>
            <w:tcW w:w="737" w:type="dxa"/>
            <w:shd w:val="clear" w:color="auto" w:fill="CCEAF9" w:themeFill="accent1" w:themeFillTint="33"/>
            <w:tcMar>
              <w:left w:w="58" w:type="dxa"/>
              <w:right w:w="58" w:type="dxa"/>
            </w:tcMar>
            <w:vAlign w:val="center"/>
          </w:tcPr>
          <w:p w:rsidR="00E1725F" w:rsidRPr="00747D01" w:rsidRDefault="00E1725F" w:rsidP="00747D01">
            <w:pPr>
              <w:pStyle w:val="CommentText"/>
              <w:spacing w:before="40" w:after="40"/>
              <w:jc w:val="right"/>
              <w:rPr>
                <w:rFonts w:asciiTheme="minorHAnsi" w:hAnsiTheme="minorHAnsi"/>
                <w:sz w:val="18"/>
                <w:szCs w:val="18"/>
              </w:rPr>
            </w:pPr>
            <w:r w:rsidRPr="00747D01">
              <w:rPr>
                <w:rFonts w:asciiTheme="minorHAnsi" w:hAnsiTheme="minorHAnsi"/>
                <w:sz w:val="18"/>
                <w:szCs w:val="18"/>
              </w:rPr>
              <w:t>605.9</w:t>
            </w:r>
          </w:p>
        </w:tc>
        <w:tc>
          <w:tcPr>
            <w:tcW w:w="737" w:type="dxa"/>
            <w:shd w:val="clear" w:color="auto" w:fill="CCEAF9" w:themeFill="accent1" w:themeFillTint="33"/>
            <w:tcMar>
              <w:left w:w="58" w:type="dxa"/>
              <w:right w:w="58" w:type="dxa"/>
            </w:tcMar>
            <w:vAlign w:val="center"/>
          </w:tcPr>
          <w:p w:rsidR="00E1725F" w:rsidRPr="00747D01" w:rsidRDefault="00E1725F" w:rsidP="00747D01">
            <w:pPr>
              <w:pStyle w:val="CommentText"/>
              <w:spacing w:before="40" w:after="40"/>
              <w:jc w:val="right"/>
              <w:rPr>
                <w:rFonts w:asciiTheme="minorHAnsi" w:hAnsiTheme="minorHAnsi"/>
                <w:sz w:val="18"/>
                <w:szCs w:val="18"/>
              </w:rPr>
            </w:pPr>
            <w:r w:rsidRPr="00747D01">
              <w:rPr>
                <w:rFonts w:asciiTheme="minorHAnsi" w:hAnsiTheme="minorHAnsi"/>
                <w:sz w:val="18"/>
                <w:szCs w:val="18"/>
              </w:rPr>
              <w:t>736.8</w:t>
            </w:r>
          </w:p>
        </w:tc>
        <w:tc>
          <w:tcPr>
            <w:tcW w:w="737" w:type="dxa"/>
            <w:shd w:val="clear" w:color="auto" w:fill="CCEAF9" w:themeFill="accent1" w:themeFillTint="33"/>
            <w:tcMar>
              <w:left w:w="58" w:type="dxa"/>
              <w:right w:w="58" w:type="dxa"/>
            </w:tcMar>
            <w:vAlign w:val="center"/>
          </w:tcPr>
          <w:p w:rsidR="00E1725F" w:rsidRPr="00747D01" w:rsidRDefault="00E1725F" w:rsidP="00747D01">
            <w:pPr>
              <w:pStyle w:val="CommentText"/>
              <w:spacing w:before="40" w:after="40"/>
              <w:jc w:val="right"/>
              <w:rPr>
                <w:rFonts w:asciiTheme="minorHAnsi" w:hAnsiTheme="minorHAnsi"/>
                <w:sz w:val="18"/>
                <w:szCs w:val="18"/>
              </w:rPr>
            </w:pPr>
            <w:r w:rsidRPr="00747D01">
              <w:rPr>
                <w:rFonts w:asciiTheme="minorHAnsi" w:hAnsiTheme="minorHAnsi"/>
                <w:sz w:val="18"/>
                <w:szCs w:val="18"/>
              </w:rPr>
              <w:t>839.1</w:t>
            </w:r>
          </w:p>
        </w:tc>
        <w:tc>
          <w:tcPr>
            <w:tcW w:w="738" w:type="dxa"/>
            <w:shd w:val="clear" w:color="auto" w:fill="CCEAF9" w:themeFill="accent1" w:themeFillTint="33"/>
            <w:tcMar>
              <w:left w:w="58" w:type="dxa"/>
              <w:right w:w="58" w:type="dxa"/>
            </w:tcMar>
            <w:vAlign w:val="center"/>
          </w:tcPr>
          <w:p w:rsidR="00E1725F" w:rsidRPr="00747D01" w:rsidRDefault="00E1725F" w:rsidP="00747D01">
            <w:pPr>
              <w:pStyle w:val="CommentText"/>
              <w:spacing w:before="40" w:after="40"/>
              <w:jc w:val="right"/>
              <w:rPr>
                <w:rFonts w:asciiTheme="minorHAnsi" w:hAnsiTheme="minorHAnsi"/>
                <w:sz w:val="18"/>
                <w:szCs w:val="18"/>
              </w:rPr>
            </w:pPr>
            <w:r w:rsidRPr="00747D01">
              <w:rPr>
                <w:rFonts w:asciiTheme="minorHAnsi" w:hAnsiTheme="minorHAnsi"/>
                <w:sz w:val="18"/>
                <w:szCs w:val="18"/>
              </w:rPr>
              <w:t>847.9</w:t>
            </w:r>
          </w:p>
        </w:tc>
        <w:tc>
          <w:tcPr>
            <w:tcW w:w="737" w:type="dxa"/>
            <w:shd w:val="clear" w:color="auto" w:fill="CCEAF9" w:themeFill="accent1" w:themeFillTint="33"/>
            <w:tcMar>
              <w:left w:w="58" w:type="dxa"/>
              <w:right w:w="58" w:type="dxa"/>
            </w:tcMar>
            <w:vAlign w:val="center"/>
          </w:tcPr>
          <w:p w:rsidR="00E1725F" w:rsidRPr="00747D01" w:rsidRDefault="00E1725F" w:rsidP="00747D01">
            <w:pPr>
              <w:pStyle w:val="CommentText"/>
              <w:spacing w:before="40" w:after="40"/>
              <w:jc w:val="right"/>
              <w:rPr>
                <w:rFonts w:asciiTheme="minorHAnsi" w:hAnsiTheme="minorHAnsi"/>
                <w:sz w:val="18"/>
                <w:szCs w:val="18"/>
              </w:rPr>
            </w:pPr>
            <w:r w:rsidRPr="00747D01">
              <w:rPr>
                <w:rFonts w:asciiTheme="minorHAnsi" w:hAnsiTheme="minorHAnsi"/>
                <w:sz w:val="18"/>
                <w:szCs w:val="18"/>
              </w:rPr>
              <w:t>926.0</w:t>
            </w:r>
          </w:p>
        </w:tc>
        <w:tc>
          <w:tcPr>
            <w:tcW w:w="737" w:type="dxa"/>
            <w:shd w:val="clear" w:color="auto" w:fill="CCEAF9" w:themeFill="accent1" w:themeFillTint="33"/>
            <w:tcMar>
              <w:left w:w="58" w:type="dxa"/>
              <w:right w:w="58" w:type="dxa"/>
            </w:tcMar>
            <w:vAlign w:val="center"/>
          </w:tcPr>
          <w:p w:rsidR="00E1725F" w:rsidRPr="00747D01" w:rsidRDefault="00E1725F" w:rsidP="00747D01">
            <w:pPr>
              <w:pStyle w:val="CommentText"/>
              <w:spacing w:before="40" w:after="40"/>
              <w:jc w:val="right"/>
              <w:rPr>
                <w:rFonts w:asciiTheme="minorHAnsi" w:hAnsiTheme="minorHAnsi"/>
                <w:sz w:val="18"/>
                <w:szCs w:val="18"/>
              </w:rPr>
            </w:pPr>
            <w:r w:rsidRPr="00747D01">
              <w:rPr>
                <w:rFonts w:asciiTheme="minorHAnsi" w:hAnsiTheme="minorHAnsi"/>
                <w:sz w:val="18"/>
                <w:szCs w:val="18"/>
              </w:rPr>
              <w:t>1</w:t>
            </w:r>
            <w:r w:rsidR="00747D01">
              <w:rPr>
                <w:rFonts w:asciiTheme="minorHAnsi" w:hAnsiTheme="minorHAnsi"/>
                <w:sz w:val="18"/>
                <w:szCs w:val="18"/>
              </w:rPr>
              <w:t>,</w:t>
            </w:r>
            <w:r w:rsidRPr="00747D01">
              <w:rPr>
                <w:rFonts w:asciiTheme="minorHAnsi" w:hAnsiTheme="minorHAnsi"/>
                <w:sz w:val="18"/>
                <w:szCs w:val="18"/>
              </w:rPr>
              <w:t>003.5</w:t>
            </w:r>
          </w:p>
        </w:tc>
        <w:tc>
          <w:tcPr>
            <w:tcW w:w="737" w:type="dxa"/>
            <w:shd w:val="clear" w:color="auto" w:fill="CCEAF9" w:themeFill="accent1" w:themeFillTint="33"/>
            <w:tcMar>
              <w:left w:w="58" w:type="dxa"/>
              <w:right w:w="58" w:type="dxa"/>
            </w:tcMar>
            <w:vAlign w:val="center"/>
          </w:tcPr>
          <w:p w:rsidR="00E1725F" w:rsidRPr="00747D01" w:rsidRDefault="00E1725F" w:rsidP="00747D01">
            <w:pPr>
              <w:pStyle w:val="CommentText"/>
              <w:spacing w:before="40" w:after="40"/>
              <w:jc w:val="right"/>
              <w:rPr>
                <w:rFonts w:asciiTheme="minorHAnsi" w:hAnsiTheme="minorHAnsi"/>
                <w:sz w:val="18"/>
                <w:szCs w:val="18"/>
              </w:rPr>
            </w:pPr>
            <w:r w:rsidRPr="00747D01">
              <w:rPr>
                <w:rFonts w:asciiTheme="minorHAnsi" w:hAnsiTheme="minorHAnsi"/>
                <w:sz w:val="18"/>
                <w:szCs w:val="18"/>
              </w:rPr>
              <w:t>1</w:t>
            </w:r>
            <w:r w:rsidR="00747D01">
              <w:rPr>
                <w:rFonts w:asciiTheme="minorHAnsi" w:hAnsiTheme="minorHAnsi"/>
                <w:sz w:val="18"/>
                <w:szCs w:val="18"/>
              </w:rPr>
              <w:t>,</w:t>
            </w:r>
            <w:r w:rsidRPr="00747D01">
              <w:rPr>
                <w:rFonts w:asciiTheme="minorHAnsi" w:hAnsiTheme="minorHAnsi"/>
                <w:sz w:val="18"/>
                <w:szCs w:val="18"/>
              </w:rPr>
              <w:t>076.8</w:t>
            </w:r>
          </w:p>
        </w:tc>
        <w:tc>
          <w:tcPr>
            <w:tcW w:w="738" w:type="dxa"/>
            <w:shd w:val="clear" w:color="auto" w:fill="CCEAF9" w:themeFill="accent1" w:themeFillTint="33"/>
            <w:tcMar>
              <w:left w:w="58" w:type="dxa"/>
              <w:right w:w="58" w:type="dxa"/>
            </w:tcMar>
            <w:vAlign w:val="center"/>
          </w:tcPr>
          <w:p w:rsidR="00E1725F" w:rsidRPr="00747D01" w:rsidRDefault="00E1725F" w:rsidP="00747D01">
            <w:pPr>
              <w:pStyle w:val="CommentText"/>
              <w:spacing w:before="40" w:after="40"/>
              <w:jc w:val="right"/>
              <w:rPr>
                <w:rFonts w:asciiTheme="minorHAnsi" w:hAnsiTheme="minorHAnsi"/>
                <w:sz w:val="18"/>
                <w:szCs w:val="18"/>
              </w:rPr>
            </w:pPr>
            <w:r w:rsidRPr="00747D01">
              <w:rPr>
                <w:rFonts w:asciiTheme="minorHAnsi" w:hAnsiTheme="minorHAnsi"/>
                <w:sz w:val="18"/>
                <w:szCs w:val="18"/>
              </w:rPr>
              <w:t>1</w:t>
            </w:r>
            <w:r w:rsidR="00747D01">
              <w:rPr>
                <w:rFonts w:asciiTheme="minorHAnsi" w:hAnsiTheme="minorHAnsi"/>
                <w:sz w:val="18"/>
                <w:szCs w:val="18"/>
              </w:rPr>
              <w:t>,</w:t>
            </w:r>
            <w:r w:rsidRPr="00747D01">
              <w:rPr>
                <w:rFonts w:asciiTheme="minorHAnsi" w:hAnsiTheme="minorHAnsi"/>
                <w:sz w:val="18"/>
                <w:szCs w:val="18"/>
              </w:rPr>
              <w:t>148.1</w:t>
            </w:r>
          </w:p>
        </w:tc>
        <w:tc>
          <w:tcPr>
            <w:tcW w:w="737" w:type="dxa"/>
            <w:shd w:val="clear" w:color="auto" w:fill="CCEAF9" w:themeFill="accent1" w:themeFillTint="33"/>
            <w:tcMar>
              <w:left w:w="58" w:type="dxa"/>
              <w:right w:w="58" w:type="dxa"/>
            </w:tcMar>
            <w:vAlign w:val="center"/>
          </w:tcPr>
          <w:p w:rsidR="00E1725F" w:rsidRPr="00747D01" w:rsidRDefault="00E1725F" w:rsidP="00747D01">
            <w:pPr>
              <w:pStyle w:val="CommentText"/>
              <w:spacing w:before="40" w:after="40"/>
              <w:jc w:val="right"/>
              <w:rPr>
                <w:rFonts w:asciiTheme="minorHAnsi" w:hAnsiTheme="minorHAnsi"/>
                <w:sz w:val="18"/>
                <w:szCs w:val="18"/>
              </w:rPr>
            </w:pPr>
            <w:r w:rsidRPr="00747D01">
              <w:rPr>
                <w:rFonts w:asciiTheme="minorHAnsi" w:hAnsiTheme="minorHAnsi"/>
                <w:sz w:val="18"/>
                <w:szCs w:val="18"/>
              </w:rPr>
              <w:t>1</w:t>
            </w:r>
            <w:r w:rsidR="00747D01">
              <w:rPr>
                <w:rFonts w:asciiTheme="minorHAnsi" w:hAnsiTheme="minorHAnsi"/>
                <w:sz w:val="18"/>
                <w:szCs w:val="18"/>
              </w:rPr>
              <w:t>,</w:t>
            </w:r>
            <w:r w:rsidRPr="00747D01">
              <w:rPr>
                <w:rFonts w:asciiTheme="minorHAnsi" w:hAnsiTheme="minorHAnsi"/>
                <w:sz w:val="18"/>
                <w:szCs w:val="18"/>
              </w:rPr>
              <w:t>186.2</w:t>
            </w:r>
          </w:p>
        </w:tc>
        <w:tc>
          <w:tcPr>
            <w:tcW w:w="737" w:type="dxa"/>
            <w:shd w:val="clear" w:color="auto" w:fill="CCEAF9" w:themeFill="accent1" w:themeFillTint="33"/>
            <w:tcMar>
              <w:left w:w="58" w:type="dxa"/>
              <w:right w:w="58" w:type="dxa"/>
            </w:tcMar>
            <w:vAlign w:val="center"/>
          </w:tcPr>
          <w:p w:rsidR="00E1725F" w:rsidRPr="00747D01" w:rsidRDefault="00E1725F" w:rsidP="00747D01">
            <w:pPr>
              <w:pStyle w:val="CommentText"/>
              <w:spacing w:before="40" w:after="40"/>
              <w:jc w:val="right"/>
              <w:rPr>
                <w:rFonts w:asciiTheme="minorHAnsi" w:hAnsiTheme="minorHAnsi"/>
                <w:sz w:val="18"/>
                <w:szCs w:val="18"/>
              </w:rPr>
            </w:pPr>
            <w:r w:rsidRPr="00747D01">
              <w:rPr>
                <w:rFonts w:asciiTheme="minorHAnsi" w:hAnsiTheme="minorHAnsi"/>
                <w:sz w:val="18"/>
                <w:szCs w:val="18"/>
              </w:rPr>
              <w:t>1</w:t>
            </w:r>
            <w:r w:rsidR="00747D01">
              <w:rPr>
                <w:rFonts w:asciiTheme="minorHAnsi" w:hAnsiTheme="minorHAnsi"/>
                <w:sz w:val="18"/>
                <w:szCs w:val="18"/>
              </w:rPr>
              <w:t>,</w:t>
            </w:r>
            <w:r w:rsidRPr="00747D01">
              <w:rPr>
                <w:rFonts w:asciiTheme="minorHAnsi" w:hAnsiTheme="minorHAnsi"/>
                <w:sz w:val="18"/>
                <w:szCs w:val="18"/>
              </w:rPr>
              <w:t>223.1</w:t>
            </w:r>
          </w:p>
        </w:tc>
        <w:tc>
          <w:tcPr>
            <w:tcW w:w="738" w:type="dxa"/>
            <w:shd w:val="clear" w:color="auto" w:fill="CCEAF9" w:themeFill="accent1" w:themeFillTint="33"/>
            <w:tcMar>
              <w:left w:w="58" w:type="dxa"/>
              <w:right w:w="58" w:type="dxa"/>
            </w:tcMar>
            <w:vAlign w:val="center"/>
          </w:tcPr>
          <w:p w:rsidR="00E1725F" w:rsidRPr="00747D01" w:rsidRDefault="00E1725F" w:rsidP="00747D01">
            <w:pPr>
              <w:pStyle w:val="CommentText"/>
              <w:spacing w:before="40" w:after="40"/>
              <w:jc w:val="right"/>
              <w:rPr>
                <w:rFonts w:asciiTheme="minorHAnsi" w:hAnsiTheme="minorHAnsi"/>
                <w:sz w:val="18"/>
                <w:szCs w:val="18"/>
              </w:rPr>
            </w:pPr>
            <w:r w:rsidRPr="00747D01">
              <w:rPr>
                <w:rFonts w:asciiTheme="minorHAnsi" w:hAnsiTheme="minorHAnsi"/>
                <w:sz w:val="18"/>
                <w:szCs w:val="18"/>
              </w:rPr>
              <w:t>1</w:t>
            </w:r>
            <w:r w:rsidR="00747D01">
              <w:rPr>
                <w:rFonts w:asciiTheme="minorHAnsi" w:hAnsiTheme="minorHAnsi"/>
                <w:sz w:val="18"/>
                <w:szCs w:val="18"/>
              </w:rPr>
              <w:t>,</w:t>
            </w:r>
            <w:r w:rsidRPr="00747D01">
              <w:rPr>
                <w:rFonts w:asciiTheme="minorHAnsi" w:hAnsiTheme="minorHAnsi"/>
                <w:sz w:val="18"/>
                <w:szCs w:val="18"/>
              </w:rPr>
              <w:t>259.0</w:t>
            </w:r>
          </w:p>
        </w:tc>
      </w:tr>
      <w:tr w:rsidR="00374DE7" w:rsidRPr="00747D01" w:rsidTr="00747D01">
        <w:trPr>
          <w:jc w:val="center"/>
        </w:trPr>
        <w:tc>
          <w:tcPr>
            <w:tcW w:w="890" w:type="dxa"/>
            <w:tcMar>
              <w:left w:w="58" w:type="dxa"/>
              <w:right w:w="58" w:type="dxa"/>
            </w:tcMar>
            <w:vAlign w:val="center"/>
          </w:tcPr>
          <w:p w:rsidR="00907F9C" w:rsidRPr="00747D01" w:rsidRDefault="00907F9C" w:rsidP="00747D01">
            <w:pPr>
              <w:pStyle w:val="CommentText"/>
              <w:spacing w:before="40" w:after="40"/>
              <w:rPr>
                <w:rFonts w:asciiTheme="minorHAnsi" w:hAnsiTheme="minorHAnsi"/>
                <w:sz w:val="18"/>
                <w:szCs w:val="18"/>
              </w:rPr>
            </w:pPr>
            <w:r w:rsidRPr="00747D01">
              <w:rPr>
                <w:rFonts w:asciiTheme="minorHAnsi" w:hAnsiTheme="minorHAnsi"/>
                <w:b/>
                <w:sz w:val="18"/>
                <w:szCs w:val="18"/>
              </w:rPr>
              <w:t>Behind-the Meter PV</w:t>
            </w:r>
          </w:p>
        </w:tc>
        <w:tc>
          <w:tcPr>
            <w:tcW w:w="737" w:type="dxa"/>
            <w:tcMar>
              <w:left w:w="58" w:type="dxa"/>
              <w:right w:w="58" w:type="dxa"/>
            </w:tcMar>
            <w:vAlign w:val="center"/>
          </w:tcPr>
          <w:p w:rsidR="00907F9C" w:rsidRPr="00747D01" w:rsidRDefault="00907F9C" w:rsidP="00747D01">
            <w:pPr>
              <w:pStyle w:val="CommentText"/>
              <w:spacing w:before="40" w:after="40"/>
              <w:jc w:val="right"/>
              <w:rPr>
                <w:rFonts w:asciiTheme="minorHAnsi" w:hAnsiTheme="minorHAnsi"/>
                <w:sz w:val="18"/>
                <w:szCs w:val="18"/>
              </w:rPr>
            </w:pPr>
            <w:r w:rsidRPr="00747D01">
              <w:rPr>
                <w:rFonts w:asciiTheme="minorHAnsi" w:hAnsiTheme="minorHAnsi" w:cs="Arial"/>
                <w:bCs/>
                <w:sz w:val="18"/>
                <w:szCs w:val="18"/>
              </w:rPr>
              <w:t>1</w:t>
            </w:r>
            <w:r w:rsidR="00374DE7" w:rsidRPr="00747D01">
              <w:rPr>
                <w:rFonts w:asciiTheme="minorHAnsi" w:hAnsiTheme="minorHAnsi" w:cs="Arial"/>
                <w:bCs/>
                <w:sz w:val="18"/>
                <w:szCs w:val="18"/>
              </w:rPr>
              <w:t>,</w:t>
            </w:r>
            <w:r w:rsidRPr="00747D01">
              <w:rPr>
                <w:rFonts w:asciiTheme="minorHAnsi" w:hAnsiTheme="minorHAnsi" w:cs="Arial"/>
                <w:bCs/>
                <w:sz w:val="18"/>
                <w:szCs w:val="18"/>
              </w:rPr>
              <w:t>284.6</w:t>
            </w:r>
          </w:p>
        </w:tc>
        <w:tc>
          <w:tcPr>
            <w:tcW w:w="737" w:type="dxa"/>
            <w:tcMar>
              <w:left w:w="58" w:type="dxa"/>
              <w:right w:w="58" w:type="dxa"/>
            </w:tcMar>
            <w:vAlign w:val="center"/>
          </w:tcPr>
          <w:p w:rsidR="00907F9C" w:rsidRPr="00747D01" w:rsidRDefault="00907F9C" w:rsidP="00747D01">
            <w:pPr>
              <w:pStyle w:val="CommentText"/>
              <w:spacing w:before="40" w:after="40"/>
              <w:jc w:val="right"/>
              <w:rPr>
                <w:rFonts w:asciiTheme="minorHAnsi" w:hAnsiTheme="minorHAnsi"/>
                <w:sz w:val="18"/>
                <w:szCs w:val="18"/>
              </w:rPr>
            </w:pPr>
            <w:r w:rsidRPr="00747D01">
              <w:rPr>
                <w:rFonts w:asciiTheme="minorHAnsi" w:hAnsiTheme="minorHAnsi" w:cs="Arial"/>
                <w:bCs/>
                <w:sz w:val="18"/>
                <w:szCs w:val="18"/>
              </w:rPr>
              <w:t>1</w:t>
            </w:r>
            <w:r w:rsidR="00374DE7" w:rsidRPr="00747D01">
              <w:rPr>
                <w:rFonts w:asciiTheme="minorHAnsi" w:hAnsiTheme="minorHAnsi" w:cs="Arial"/>
                <w:bCs/>
                <w:sz w:val="18"/>
                <w:szCs w:val="18"/>
              </w:rPr>
              <w:t>,</w:t>
            </w:r>
            <w:r w:rsidRPr="00747D01">
              <w:rPr>
                <w:rFonts w:asciiTheme="minorHAnsi" w:hAnsiTheme="minorHAnsi" w:cs="Arial"/>
                <w:bCs/>
                <w:sz w:val="18"/>
                <w:szCs w:val="18"/>
              </w:rPr>
              <w:t>651.7</w:t>
            </w:r>
          </w:p>
        </w:tc>
        <w:tc>
          <w:tcPr>
            <w:tcW w:w="737" w:type="dxa"/>
            <w:tcMar>
              <w:left w:w="58" w:type="dxa"/>
              <w:right w:w="58" w:type="dxa"/>
            </w:tcMar>
            <w:vAlign w:val="center"/>
          </w:tcPr>
          <w:p w:rsidR="00907F9C" w:rsidRPr="00747D01" w:rsidRDefault="00907F9C" w:rsidP="00747D01">
            <w:pPr>
              <w:pStyle w:val="CommentText"/>
              <w:spacing w:before="40" w:after="40"/>
              <w:jc w:val="right"/>
              <w:rPr>
                <w:rFonts w:asciiTheme="minorHAnsi" w:hAnsiTheme="minorHAnsi"/>
                <w:sz w:val="18"/>
                <w:szCs w:val="18"/>
              </w:rPr>
            </w:pPr>
            <w:r w:rsidRPr="00747D01">
              <w:rPr>
                <w:rFonts w:asciiTheme="minorHAnsi" w:hAnsiTheme="minorHAnsi" w:cs="Arial"/>
                <w:bCs/>
                <w:sz w:val="18"/>
                <w:szCs w:val="18"/>
              </w:rPr>
              <w:t>1</w:t>
            </w:r>
            <w:r w:rsidR="00374DE7" w:rsidRPr="00747D01">
              <w:rPr>
                <w:rFonts w:asciiTheme="minorHAnsi" w:hAnsiTheme="minorHAnsi" w:cs="Arial"/>
                <w:bCs/>
                <w:sz w:val="18"/>
                <w:szCs w:val="18"/>
              </w:rPr>
              <w:t>,</w:t>
            </w:r>
            <w:r w:rsidRPr="00747D01">
              <w:rPr>
                <w:rFonts w:asciiTheme="minorHAnsi" w:hAnsiTheme="minorHAnsi" w:cs="Arial"/>
                <w:bCs/>
                <w:sz w:val="18"/>
                <w:szCs w:val="18"/>
              </w:rPr>
              <w:t>990.6</w:t>
            </w:r>
          </w:p>
        </w:tc>
        <w:tc>
          <w:tcPr>
            <w:tcW w:w="738" w:type="dxa"/>
            <w:tcMar>
              <w:left w:w="58" w:type="dxa"/>
              <w:right w:w="58" w:type="dxa"/>
            </w:tcMar>
            <w:vAlign w:val="center"/>
          </w:tcPr>
          <w:p w:rsidR="00907F9C" w:rsidRPr="00747D01" w:rsidRDefault="00907F9C" w:rsidP="00747D01">
            <w:pPr>
              <w:pStyle w:val="CommentText"/>
              <w:spacing w:before="40" w:after="40"/>
              <w:jc w:val="right"/>
              <w:rPr>
                <w:rFonts w:asciiTheme="minorHAnsi" w:hAnsiTheme="minorHAnsi"/>
                <w:sz w:val="18"/>
                <w:szCs w:val="18"/>
              </w:rPr>
            </w:pPr>
            <w:r w:rsidRPr="00747D01">
              <w:rPr>
                <w:rFonts w:asciiTheme="minorHAnsi" w:hAnsiTheme="minorHAnsi" w:cs="Arial"/>
                <w:bCs/>
                <w:sz w:val="18"/>
                <w:szCs w:val="18"/>
              </w:rPr>
              <w:t>2</w:t>
            </w:r>
            <w:r w:rsidR="00374DE7" w:rsidRPr="00747D01">
              <w:rPr>
                <w:rFonts w:asciiTheme="minorHAnsi" w:hAnsiTheme="minorHAnsi" w:cs="Arial"/>
                <w:bCs/>
                <w:sz w:val="18"/>
                <w:szCs w:val="18"/>
              </w:rPr>
              <w:t>,</w:t>
            </w:r>
            <w:r w:rsidRPr="00747D01">
              <w:rPr>
                <w:rFonts w:asciiTheme="minorHAnsi" w:hAnsiTheme="minorHAnsi" w:cs="Arial"/>
                <w:bCs/>
                <w:sz w:val="18"/>
                <w:szCs w:val="18"/>
              </w:rPr>
              <w:t>268.8</w:t>
            </w:r>
          </w:p>
        </w:tc>
        <w:tc>
          <w:tcPr>
            <w:tcW w:w="737" w:type="dxa"/>
            <w:tcMar>
              <w:left w:w="58" w:type="dxa"/>
              <w:right w:w="58" w:type="dxa"/>
            </w:tcMar>
            <w:vAlign w:val="center"/>
          </w:tcPr>
          <w:p w:rsidR="00907F9C" w:rsidRPr="00747D01" w:rsidRDefault="00907F9C" w:rsidP="00747D01">
            <w:pPr>
              <w:pStyle w:val="CommentText"/>
              <w:spacing w:before="40" w:after="40"/>
              <w:jc w:val="right"/>
              <w:rPr>
                <w:rFonts w:asciiTheme="minorHAnsi" w:hAnsiTheme="minorHAnsi"/>
                <w:sz w:val="18"/>
                <w:szCs w:val="18"/>
              </w:rPr>
            </w:pPr>
            <w:r w:rsidRPr="00747D01">
              <w:rPr>
                <w:rFonts w:asciiTheme="minorHAnsi" w:hAnsiTheme="minorHAnsi" w:cs="Arial"/>
                <w:bCs/>
                <w:sz w:val="18"/>
                <w:szCs w:val="18"/>
              </w:rPr>
              <w:t>2</w:t>
            </w:r>
            <w:r w:rsidR="00374DE7" w:rsidRPr="00747D01">
              <w:rPr>
                <w:rFonts w:asciiTheme="minorHAnsi" w:hAnsiTheme="minorHAnsi" w:cs="Arial"/>
                <w:bCs/>
                <w:sz w:val="18"/>
                <w:szCs w:val="18"/>
              </w:rPr>
              <w:t>,</w:t>
            </w:r>
            <w:r w:rsidRPr="00747D01">
              <w:rPr>
                <w:rFonts w:asciiTheme="minorHAnsi" w:hAnsiTheme="minorHAnsi" w:cs="Arial"/>
                <w:bCs/>
                <w:sz w:val="18"/>
                <w:szCs w:val="18"/>
              </w:rPr>
              <w:t>460.6</w:t>
            </w:r>
          </w:p>
        </w:tc>
        <w:tc>
          <w:tcPr>
            <w:tcW w:w="737" w:type="dxa"/>
            <w:tcMar>
              <w:left w:w="58" w:type="dxa"/>
              <w:right w:w="58" w:type="dxa"/>
            </w:tcMar>
            <w:vAlign w:val="center"/>
          </w:tcPr>
          <w:p w:rsidR="00907F9C" w:rsidRPr="00747D01" w:rsidRDefault="00907F9C" w:rsidP="00747D01">
            <w:pPr>
              <w:pStyle w:val="CommentText"/>
              <w:spacing w:before="40" w:after="40"/>
              <w:jc w:val="right"/>
              <w:rPr>
                <w:rFonts w:asciiTheme="minorHAnsi" w:hAnsiTheme="minorHAnsi"/>
                <w:sz w:val="18"/>
                <w:szCs w:val="18"/>
              </w:rPr>
            </w:pPr>
            <w:r w:rsidRPr="00747D01">
              <w:rPr>
                <w:rFonts w:asciiTheme="minorHAnsi" w:hAnsiTheme="minorHAnsi" w:cs="Arial"/>
                <w:bCs/>
                <w:sz w:val="18"/>
                <w:szCs w:val="18"/>
              </w:rPr>
              <w:t>2</w:t>
            </w:r>
            <w:r w:rsidR="00374DE7" w:rsidRPr="00747D01">
              <w:rPr>
                <w:rFonts w:asciiTheme="minorHAnsi" w:hAnsiTheme="minorHAnsi" w:cs="Arial"/>
                <w:bCs/>
                <w:sz w:val="18"/>
                <w:szCs w:val="18"/>
              </w:rPr>
              <w:t>,</w:t>
            </w:r>
            <w:r w:rsidRPr="00747D01">
              <w:rPr>
                <w:rFonts w:asciiTheme="minorHAnsi" w:hAnsiTheme="minorHAnsi" w:cs="Arial"/>
                <w:bCs/>
                <w:sz w:val="18"/>
                <w:szCs w:val="18"/>
              </w:rPr>
              <w:t>632.7</w:t>
            </w:r>
          </w:p>
        </w:tc>
        <w:tc>
          <w:tcPr>
            <w:tcW w:w="737" w:type="dxa"/>
            <w:tcMar>
              <w:left w:w="58" w:type="dxa"/>
              <w:right w:w="58" w:type="dxa"/>
            </w:tcMar>
            <w:vAlign w:val="center"/>
          </w:tcPr>
          <w:p w:rsidR="00907F9C" w:rsidRPr="00747D01" w:rsidRDefault="00907F9C" w:rsidP="00747D01">
            <w:pPr>
              <w:pStyle w:val="CommentText"/>
              <w:spacing w:before="40" w:after="40"/>
              <w:jc w:val="right"/>
              <w:rPr>
                <w:rFonts w:asciiTheme="minorHAnsi" w:hAnsiTheme="minorHAnsi"/>
                <w:sz w:val="18"/>
                <w:szCs w:val="18"/>
              </w:rPr>
            </w:pPr>
            <w:r w:rsidRPr="00747D01">
              <w:rPr>
                <w:rFonts w:asciiTheme="minorHAnsi" w:hAnsiTheme="minorHAnsi" w:cs="Arial"/>
                <w:bCs/>
                <w:sz w:val="18"/>
                <w:szCs w:val="18"/>
              </w:rPr>
              <w:t>2</w:t>
            </w:r>
            <w:r w:rsidR="00374DE7" w:rsidRPr="00747D01">
              <w:rPr>
                <w:rFonts w:asciiTheme="minorHAnsi" w:hAnsiTheme="minorHAnsi" w:cs="Arial"/>
                <w:bCs/>
                <w:sz w:val="18"/>
                <w:szCs w:val="18"/>
              </w:rPr>
              <w:t>,</w:t>
            </w:r>
            <w:r w:rsidRPr="00747D01">
              <w:rPr>
                <w:rFonts w:asciiTheme="minorHAnsi" w:hAnsiTheme="minorHAnsi" w:cs="Arial"/>
                <w:bCs/>
                <w:sz w:val="18"/>
                <w:szCs w:val="18"/>
              </w:rPr>
              <w:t>799.1</w:t>
            </w:r>
          </w:p>
        </w:tc>
        <w:tc>
          <w:tcPr>
            <w:tcW w:w="738" w:type="dxa"/>
            <w:tcMar>
              <w:left w:w="58" w:type="dxa"/>
              <w:right w:w="58" w:type="dxa"/>
            </w:tcMar>
            <w:vAlign w:val="center"/>
          </w:tcPr>
          <w:p w:rsidR="00907F9C" w:rsidRPr="00747D01" w:rsidRDefault="00907F9C" w:rsidP="00747D01">
            <w:pPr>
              <w:pStyle w:val="CommentText"/>
              <w:spacing w:before="40" w:after="40"/>
              <w:jc w:val="right"/>
              <w:rPr>
                <w:rFonts w:asciiTheme="minorHAnsi" w:hAnsiTheme="minorHAnsi"/>
                <w:sz w:val="18"/>
                <w:szCs w:val="18"/>
              </w:rPr>
            </w:pPr>
            <w:r w:rsidRPr="00747D01">
              <w:rPr>
                <w:rFonts w:asciiTheme="minorHAnsi" w:hAnsiTheme="minorHAnsi" w:cs="Arial"/>
                <w:bCs/>
                <w:sz w:val="18"/>
                <w:szCs w:val="18"/>
              </w:rPr>
              <w:t>2</w:t>
            </w:r>
            <w:r w:rsidR="00374DE7" w:rsidRPr="00747D01">
              <w:rPr>
                <w:rFonts w:asciiTheme="minorHAnsi" w:hAnsiTheme="minorHAnsi" w:cs="Arial"/>
                <w:bCs/>
                <w:sz w:val="18"/>
                <w:szCs w:val="18"/>
              </w:rPr>
              <w:t>,</w:t>
            </w:r>
            <w:r w:rsidRPr="00747D01">
              <w:rPr>
                <w:rFonts w:asciiTheme="minorHAnsi" w:hAnsiTheme="minorHAnsi" w:cs="Arial"/>
                <w:bCs/>
                <w:sz w:val="18"/>
                <w:szCs w:val="18"/>
              </w:rPr>
              <w:t>961.5</w:t>
            </w:r>
          </w:p>
        </w:tc>
        <w:tc>
          <w:tcPr>
            <w:tcW w:w="737" w:type="dxa"/>
            <w:tcMar>
              <w:left w:w="58" w:type="dxa"/>
              <w:right w:w="58" w:type="dxa"/>
            </w:tcMar>
            <w:vAlign w:val="center"/>
          </w:tcPr>
          <w:p w:rsidR="00907F9C" w:rsidRPr="00747D01" w:rsidRDefault="00907F9C" w:rsidP="00747D01">
            <w:pPr>
              <w:pStyle w:val="CommentText"/>
              <w:spacing w:before="40" w:after="40"/>
              <w:jc w:val="right"/>
              <w:rPr>
                <w:rFonts w:asciiTheme="minorHAnsi" w:hAnsiTheme="minorHAnsi"/>
                <w:sz w:val="18"/>
                <w:szCs w:val="18"/>
              </w:rPr>
            </w:pPr>
            <w:r w:rsidRPr="00747D01">
              <w:rPr>
                <w:rFonts w:asciiTheme="minorHAnsi" w:hAnsiTheme="minorHAnsi" w:cs="Arial"/>
                <w:bCs/>
                <w:sz w:val="18"/>
                <w:szCs w:val="18"/>
              </w:rPr>
              <w:t>3</w:t>
            </w:r>
            <w:r w:rsidR="00374DE7" w:rsidRPr="00747D01">
              <w:rPr>
                <w:rFonts w:asciiTheme="minorHAnsi" w:hAnsiTheme="minorHAnsi" w:cs="Arial"/>
                <w:bCs/>
                <w:sz w:val="18"/>
                <w:szCs w:val="18"/>
              </w:rPr>
              <w:t>,</w:t>
            </w:r>
            <w:r w:rsidRPr="00747D01">
              <w:rPr>
                <w:rFonts w:asciiTheme="minorHAnsi" w:hAnsiTheme="minorHAnsi" w:cs="Arial"/>
                <w:bCs/>
                <w:sz w:val="18"/>
                <w:szCs w:val="18"/>
              </w:rPr>
              <w:t>079.7</w:t>
            </w:r>
          </w:p>
        </w:tc>
        <w:tc>
          <w:tcPr>
            <w:tcW w:w="737" w:type="dxa"/>
            <w:tcMar>
              <w:left w:w="58" w:type="dxa"/>
              <w:right w:w="58" w:type="dxa"/>
            </w:tcMar>
            <w:vAlign w:val="center"/>
          </w:tcPr>
          <w:p w:rsidR="00907F9C" w:rsidRPr="00747D01" w:rsidRDefault="00907F9C" w:rsidP="00747D01">
            <w:pPr>
              <w:pStyle w:val="CommentText"/>
              <w:spacing w:before="40" w:after="40"/>
              <w:jc w:val="right"/>
              <w:rPr>
                <w:rFonts w:asciiTheme="minorHAnsi" w:hAnsiTheme="minorHAnsi"/>
                <w:sz w:val="18"/>
                <w:szCs w:val="18"/>
              </w:rPr>
            </w:pPr>
            <w:r w:rsidRPr="00747D01">
              <w:rPr>
                <w:rFonts w:asciiTheme="minorHAnsi" w:hAnsiTheme="minorHAnsi" w:cs="Arial"/>
                <w:bCs/>
                <w:sz w:val="18"/>
                <w:szCs w:val="18"/>
              </w:rPr>
              <w:t>3</w:t>
            </w:r>
            <w:r w:rsidR="00374DE7" w:rsidRPr="00747D01">
              <w:rPr>
                <w:rFonts w:asciiTheme="minorHAnsi" w:hAnsiTheme="minorHAnsi" w:cs="Arial"/>
                <w:bCs/>
                <w:sz w:val="18"/>
                <w:szCs w:val="18"/>
              </w:rPr>
              <w:t>,</w:t>
            </w:r>
            <w:r w:rsidRPr="00747D01">
              <w:rPr>
                <w:rFonts w:asciiTheme="minorHAnsi" w:hAnsiTheme="minorHAnsi" w:cs="Arial"/>
                <w:bCs/>
                <w:sz w:val="18"/>
                <w:szCs w:val="18"/>
              </w:rPr>
              <w:t>195.2</w:t>
            </w:r>
          </w:p>
        </w:tc>
        <w:tc>
          <w:tcPr>
            <w:tcW w:w="738" w:type="dxa"/>
            <w:tcMar>
              <w:left w:w="58" w:type="dxa"/>
              <w:right w:w="58" w:type="dxa"/>
            </w:tcMar>
            <w:vAlign w:val="center"/>
          </w:tcPr>
          <w:p w:rsidR="00907F9C" w:rsidRPr="00747D01" w:rsidRDefault="00907F9C" w:rsidP="00747D01">
            <w:pPr>
              <w:pStyle w:val="CommentText"/>
              <w:spacing w:before="40" w:after="40"/>
              <w:jc w:val="right"/>
              <w:rPr>
                <w:rFonts w:asciiTheme="minorHAnsi" w:hAnsiTheme="minorHAnsi"/>
                <w:sz w:val="18"/>
                <w:szCs w:val="18"/>
              </w:rPr>
            </w:pPr>
            <w:r w:rsidRPr="00747D01">
              <w:rPr>
                <w:rFonts w:asciiTheme="minorHAnsi" w:hAnsiTheme="minorHAnsi" w:cs="Arial"/>
                <w:bCs/>
                <w:sz w:val="18"/>
                <w:szCs w:val="18"/>
              </w:rPr>
              <w:t>3</w:t>
            </w:r>
            <w:r w:rsidR="00374DE7" w:rsidRPr="00747D01">
              <w:rPr>
                <w:rFonts w:asciiTheme="minorHAnsi" w:hAnsiTheme="minorHAnsi" w:cs="Arial"/>
                <w:bCs/>
                <w:sz w:val="18"/>
                <w:szCs w:val="18"/>
              </w:rPr>
              <w:t>,</w:t>
            </w:r>
            <w:r w:rsidRPr="00747D01">
              <w:rPr>
                <w:rFonts w:asciiTheme="minorHAnsi" w:hAnsiTheme="minorHAnsi" w:cs="Arial"/>
                <w:bCs/>
                <w:sz w:val="18"/>
                <w:szCs w:val="18"/>
              </w:rPr>
              <w:t>307.8</w:t>
            </w:r>
          </w:p>
        </w:tc>
      </w:tr>
    </w:tbl>
    <w:p w:rsidR="00A65C5B" w:rsidRPr="00374DE7" w:rsidRDefault="00A65C5B" w:rsidP="00DE7F07">
      <w:pPr>
        <w:pStyle w:val="CommentText"/>
        <w:spacing w:after="0"/>
      </w:pPr>
    </w:p>
    <w:p w:rsidR="00DB6EC8" w:rsidRPr="00DB6EC8" w:rsidRDefault="00DB6EC8" w:rsidP="00F0458F">
      <w:pPr>
        <w:pStyle w:val="Heading3"/>
      </w:pPr>
      <w:bookmarkStart w:id="212" w:name="_Toc484957895"/>
      <w:bookmarkStart w:id="213" w:name="_Ref485727402"/>
      <w:bookmarkStart w:id="214" w:name="_Toc490323020"/>
      <w:r w:rsidRPr="00DB6EC8">
        <w:t>PV Energy Forecast</w:t>
      </w:r>
      <w:bookmarkEnd w:id="212"/>
      <w:bookmarkEnd w:id="213"/>
      <w:bookmarkEnd w:id="214"/>
    </w:p>
    <w:p w:rsidR="00DB6EC8" w:rsidRPr="00DB6EC8" w:rsidRDefault="00DB6EC8" w:rsidP="00DB6EC8">
      <w:pPr>
        <w:spacing w:after="200" w:line="276" w:lineRule="auto"/>
      </w:pPr>
      <w:r w:rsidRPr="00DB6EC8">
        <w:t>Using the nameplate PV forecast, historical installation rates, and performance based on a statistical sample of PV production data, the ISO estimates a PV energy forecast. Beginning with the 2016 forecast, the ISO has estimated BTM PV’s summer peak load reductions along with the growth of PV penetrations. Higher PV penetrations account for diminishing PV production overall because they cause peak loads to occur later in the afternoon when PV is less effective at reducing the load.</w:t>
      </w:r>
      <w:r w:rsidRPr="00DB6EC8">
        <w:rPr>
          <w:vertAlign w:val="superscript"/>
        </w:rPr>
        <w:footnoteReference w:id="83"/>
      </w:r>
      <w:r w:rsidRPr="00DB6EC8">
        <w:t xml:space="preserve"> </w:t>
      </w:r>
      <w:r w:rsidR="00D95957">
        <w:fldChar w:fldCharType="begin"/>
      </w:r>
      <w:r w:rsidR="00D95957">
        <w:instrText xml:space="preserve"> REF _Ref491176513 \h </w:instrText>
      </w:r>
      <w:r w:rsidR="00D95957">
        <w:fldChar w:fldCharType="separate"/>
      </w:r>
      <w:r w:rsidR="00D95957">
        <w:t xml:space="preserve">Table </w:t>
      </w:r>
      <w:r w:rsidR="00D95957">
        <w:rPr>
          <w:noProof/>
        </w:rPr>
        <w:t>3</w:t>
      </w:r>
      <w:r w:rsidR="00D95957">
        <w:noBreakHyphen/>
      </w:r>
      <w:r w:rsidR="00D95957">
        <w:rPr>
          <w:noProof/>
        </w:rPr>
        <w:t>5</w:t>
      </w:r>
      <w:r w:rsidR="00D95957">
        <w:fldChar w:fldCharType="end"/>
      </w:r>
      <w:r w:rsidRPr="00DB6EC8">
        <w:t xml:space="preserve"> shows the values of regional annual energy savings and summer peak demand reductions from the 2017 forecast of BTM PV.</w:t>
      </w:r>
      <w:r w:rsidR="00B41E67" w:rsidRPr="00B41E67">
        <w:rPr>
          <w:rFonts w:ascii="Arial Narrow" w:eastAsia="Times New Roman" w:hAnsi="Arial Narrow" w:cs="Arial"/>
          <w:spacing w:val="-5"/>
        </w:rPr>
        <w:t xml:space="preserve"> </w:t>
      </w:r>
    </w:p>
    <w:p w:rsidR="00DB6EC8" w:rsidRPr="00DB6EC8" w:rsidRDefault="00D95957" w:rsidP="00D95957">
      <w:pPr>
        <w:pStyle w:val="Caption"/>
        <w:rPr>
          <w:b w:val="0"/>
          <w:bCs w:val="0"/>
        </w:rPr>
      </w:pPr>
      <w:bookmarkStart w:id="215" w:name="_Ref491176513"/>
      <w:bookmarkStart w:id="216" w:name="_Toc491244001"/>
      <w:r>
        <w:t xml:space="preserve">Table </w:t>
      </w:r>
      <w:r w:rsidR="00CC063D">
        <w:fldChar w:fldCharType="begin"/>
      </w:r>
      <w:r w:rsidR="00CC063D">
        <w:instrText xml:space="preserve"> STYLEREF 1 \s </w:instrText>
      </w:r>
      <w:r w:rsidR="00CC063D">
        <w:fldChar w:fldCharType="separate"/>
      </w:r>
      <w:r>
        <w:rPr>
          <w:noProof/>
        </w:rPr>
        <w:t>3</w:t>
      </w:r>
      <w:r w:rsidR="00CC063D">
        <w:rPr>
          <w:noProof/>
        </w:rPr>
        <w:fldChar w:fldCharType="end"/>
      </w:r>
      <w:r>
        <w:noBreakHyphen/>
      </w:r>
      <w:r w:rsidR="00CC063D">
        <w:fldChar w:fldCharType="begin"/>
      </w:r>
      <w:r w:rsidR="00CC063D">
        <w:instrText xml:space="preserve"> SEQ Table \* ARABIC \s 1 </w:instrText>
      </w:r>
      <w:r w:rsidR="00CC063D">
        <w:fldChar w:fldCharType="separate"/>
      </w:r>
      <w:r>
        <w:rPr>
          <w:noProof/>
        </w:rPr>
        <w:t>5</w:t>
      </w:r>
      <w:r w:rsidR="00CC063D">
        <w:rPr>
          <w:noProof/>
        </w:rPr>
        <w:fldChar w:fldCharType="end"/>
      </w:r>
      <w:bookmarkEnd w:id="215"/>
      <w:r w:rsidR="00DB6EC8" w:rsidRPr="00DB6EC8">
        <w:rPr>
          <w:b w:val="0"/>
          <w:bCs w:val="0"/>
        </w:rPr>
        <w:br/>
      </w:r>
      <w:r w:rsidR="00DB6EC8" w:rsidRPr="00D97CE6">
        <w:rPr>
          <w:bCs w:val="0"/>
        </w:rPr>
        <w:t xml:space="preserve">Summary of BTM PV Forecast Annual Electric Energy Savings and Peak Demand Reductions </w:t>
      </w:r>
      <w:r w:rsidR="00DB6EC8" w:rsidRPr="00D97CE6">
        <w:rPr>
          <w:bCs w:val="0"/>
        </w:rPr>
        <w:br/>
        <w:t>for New England and the States, 2017 and 2026 (GWh, MW)</w:t>
      </w:r>
      <w:bookmarkEnd w:id="216"/>
    </w:p>
    <w:tbl>
      <w:tblPr>
        <w:tblStyle w:val="TableGrid6"/>
        <w:tblW w:w="0" w:type="auto"/>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1050"/>
        <w:gridCol w:w="776"/>
        <w:gridCol w:w="777"/>
        <w:gridCol w:w="776"/>
        <w:gridCol w:w="777"/>
        <w:gridCol w:w="776"/>
        <w:gridCol w:w="777"/>
      </w:tblGrid>
      <w:tr w:rsidR="00DB6EC8" w:rsidRPr="00DB6EC8" w:rsidTr="00DB6EC8">
        <w:trPr>
          <w:trHeight w:val="829"/>
          <w:jc w:val="center"/>
        </w:trPr>
        <w:tc>
          <w:tcPr>
            <w:tcW w:w="1050" w:type="dxa"/>
            <w:vMerge w:val="restart"/>
            <w:shd w:val="clear" w:color="auto" w:fill="1795D2" w:themeFill="accent1"/>
            <w:noWrap/>
            <w:tcMar>
              <w:left w:w="29" w:type="dxa"/>
              <w:right w:w="29" w:type="dxa"/>
            </w:tcMar>
            <w:vAlign w:val="center"/>
            <w:hideMark/>
          </w:tcPr>
          <w:p w:rsidR="00DB6EC8" w:rsidRPr="00DB6EC8" w:rsidRDefault="00DB6EC8" w:rsidP="00DB6EC8">
            <w:pPr>
              <w:keepNext/>
              <w:keepLines/>
              <w:spacing w:after="0" w:line="240" w:lineRule="auto"/>
              <w:jc w:val="center"/>
              <w:rPr>
                <w:rFonts w:asciiTheme="minorHAnsi" w:hAnsiTheme="minorHAnsi"/>
                <w:b/>
                <w:color w:val="FFFFFF" w:themeColor="background1"/>
                <w:sz w:val="18"/>
                <w:szCs w:val="18"/>
              </w:rPr>
            </w:pPr>
            <w:r w:rsidRPr="00DB6EC8">
              <w:rPr>
                <w:rFonts w:asciiTheme="minorHAnsi" w:hAnsiTheme="minorHAnsi"/>
                <w:b/>
                <w:color w:val="FFFFFF" w:themeColor="background1"/>
                <w:sz w:val="18"/>
                <w:szCs w:val="18"/>
              </w:rPr>
              <w:t>State</w:t>
            </w:r>
          </w:p>
        </w:tc>
        <w:tc>
          <w:tcPr>
            <w:tcW w:w="2329" w:type="dxa"/>
            <w:gridSpan w:val="3"/>
            <w:shd w:val="clear" w:color="auto" w:fill="1795D2" w:themeFill="accent1"/>
            <w:noWrap/>
            <w:tcMar>
              <w:left w:w="29" w:type="dxa"/>
              <w:right w:w="29" w:type="dxa"/>
            </w:tcMar>
            <w:vAlign w:val="center"/>
            <w:hideMark/>
          </w:tcPr>
          <w:p w:rsidR="00DB6EC8" w:rsidRPr="00DB6EC8" w:rsidRDefault="00DB6EC8" w:rsidP="00DB6EC8">
            <w:pPr>
              <w:keepNext/>
              <w:keepLines/>
              <w:spacing w:after="0" w:line="240" w:lineRule="auto"/>
              <w:jc w:val="center"/>
              <w:rPr>
                <w:rFonts w:asciiTheme="minorHAnsi" w:hAnsiTheme="minorHAnsi"/>
                <w:b/>
                <w:bCs/>
                <w:color w:val="FFFFFF" w:themeColor="background1"/>
                <w:sz w:val="18"/>
                <w:szCs w:val="18"/>
              </w:rPr>
            </w:pPr>
            <w:r w:rsidRPr="00DB6EC8">
              <w:rPr>
                <w:rFonts w:asciiTheme="minorHAnsi" w:hAnsiTheme="minorHAnsi"/>
                <w:b/>
                <w:bCs/>
                <w:color w:val="FFFFFF" w:themeColor="background1"/>
                <w:sz w:val="18"/>
                <w:szCs w:val="18"/>
              </w:rPr>
              <w:t>Annual Energy Savings</w:t>
            </w:r>
          </w:p>
          <w:p w:rsidR="00DB6EC8" w:rsidRPr="00DB6EC8" w:rsidRDefault="00DB6EC8" w:rsidP="00DB6EC8">
            <w:pPr>
              <w:keepNext/>
              <w:keepLines/>
              <w:spacing w:after="0" w:line="240" w:lineRule="auto"/>
              <w:jc w:val="center"/>
              <w:rPr>
                <w:rFonts w:asciiTheme="minorHAnsi" w:hAnsiTheme="minorHAnsi"/>
                <w:b/>
                <w:bCs/>
                <w:color w:val="FFFFFF" w:themeColor="background1"/>
                <w:sz w:val="18"/>
                <w:szCs w:val="18"/>
              </w:rPr>
            </w:pPr>
            <w:r w:rsidRPr="00DB6EC8">
              <w:rPr>
                <w:rFonts w:asciiTheme="minorHAnsi" w:hAnsiTheme="minorHAnsi"/>
                <w:b/>
                <w:bCs/>
                <w:color w:val="FFFFFF" w:themeColor="background1"/>
                <w:sz w:val="18"/>
                <w:szCs w:val="18"/>
              </w:rPr>
              <w:t>(GWh)</w:t>
            </w:r>
          </w:p>
        </w:tc>
        <w:tc>
          <w:tcPr>
            <w:tcW w:w="2330" w:type="dxa"/>
            <w:gridSpan w:val="3"/>
            <w:shd w:val="clear" w:color="auto" w:fill="1795D2" w:themeFill="accent1"/>
            <w:noWrap/>
            <w:tcMar>
              <w:left w:w="29" w:type="dxa"/>
              <w:right w:w="29" w:type="dxa"/>
            </w:tcMar>
            <w:vAlign w:val="center"/>
            <w:hideMark/>
          </w:tcPr>
          <w:p w:rsidR="00DB6EC8" w:rsidRPr="00DB6EC8" w:rsidRDefault="00DB6EC8" w:rsidP="00DB6EC8">
            <w:pPr>
              <w:keepNext/>
              <w:keepLines/>
              <w:spacing w:after="0" w:line="240" w:lineRule="auto"/>
              <w:jc w:val="center"/>
              <w:rPr>
                <w:rFonts w:asciiTheme="minorHAnsi" w:hAnsiTheme="minorHAnsi"/>
                <w:b/>
                <w:bCs/>
                <w:color w:val="FFFFFF" w:themeColor="background1"/>
                <w:sz w:val="18"/>
                <w:szCs w:val="18"/>
              </w:rPr>
            </w:pPr>
            <w:r w:rsidRPr="00DB6EC8">
              <w:rPr>
                <w:rFonts w:asciiTheme="minorHAnsi" w:hAnsiTheme="minorHAnsi"/>
                <w:b/>
                <w:bCs/>
                <w:color w:val="FFFFFF" w:themeColor="background1"/>
                <w:sz w:val="18"/>
                <w:szCs w:val="18"/>
              </w:rPr>
              <w:t>Summer Peak Demand Reductions</w:t>
            </w:r>
          </w:p>
          <w:p w:rsidR="00DB6EC8" w:rsidRPr="00DB6EC8" w:rsidRDefault="00DB6EC8" w:rsidP="00DB6EC8">
            <w:pPr>
              <w:keepNext/>
              <w:keepLines/>
              <w:spacing w:after="0" w:line="240" w:lineRule="auto"/>
              <w:jc w:val="center"/>
              <w:rPr>
                <w:rFonts w:asciiTheme="minorHAnsi" w:hAnsiTheme="minorHAnsi"/>
                <w:b/>
                <w:bCs/>
                <w:color w:val="FFFFFF" w:themeColor="background1"/>
                <w:sz w:val="18"/>
                <w:szCs w:val="18"/>
              </w:rPr>
            </w:pPr>
            <w:r w:rsidRPr="00DB6EC8">
              <w:rPr>
                <w:rFonts w:asciiTheme="minorHAnsi" w:hAnsiTheme="minorHAnsi"/>
                <w:b/>
                <w:bCs/>
                <w:color w:val="FFFFFF" w:themeColor="background1"/>
                <w:sz w:val="18"/>
                <w:szCs w:val="18"/>
              </w:rPr>
              <w:t>(MW)</w:t>
            </w:r>
          </w:p>
        </w:tc>
      </w:tr>
      <w:tr w:rsidR="00DB6EC8" w:rsidRPr="00DB6EC8" w:rsidTr="00DE59F2">
        <w:trPr>
          <w:trHeight w:val="312"/>
          <w:jc w:val="center"/>
        </w:trPr>
        <w:tc>
          <w:tcPr>
            <w:tcW w:w="1050" w:type="dxa"/>
            <w:vMerge/>
            <w:shd w:val="clear" w:color="auto" w:fill="1795D2" w:themeFill="accent1"/>
            <w:noWrap/>
            <w:tcMar>
              <w:left w:w="29" w:type="dxa"/>
              <w:right w:w="29" w:type="dxa"/>
            </w:tcMar>
            <w:vAlign w:val="center"/>
            <w:hideMark/>
          </w:tcPr>
          <w:p w:rsidR="00DB6EC8" w:rsidRPr="00DB6EC8" w:rsidRDefault="00DB6EC8" w:rsidP="00DB6EC8">
            <w:pPr>
              <w:keepNext/>
              <w:keepLines/>
              <w:spacing w:after="0" w:line="240" w:lineRule="auto"/>
              <w:jc w:val="center"/>
              <w:rPr>
                <w:rFonts w:asciiTheme="minorHAnsi" w:hAnsiTheme="minorHAnsi"/>
                <w:color w:val="FFFFFF" w:themeColor="background1"/>
                <w:sz w:val="18"/>
                <w:szCs w:val="18"/>
              </w:rPr>
            </w:pPr>
          </w:p>
        </w:tc>
        <w:tc>
          <w:tcPr>
            <w:tcW w:w="776" w:type="dxa"/>
            <w:shd w:val="clear" w:color="auto" w:fill="1795D2" w:themeFill="accent1"/>
            <w:noWrap/>
            <w:tcMar>
              <w:left w:w="29" w:type="dxa"/>
              <w:right w:w="29" w:type="dxa"/>
            </w:tcMar>
            <w:vAlign w:val="center"/>
            <w:hideMark/>
          </w:tcPr>
          <w:p w:rsidR="00DB6EC8" w:rsidRPr="00DB6EC8" w:rsidRDefault="00DB6EC8" w:rsidP="00DB6EC8">
            <w:pPr>
              <w:keepNext/>
              <w:keepLines/>
              <w:spacing w:after="0" w:line="240" w:lineRule="auto"/>
              <w:jc w:val="center"/>
              <w:rPr>
                <w:rFonts w:asciiTheme="minorHAnsi" w:hAnsiTheme="minorHAnsi"/>
                <w:b/>
                <w:bCs/>
                <w:color w:val="FFFFFF" w:themeColor="background1"/>
                <w:sz w:val="18"/>
                <w:szCs w:val="18"/>
              </w:rPr>
            </w:pPr>
            <w:r w:rsidRPr="00DB6EC8">
              <w:rPr>
                <w:rFonts w:asciiTheme="minorHAnsi" w:hAnsiTheme="minorHAnsi"/>
                <w:b/>
                <w:bCs/>
                <w:color w:val="FFFFFF" w:themeColor="background1"/>
                <w:sz w:val="18"/>
                <w:szCs w:val="18"/>
              </w:rPr>
              <w:t>2017</w:t>
            </w:r>
          </w:p>
        </w:tc>
        <w:tc>
          <w:tcPr>
            <w:tcW w:w="777" w:type="dxa"/>
            <w:shd w:val="clear" w:color="auto" w:fill="1795D2" w:themeFill="accent1"/>
            <w:noWrap/>
            <w:tcMar>
              <w:left w:w="29" w:type="dxa"/>
              <w:right w:w="29" w:type="dxa"/>
            </w:tcMar>
            <w:vAlign w:val="center"/>
            <w:hideMark/>
          </w:tcPr>
          <w:p w:rsidR="00DB6EC8" w:rsidRPr="00DB6EC8" w:rsidRDefault="00DB6EC8" w:rsidP="00DB6EC8">
            <w:pPr>
              <w:keepNext/>
              <w:keepLines/>
              <w:spacing w:after="0" w:line="240" w:lineRule="auto"/>
              <w:jc w:val="center"/>
              <w:rPr>
                <w:rFonts w:asciiTheme="minorHAnsi" w:hAnsiTheme="minorHAnsi"/>
                <w:b/>
                <w:bCs/>
                <w:color w:val="FFFFFF" w:themeColor="background1"/>
                <w:sz w:val="18"/>
                <w:szCs w:val="18"/>
              </w:rPr>
            </w:pPr>
            <w:r w:rsidRPr="00DB6EC8">
              <w:rPr>
                <w:rFonts w:asciiTheme="minorHAnsi" w:hAnsiTheme="minorHAnsi"/>
                <w:b/>
                <w:bCs/>
                <w:color w:val="FFFFFF" w:themeColor="background1"/>
                <w:sz w:val="18"/>
                <w:szCs w:val="18"/>
              </w:rPr>
              <w:t>2026</w:t>
            </w:r>
          </w:p>
        </w:tc>
        <w:tc>
          <w:tcPr>
            <w:tcW w:w="776" w:type="dxa"/>
            <w:shd w:val="clear" w:color="auto" w:fill="1795D2" w:themeFill="accent1"/>
            <w:noWrap/>
            <w:tcMar>
              <w:left w:w="29" w:type="dxa"/>
              <w:right w:w="29" w:type="dxa"/>
            </w:tcMar>
            <w:vAlign w:val="center"/>
            <w:hideMark/>
          </w:tcPr>
          <w:p w:rsidR="00DB6EC8" w:rsidRPr="00DB6EC8" w:rsidRDefault="00DB6EC8" w:rsidP="00DB6EC8">
            <w:pPr>
              <w:keepNext/>
              <w:keepLines/>
              <w:spacing w:after="0" w:line="240" w:lineRule="auto"/>
              <w:jc w:val="center"/>
              <w:rPr>
                <w:rFonts w:asciiTheme="minorHAnsi" w:hAnsiTheme="minorHAnsi"/>
                <w:b/>
                <w:bCs/>
                <w:color w:val="FFFFFF" w:themeColor="background1"/>
                <w:sz w:val="18"/>
                <w:szCs w:val="18"/>
              </w:rPr>
            </w:pPr>
            <w:r w:rsidRPr="00DB6EC8">
              <w:rPr>
                <w:rFonts w:asciiTheme="minorHAnsi" w:hAnsiTheme="minorHAnsi"/>
                <w:b/>
                <w:bCs/>
                <w:color w:val="FFFFFF" w:themeColor="background1"/>
                <w:sz w:val="18"/>
                <w:szCs w:val="18"/>
              </w:rPr>
              <w:t>CAGR</w:t>
            </w:r>
            <w:r w:rsidRPr="00DB6EC8">
              <w:rPr>
                <w:rFonts w:asciiTheme="minorHAnsi" w:hAnsiTheme="minorHAnsi"/>
                <w:b/>
                <w:bCs/>
                <w:color w:val="FFFFFF" w:themeColor="background1"/>
                <w:sz w:val="18"/>
                <w:szCs w:val="18"/>
                <w:vertAlign w:val="superscript"/>
              </w:rPr>
              <w:t>(a)</w:t>
            </w:r>
          </w:p>
        </w:tc>
        <w:tc>
          <w:tcPr>
            <w:tcW w:w="777" w:type="dxa"/>
            <w:shd w:val="clear" w:color="auto" w:fill="1795D2" w:themeFill="accent1"/>
            <w:noWrap/>
            <w:tcMar>
              <w:left w:w="29" w:type="dxa"/>
              <w:right w:w="29" w:type="dxa"/>
            </w:tcMar>
            <w:vAlign w:val="center"/>
            <w:hideMark/>
          </w:tcPr>
          <w:p w:rsidR="00DB6EC8" w:rsidRPr="00DB6EC8" w:rsidRDefault="00DB6EC8" w:rsidP="00DB6EC8">
            <w:pPr>
              <w:keepNext/>
              <w:keepLines/>
              <w:spacing w:after="0" w:line="240" w:lineRule="auto"/>
              <w:jc w:val="center"/>
              <w:rPr>
                <w:rFonts w:asciiTheme="minorHAnsi" w:hAnsiTheme="minorHAnsi"/>
                <w:b/>
                <w:bCs/>
                <w:color w:val="FFFFFF" w:themeColor="background1"/>
                <w:sz w:val="18"/>
                <w:szCs w:val="18"/>
              </w:rPr>
            </w:pPr>
            <w:r w:rsidRPr="00DB6EC8">
              <w:rPr>
                <w:rFonts w:asciiTheme="minorHAnsi" w:hAnsiTheme="minorHAnsi"/>
                <w:b/>
                <w:bCs/>
                <w:color w:val="FFFFFF" w:themeColor="background1"/>
                <w:sz w:val="18"/>
                <w:szCs w:val="18"/>
              </w:rPr>
              <w:t>2017</w:t>
            </w:r>
          </w:p>
        </w:tc>
        <w:tc>
          <w:tcPr>
            <w:tcW w:w="776" w:type="dxa"/>
            <w:shd w:val="clear" w:color="auto" w:fill="1795D2" w:themeFill="accent1"/>
            <w:noWrap/>
            <w:tcMar>
              <w:left w:w="29" w:type="dxa"/>
              <w:right w:w="29" w:type="dxa"/>
            </w:tcMar>
            <w:vAlign w:val="center"/>
            <w:hideMark/>
          </w:tcPr>
          <w:p w:rsidR="00DB6EC8" w:rsidRPr="00DB6EC8" w:rsidRDefault="00DB6EC8" w:rsidP="00DB6EC8">
            <w:pPr>
              <w:keepNext/>
              <w:keepLines/>
              <w:spacing w:after="0" w:line="240" w:lineRule="auto"/>
              <w:jc w:val="center"/>
              <w:rPr>
                <w:rFonts w:asciiTheme="minorHAnsi" w:hAnsiTheme="minorHAnsi"/>
                <w:b/>
                <w:bCs/>
                <w:color w:val="FFFFFF" w:themeColor="background1"/>
                <w:sz w:val="18"/>
                <w:szCs w:val="18"/>
              </w:rPr>
            </w:pPr>
            <w:r w:rsidRPr="00DB6EC8">
              <w:rPr>
                <w:rFonts w:asciiTheme="minorHAnsi" w:hAnsiTheme="minorHAnsi"/>
                <w:b/>
                <w:bCs/>
                <w:color w:val="FFFFFF" w:themeColor="background1"/>
                <w:sz w:val="18"/>
                <w:szCs w:val="18"/>
              </w:rPr>
              <w:t>2026</w:t>
            </w:r>
          </w:p>
        </w:tc>
        <w:tc>
          <w:tcPr>
            <w:tcW w:w="777" w:type="dxa"/>
            <w:shd w:val="clear" w:color="auto" w:fill="1795D2" w:themeFill="accent1"/>
            <w:noWrap/>
            <w:tcMar>
              <w:left w:w="29" w:type="dxa"/>
              <w:right w:w="29" w:type="dxa"/>
            </w:tcMar>
            <w:vAlign w:val="center"/>
            <w:hideMark/>
          </w:tcPr>
          <w:p w:rsidR="00DB6EC8" w:rsidRPr="00DB6EC8" w:rsidRDefault="00DB6EC8" w:rsidP="00DB6EC8">
            <w:pPr>
              <w:keepNext/>
              <w:keepLines/>
              <w:spacing w:after="0" w:line="240" w:lineRule="auto"/>
              <w:jc w:val="center"/>
              <w:rPr>
                <w:rFonts w:asciiTheme="minorHAnsi" w:hAnsiTheme="minorHAnsi"/>
                <w:b/>
                <w:bCs/>
                <w:color w:val="FFFFFF" w:themeColor="background1"/>
                <w:sz w:val="18"/>
                <w:szCs w:val="18"/>
              </w:rPr>
            </w:pPr>
            <w:r w:rsidRPr="00DB6EC8">
              <w:rPr>
                <w:rFonts w:asciiTheme="minorHAnsi" w:hAnsiTheme="minorHAnsi"/>
                <w:b/>
                <w:bCs/>
                <w:color w:val="FFFFFF" w:themeColor="background1"/>
                <w:sz w:val="18"/>
                <w:szCs w:val="18"/>
              </w:rPr>
              <w:t>CAGR</w:t>
            </w:r>
            <w:r w:rsidRPr="00DB6EC8">
              <w:rPr>
                <w:rFonts w:asciiTheme="minorHAnsi" w:hAnsiTheme="minorHAnsi"/>
                <w:b/>
                <w:bCs/>
                <w:color w:val="FFFFFF" w:themeColor="background1"/>
                <w:sz w:val="18"/>
                <w:szCs w:val="18"/>
                <w:vertAlign w:val="superscript"/>
              </w:rPr>
              <w:t>(a)</w:t>
            </w:r>
          </w:p>
        </w:tc>
      </w:tr>
      <w:tr w:rsidR="00DB6EC8" w:rsidRPr="00DB6EC8" w:rsidTr="00DE59F2">
        <w:trPr>
          <w:trHeight w:val="312"/>
          <w:jc w:val="center"/>
        </w:trPr>
        <w:tc>
          <w:tcPr>
            <w:tcW w:w="1050" w:type="dxa"/>
            <w:noWrap/>
            <w:tcMar>
              <w:left w:w="115" w:type="dxa"/>
              <w:right w:w="0" w:type="dxa"/>
            </w:tcMar>
            <w:vAlign w:val="center"/>
            <w:hideMark/>
          </w:tcPr>
          <w:p w:rsidR="00DB6EC8" w:rsidRPr="00DB6EC8" w:rsidRDefault="00DB6EC8" w:rsidP="00DB6EC8">
            <w:pPr>
              <w:keepNext/>
              <w:keepLines/>
              <w:spacing w:after="0" w:line="240" w:lineRule="auto"/>
              <w:rPr>
                <w:rFonts w:asciiTheme="minorHAnsi" w:hAnsiTheme="minorHAnsi"/>
                <w:b/>
                <w:sz w:val="18"/>
                <w:szCs w:val="18"/>
              </w:rPr>
            </w:pPr>
            <w:r w:rsidRPr="00DB6EC8">
              <w:rPr>
                <w:rFonts w:asciiTheme="minorHAnsi" w:hAnsiTheme="minorHAnsi"/>
                <w:b/>
                <w:sz w:val="18"/>
                <w:szCs w:val="18"/>
              </w:rPr>
              <w:t>CT</w:t>
            </w:r>
          </w:p>
        </w:tc>
        <w:tc>
          <w:tcPr>
            <w:tcW w:w="776" w:type="dxa"/>
            <w:noWrap/>
            <w:tcMar>
              <w:top w:w="29" w:type="dxa"/>
              <w:left w:w="0" w:type="dxa"/>
              <w:bottom w:w="29" w:type="dxa"/>
              <w:right w:w="115" w:type="dxa"/>
            </w:tcMar>
            <w:vAlign w:val="center"/>
            <w:hideMark/>
          </w:tcPr>
          <w:p w:rsidR="00DB6EC8" w:rsidRPr="00DB6EC8" w:rsidRDefault="00DB6EC8" w:rsidP="00DB6EC8">
            <w:pPr>
              <w:keepNext/>
              <w:keepLines/>
              <w:spacing w:after="0" w:line="240" w:lineRule="auto"/>
              <w:jc w:val="right"/>
              <w:rPr>
                <w:rFonts w:asciiTheme="minorHAnsi" w:hAnsiTheme="minorHAnsi"/>
                <w:sz w:val="18"/>
                <w:szCs w:val="18"/>
              </w:rPr>
            </w:pPr>
            <w:r w:rsidRPr="00DB6EC8">
              <w:rPr>
                <w:rFonts w:asciiTheme="minorHAnsi" w:hAnsiTheme="minorHAnsi"/>
                <w:sz w:val="18"/>
                <w:szCs w:val="18"/>
              </w:rPr>
              <w:t>435</w:t>
            </w:r>
          </w:p>
        </w:tc>
        <w:tc>
          <w:tcPr>
            <w:tcW w:w="777" w:type="dxa"/>
            <w:noWrap/>
            <w:tcMar>
              <w:top w:w="29" w:type="dxa"/>
              <w:left w:w="0" w:type="dxa"/>
              <w:bottom w:w="29" w:type="dxa"/>
              <w:right w:w="115" w:type="dxa"/>
            </w:tcMar>
            <w:vAlign w:val="center"/>
            <w:hideMark/>
          </w:tcPr>
          <w:p w:rsidR="00DB6EC8" w:rsidRPr="00DB6EC8" w:rsidRDefault="00DB6EC8" w:rsidP="00DB6EC8">
            <w:pPr>
              <w:keepNext/>
              <w:keepLines/>
              <w:spacing w:after="0" w:line="240" w:lineRule="auto"/>
              <w:jc w:val="right"/>
              <w:rPr>
                <w:rFonts w:asciiTheme="minorHAnsi" w:hAnsiTheme="minorHAnsi"/>
                <w:sz w:val="18"/>
                <w:szCs w:val="18"/>
              </w:rPr>
            </w:pPr>
            <w:r w:rsidRPr="00DB6EC8">
              <w:rPr>
                <w:rFonts w:asciiTheme="minorHAnsi" w:hAnsiTheme="minorHAnsi"/>
                <w:sz w:val="18"/>
                <w:szCs w:val="18"/>
              </w:rPr>
              <w:t>1,273</w:t>
            </w:r>
          </w:p>
        </w:tc>
        <w:tc>
          <w:tcPr>
            <w:tcW w:w="776" w:type="dxa"/>
            <w:noWrap/>
            <w:tcMar>
              <w:top w:w="29" w:type="dxa"/>
              <w:left w:w="0" w:type="dxa"/>
              <w:bottom w:w="29" w:type="dxa"/>
              <w:right w:w="115" w:type="dxa"/>
            </w:tcMar>
            <w:vAlign w:val="center"/>
            <w:hideMark/>
          </w:tcPr>
          <w:p w:rsidR="00DB6EC8" w:rsidRPr="00DB6EC8" w:rsidRDefault="00DB6EC8" w:rsidP="00DB6EC8">
            <w:pPr>
              <w:keepNext/>
              <w:keepLines/>
              <w:spacing w:after="0" w:line="240" w:lineRule="auto"/>
              <w:jc w:val="right"/>
              <w:rPr>
                <w:rFonts w:asciiTheme="minorHAnsi" w:hAnsiTheme="minorHAnsi"/>
                <w:sz w:val="18"/>
                <w:szCs w:val="18"/>
              </w:rPr>
            </w:pPr>
            <w:r w:rsidRPr="00DB6EC8">
              <w:rPr>
                <w:rFonts w:asciiTheme="minorHAnsi" w:hAnsiTheme="minorHAnsi"/>
                <w:sz w:val="18"/>
                <w:szCs w:val="18"/>
              </w:rPr>
              <w:t>12.7</w:t>
            </w:r>
          </w:p>
        </w:tc>
        <w:tc>
          <w:tcPr>
            <w:tcW w:w="777" w:type="dxa"/>
            <w:noWrap/>
            <w:tcMar>
              <w:top w:w="29" w:type="dxa"/>
              <w:left w:w="0" w:type="dxa"/>
              <w:bottom w:w="29" w:type="dxa"/>
              <w:right w:w="115" w:type="dxa"/>
            </w:tcMar>
            <w:vAlign w:val="center"/>
            <w:hideMark/>
          </w:tcPr>
          <w:p w:rsidR="00DB6EC8" w:rsidRPr="00DB6EC8" w:rsidRDefault="00DB6EC8" w:rsidP="00DB6EC8">
            <w:pPr>
              <w:keepNext/>
              <w:keepLines/>
              <w:spacing w:after="0" w:line="240" w:lineRule="auto"/>
              <w:jc w:val="right"/>
              <w:rPr>
                <w:rFonts w:asciiTheme="minorHAnsi" w:hAnsiTheme="minorHAnsi"/>
                <w:sz w:val="18"/>
                <w:szCs w:val="18"/>
              </w:rPr>
            </w:pPr>
            <w:r w:rsidRPr="00DB6EC8">
              <w:rPr>
                <w:rFonts w:asciiTheme="minorHAnsi" w:hAnsiTheme="minorHAnsi"/>
                <w:sz w:val="18"/>
                <w:szCs w:val="18"/>
              </w:rPr>
              <w:t>133</w:t>
            </w:r>
          </w:p>
        </w:tc>
        <w:tc>
          <w:tcPr>
            <w:tcW w:w="776" w:type="dxa"/>
            <w:noWrap/>
            <w:tcMar>
              <w:top w:w="29" w:type="dxa"/>
              <w:left w:w="0" w:type="dxa"/>
              <w:bottom w:w="29" w:type="dxa"/>
              <w:right w:w="115" w:type="dxa"/>
            </w:tcMar>
            <w:vAlign w:val="center"/>
            <w:hideMark/>
          </w:tcPr>
          <w:p w:rsidR="00DB6EC8" w:rsidRPr="00DB6EC8" w:rsidRDefault="00DB6EC8" w:rsidP="00DB6EC8">
            <w:pPr>
              <w:keepNext/>
              <w:keepLines/>
              <w:spacing w:after="0" w:line="240" w:lineRule="auto"/>
              <w:jc w:val="right"/>
              <w:rPr>
                <w:rFonts w:asciiTheme="minorHAnsi" w:hAnsiTheme="minorHAnsi"/>
                <w:sz w:val="18"/>
                <w:szCs w:val="18"/>
              </w:rPr>
            </w:pPr>
            <w:r w:rsidRPr="00DB6EC8">
              <w:rPr>
                <w:rFonts w:asciiTheme="minorHAnsi" w:hAnsiTheme="minorHAnsi"/>
                <w:sz w:val="18"/>
                <w:szCs w:val="18"/>
              </w:rPr>
              <w:t>304</w:t>
            </w:r>
          </w:p>
        </w:tc>
        <w:tc>
          <w:tcPr>
            <w:tcW w:w="777" w:type="dxa"/>
            <w:noWrap/>
            <w:tcMar>
              <w:top w:w="29" w:type="dxa"/>
              <w:left w:w="0" w:type="dxa"/>
              <w:bottom w:w="29" w:type="dxa"/>
              <w:right w:w="115" w:type="dxa"/>
            </w:tcMar>
            <w:vAlign w:val="center"/>
            <w:hideMark/>
          </w:tcPr>
          <w:p w:rsidR="00DB6EC8" w:rsidRPr="00DB6EC8" w:rsidRDefault="00DB6EC8" w:rsidP="00DB6EC8">
            <w:pPr>
              <w:keepNext/>
              <w:keepLines/>
              <w:spacing w:after="0" w:line="240" w:lineRule="auto"/>
              <w:jc w:val="right"/>
              <w:rPr>
                <w:rFonts w:asciiTheme="minorHAnsi" w:hAnsiTheme="minorHAnsi"/>
                <w:sz w:val="18"/>
                <w:szCs w:val="18"/>
              </w:rPr>
            </w:pPr>
            <w:r w:rsidRPr="00DB6EC8">
              <w:rPr>
                <w:rFonts w:asciiTheme="minorHAnsi" w:hAnsiTheme="minorHAnsi"/>
                <w:sz w:val="18"/>
                <w:szCs w:val="18"/>
              </w:rPr>
              <w:t>9.6</w:t>
            </w:r>
          </w:p>
        </w:tc>
      </w:tr>
      <w:tr w:rsidR="00DB6EC8" w:rsidRPr="00DB6EC8" w:rsidTr="00DE59F2">
        <w:trPr>
          <w:trHeight w:val="312"/>
          <w:jc w:val="center"/>
        </w:trPr>
        <w:tc>
          <w:tcPr>
            <w:tcW w:w="1050" w:type="dxa"/>
            <w:shd w:val="clear" w:color="auto" w:fill="CCEAF9" w:themeFill="accent1" w:themeFillTint="33"/>
            <w:noWrap/>
            <w:tcMar>
              <w:left w:w="115" w:type="dxa"/>
              <w:right w:w="0" w:type="dxa"/>
            </w:tcMar>
            <w:vAlign w:val="center"/>
            <w:hideMark/>
          </w:tcPr>
          <w:p w:rsidR="00DB6EC8" w:rsidRPr="00DB6EC8" w:rsidRDefault="00DB6EC8" w:rsidP="00DB6EC8">
            <w:pPr>
              <w:keepNext/>
              <w:keepLines/>
              <w:spacing w:after="0" w:line="240" w:lineRule="auto"/>
              <w:rPr>
                <w:rFonts w:asciiTheme="minorHAnsi" w:hAnsiTheme="minorHAnsi"/>
                <w:b/>
                <w:sz w:val="18"/>
                <w:szCs w:val="18"/>
              </w:rPr>
            </w:pPr>
            <w:r w:rsidRPr="00DB6EC8">
              <w:rPr>
                <w:rFonts w:asciiTheme="minorHAnsi" w:hAnsiTheme="minorHAnsi"/>
                <w:b/>
                <w:sz w:val="18"/>
                <w:szCs w:val="18"/>
              </w:rPr>
              <w:t>ME</w:t>
            </w:r>
          </w:p>
        </w:tc>
        <w:tc>
          <w:tcPr>
            <w:tcW w:w="776" w:type="dxa"/>
            <w:shd w:val="clear" w:color="auto" w:fill="CCEAF9" w:themeFill="accent1" w:themeFillTint="33"/>
            <w:noWrap/>
            <w:tcMar>
              <w:top w:w="29" w:type="dxa"/>
              <w:left w:w="0" w:type="dxa"/>
              <w:bottom w:w="29" w:type="dxa"/>
              <w:right w:w="115" w:type="dxa"/>
            </w:tcMar>
            <w:vAlign w:val="center"/>
            <w:hideMark/>
          </w:tcPr>
          <w:p w:rsidR="00DB6EC8" w:rsidRPr="00DB6EC8" w:rsidRDefault="00DB6EC8" w:rsidP="00DB6EC8">
            <w:pPr>
              <w:keepNext/>
              <w:keepLines/>
              <w:spacing w:after="0" w:line="240" w:lineRule="auto"/>
              <w:jc w:val="right"/>
              <w:rPr>
                <w:rFonts w:asciiTheme="minorHAnsi" w:hAnsiTheme="minorHAnsi"/>
                <w:sz w:val="18"/>
                <w:szCs w:val="18"/>
              </w:rPr>
            </w:pPr>
            <w:r w:rsidRPr="00DB6EC8">
              <w:rPr>
                <w:rFonts w:asciiTheme="minorHAnsi" w:hAnsiTheme="minorHAnsi"/>
                <w:sz w:val="18"/>
                <w:szCs w:val="18"/>
              </w:rPr>
              <w:t>33</w:t>
            </w:r>
          </w:p>
        </w:tc>
        <w:tc>
          <w:tcPr>
            <w:tcW w:w="777" w:type="dxa"/>
            <w:shd w:val="clear" w:color="auto" w:fill="CCEAF9" w:themeFill="accent1" w:themeFillTint="33"/>
            <w:noWrap/>
            <w:tcMar>
              <w:top w:w="29" w:type="dxa"/>
              <w:left w:w="0" w:type="dxa"/>
              <w:bottom w:w="29" w:type="dxa"/>
              <w:right w:w="115" w:type="dxa"/>
            </w:tcMar>
            <w:vAlign w:val="center"/>
            <w:hideMark/>
          </w:tcPr>
          <w:p w:rsidR="00DB6EC8" w:rsidRPr="00DB6EC8" w:rsidRDefault="00DB6EC8" w:rsidP="00DB6EC8">
            <w:pPr>
              <w:keepNext/>
              <w:keepLines/>
              <w:spacing w:after="0" w:line="240" w:lineRule="auto"/>
              <w:jc w:val="right"/>
              <w:rPr>
                <w:rFonts w:asciiTheme="minorHAnsi" w:hAnsiTheme="minorHAnsi"/>
                <w:sz w:val="18"/>
                <w:szCs w:val="18"/>
              </w:rPr>
            </w:pPr>
            <w:r w:rsidRPr="00DB6EC8">
              <w:rPr>
                <w:rFonts w:asciiTheme="minorHAnsi" w:hAnsiTheme="minorHAnsi"/>
                <w:sz w:val="18"/>
                <w:szCs w:val="18"/>
              </w:rPr>
              <w:t>107</w:t>
            </w:r>
          </w:p>
        </w:tc>
        <w:tc>
          <w:tcPr>
            <w:tcW w:w="776" w:type="dxa"/>
            <w:shd w:val="clear" w:color="auto" w:fill="CCEAF9" w:themeFill="accent1" w:themeFillTint="33"/>
            <w:noWrap/>
            <w:tcMar>
              <w:top w:w="29" w:type="dxa"/>
              <w:left w:w="0" w:type="dxa"/>
              <w:bottom w:w="29" w:type="dxa"/>
              <w:right w:w="115" w:type="dxa"/>
            </w:tcMar>
            <w:vAlign w:val="center"/>
            <w:hideMark/>
          </w:tcPr>
          <w:p w:rsidR="00DB6EC8" w:rsidRPr="00DB6EC8" w:rsidRDefault="00DB6EC8" w:rsidP="00DB6EC8">
            <w:pPr>
              <w:keepNext/>
              <w:keepLines/>
              <w:spacing w:after="0" w:line="240" w:lineRule="auto"/>
              <w:jc w:val="right"/>
              <w:rPr>
                <w:rFonts w:asciiTheme="minorHAnsi" w:hAnsiTheme="minorHAnsi"/>
                <w:sz w:val="18"/>
                <w:szCs w:val="18"/>
              </w:rPr>
            </w:pPr>
            <w:r w:rsidRPr="00DB6EC8">
              <w:rPr>
                <w:rFonts w:asciiTheme="minorHAnsi" w:hAnsiTheme="minorHAnsi"/>
                <w:sz w:val="18"/>
                <w:szCs w:val="18"/>
              </w:rPr>
              <w:t>14.0</w:t>
            </w:r>
          </w:p>
        </w:tc>
        <w:tc>
          <w:tcPr>
            <w:tcW w:w="777" w:type="dxa"/>
            <w:shd w:val="clear" w:color="auto" w:fill="CCEAF9" w:themeFill="accent1" w:themeFillTint="33"/>
            <w:noWrap/>
            <w:tcMar>
              <w:top w:w="29" w:type="dxa"/>
              <w:left w:w="0" w:type="dxa"/>
              <w:bottom w:w="29" w:type="dxa"/>
              <w:right w:w="115" w:type="dxa"/>
            </w:tcMar>
            <w:vAlign w:val="center"/>
            <w:hideMark/>
          </w:tcPr>
          <w:p w:rsidR="00DB6EC8" w:rsidRPr="00DB6EC8" w:rsidRDefault="00DB6EC8" w:rsidP="00DB6EC8">
            <w:pPr>
              <w:keepNext/>
              <w:keepLines/>
              <w:spacing w:after="0" w:line="240" w:lineRule="auto"/>
              <w:jc w:val="right"/>
              <w:rPr>
                <w:rFonts w:asciiTheme="minorHAnsi" w:hAnsiTheme="minorHAnsi"/>
                <w:sz w:val="18"/>
                <w:szCs w:val="18"/>
              </w:rPr>
            </w:pPr>
            <w:r w:rsidRPr="00DB6EC8">
              <w:rPr>
                <w:rFonts w:asciiTheme="minorHAnsi" w:hAnsiTheme="minorHAnsi"/>
                <w:sz w:val="18"/>
                <w:szCs w:val="18"/>
              </w:rPr>
              <w:t>10</w:t>
            </w:r>
          </w:p>
        </w:tc>
        <w:tc>
          <w:tcPr>
            <w:tcW w:w="776" w:type="dxa"/>
            <w:shd w:val="clear" w:color="auto" w:fill="CCEAF9" w:themeFill="accent1" w:themeFillTint="33"/>
            <w:noWrap/>
            <w:tcMar>
              <w:top w:w="29" w:type="dxa"/>
              <w:left w:w="0" w:type="dxa"/>
              <w:bottom w:w="29" w:type="dxa"/>
              <w:right w:w="115" w:type="dxa"/>
            </w:tcMar>
            <w:vAlign w:val="center"/>
            <w:hideMark/>
          </w:tcPr>
          <w:p w:rsidR="00DB6EC8" w:rsidRPr="00DB6EC8" w:rsidRDefault="00DB6EC8" w:rsidP="00DB6EC8">
            <w:pPr>
              <w:keepNext/>
              <w:keepLines/>
              <w:spacing w:after="0" w:line="240" w:lineRule="auto"/>
              <w:jc w:val="right"/>
              <w:rPr>
                <w:rFonts w:asciiTheme="minorHAnsi" w:hAnsiTheme="minorHAnsi"/>
                <w:sz w:val="18"/>
                <w:szCs w:val="18"/>
              </w:rPr>
            </w:pPr>
            <w:r w:rsidRPr="00DB6EC8">
              <w:rPr>
                <w:rFonts w:asciiTheme="minorHAnsi" w:hAnsiTheme="minorHAnsi"/>
                <w:sz w:val="18"/>
                <w:szCs w:val="18"/>
              </w:rPr>
              <w:t>26</w:t>
            </w:r>
          </w:p>
        </w:tc>
        <w:tc>
          <w:tcPr>
            <w:tcW w:w="777" w:type="dxa"/>
            <w:shd w:val="clear" w:color="auto" w:fill="CCEAF9" w:themeFill="accent1" w:themeFillTint="33"/>
            <w:noWrap/>
            <w:tcMar>
              <w:top w:w="29" w:type="dxa"/>
              <w:left w:w="0" w:type="dxa"/>
              <w:bottom w:w="29" w:type="dxa"/>
              <w:right w:w="115" w:type="dxa"/>
            </w:tcMar>
            <w:vAlign w:val="center"/>
            <w:hideMark/>
          </w:tcPr>
          <w:p w:rsidR="00DB6EC8" w:rsidRPr="00DB6EC8" w:rsidRDefault="00DB6EC8" w:rsidP="00DB6EC8">
            <w:pPr>
              <w:keepNext/>
              <w:keepLines/>
              <w:spacing w:after="0" w:line="240" w:lineRule="auto"/>
              <w:jc w:val="right"/>
              <w:rPr>
                <w:rFonts w:asciiTheme="minorHAnsi" w:hAnsiTheme="minorHAnsi"/>
                <w:sz w:val="18"/>
                <w:szCs w:val="18"/>
              </w:rPr>
            </w:pPr>
            <w:r w:rsidRPr="00DB6EC8">
              <w:rPr>
                <w:rFonts w:asciiTheme="minorHAnsi" w:hAnsiTheme="minorHAnsi"/>
                <w:sz w:val="18"/>
                <w:szCs w:val="18"/>
              </w:rPr>
              <w:t>11.0</w:t>
            </w:r>
          </w:p>
        </w:tc>
      </w:tr>
      <w:tr w:rsidR="00DB6EC8" w:rsidRPr="00DB6EC8" w:rsidTr="00DE59F2">
        <w:trPr>
          <w:trHeight w:val="312"/>
          <w:jc w:val="center"/>
        </w:trPr>
        <w:tc>
          <w:tcPr>
            <w:tcW w:w="1050" w:type="dxa"/>
            <w:noWrap/>
            <w:tcMar>
              <w:left w:w="115" w:type="dxa"/>
              <w:right w:w="0" w:type="dxa"/>
            </w:tcMar>
            <w:vAlign w:val="center"/>
            <w:hideMark/>
          </w:tcPr>
          <w:p w:rsidR="00DB6EC8" w:rsidRPr="00DB6EC8" w:rsidRDefault="00DB6EC8" w:rsidP="00DB6EC8">
            <w:pPr>
              <w:keepNext/>
              <w:keepLines/>
              <w:spacing w:after="0" w:line="240" w:lineRule="auto"/>
              <w:rPr>
                <w:rFonts w:asciiTheme="minorHAnsi" w:hAnsiTheme="minorHAnsi"/>
                <w:b/>
                <w:sz w:val="18"/>
                <w:szCs w:val="18"/>
              </w:rPr>
            </w:pPr>
            <w:r w:rsidRPr="00DB6EC8">
              <w:rPr>
                <w:rFonts w:asciiTheme="minorHAnsi" w:hAnsiTheme="minorHAnsi"/>
                <w:b/>
                <w:sz w:val="18"/>
                <w:szCs w:val="18"/>
              </w:rPr>
              <w:t>MA</w:t>
            </w:r>
          </w:p>
        </w:tc>
        <w:tc>
          <w:tcPr>
            <w:tcW w:w="776" w:type="dxa"/>
            <w:noWrap/>
            <w:tcMar>
              <w:top w:w="29" w:type="dxa"/>
              <w:left w:w="0" w:type="dxa"/>
              <w:bottom w:w="29" w:type="dxa"/>
              <w:right w:w="115" w:type="dxa"/>
            </w:tcMar>
            <w:vAlign w:val="center"/>
            <w:hideMark/>
          </w:tcPr>
          <w:p w:rsidR="00DB6EC8" w:rsidRPr="00DB6EC8" w:rsidRDefault="00DB6EC8" w:rsidP="00DB6EC8">
            <w:pPr>
              <w:keepNext/>
              <w:keepLines/>
              <w:spacing w:after="0" w:line="240" w:lineRule="auto"/>
              <w:jc w:val="right"/>
              <w:rPr>
                <w:rFonts w:asciiTheme="minorHAnsi" w:hAnsiTheme="minorHAnsi"/>
                <w:sz w:val="18"/>
                <w:szCs w:val="18"/>
              </w:rPr>
            </w:pPr>
            <w:r w:rsidRPr="00DB6EC8">
              <w:rPr>
                <w:rFonts w:asciiTheme="minorHAnsi" w:hAnsiTheme="minorHAnsi"/>
                <w:sz w:val="18"/>
                <w:szCs w:val="18"/>
              </w:rPr>
              <w:t>1,046</w:t>
            </w:r>
          </w:p>
        </w:tc>
        <w:tc>
          <w:tcPr>
            <w:tcW w:w="777" w:type="dxa"/>
            <w:noWrap/>
            <w:tcMar>
              <w:top w:w="29" w:type="dxa"/>
              <w:left w:w="0" w:type="dxa"/>
              <w:bottom w:w="29" w:type="dxa"/>
              <w:right w:w="115" w:type="dxa"/>
            </w:tcMar>
            <w:vAlign w:val="center"/>
            <w:hideMark/>
          </w:tcPr>
          <w:p w:rsidR="00DB6EC8" w:rsidRPr="00DB6EC8" w:rsidRDefault="00DB6EC8" w:rsidP="00DB6EC8">
            <w:pPr>
              <w:keepNext/>
              <w:keepLines/>
              <w:spacing w:after="0" w:line="240" w:lineRule="auto"/>
              <w:jc w:val="right"/>
              <w:rPr>
                <w:rFonts w:asciiTheme="minorHAnsi" w:hAnsiTheme="minorHAnsi"/>
                <w:sz w:val="18"/>
                <w:szCs w:val="18"/>
              </w:rPr>
            </w:pPr>
            <w:r w:rsidRPr="00DB6EC8">
              <w:rPr>
                <w:rFonts w:asciiTheme="minorHAnsi" w:hAnsiTheme="minorHAnsi"/>
                <w:sz w:val="18"/>
                <w:szCs w:val="18"/>
              </w:rPr>
              <w:t>2,102</w:t>
            </w:r>
          </w:p>
        </w:tc>
        <w:tc>
          <w:tcPr>
            <w:tcW w:w="776" w:type="dxa"/>
            <w:noWrap/>
            <w:tcMar>
              <w:top w:w="29" w:type="dxa"/>
              <w:left w:w="0" w:type="dxa"/>
              <w:bottom w:w="29" w:type="dxa"/>
              <w:right w:w="115" w:type="dxa"/>
            </w:tcMar>
            <w:vAlign w:val="center"/>
            <w:hideMark/>
          </w:tcPr>
          <w:p w:rsidR="00DB6EC8" w:rsidRPr="00DB6EC8" w:rsidRDefault="00DB6EC8" w:rsidP="00DB6EC8">
            <w:pPr>
              <w:keepNext/>
              <w:keepLines/>
              <w:spacing w:after="0" w:line="240" w:lineRule="auto"/>
              <w:jc w:val="right"/>
              <w:rPr>
                <w:rFonts w:asciiTheme="minorHAnsi" w:hAnsiTheme="minorHAnsi"/>
                <w:sz w:val="18"/>
                <w:szCs w:val="18"/>
              </w:rPr>
            </w:pPr>
            <w:r w:rsidRPr="00DB6EC8">
              <w:rPr>
                <w:rFonts w:asciiTheme="minorHAnsi" w:hAnsiTheme="minorHAnsi"/>
                <w:sz w:val="18"/>
                <w:szCs w:val="18"/>
              </w:rPr>
              <w:t>8.1</w:t>
            </w:r>
          </w:p>
        </w:tc>
        <w:tc>
          <w:tcPr>
            <w:tcW w:w="777" w:type="dxa"/>
            <w:noWrap/>
            <w:tcMar>
              <w:top w:w="29" w:type="dxa"/>
              <w:left w:w="0" w:type="dxa"/>
              <w:bottom w:w="29" w:type="dxa"/>
              <w:right w:w="115" w:type="dxa"/>
            </w:tcMar>
            <w:vAlign w:val="center"/>
            <w:hideMark/>
          </w:tcPr>
          <w:p w:rsidR="00DB6EC8" w:rsidRPr="00DB6EC8" w:rsidRDefault="00DB6EC8" w:rsidP="00DB6EC8">
            <w:pPr>
              <w:keepNext/>
              <w:keepLines/>
              <w:spacing w:after="0" w:line="240" w:lineRule="auto"/>
              <w:jc w:val="right"/>
              <w:rPr>
                <w:rFonts w:asciiTheme="minorHAnsi" w:hAnsiTheme="minorHAnsi"/>
                <w:sz w:val="18"/>
                <w:szCs w:val="18"/>
              </w:rPr>
            </w:pPr>
            <w:r w:rsidRPr="00DB6EC8">
              <w:rPr>
                <w:rFonts w:asciiTheme="minorHAnsi" w:hAnsiTheme="minorHAnsi"/>
                <w:sz w:val="18"/>
                <w:szCs w:val="18"/>
              </w:rPr>
              <w:t>317</w:t>
            </w:r>
          </w:p>
        </w:tc>
        <w:tc>
          <w:tcPr>
            <w:tcW w:w="776" w:type="dxa"/>
            <w:noWrap/>
            <w:tcMar>
              <w:top w:w="29" w:type="dxa"/>
              <w:left w:w="0" w:type="dxa"/>
              <w:bottom w:w="29" w:type="dxa"/>
              <w:right w:w="115" w:type="dxa"/>
            </w:tcMar>
            <w:vAlign w:val="center"/>
            <w:hideMark/>
          </w:tcPr>
          <w:p w:rsidR="00DB6EC8" w:rsidRPr="00DB6EC8" w:rsidRDefault="00DB6EC8" w:rsidP="00DB6EC8">
            <w:pPr>
              <w:keepNext/>
              <w:keepLines/>
              <w:spacing w:after="0" w:line="240" w:lineRule="auto"/>
              <w:jc w:val="right"/>
              <w:rPr>
                <w:rFonts w:asciiTheme="minorHAnsi" w:hAnsiTheme="minorHAnsi"/>
                <w:sz w:val="18"/>
                <w:szCs w:val="18"/>
              </w:rPr>
            </w:pPr>
            <w:r w:rsidRPr="00DB6EC8">
              <w:rPr>
                <w:rFonts w:asciiTheme="minorHAnsi" w:hAnsiTheme="minorHAnsi"/>
                <w:sz w:val="18"/>
                <w:szCs w:val="18"/>
              </w:rPr>
              <w:t>501</w:t>
            </w:r>
          </w:p>
        </w:tc>
        <w:tc>
          <w:tcPr>
            <w:tcW w:w="777" w:type="dxa"/>
            <w:noWrap/>
            <w:tcMar>
              <w:top w:w="29" w:type="dxa"/>
              <w:left w:w="0" w:type="dxa"/>
              <w:bottom w:w="29" w:type="dxa"/>
              <w:right w:w="115" w:type="dxa"/>
            </w:tcMar>
            <w:vAlign w:val="center"/>
            <w:hideMark/>
          </w:tcPr>
          <w:p w:rsidR="00DB6EC8" w:rsidRPr="00DB6EC8" w:rsidRDefault="00DB6EC8" w:rsidP="00DB6EC8">
            <w:pPr>
              <w:keepNext/>
              <w:keepLines/>
              <w:spacing w:after="0" w:line="240" w:lineRule="auto"/>
              <w:jc w:val="right"/>
              <w:rPr>
                <w:rFonts w:asciiTheme="minorHAnsi" w:hAnsiTheme="minorHAnsi"/>
                <w:sz w:val="18"/>
                <w:szCs w:val="18"/>
              </w:rPr>
            </w:pPr>
            <w:r w:rsidRPr="00DB6EC8">
              <w:rPr>
                <w:rFonts w:asciiTheme="minorHAnsi" w:hAnsiTheme="minorHAnsi"/>
                <w:sz w:val="18"/>
                <w:szCs w:val="18"/>
              </w:rPr>
              <w:t>5.2</w:t>
            </w:r>
          </w:p>
        </w:tc>
      </w:tr>
      <w:tr w:rsidR="00DB6EC8" w:rsidRPr="00DB6EC8" w:rsidTr="00DE59F2">
        <w:trPr>
          <w:trHeight w:val="312"/>
          <w:jc w:val="center"/>
        </w:trPr>
        <w:tc>
          <w:tcPr>
            <w:tcW w:w="1050" w:type="dxa"/>
            <w:shd w:val="clear" w:color="auto" w:fill="CCEAF9" w:themeFill="accent1" w:themeFillTint="33"/>
            <w:noWrap/>
            <w:tcMar>
              <w:left w:w="115" w:type="dxa"/>
              <w:right w:w="0" w:type="dxa"/>
            </w:tcMar>
            <w:vAlign w:val="center"/>
            <w:hideMark/>
          </w:tcPr>
          <w:p w:rsidR="00DB6EC8" w:rsidRPr="00DB6EC8" w:rsidRDefault="00DB6EC8" w:rsidP="00DB6EC8">
            <w:pPr>
              <w:keepNext/>
              <w:keepLines/>
              <w:spacing w:after="0" w:line="240" w:lineRule="auto"/>
              <w:rPr>
                <w:rFonts w:asciiTheme="minorHAnsi" w:hAnsiTheme="minorHAnsi"/>
                <w:b/>
                <w:sz w:val="18"/>
                <w:szCs w:val="18"/>
              </w:rPr>
            </w:pPr>
            <w:r w:rsidRPr="00DB6EC8">
              <w:rPr>
                <w:rFonts w:asciiTheme="minorHAnsi" w:hAnsiTheme="minorHAnsi"/>
                <w:b/>
                <w:sz w:val="18"/>
                <w:szCs w:val="18"/>
              </w:rPr>
              <w:t>NH</w:t>
            </w:r>
          </w:p>
        </w:tc>
        <w:tc>
          <w:tcPr>
            <w:tcW w:w="776" w:type="dxa"/>
            <w:shd w:val="clear" w:color="auto" w:fill="CCEAF9" w:themeFill="accent1" w:themeFillTint="33"/>
            <w:noWrap/>
            <w:tcMar>
              <w:top w:w="29" w:type="dxa"/>
              <w:left w:w="0" w:type="dxa"/>
              <w:bottom w:w="29" w:type="dxa"/>
              <w:right w:w="115" w:type="dxa"/>
            </w:tcMar>
            <w:vAlign w:val="center"/>
            <w:hideMark/>
          </w:tcPr>
          <w:p w:rsidR="00DB6EC8" w:rsidRPr="00DB6EC8" w:rsidRDefault="00DB6EC8" w:rsidP="00DB6EC8">
            <w:pPr>
              <w:keepNext/>
              <w:keepLines/>
              <w:spacing w:after="0" w:line="240" w:lineRule="auto"/>
              <w:jc w:val="right"/>
              <w:rPr>
                <w:rFonts w:asciiTheme="minorHAnsi" w:hAnsiTheme="minorHAnsi"/>
                <w:sz w:val="18"/>
                <w:szCs w:val="18"/>
              </w:rPr>
            </w:pPr>
            <w:r w:rsidRPr="00DB6EC8">
              <w:rPr>
                <w:rFonts w:asciiTheme="minorHAnsi" w:hAnsiTheme="minorHAnsi"/>
                <w:sz w:val="18"/>
                <w:szCs w:val="18"/>
              </w:rPr>
              <w:t>74</w:t>
            </w:r>
          </w:p>
        </w:tc>
        <w:tc>
          <w:tcPr>
            <w:tcW w:w="777" w:type="dxa"/>
            <w:shd w:val="clear" w:color="auto" w:fill="CCEAF9" w:themeFill="accent1" w:themeFillTint="33"/>
            <w:noWrap/>
            <w:tcMar>
              <w:top w:w="29" w:type="dxa"/>
              <w:left w:w="0" w:type="dxa"/>
              <w:bottom w:w="29" w:type="dxa"/>
              <w:right w:w="115" w:type="dxa"/>
            </w:tcMar>
            <w:vAlign w:val="center"/>
            <w:hideMark/>
          </w:tcPr>
          <w:p w:rsidR="00DB6EC8" w:rsidRPr="00DB6EC8" w:rsidRDefault="00DB6EC8" w:rsidP="00DB6EC8">
            <w:pPr>
              <w:keepNext/>
              <w:keepLines/>
              <w:spacing w:after="0" w:line="240" w:lineRule="auto"/>
              <w:jc w:val="right"/>
              <w:rPr>
                <w:rFonts w:asciiTheme="minorHAnsi" w:hAnsiTheme="minorHAnsi"/>
                <w:sz w:val="18"/>
                <w:szCs w:val="18"/>
              </w:rPr>
            </w:pPr>
            <w:r w:rsidRPr="00DB6EC8">
              <w:rPr>
                <w:rFonts w:asciiTheme="minorHAnsi" w:hAnsiTheme="minorHAnsi"/>
                <w:sz w:val="18"/>
                <w:szCs w:val="18"/>
              </w:rPr>
              <w:t>164</w:t>
            </w:r>
          </w:p>
        </w:tc>
        <w:tc>
          <w:tcPr>
            <w:tcW w:w="776" w:type="dxa"/>
            <w:shd w:val="clear" w:color="auto" w:fill="CCEAF9" w:themeFill="accent1" w:themeFillTint="33"/>
            <w:noWrap/>
            <w:tcMar>
              <w:top w:w="29" w:type="dxa"/>
              <w:left w:w="0" w:type="dxa"/>
              <w:bottom w:w="29" w:type="dxa"/>
              <w:right w:w="115" w:type="dxa"/>
            </w:tcMar>
            <w:vAlign w:val="center"/>
            <w:hideMark/>
          </w:tcPr>
          <w:p w:rsidR="00DB6EC8" w:rsidRPr="00DB6EC8" w:rsidRDefault="00DB6EC8" w:rsidP="00DB6EC8">
            <w:pPr>
              <w:keepNext/>
              <w:keepLines/>
              <w:spacing w:after="0" w:line="240" w:lineRule="auto"/>
              <w:jc w:val="right"/>
              <w:rPr>
                <w:rFonts w:asciiTheme="minorHAnsi" w:hAnsiTheme="minorHAnsi"/>
                <w:sz w:val="18"/>
                <w:szCs w:val="18"/>
              </w:rPr>
            </w:pPr>
            <w:r w:rsidRPr="00DB6EC8">
              <w:rPr>
                <w:rFonts w:asciiTheme="minorHAnsi" w:hAnsiTheme="minorHAnsi"/>
                <w:sz w:val="18"/>
                <w:szCs w:val="18"/>
              </w:rPr>
              <w:t>9.2</w:t>
            </w:r>
          </w:p>
        </w:tc>
        <w:tc>
          <w:tcPr>
            <w:tcW w:w="777" w:type="dxa"/>
            <w:shd w:val="clear" w:color="auto" w:fill="CCEAF9" w:themeFill="accent1" w:themeFillTint="33"/>
            <w:noWrap/>
            <w:tcMar>
              <w:top w:w="29" w:type="dxa"/>
              <w:left w:w="0" w:type="dxa"/>
              <w:bottom w:w="29" w:type="dxa"/>
              <w:right w:w="115" w:type="dxa"/>
            </w:tcMar>
            <w:vAlign w:val="center"/>
            <w:hideMark/>
          </w:tcPr>
          <w:p w:rsidR="00DB6EC8" w:rsidRPr="00DB6EC8" w:rsidRDefault="00DB6EC8" w:rsidP="00DB6EC8">
            <w:pPr>
              <w:keepNext/>
              <w:keepLines/>
              <w:spacing w:after="0" w:line="240" w:lineRule="auto"/>
              <w:jc w:val="right"/>
              <w:rPr>
                <w:rFonts w:asciiTheme="minorHAnsi" w:hAnsiTheme="minorHAnsi"/>
                <w:sz w:val="18"/>
                <w:szCs w:val="18"/>
              </w:rPr>
            </w:pPr>
            <w:r w:rsidRPr="00DB6EC8">
              <w:rPr>
                <w:rFonts w:asciiTheme="minorHAnsi" w:hAnsiTheme="minorHAnsi"/>
                <w:sz w:val="18"/>
                <w:szCs w:val="18"/>
              </w:rPr>
              <w:t>22</w:t>
            </w:r>
          </w:p>
        </w:tc>
        <w:tc>
          <w:tcPr>
            <w:tcW w:w="776" w:type="dxa"/>
            <w:shd w:val="clear" w:color="auto" w:fill="CCEAF9" w:themeFill="accent1" w:themeFillTint="33"/>
            <w:noWrap/>
            <w:tcMar>
              <w:top w:w="29" w:type="dxa"/>
              <w:left w:w="0" w:type="dxa"/>
              <w:bottom w:w="29" w:type="dxa"/>
              <w:right w:w="115" w:type="dxa"/>
            </w:tcMar>
            <w:vAlign w:val="center"/>
            <w:hideMark/>
          </w:tcPr>
          <w:p w:rsidR="00DB6EC8" w:rsidRPr="00DB6EC8" w:rsidRDefault="00DB6EC8" w:rsidP="00DB6EC8">
            <w:pPr>
              <w:keepNext/>
              <w:keepLines/>
              <w:spacing w:after="0" w:line="240" w:lineRule="auto"/>
              <w:jc w:val="right"/>
              <w:rPr>
                <w:rFonts w:asciiTheme="minorHAnsi" w:hAnsiTheme="minorHAnsi"/>
                <w:sz w:val="18"/>
                <w:szCs w:val="18"/>
              </w:rPr>
            </w:pPr>
            <w:r w:rsidRPr="00DB6EC8">
              <w:rPr>
                <w:rFonts w:asciiTheme="minorHAnsi" w:hAnsiTheme="minorHAnsi"/>
                <w:sz w:val="18"/>
                <w:szCs w:val="18"/>
              </w:rPr>
              <w:t>39</w:t>
            </w:r>
          </w:p>
        </w:tc>
        <w:tc>
          <w:tcPr>
            <w:tcW w:w="777" w:type="dxa"/>
            <w:shd w:val="clear" w:color="auto" w:fill="CCEAF9" w:themeFill="accent1" w:themeFillTint="33"/>
            <w:noWrap/>
            <w:tcMar>
              <w:top w:w="29" w:type="dxa"/>
              <w:left w:w="0" w:type="dxa"/>
              <w:bottom w:w="29" w:type="dxa"/>
              <w:right w:w="115" w:type="dxa"/>
            </w:tcMar>
            <w:vAlign w:val="center"/>
            <w:hideMark/>
          </w:tcPr>
          <w:p w:rsidR="00DB6EC8" w:rsidRPr="00DB6EC8" w:rsidRDefault="00DB6EC8" w:rsidP="00DB6EC8">
            <w:pPr>
              <w:keepNext/>
              <w:keepLines/>
              <w:spacing w:after="0" w:line="240" w:lineRule="auto"/>
              <w:jc w:val="right"/>
              <w:rPr>
                <w:rFonts w:asciiTheme="minorHAnsi" w:hAnsiTheme="minorHAnsi"/>
                <w:sz w:val="18"/>
                <w:szCs w:val="18"/>
              </w:rPr>
            </w:pPr>
            <w:r w:rsidRPr="00DB6EC8">
              <w:rPr>
                <w:rFonts w:asciiTheme="minorHAnsi" w:hAnsiTheme="minorHAnsi"/>
                <w:sz w:val="18"/>
                <w:szCs w:val="18"/>
              </w:rPr>
              <w:t>6.3</w:t>
            </w:r>
          </w:p>
        </w:tc>
      </w:tr>
      <w:tr w:rsidR="00DB6EC8" w:rsidRPr="00DB6EC8" w:rsidTr="00DE59F2">
        <w:trPr>
          <w:trHeight w:val="312"/>
          <w:jc w:val="center"/>
        </w:trPr>
        <w:tc>
          <w:tcPr>
            <w:tcW w:w="1050" w:type="dxa"/>
            <w:noWrap/>
            <w:tcMar>
              <w:left w:w="115" w:type="dxa"/>
              <w:right w:w="0" w:type="dxa"/>
            </w:tcMar>
            <w:vAlign w:val="center"/>
            <w:hideMark/>
          </w:tcPr>
          <w:p w:rsidR="00DB6EC8" w:rsidRPr="00DB6EC8" w:rsidRDefault="00DB6EC8" w:rsidP="00DB6EC8">
            <w:pPr>
              <w:keepNext/>
              <w:keepLines/>
              <w:spacing w:after="0" w:line="240" w:lineRule="auto"/>
              <w:rPr>
                <w:rFonts w:asciiTheme="minorHAnsi" w:hAnsiTheme="minorHAnsi"/>
                <w:b/>
                <w:sz w:val="18"/>
                <w:szCs w:val="18"/>
              </w:rPr>
            </w:pPr>
            <w:r w:rsidRPr="00DB6EC8">
              <w:rPr>
                <w:rFonts w:asciiTheme="minorHAnsi" w:hAnsiTheme="minorHAnsi"/>
                <w:b/>
                <w:sz w:val="18"/>
                <w:szCs w:val="18"/>
              </w:rPr>
              <w:t>RI</w:t>
            </w:r>
          </w:p>
        </w:tc>
        <w:tc>
          <w:tcPr>
            <w:tcW w:w="776" w:type="dxa"/>
            <w:noWrap/>
            <w:tcMar>
              <w:top w:w="29" w:type="dxa"/>
              <w:left w:w="0" w:type="dxa"/>
              <w:bottom w:w="29" w:type="dxa"/>
              <w:right w:w="115" w:type="dxa"/>
            </w:tcMar>
            <w:vAlign w:val="center"/>
            <w:hideMark/>
          </w:tcPr>
          <w:p w:rsidR="00DB6EC8" w:rsidRPr="00DB6EC8" w:rsidRDefault="00DB6EC8" w:rsidP="00DB6EC8">
            <w:pPr>
              <w:keepNext/>
              <w:keepLines/>
              <w:spacing w:after="0" w:line="240" w:lineRule="auto"/>
              <w:jc w:val="right"/>
              <w:rPr>
                <w:rFonts w:asciiTheme="minorHAnsi" w:hAnsiTheme="minorHAnsi"/>
                <w:sz w:val="18"/>
                <w:szCs w:val="18"/>
              </w:rPr>
            </w:pPr>
            <w:r w:rsidRPr="00DB6EC8">
              <w:rPr>
                <w:rFonts w:asciiTheme="minorHAnsi" w:hAnsiTheme="minorHAnsi"/>
                <w:sz w:val="18"/>
                <w:szCs w:val="18"/>
              </w:rPr>
              <w:t>29</w:t>
            </w:r>
          </w:p>
        </w:tc>
        <w:tc>
          <w:tcPr>
            <w:tcW w:w="777" w:type="dxa"/>
            <w:noWrap/>
            <w:tcMar>
              <w:top w:w="29" w:type="dxa"/>
              <w:left w:w="0" w:type="dxa"/>
              <w:bottom w:w="29" w:type="dxa"/>
              <w:right w:w="115" w:type="dxa"/>
            </w:tcMar>
            <w:vAlign w:val="center"/>
            <w:hideMark/>
          </w:tcPr>
          <w:p w:rsidR="00DB6EC8" w:rsidRPr="00DB6EC8" w:rsidRDefault="00DB6EC8" w:rsidP="00DB6EC8">
            <w:pPr>
              <w:keepNext/>
              <w:keepLines/>
              <w:spacing w:after="0" w:line="240" w:lineRule="auto"/>
              <w:jc w:val="right"/>
              <w:rPr>
                <w:rFonts w:asciiTheme="minorHAnsi" w:hAnsiTheme="minorHAnsi"/>
                <w:sz w:val="18"/>
                <w:szCs w:val="18"/>
              </w:rPr>
            </w:pPr>
            <w:r w:rsidRPr="00DB6EC8">
              <w:rPr>
                <w:rFonts w:asciiTheme="minorHAnsi" w:hAnsiTheme="minorHAnsi"/>
                <w:sz w:val="18"/>
                <w:szCs w:val="18"/>
              </w:rPr>
              <w:t>143</w:t>
            </w:r>
          </w:p>
        </w:tc>
        <w:tc>
          <w:tcPr>
            <w:tcW w:w="776" w:type="dxa"/>
            <w:noWrap/>
            <w:tcMar>
              <w:top w:w="29" w:type="dxa"/>
              <w:left w:w="0" w:type="dxa"/>
              <w:bottom w:w="29" w:type="dxa"/>
              <w:right w:w="115" w:type="dxa"/>
            </w:tcMar>
            <w:vAlign w:val="center"/>
            <w:hideMark/>
          </w:tcPr>
          <w:p w:rsidR="00DB6EC8" w:rsidRPr="00DB6EC8" w:rsidRDefault="00DB6EC8" w:rsidP="00DB6EC8">
            <w:pPr>
              <w:keepNext/>
              <w:keepLines/>
              <w:spacing w:after="0" w:line="240" w:lineRule="auto"/>
              <w:jc w:val="right"/>
              <w:rPr>
                <w:rFonts w:asciiTheme="minorHAnsi" w:hAnsiTheme="minorHAnsi"/>
                <w:sz w:val="18"/>
                <w:szCs w:val="18"/>
              </w:rPr>
            </w:pPr>
            <w:r w:rsidRPr="00DB6EC8">
              <w:rPr>
                <w:rFonts w:asciiTheme="minorHAnsi" w:hAnsiTheme="minorHAnsi"/>
                <w:sz w:val="18"/>
                <w:szCs w:val="18"/>
              </w:rPr>
              <w:t>19.4</w:t>
            </w:r>
          </w:p>
        </w:tc>
        <w:tc>
          <w:tcPr>
            <w:tcW w:w="777" w:type="dxa"/>
            <w:noWrap/>
            <w:tcMar>
              <w:top w:w="29" w:type="dxa"/>
              <w:left w:w="0" w:type="dxa"/>
              <w:bottom w:w="29" w:type="dxa"/>
              <w:right w:w="115" w:type="dxa"/>
            </w:tcMar>
            <w:vAlign w:val="center"/>
            <w:hideMark/>
          </w:tcPr>
          <w:p w:rsidR="00DB6EC8" w:rsidRPr="00DB6EC8" w:rsidRDefault="00DB6EC8" w:rsidP="00DB6EC8">
            <w:pPr>
              <w:keepNext/>
              <w:keepLines/>
              <w:spacing w:after="0" w:line="240" w:lineRule="auto"/>
              <w:jc w:val="right"/>
              <w:rPr>
                <w:rFonts w:asciiTheme="minorHAnsi" w:hAnsiTheme="minorHAnsi"/>
                <w:sz w:val="18"/>
                <w:szCs w:val="18"/>
              </w:rPr>
            </w:pPr>
            <w:r w:rsidRPr="00DB6EC8">
              <w:rPr>
                <w:rFonts w:asciiTheme="minorHAnsi" w:hAnsiTheme="minorHAnsi"/>
                <w:sz w:val="18"/>
                <w:szCs w:val="18"/>
              </w:rPr>
              <w:t>9</w:t>
            </w:r>
          </w:p>
        </w:tc>
        <w:tc>
          <w:tcPr>
            <w:tcW w:w="776" w:type="dxa"/>
            <w:noWrap/>
            <w:tcMar>
              <w:top w:w="29" w:type="dxa"/>
              <w:left w:w="0" w:type="dxa"/>
              <w:bottom w:w="29" w:type="dxa"/>
              <w:right w:w="115" w:type="dxa"/>
            </w:tcMar>
            <w:vAlign w:val="center"/>
            <w:hideMark/>
          </w:tcPr>
          <w:p w:rsidR="00DB6EC8" w:rsidRPr="00DB6EC8" w:rsidRDefault="00DB6EC8" w:rsidP="00DB6EC8">
            <w:pPr>
              <w:keepNext/>
              <w:keepLines/>
              <w:spacing w:after="0" w:line="240" w:lineRule="auto"/>
              <w:jc w:val="right"/>
              <w:rPr>
                <w:rFonts w:asciiTheme="minorHAnsi" w:hAnsiTheme="minorHAnsi"/>
                <w:sz w:val="18"/>
                <w:szCs w:val="18"/>
              </w:rPr>
            </w:pPr>
            <w:r w:rsidRPr="00DB6EC8">
              <w:rPr>
                <w:rFonts w:asciiTheme="minorHAnsi" w:hAnsiTheme="minorHAnsi"/>
                <w:sz w:val="18"/>
                <w:szCs w:val="18"/>
              </w:rPr>
              <w:t>34</w:t>
            </w:r>
          </w:p>
        </w:tc>
        <w:tc>
          <w:tcPr>
            <w:tcW w:w="777" w:type="dxa"/>
            <w:noWrap/>
            <w:tcMar>
              <w:top w:w="29" w:type="dxa"/>
              <w:left w:w="0" w:type="dxa"/>
              <w:bottom w:w="29" w:type="dxa"/>
              <w:right w:w="115" w:type="dxa"/>
            </w:tcMar>
            <w:vAlign w:val="center"/>
            <w:hideMark/>
          </w:tcPr>
          <w:p w:rsidR="00DB6EC8" w:rsidRPr="00DB6EC8" w:rsidRDefault="00DB6EC8" w:rsidP="00DB6EC8">
            <w:pPr>
              <w:keepNext/>
              <w:keepLines/>
              <w:spacing w:after="0" w:line="240" w:lineRule="auto"/>
              <w:jc w:val="right"/>
              <w:rPr>
                <w:rFonts w:asciiTheme="minorHAnsi" w:hAnsiTheme="minorHAnsi"/>
                <w:sz w:val="18"/>
                <w:szCs w:val="18"/>
              </w:rPr>
            </w:pPr>
            <w:r w:rsidRPr="00DB6EC8">
              <w:rPr>
                <w:rFonts w:asciiTheme="minorHAnsi" w:hAnsiTheme="minorHAnsi"/>
                <w:sz w:val="18"/>
                <w:szCs w:val="18"/>
              </w:rPr>
              <w:t>16.1</w:t>
            </w:r>
          </w:p>
        </w:tc>
      </w:tr>
      <w:tr w:rsidR="00DB6EC8" w:rsidRPr="00DB6EC8" w:rsidTr="00DE59F2">
        <w:trPr>
          <w:trHeight w:val="312"/>
          <w:jc w:val="center"/>
        </w:trPr>
        <w:tc>
          <w:tcPr>
            <w:tcW w:w="1050" w:type="dxa"/>
            <w:shd w:val="clear" w:color="auto" w:fill="CCEAF9" w:themeFill="accent1" w:themeFillTint="33"/>
            <w:noWrap/>
            <w:tcMar>
              <w:left w:w="115" w:type="dxa"/>
              <w:right w:w="0" w:type="dxa"/>
            </w:tcMar>
            <w:vAlign w:val="center"/>
            <w:hideMark/>
          </w:tcPr>
          <w:p w:rsidR="00DB6EC8" w:rsidRPr="00DB6EC8" w:rsidRDefault="00DB6EC8" w:rsidP="00DB6EC8">
            <w:pPr>
              <w:keepNext/>
              <w:keepLines/>
              <w:spacing w:after="0" w:line="240" w:lineRule="auto"/>
              <w:rPr>
                <w:rFonts w:asciiTheme="minorHAnsi" w:hAnsiTheme="minorHAnsi"/>
                <w:b/>
                <w:sz w:val="18"/>
                <w:szCs w:val="18"/>
              </w:rPr>
            </w:pPr>
            <w:r w:rsidRPr="00DB6EC8">
              <w:rPr>
                <w:rFonts w:asciiTheme="minorHAnsi" w:hAnsiTheme="minorHAnsi"/>
                <w:b/>
                <w:sz w:val="18"/>
                <w:szCs w:val="18"/>
              </w:rPr>
              <w:t>VT</w:t>
            </w:r>
          </w:p>
        </w:tc>
        <w:tc>
          <w:tcPr>
            <w:tcW w:w="776" w:type="dxa"/>
            <w:shd w:val="clear" w:color="auto" w:fill="CCEAF9" w:themeFill="accent1" w:themeFillTint="33"/>
            <w:noWrap/>
            <w:tcMar>
              <w:top w:w="29" w:type="dxa"/>
              <w:left w:w="0" w:type="dxa"/>
              <w:bottom w:w="29" w:type="dxa"/>
              <w:right w:w="115" w:type="dxa"/>
            </w:tcMar>
            <w:vAlign w:val="center"/>
            <w:hideMark/>
          </w:tcPr>
          <w:p w:rsidR="00DB6EC8" w:rsidRPr="00DB6EC8" w:rsidRDefault="00DB6EC8" w:rsidP="00DB6EC8">
            <w:pPr>
              <w:keepNext/>
              <w:keepLines/>
              <w:spacing w:after="0" w:line="240" w:lineRule="auto"/>
              <w:jc w:val="right"/>
              <w:rPr>
                <w:rFonts w:asciiTheme="minorHAnsi" w:hAnsiTheme="minorHAnsi"/>
                <w:sz w:val="18"/>
                <w:szCs w:val="18"/>
              </w:rPr>
            </w:pPr>
            <w:r w:rsidRPr="00DB6EC8">
              <w:rPr>
                <w:rFonts w:asciiTheme="minorHAnsi" w:hAnsiTheme="minorHAnsi"/>
                <w:sz w:val="18"/>
                <w:szCs w:val="18"/>
              </w:rPr>
              <w:t>278</w:t>
            </w:r>
          </w:p>
        </w:tc>
        <w:tc>
          <w:tcPr>
            <w:tcW w:w="777" w:type="dxa"/>
            <w:shd w:val="clear" w:color="auto" w:fill="CCEAF9" w:themeFill="accent1" w:themeFillTint="33"/>
            <w:noWrap/>
            <w:tcMar>
              <w:top w:w="29" w:type="dxa"/>
              <w:left w:w="0" w:type="dxa"/>
              <w:bottom w:w="29" w:type="dxa"/>
              <w:right w:w="115" w:type="dxa"/>
            </w:tcMar>
            <w:vAlign w:val="center"/>
            <w:hideMark/>
          </w:tcPr>
          <w:p w:rsidR="00DB6EC8" w:rsidRPr="00DB6EC8" w:rsidRDefault="00DB6EC8" w:rsidP="00DB6EC8">
            <w:pPr>
              <w:keepNext/>
              <w:keepLines/>
              <w:spacing w:after="0" w:line="240" w:lineRule="auto"/>
              <w:jc w:val="right"/>
              <w:rPr>
                <w:rFonts w:asciiTheme="minorHAnsi" w:hAnsiTheme="minorHAnsi"/>
                <w:sz w:val="18"/>
                <w:szCs w:val="18"/>
              </w:rPr>
            </w:pPr>
            <w:r w:rsidRPr="00DB6EC8">
              <w:rPr>
                <w:rFonts w:asciiTheme="minorHAnsi" w:hAnsiTheme="minorHAnsi"/>
                <w:sz w:val="18"/>
                <w:szCs w:val="18"/>
              </w:rPr>
              <w:t>549</w:t>
            </w:r>
          </w:p>
        </w:tc>
        <w:tc>
          <w:tcPr>
            <w:tcW w:w="776" w:type="dxa"/>
            <w:shd w:val="clear" w:color="auto" w:fill="CCEAF9" w:themeFill="accent1" w:themeFillTint="33"/>
            <w:noWrap/>
            <w:tcMar>
              <w:top w:w="29" w:type="dxa"/>
              <w:left w:w="0" w:type="dxa"/>
              <w:bottom w:w="29" w:type="dxa"/>
              <w:right w:w="115" w:type="dxa"/>
            </w:tcMar>
            <w:vAlign w:val="center"/>
            <w:hideMark/>
          </w:tcPr>
          <w:p w:rsidR="00DB6EC8" w:rsidRPr="00DB6EC8" w:rsidRDefault="00DB6EC8" w:rsidP="00DB6EC8">
            <w:pPr>
              <w:keepNext/>
              <w:keepLines/>
              <w:spacing w:after="0" w:line="240" w:lineRule="auto"/>
              <w:jc w:val="right"/>
              <w:rPr>
                <w:rFonts w:asciiTheme="minorHAnsi" w:hAnsiTheme="minorHAnsi"/>
                <w:sz w:val="18"/>
                <w:szCs w:val="18"/>
              </w:rPr>
            </w:pPr>
            <w:r w:rsidRPr="00DB6EC8">
              <w:rPr>
                <w:rFonts w:asciiTheme="minorHAnsi" w:hAnsiTheme="minorHAnsi"/>
                <w:sz w:val="18"/>
                <w:szCs w:val="18"/>
              </w:rPr>
              <w:t>7.9</w:t>
            </w:r>
          </w:p>
        </w:tc>
        <w:tc>
          <w:tcPr>
            <w:tcW w:w="777" w:type="dxa"/>
            <w:shd w:val="clear" w:color="auto" w:fill="CCEAF9" w:themeFill="accent1" w:themeFillTint="33"/>
            <w:noWrap/>
            <w:tcMar>
              <w:top w:w="29" w:type="dxa"/>
              <w:left w:w="0" w:type="dxa"/>
              <w:bottom w:w="29" w:type="dxa"/>
              <w:right w:w="115" w:type="dxa"/>
            </w:tcMar>
            <w:vAlign w:val="center"/>
            <w:hideMark/>
          </w:tcPr>
          <w:p w:rsidR="00DB6EC8" w:rsidRPr="00DB6EC8" w:rsidRDefault="00DB6EC8" w:rsidP="00DB6EC8">
            <w:pPr>
              <w:keepNext/>
              <w:keepLines/>
              <w:spacing w:after="0" w:line="240" w:lineRule="auto"/>
              <w:jc w:val="right"/>
              <w:rPr>
                <w:rFonts w:asciiTheme="minorHAnsi" w:hAnsiTheme="minorHAnsi"/>
                <w:sz w:val="18"/>
                <w:szCs w:val="18"/>
              </w:rPr>
            </w:pPr>
            <w:r w:rsidRPr="00DB6EC8">
              <w:rPr>
                <w:rFonts w:asciiTheme="minorHAnsi" w:hAnsiTheme="minorHAnsi"/>
                <w:sz w:val="18"/>
                <w:szCs w:val="18"/>
              </w:rPr>
              <w:t>84</w:t>
            </w:r>
          </w:p>
        </w:tc>
        <w:tc>
          <w:tcPr>
            <w:tcW w:w="776" w:type="dxa"/>
            <w:shd w:val="clear" w:color="auto" w:fill="CCEAF9" w:themeFill="accent1" w:themeFillTint="33"/>
            <w:noWrap/>
            <w:tcMar>
              <w:top w:w="29" w:type="dxa"/>
              <w:left w:w="0" w:type="dxa"/>
              <w:bottom w:w="29" w:type="dxa"/>
              <w:right w:w="115" w:type="dxa"/>
            </w:tcMar>
            <w:vAlign w:val="center"/>
            <w:hideMark/>
          </w:tcPr>
          <w:p w:rsidR="00DB6EC8" w:rsidRPr="00DB6EC8" w:rsidRDefault="00DB6EC8" w:rsidP="00DB6EC8">
            <w:pPr>
              <w:keepNext/>
              <w:keepLines/>
              <w:spacing w:after="0" w:line="240" w:lineRule="auto"/>
              <w:jc w:val="right"/>
              <w:rPr>
                <w:rFonts w:asciiTheme="minorHAnsi" w:hAnsiTheme="minorHAnsi"/>
                <w:sz w:val="18"/>
                <w:szCs w:val="18"/>
              </w:rPr>
            </w:pPr>
            <w:r w:rsidRPr="00DB6EC8">
              <w:rPr>
                <w:rFonts w:asciiTheme="minorHAnsi" w:hAnsiTheme="minorHAnsi"/>
                <w:sz w:val="18"/>
                <w:szCs w:val="18"/>
              </w:rPr>
              <w:t>131</w:t>
            </w:r>
          </w:p>
        </w:tc>
        <w:tc>
          <w:tcPr>
            <w:tcW w:w="777" w:type="dxa"/>
            <w:shd w:val="clear" w:color="auto" w:fill="CCEAF9" w:themeFill="accent1" w:themeFillTint="33"/>
            <w:noWrap/>
            <w:tcMar>
              <w:top w:w="29" w:type="dxa"/>
              <w:left w:w="0" w:type="dxa"/>
              <w:bottom w:w="29" w:type="dxa"/>
              <w:right w:w="115" w:type="dxa"/>
            </w:tcMar>
            <w:vAlign w:val="center"/>
            <w:hideMark/>
          </w:tcPr>
          <w:p w:rsidR="00DB6EC8" w:rsidRPr="00DB6EC8" w:rsidRDefault="00DB6EC8" w:rsidP="00DB6EC8">
            <w:pPr>
              <w:keepNext/>
              <w:keepLines/>
              <w:spacing w:after="0" w:line="240" w:lineRule="auto"/>
              <w:jc w:val="right"/>
              <w:rPr>
                <w:rFonts w:asciiTheme="minorHAnsi" w:hAnsiTheme="minorHAnsi"/>
                <w:sz w:val="18"/>
                <w:szCs w:val="18"/>
              </w:rPr>
            </w:pPr>
            <w:r w:rsidRPr="00DB6EC8">
              <w:rPr>
                <w:rFonts w:asciiTheme="minorHAnsi" w:hAnsiTheme="minorHAnsi"/>
                <w:sz w:val="18"/>
                <w:szCs w:val="18"/>
              </w:rPr>
              <w:t>5.1</w:t>
            </w:r>
          </w:p>
        </w:tc>
      </w:tr>
      <w:tr w:rsidR="00DB6EC8" w:rsidRPr="00DB6EC8" w:rsidTr="00A42B16">
        <w:trPr>
          <w:trHeight w:val="312"/>
          <w:jc w:val="center"/>
        </w:trPr>
        <w:tc>
          <w:tcPr>
            <w:tcW w:w="1050" w:type="dxa"/>
            <w:shd w:val="clear" w:color="auto" w:fill="1795D2" w:themeFill="accent1"/>
            <w:noWrap/>
            <w:tcMar>
              <w:left w:w="115" w:type="dxa"/>
              <w:right w:w="0" w:type="dxa"/>
            </w:tcMar>
            <w:vAlign w:val="center"/>
            <w:hideMark/>
          </w:tcPr>
          <w:p w:rsidR="00DB6EC8" w:rsidRPr="00DB6EC8" w:rsidRDefault="00DB6EC8" w:rsidP="00DB6EC8">
            <w:pPr>
              <w:keepNext/>
              <w:keepLines/>
              <w:spacing w:after="0" w:line="240" w:lineRule="auto"/>
              <w:rPr>
                <w:rFonts w:asciiTheme="minorHAnsi" w:hAnsiTheme="minorHAnsi"/>
                <w:b/>
                <w:color w:val="FFFFFF" w:themeColor="background1"/>
                <w:sz w:val="18"/>
                <w:szCs w:val="18"/>
              </w:rPr>
            </w:pPr>
            <w:r w:rsidRPr="00DB6EC8">
              <w:rPr>
                <w:rFonts w:asciiTheme="minorHAnsi" w:hAnsiTheme="minorHAnsi"/>
                <w:b/>
                <w:color w:val="FFFFFF" w:themeColor="background1"/>
                <w:sz w:val="18"/>
                <w:szCs w:val="18"/>
              </w:rPr>
              <w:t>ISO</w:t>
            </w:r>
          </w:p>
        </w:tc>
        <w:tc>
          <w:tcPr>
            <w:tcW w:w="776" w:type="dxa"/>
            <w:shd w:val="clear" w:color="auto" w:fill="1795D2" w:themeFill="accent1"/>
            <w:noWrap/>
            <w:tcMar>
              <w:top w:w="29" w:type="dxa"/>
              <w:left w:w="0" w:type="dxa"/>
              <w:bottom w:w="29" w:type="dxa"/>
              <w:right w:w="115" w:type="dxa"/>
            </w:tcMar>
            <w:vAlign w:val="center"/>
            <w:hideMark/>
          </w:tcPr>
          <w:p w:rsidR="00DB6EC8" w:rsidRPr="00DB6EC8" w:rsidRDefault="00DB6EC8" w:rsidP="00DB6EC8">
            <w:pPr>
              <w:keepNext/>
              <w:keepLines/>
              <w:spacing w:after="0" w:line="240" w:lineRule="auto"/>
              <w:jc w:val="right"/>
              <w:rPr>
                <w:rFonts w:asciiTheme="minorHAnsi" w:hAnsiTheme="minorHAnsi"/>
                <w:b/>
                <w:color w:val="FFFFFF" w:themeColor="background1"/>
                <w:sz w:val="18"/>
                <w:szCs w:val="18"/>
              </w:rPr>
            </w:pPr>
            <w:r w:rsidRPr="00DB6EC8">
              <w:rPr>
                <w:rFonts w:asciiTheme="minorHAnsi" w:hAnsiTheme="minorHAnsi"/>
                <w:b/>
                <w:color w:val="FFFFFF" w:themeColor="background1"/>
                <w:sz w:val="18"/>
                <w:szCs w:val="18"/>
              </w:rPr>
              <w:t>1,894</w:t>
            </w:r>
          </w:p>
        </w:tc>
        <w:tc>
          <w:tcPr>
            <w:tcW w:w="777" w:type="dxa"/>
            <w:shd w:val="clear" w:color="auto" w:fill="1795D2" w:themeFill="accent1"/>
            <w:noWrap/>
            <w:tcMar>
              <w:top w:w="29" w:type="dxa"/>
              <w:left w:w="0" w:type="dxa"/>
              <w:bottom w:w="29" w:type="dxa"/>
              <w:right w:w="115" w:type="dxa"/>
            </w:tcMar>
            <w:vAlign w:val="center"/>
            <w:hideMark/>
          </w:tcPr>
          <w:p w:rsidR="00DB6EC8" w:rsidRPr="00DB6EC8" w:rsidRDefault="00DB6EC8" w:rsidP="00DB6EC8">
            <w:pPr>
              <w:keepNext/>
              <w:keepLines/>
              <w:spacing w:after="0" w:line="240" w:lineRule="auto"/>
              <w:jc w:val="right"/>
              <w:rPr>
                <w:rFonts w:asciiTheme="minorHAnsi" w:hAnsiTheme="minorHAnsi"/>
                <w:b/>
                <w:color w:val="FFFFFF" w:themeColor="background1"/>
                <w:sz w:val="18"/>
                <w:szCs w:val="18"/>
              </w:rPr>
            </w:pPr>
            <w:r w:rsidRPr="00DB6EC8">
              <w:rPr>
                <w:rFonts w:asciiTheme="minorHAnsi" w:hAnsiTheme="minorHAnsi"/>
                <w:b/>
                <w:color w:val="FFFFFF" w:themeColor="background1"/>
                <w:sz w:val="18"/>
                <w:szCs w:val="18"/>
              </w:rPr>
              <w:t>4,338</w:t>
            </w:r>
          </w:p>
        </w:tc>
        <w:tc>
          <w:tcPr>
            <w:tcW w:w="776" w:type="dxa"/>
            <w:shd w:val="clear" w:color="auto" w:fill="1795D2" w:themeFill="accent1"/>
            <w:noWrap/>
            <w:tcMar>
              <w:top w:w="29" w:type="dxa"/>
              <w:left w:w="0" w:type="dxa"/>
              <w:bottom w:w="29" w:type="dxa"/>
              <w:right w:w="115" w:type="dxa"/>
            </w:tcMar>
            <w:vAlign w:val="center"/>
            <w:hideMark/>
          </w:tcPr>
          <w:p w:rsidR="00DB6EC8" w:rsidRPr="00DB6EC8" w:rsidRDefault="00DB6EC8" w:rsidP="00DB6EC8">
            <w:pPr>
              <w:keepNext/>
              <w:keepLines/>
              <w:spacing w:after="0" w:line="240" w:lineRule="auto"/>
              <w:jc w:val="right"/>
              <w:rPr>
                <w:rFonts w:asciiTheme="minorHAnsi" w:hAnsiTheme="minorHAnsi"/>
                <w:b/>
                <w:color w:val="FFFFFF" w:themeColor="background1"/>
                <w:sz w:val="18"/>
                <w:szCs w:val="18"/>
              </w:rPr>
            </w:pPr>
            <w:r w:rsidRPr="00DB6EC8">
              <w:rPr>
                <w:rFonts w:asciiTheme="minorHAnsi" w:hAnsiTheme="minorHAnsi"/>
                <w:b/>
                <w:color w:val="FFFFFF" w:themeColor="background1"/>
                <w:sz w:val="18"/>
                <w:szCs w:val="18"/>
              </w:rPr>
              <w:t>9.6</w:t>
            </w:r>
          </w:p>
        </w:tc>
        <w:tc>
          <w:tcPr>
            <w:tcW w:w="777" w:type="dxa"/>
            <w:shd w:val="clear" w:color="auto" w:fill="1795D2" w:themeFill="accent1"/>
            <w:noWrap/>
            <w:tcMar>
              <w:top w:w="29" w:type="dxa"/>
              <w:left w:w="0" w:type="dxa"/>
              <w:bottom w:w="29" w:type="dxa"/>
              <w:right w:w="115" w:type="dxa"/>
            </w:tcMar>
            <w:vAlign w:val="center"/>
            <w:hideMark/>
          </w:tcPr>
          <w:p w:rsidR="00DB6EC8" w:rsidRPr="00DB6EC8" w:rsidRDefault="00DB6EC8" w:rsidP="00DB6EC8">
            <w:pPr>
              <w:keepNext/>
              <w:keepLines/>
              <w:spacing w:after="0" w:line="240" w:lineRule="auto"/>
              <w:jc w:val="right"/>
              <w:rPr>
                <w:rFonts w:asciiTheme="minorHAnsi" w:hAnsiTheme="minorHAnsi"/>
                <w:b/>
                <w:color w:val="FFFFFF" w:themeColor="background1"/>
                <w:sz w:val="18"/>
                <w:szCs w:val="18"/>
              </w:rPr>
            </w:pPr>
            <w:r w:rsidRPr="00DB6EC8">
              <w:rPr>
                <w:rFonts w:asciiTheme="minorHAnsi" w:hAnsiTheme="minorHAnsi"/>
                <w:b/>
                <w:color w:val="FFFFFF" w:themeColor="background1"/>
                <w:sz w:val="18"/>
                <w:szCs w:val="18"/>
              </w:rPr>
              <w:t>575</w:t>
            </w:r>
          </w:p>
        </w:tc>
        <w:tc>
          <w:tcPr>
            <w:tcW w:w="776" w:type="dxa"/>
            <w:shd w:val="clear" w:color="auto" w:fill="1795D2" w:themeFill="accent1"/>
            <w:noWrap/>
            <w:tcMar>
              <w:top w:w="29" w:type="dxa"/>
              <w:left w:w="0" w:type="dxa"/>
              <w:bottom w:w="29" w:type="dxa"/>
              <w:right w:w="115" w:type="dxa"/>
            </w:tcMar>
            <w:vAlign w:val="center"/>
            <w:hideMark/>
          </w:tcPr>
          <w:p w:rsidR="00DB6EC8" w:rsidRPr="00DB6EC8" w:rsidRDefault="00DB6EC8" w:rsidP="00DB6EC8">
            <w:pPr>
              <w:keepNext/>
              <w:keepLines/>
              <w:spacing w:after="0" w:line="240" w:lineRule="auto"/>
              <w:jc w:val="right"/>
              <w:rPr>
                <w:rFonts w:asciiTheme="minorHAnsi" w:hAnsiTheme="minorHAnsi"/>
                <w:b/>
                <w:color w:val="FFFFFF" w:themeColor="background1"/>
                <w:sz w:val="18"/>
                <w:szCs w:val="18"/>
              </w:rPr>
            </w:pPr>
            <w:r w:rsidRPr="00DB6EC8">
              <w:rPr>
                <w:rFonts w:asciiTheme="minorHAnsi" w:hAnsiTheme="minorHAnsi"/>
                <w:b/>
                <w:color w:val="FFFFFF" w:themeColor="background1"/>
                <w:sz w:val="18"/>
                <w:szCs w:val="18"/>
              </w:rPr>
              <w:t>1,035</w:t>
            </w:r>
          </w:p>
        </w:tc>
        <w:tc>
          <w:tcPr>
            <w:tcW w:w="777" w:type="dxa"/>
            <w:shd w:val="clear" w:color="auto" w:fill="1795D2" w:themeFill="accent1"/>
            <w:noWrap/>
            <w:tcMar>
              <w:top w:w="29" w:type="dxa"/>
              <w:left w:w="0" w:type="dxa"/>
              <w:bottom w:w="29" w:type="dxa"/>
              <w:right w:w="115" w:type="dxa"/>
            </w:tcMar>
            <w:vAlign w:val="center"/>
            <w:hideMark/>
          </w:tcPr>
          <w:p w:rsidR="00DB6EC8" w:rsidRPr="00DB6EC8" w:rsidRDefault="00DB6EC8" w:rsidP="00DB6EC8">
            <w:pPr>
              <w:keepNext/>
              <w:keepLines/>
              <w:spacing w:after="0" w:line="240" w:lineRule="auto"/>
              <w:jc w:val="right"/>
              <w:rPr>
                <w:rFonts w:asciiTheme="minorHAnsi" w:hAnsiTheme="minorHAnsi"/>
                <w:b/>
                <w:color w:val="FFFFFF" w:themeColor="background1"/>
                <w:sz w:val="18"/>
                <w:szCs w:val="18"/>
              </w:rPr>
            </w:pPr>
            <w:r w:rsidRPr="00DB6EC8">
              <w:rPr>
                <w:rFonts w:asciiTheme="minorHAnsi" w:hAnsiTheme="minorHAnsi"/>
                <w:b/>
                <w:color w:val="FFFFFF" w:themeColor="background1"/>
                <w:sz w:val="18"/>
                <w:szCs w:val="18"/>
              </w:rPr>
              <w:t>6.7</w:t>
            </w:r>
          </w:p>
        </w:tc>
      </w:tr>
    </w:tbl>
    <w:p w:rsidR="00B41E67" w:rsidRDefault="00DB6EC8" w:rsidP="00762B91">
      <w:pPr>
        <w:keepNext/>
        <w:keepLines/>
        <w:spacing w:before="120" w:line="240" w:lineRule="auto"/>
        <w:ind w:left="1620" w:right="86"/>
        <w:rPr>
          <w:rFonts w:ascii="Calibri" w:hAnsi="Calibri" w:cs="Arial"/>
          <w:bCs/>
          <w:sz w:val="16"/>
          <w:szCs w:val="16"/>
        </w:rPr>
      </w:pPr>
      <w:r w:rsidRPr="00DB6EC8">
        <w:t xml:space="preserve"> </w:t>
      </w:r>
      <w:r w:rsidRPr="00DB6EC8">
        <w:rPr>
          <w:rFonts w:ascii="Calibri" w:hAnsi="Calibri" w:cs="Arial"/>
          <w:bCs/>
          <w:sz w:val="16"/>
          <w:szCs w:val="16"/>
        </w:rPr>
        <w:t>(a) “CAGR” stands for compound annual growth rate.</w:t>
      </w:r>
    </w:p>
    <w:p w:rsidR="00DB6EC8" w:rsidRPr="00DB6EC8" w:rsidRDefault="00DB6EC8" w:rsidP="00F0458F">
      <w:pPr>
        <w:pStyle w:val="Heading2"/>
      </w:pPr>
      <w:bookmarkStart w:id="217" w:name="_Ref418883457"/>
      <w:bookmarkStart w:id="218" w:name="_Ref418955548"/>
      <w:bookmarkStart w:id="219" w:name="_Toc484957896"/>
      <w:bookmarkStart w:id="220" w:name="_Toc490323021"/>
      <w:r w:rsidRPr="00DB6EC8">
        <w:t>The Net Demand Forecast</w:t>
      </w:r>
      <w:bookmarkEnd w:id="217"/>
      <w:bookmarkEnd w:id="218"/>
      <w:bookmarkEnd w:id="219"/>
      <w:bookmarkEnd w:id="220"/>
    </w:p>
    <w:p w:rsidR="00DB6EC8" w:rsidRPr="00DB6EC8" w:rsidRDefault="00DB6EC8" w:rsidP="00DB6EC8">
      <w:r w:rsidRPr="00DB6EC8">
        <w:t xml:space="preserve">The net forecast is the gross demand forecast lowered by the forecasted BTM PV load reductions, the existing FCM-qualified passive demand resources projected for 2017 to 2020, and the 2021 to 2026 energy-efficiency forecast. The net forecast is detailed in </w:t>
      </w:r>
      <w:r w:rsidRPr="00DB6EC8">
        <w:fldChar w:fldCharType="begin"/>
      </w:r>
      <w:r w:rsidRPr="00DB6EC8">
        <w:instrText xml:space="preserve"> REF _Ref417651782 \h  \* MERGEFORMAT </w:instrText>
      </w:r>
      <w:r w:rsidRPr="00DB6EC8">
        <w:fldChar w:fldCharType="separate"/>
      </w:r>
      <w:r w:rsidR="00314781" w:rsidRPr="00D95957">
        <w:t>Figure 3</w:t>
      </w:r>
      <w:r w:rsidR="00314781" w:rsidRPr="00D95957">
        <w:noBreakHyphen/>
        <w:t>3</w:t>
      </w:r>
      <w:r w:rsidRPr="00DB6EC8">
        <w:fldChar w:fldCharType="end"/>
      </w:r>
      <w:r w:rsidRPr="00DB6EC8">
        <w:t xml:space="preserve">, </w:t>
      </w:r>
      <w:r w:rsidRPr="00DB6EC8">
        <w:fldChar w:fldCharType="begin"/>
      </w:r>
      <w:r w:rsidRPr="00DB6EC8">
        <w:instrText xml:space="preserve"> REF _Ref417651804 \h  \* MERGEFORMAT </w:instrText>
      </w:r>
      <w:r w:rsidRPr="00DB6EC8">
        <w:fldChar w:fldCharType="separate"/>
      </w:r>
      <w:r w:rsidR="00314781" w:rsidRPr="00D95957">
        <w:t>Figure 3</w:t>
      </w:r>
      <w:r w:rsidR="00314781" w:rsidRPr="00D95957">
        <w:noBreakHyphen/>
        <w:t>4</w:t>
      </w:r>
      <w:r w:rsidRPr="00DB6EC8">
        <w:fldChar w:fldCharType="end"/>
      </w:r>
      <w:r w:rsidRPr="00DB6EC8">
        <w:t xml:space="preserve">, and </w:t>
      </w:r>
      <w:r w:rsidRPr="00DB6EC8">
        <w:fldChar w:fldCharType="begin"/>
      </w:r>
      <w:r w:rsidRPr="00DB6EC8">
        <w:instrText xml:space="preserve"> REF _Ref417652195 \h  \* MERGEFORMAT </w:instrText>
      </w:r>
      <w:r w:rsidRPr="00DB6EC8">
        <w:fldChar w:fldCharType="separate"/>
      </w:r>
      <w:r w:rsidR="00D95957" w:rsidRPr="00D95957">
        <w:t>Table 3</w:t>
      </w:r>
      <w:r w:rsidR="00D95957" w:rsidRPr="00D95957">
        <w:noBreakHyphen/>
        <w:t>6</w:t>
      </w:r>
      <w:r w:rsidRPr="00DB6EC8">
        <w:fldChar w:fldCharType="end"/>
      </w:r>
      <w:r w:rsidRPr="00DB6EC8">
        <w:t xml:space="preserve"> to </w:t>
      </w:r>
      <w:r w:rsidR="00C06CD9" w:rsidRPr="00DB6EC8">
        <w:lastRenderedPageBreak/>
        <w:fldChar w:fldCharType="begin"/>
      </w:r>
      <w:r w:rsidR="00C06CD9" w:rsidRPr="00DB6EC8">
        <w:instrText xml:space="preserve"> REF _Ref418891493 \h  \* MERGEFORMAT </w:instrText>
      </w:r>
      <w:r w:rsidR="00C06CD9" w:rsidRPr="00DB6EC8">
        <w:fldChar w:fldCharType="separate"/>
      </w:r>
      <w:r w:rsidR="00C06CD9" w:rsidRPr="00D95957">
        <w:t>Table</w:t>
      </w:r>
      <w:r w:rsidR="00C06CD9">
        <w:t> </w:t>
      </w:r>
      <w:r w:rsidR="00C06CD9" w:rsidRPr="00D95957">
        <w:t>3</w:t>
      </w:r>
      <w:r w:rsidR="00C06CD9" w:rsidRPr="00D95957">
        <w:noBreakHyphen/>
        <w:t>8</w:t>
      </w:r>
      <w:r w:rsidR="00C06CD9" w:rsidRPr="00DB6EC8">
        <w:fldChar w:fldCharType="end"/>
      </w:r>
      <w:r w:rsidRPr="00DB6EC8">
        <w:t xml:space="preserve">. </w:t>
      </w:r>
      <w:r w:rsidRPr="00DB6EC8">
        <w:fldChar w:fldCharType="begin"/>
      </w:r>
      <w:r w:rsidRPr="00DB6EC8">
        <w:instrText xml:space="preserve"> REF _Ref417651782 \h  \* MERGEFORMAT </w:instrText>
      </w:r>
      <w:r w:rsidRPr="00DB6EC8">
        <w:fldChar w:fldCharType="separate"/>
      </w:r>
      <w:r w:rsidR="00314781" w:rsidRPr="00D95957">
        <w:t>Figure 3</w:t>
      </w:r>
      <w:r w:rsidR="00314781" w:rsidRPr="00D95957">
        <w:noBreakHyphen/>
        <w:t>3</w:t>
      </w:r>
      <w:r w:rsidRPr="00DB6EC8">
        <w:fldChar w:fldCharType="end"/>
      </w:r>
      <w:r w:rsidRPr="00DB6EC8">
        <w:t xml:space="preserve"> shows the gross annual energy-use forecast (NEL), minus the BTM PV forecast, and minus both the FCM-qualified passive demand resources projected for 2017–2020 and the results of the 2021–2026 energy-efficiency forecast. The results show declining long-run growth in electric energy use. Similarly, </w:t>
      </w:r>
      <w:r w:rsidRPr="00DB6EC8">
        <w:fldChar w:fldCharType="begin"/>
      </w:r>
      <w:r w:rsidRPr="00DB6EC8">
        <w:instrText xml:space="preserve"> REF _Ref417651804 \h  \* MERGEFORMAT </w:instrText>
      </w:r>
      <w:r w:rsidRPr="00DB6EC8">
        <w:fldChar w:fldCharType="separate"/>
      </w:r>
      <w:r w:rsidR="00314781" w:rsidRPr="00D95957">
        <w:t>Figure 3</w:t>
      </w:r>
      <w:r w:rsidR="00314781" w:rsidRPr="00D95957">
        <w:noBreakHyphen/>
        <w:t>4</w:t>
      </w:r>
      <w:r w:rsidRPr="00DB6EC8">
        <w:fldChar w:fldCharType="end"/>
      </w:r>
      <w:r w:rsidRPr="00DB6EC8">
        <w:t xml:space="preserve"> shows the amounts that BTM PV and EE reduce the gross summer peak load. </w:t>
      </w:r>
      <w:r w:rsidR="00D95957" w:rsidRPr="00DB6EC8">
        <w:fldChar w:fldCharType="begin"/>
      </w:r>
      <w:r w:rsidR="00D95957" w:rsidRPr="00DB6EC8">
        <w:instrText xml:space="preserve"> REF _Ref417652195 \h  \* MERGEFORMAT </w:instrText>
      </w:r>
      <w:r w:rsidR="00D95957" w:rsidRPr="00DB6EC8">
        <w:fldChar w:fldCharType="separate"/>
      </w:r>
      <w:r w:rsidR="00D95957" w:rsidRPr="00D95957">
        <w:t>Table</w:t>
      </w:r>
      <w:r w:rsidR="00D95957">
        <w:t> </w:t>
      </w:r>
      <w:r w:rsidR="00D95957" w:rsidRPr="00D95957">
        <w:t>3</w:t>
      </w:r>
      <w:r w:rsidR="00D95957" w:rsidRPr="00D95957">
        <w:noBreakHyphen/>
        <w:t>6</w:t>
      </w:r>
      <w:r w:rsidR="00D95957" w:rsidRPr="00DB6EC8">
        <w:fldChar w:fldCharType="end"/>
      </w:r>
      <w:r w:rsidRPr="00DB6EC8">
        <w:t xml:space="preserve"> compares the gross energy and peak demand forecasts with the net forecasts. The net summer peak is projected to remain relatively flat over the forecast horizon. The net winter peak is flat (i.e., negative 0.7%) over the 10-</w:t>
      </w:r>
      <w:r w:rsidRPr="00762B91">
        <w:t xml:space="preserve">year forecast. The BTM PV does not reduce the winter peak because the winter peak occurs after dark. </w:t>
      </w:r>
      <w:r w:rsidRPr="00762B91">
        <w:fldChar w:fldCharType="begin"/>
      </w:r>
      <w:r w:rsidRPr="00762B91">
        <w:instrText xml:space="preserve"> REF _Ref417652655 \h  \* MERGEFORMAT </w:instrText>
      </w:r>
      <w:r w:rsidRPr="00762B91">
        <w:fldChar w:fldCharType="separate"/>
      </w:r>
      <w:r w:rsidR="00D95957" w:rsidRPr="00D95957">
        <w:t>Table 3</w:t>
      </w:r>
      <w:r w:rsidR="00D95957" w:rsidRPr="00D95957">
        <w:noBreakHyphen/>
        <w:t>7</w:t>
      </w:r>
      <w:r w:rsidRPr="00762B91">
        <w:fldChar w:fldCharType="end"/>
      </w:r>
      <w:r w:rsidRPr="00DB6EC8">
        <w:t xml:space="preserve"> shows the net load forecast for each of the New England states, and </w:t>
      </w:r>
      <w:r w:rsidRPr="00DB6EC8">
        <w:fldChar w:fldCharType="begin"/>
      </w:r>
      <w:r w:rsidRPr="00DB6EC8">
        <w:instrText xml:space="preserve"> REF _Ref418891493 \h  \* MERGEFORMAT </w:instrText>
      </w:r>
      <w:r w:rsidRPr="00DB6EC8">
        <w:fldChar w:fldCharType="separate"/>
      </w:r>
      <w:r w:rsidR="00D95957" w:rsidRPr="00D95957">
        <w:t>Table 3</w:t>
      </w:r>
      <w:r w:rsidR="00D95957" w:rsidRPr="00D95957">
        <w:noBreakHyphen/>
        <w:t>8</w:t>
      </w:r>
      <w:r w:rsidRPr="00DB6EC8">
        <w:fldChar w:fldCharType="end"/>
      </w:r>
      <w:r w:rsidRPr="00DB6EC8">
        <w:t xml:space="preserve"> shows the net load forecast for each of the RSP subareas. </w:t>
      </w:r>
    </w:p>
    <w:p w:rsidR="00D0526E" w:rsidRPr="00DB6EC8" w:rsidRDefault="00D0526E" w:rsidP="00DB6EC8">
      <w:pPr>
        <w:keepNext/>
        <w:keepLines/>
        <w:spacing w:after="0" w:line="240" w:lineRule="auto"/>
        <w:jc w:val="center"/>
      </w:pPr>
      <w:r w:rsidRPr="00D0526E">
        <w:rPr>
          <w:noProof/>
        </w:rPr>
        <w:drawing>
          <wp:inline distT="0" distB="0" distL="0" distR="0" wp14:anchorId="6D30B78F" wp14:editId="00FECEDB">
            <wp:extent cx="4047096" cy="2658533"/>
            <wp:effectExtent l="19050" t="19050" r="10795" b="279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047155" cy="2658572"/>
                    </a:xfrm>
                    <a:prstGeom prst="rect">
                      <a:avLst/>
                    </a:prstGeom>
                    <a:noFill/>
                    <a:ln w="3175">
                      <a:solidFill>
                        <a:srgbClr val="000000"/>
                      </a:solidFill>
                    </a:ln>
                  </pic:spPr>
                </pic:pic>
              </a:graphicData>
            </a:graphic>
          </wp:inline>
        </w:drawing>
      </w:r>
    </w:p>
    <w:p w:rsidR="00DB6EC8" w:rsidRPr="00D0526E" w:rsidRDefault="00DB6EC8" w:rsidP="006C763E">
      <w:pPr>
        <w:pStyle w:val="CommentText"/>
        <w:spacing w:before="120"/>
        <w:ind w:left="1170" w:right="900"/>
      </w:pPr>
      <w:bookmarkStart w:id="221" w:name="_Ref417651782"/>
      <w:bookmarkStart w:id="222" w:name="_Toc484957694"/>
      <w:bookmarkStart w:id="223" w:name="_Toc486233201"/>
      <w:r w:rsidRPr="00DB6EC8">
        <w:rPr>
          <w:rFonts w:ascii="Calibri" w:hAnsi="Calibri"/>
          <w:b/>
          <w:bCs/>
          <w:szCs w:val="18"/>
        </w:rPr>
        <w:t xml:space="preserve">Figure </w:t>
      </w:r>
      <w:r w:rsidRPr="00DB6EC8">
        <w:rPr>
          <w:rFonts w:ascii="Calibri" w:hAnsi="Calibri"/>
          <w:b/>
          <w:bCs/>
          <w:szCs w:val="18"/>
        </w:rPr>
        <w:fldChar w:fldCharType="begin"/>
      </w:r>
      <w:r w:rsidRPr="00DB6EC8">
        <w:rPr>
          <w:rFonts w:ascii="Calibri" w:hAnsi="Calibri"/>
          <w:b/>
          <w:bCs/>
          <w:szCs w:val="18"/>
        </w:rPr>
        <w:instrText xml:space="preserve"> STYLEREF 1 \s </w:instrText>
      </w:r>
      <w:r w:rsidRPr="00DB6EC8">
        <w:rPr>
          <w:rFonts w:ascii="Calibri" w:hAnsi="Calibri"/>
          <w:b/>
          <w:bCs/>
          <w:szCs w:val="18"/>
        </w:rPr>
        <w:fldChar w:fldCharType="separate"/>
      </w:r>
      <w:r w:rsidR="00314781">
        <w:rPr>
          <w:rFonts w:ascii="Calibri" w:hAnsi="Calibri"/>
          <w:b/>
          <w:bCs/>
          <w:noProof/>
          <w:szCs w:val="18"/>
        </w:rPr>
        <w:t>3</w:t>
      </w:r>
      <w:r w:rsidRPr="00DB6EC8">
        <w:rPr>
          <w:rFonts w:ascii="Calibri" w:hAnsi="Calibri"/>
          <w:b/>
          <w:bCs/>
          <w:szCs w:val="18"/>
        </w:rPr>
        <w:fldChar w:fldCharType="end"/>
      </w:r>
      <w:r w:rsidRPr="00DB6EC8">
        <w:rPr>
          <w:rFonts w:ascii="Calibri" w:hAnsi="Calibri"/>
          <w:b/>
          <w:bCs/>
          <w:szCs w:val="18"/>
        </w:rPr>
        <w:noBreakHyphen/>
      </w:r>
      <w:r w:rsidRPr="00DB6EC8">
        <w:rPr>
          <w:rFonts w:ascii="Calibri" w:hAnsi="Calibri"/>
          <w:b/>
          <w:bCs/>
          <w:szCs w:val="18"/>
        </w:rPr>
        <w:fldChar w:fldCharType="begin"/>
      </w:r>
      <w:r w:rsidRPr="00DB6EC8">
        <w:rPr>
          <w:rFonts w:ascii="Calibri" w:hAnsi="Calibri"/>
          <w:b/>
          <w:bCs/>
          <w:szCs w:val="18"/>
        </w:rPr>
        <w:instrText xml:space="preserve"> SEQ Figure \* ARABIC \s 1 </w:instrText>
      </w:r>
      <w:r w:rsidRPr="00DB6EC8">
        <w:rPr>
          <w:rFonts w:ascii="Calibri" w:hAnsi="Calibri"/>
          <w:b/>
          <w:bCs/>
          <w:szCs w:val="18"/>
        </w:rPr>
        <w:fldChar w:fldCharType="separate"/>
      </w:r>
      <w:r w:rsidR="00314781">
        <w:rPr>
          <w:rFonts w:ascii="Calibri" w:hAnsi="Calibri"/>
          <w:b/>
          <w:bCs/>
          <w:noProof/>
          <w:szCs w:val="18"/>
        </w:rPr>
        <w:t>3</w:t>
      </w:r>
      <w:r w:rsidRPr="00DB6EC8">
        <w:rPr>
          <w:rFonts w:ascii="Calibri" w:hAnsi="Calibri"/>
          <w:b/>
          <w:bCs/>
          <w:szCs w:val="18"/>
        </w:rPr>
        <w:fldChar w:fldCharType="end"/>
      </w:r>
      <w:bookmarkEnd w:id="221"/>
      <w:r w:rsidRPr="00DB6EC8">
        <w:rPr>
          <w:rFonts w:ascii="Calibri" w:hAnsi="Calibri"/>
          <w:b/>
          <w:bCs/>
          <w:szCs w:val="18"/>
        </w:rPr>
        <w:t xml:space="preserve">: RSP17 Gross annual energy-use </w:t>
      </w:r>
      <w:r w:rsidRPr="00AB066D">
        <w:rPr>
          <w:rFonts w:ascii="Calibri" w:hAnsi="Calibri"/>
          <w:b/>
          <w:bCs/>
          <w:szCs w:val="18"/>
        </w:rPr>
        <w:t>forecast (</w:t>
      </w:r>
      <w:r w:rsidRPr="00DF295A">
        <w:rPr>
          <w:rFonts w:ascii="Calibri" w:hAnsi="Calibri"/>
          <w:b/>
          <w:bCs/>
          <w:szCs w:val="18"/>
        </w:rPr>
        <w:t>diamond</w:t>
      </w:r>
      <w:r w:rsidRPr="00AB066D">
        <w:rPr>
          <w:rFonts w:ascii="Calibri" w:hAnsi="Calibri"/>
          <w:b/>
          <w:bCs/>
          <w:szCs w:val="18"/>
        </w:rPr>
        <w:t>); gross energy forecast minus BTM PV (circle); gross energy forecast minus BTM PV and FCM #11 PDRs through 2020 (triangle); and gross energy forecast minus BTM PV, minus FCM PDRs, minus the energy-efficiency forecast (square) for 2021 to 2026 (MW).</w:t>
      </w:r>
      <w:bookmarkEnd w:id="222"/>
      <w:bookmarkEnd w:id="223"/>
    </w:p>
    <w:p w:rsidR="00AC1B21" w:rsidRPr="00DB6EC8" w:rsidRDefault="00AC1B21" w:rsidP="006C763E">
      <w:pPr>
        <w:keepNext/>
        <w:keepLines/>
        <w:spacing w:after="0" w:line="240" w:lineRule="auto"/>
        <w:jc w:val="center"/>
        <w:rPr>
          <w:rFonts w:ascii="Calibri" w:hAnsi="Calibri"/>
          <w:b/>
          <w:bCs/>
          <w:szCs w:val="18"/>
        </w:rPr>
      </w:pPr>
      <w:r w:rsidRPr="00AC1B21">
        <w:rPr>
          <w:noProof/>
        </w:rPr>
        <w:drawing>
          <wp:inline distT="0" distB="0" distL="0" distR="0" wp14:anchorId="4A525C3C" wp14:editId="54A937DF">
            <wp:extent cx="3881220" cy="2268712"/>
            <wp:effectExtent l="19050" t="19050" r="24130" b="1778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881220" cy="2268712"/>
                    </a:xfrm>
                    <a:prstGeom prst="rect">
                      <a:avLst/>
                    </a:prstGeom>
                    <a:noFill/>
                    <a:ln w="3175">
                      <a:solidFill>
                        <a:srgbClr val="000000"/>
                      </a:solidFill>
                    </a:ln>
                  </pic:spPr>
                </pic:pic>
              </a:graphicData>
            </a:graphic>
          </wp:inline>
        </w:drawing>
      </w:r>
    </w:p>
    <w:p w:rsidR="00DB6EC8" w:rsidRPr="00DB6EC8" w:rsidRDefault="00DB6EC8" w:rsidP="006C763E">
      <w:pPr>
        <w:tabs>
          <w:tab w:val="left" w:pos="7920"/>
        </w:tabs>
        <w:spacing w:before="120" w:line="240" w:lineRule="auto"/>
        <w:ind w:left="1166" w:right="540"/>
        <w:rPr>
          <w:rFonts w:ascii="Calibri" w:hAnsi="Calibri"/>
          <w:b/>
          <w:bCs/>
          <w:szCs w:val="18"/>
        </w:rPr>
      </w:pPr>
      <w:bookmarkStart w:id="224" w:name="_Ref417651804"/>
      <w:bookmarkStart w:id="225" w:name="_Toc484957695"/>
      <w:bookmarkStart w:id="226" w:name="_Toc486233202"/>
      <w:r w:rsidRPr="00DB6EC8">
        <w:rPr>
          <w:rFonts w:ascii="Calibri" w:hAnsi="Calibri"/>
          <w:b/>
          <w:bCs/>
          <w:szCs w:val="18"/>
        </w:rPr>
        <w:t xml:space="preserve">Figure </w:t>
      </w:r>
      <w:r w:rsidRPr="00DB6EC8">
        <w:rPr>
          <w:rFonts w:ascii="Calibri" w:hAnsi="Calibri"/>
          <w:b/>
          <w:bCs/>
          <w:szCs w:val="18"/>
        </w:rPr>
        <w:fldChar w:fldCharType="begin"/>
      </w:r>
      <w:r w:rsidRPr="00DB6EC8">
        <w:rPr>
          <w:rFonts w:ascii="Calibri" w:hAnsi="Calibri"/>
          <w:b/>
          <w:bCs/>
          <w:szCs w:val="18"/>
        </w:rPr>
        <w:instrText xml:space="preserve"> STYLEREF 1 \s </w:instrText>
      </w:r>
      <w:r w:rsidRPr="00DB6EC8">
        <w:rPr>
          <w:rFonts w:ascii="Calibri" w:hAnsi="Calibri"/>
          <w:b/>
          <w:bCs/>
          <w:szCs w:val="18"/>
        </w:rPr>
        <w:fldChar w:fldCharType="separate"/>
      </w:r>
      <w:r w:rsidR="00314781">
        <w:rPr>
          <w:rFonts w:ascii="Calibri" w:hAnsi="Calibri"/>
          <w:b/>
          <w:bCs/>
          <w:noProof/>
          <w:szCs w:val="18"/>
        </w:rPr>
        <w:t>3</w:t>
      </w:r>
      <w:r w:rsidRPr="00DB6EC8">
        <w:rPr>
          <w:rFonts w:ascii="Calibri" w:hAnsi="Calibri"/>
          <w:b/>
          <w:bCs/>
          <w:szCs w:val="18"/>
        </w:rPr>
        <w:fldChar w:fldCharType="end"/>
      </w:r>
      <w:r w:rsidRPr="00DB6EC8">
        <w:rPr>
          <w:rFonts w:ascii="Calibri" w:hAnsi="Calibri"/>
          <w:b/>
          <w:bCs/>
          <w:szCs w:val="18"/>
        </w:rPr>
        <w:noBreakHyphen/>
      </w:r>
      <w:r w:rsidRPr="00DB6EC8">
        <w:rPr>
          <w:rFonts w:ascii="Calibri" w:hAnsi="Calibri"/>
          <w:b/>
          <w:bCs/>
          <w:szCs w:val="18"/>
        </w:rPr>
        <w:fldChar w:fldCharType="begin"/>
      </w:r>
      <w:r w:rsidRPr="00DB6EC8">
        <w:rPr>
          <w:rFonts w:ascii="Calibri" w:hAnsi="Calibri"/>
          <w:b/>
          <w:bCs/>
          <w:szCs w:val="18"/>
        </w:rPr>
        <w:instrText xml:space="preserve"> SEQ Figure \* ARABIC \s 1 </w:instrText>
      </w:r>
      <w:r w:rsidRPr="00DB6EC8">
        <w:rPr>
          <w:rFonts w:ascii="Calibri" w:hAnsi="Calibri"/>
          <w:b/>
          <w:bCs/>
          <w:szCs w:val="18"/>
        </w:rPr>
        <w:fldChar w:fldCharType="separate"/>
      </w:r>
      <w:r w:rsidR="00314781">
        <w:rPr>
          <w:rFonts w:ascii="Calibri" w:hAnsi="Calibri"/>
          <w:b/>
          <w:bCs/>
          <w:noProof/>
          <w:szCs w:val="18"/>
        </w:rPr>
        <w:t>4</w:t>
      </w:r>
      <w:r w:rsidRPr="00DB6EC8">
        <w:rPr>
          <w:rFonts w:ascii="Calibri" w:hAnsi="Calibri"/>
          <w:b/>
          <w:bCs/>
          <w:szCs w:val="18"/>
        </w:rPr>
        <w:fldChar w:fldCharType="end"/>
      </w:r>
      <w:bookmarkEnd w:id="224"/>
      <w:r w:rsidRPr="00DB6EC8">
        <w:rPr>
          <w:rFonts w:ascii="Calibri" w:hAnsi="Calibri"/>
          <w:b/>
          <w:bCs/>
          <w:szCs w:val="18"/>
        </w:rPr>
        <w:t xml:space="preserve">: RSP17 Gross summer peak demand </w:t>
      </w:r>
      <w:r w:rsidRPr="00AB066D">
        <w:rPr>
          <w:rFonts w:ascii="Calibri" w:hAnsi="Calibri"/>
          <w:b/>
          <w:bCs/>
          <w:szCs w:val="18"/>
        </w:rPr>
        <w:t>forecast (90/10) (diamond); gross demand forecast minus BTM PV (circle); gross demand forecast minus BTM PV and FCM #11 PDRs through 2020 (triangle); and gross demand forecast minus BTM PV, minus FCM PDRs, minus the energy-efficiency forecast (square) for 2021 to 2026 (MW).</w:t>
      </w:r>
      <w:bookmarkEnd w:id="225"/>
      <w:bookmarkEnd w:id="226"/>
    </w:p>
    <w:p w:rsidR="00DB6EC8" w:rsidRPr="00DB6EC8" w:rsidRDefault="00DB6EC8" w:rsidP="006C763E">
      <w:pPr>
        <w:spacing w:after="120" w:line="240" w:lineRule="auto"/>
        <w:ind w:left="547" w:right="547"/>
        <w:jc w:val="center"/>
        <w:rPr>
          <w:rFonts w:ascii="Calibri" w:hAnsi="Calibri"/>
          <w:b/>
          <w:bCs/>
          <w:szCs w:val="18"/>
        </w:rPr>
      </w:pPr>
      <w:bookmarkStart w:id="227" w:name="_Ref417652195"/>
      <w:bookmarkStart w:id="228" w:name="_Toc484164909"/>
      <w:bookmarkStart w:id="229" w:name="_Toc491244002"/>
      <w:r w:rsidRPr="00DB6EC8">
        <w:rPr>
          <w:rFonts w:ascii="Calibri" w:hAnsi="Calibri"/>
          <w:b/>
          <w:bCs/>
          <w:szCs w:val="18"/>
        </w:rPr>
        <w:lastRenderedPageBreak/>
        <w:t xml:space="preserve">Table </w:t>
      </w:r>
      <w:r w:rsidR="00D95957">
        <w:rPr>
          <w:rFonts w:ascii="Calibri" w:hAnsi="Calibri"/>
          <w:b/>
          <w:bCs/>
          <w:szCs w:val="18"/>
        </w:rPr>
        <w:fldChar w:fldCharType="begin"/>
      </w:r>
      <w:r w:rsidR="00D95957">
        <w:rPr>
          <w:rFonts w:ascii="Calibri" w:hAnsi="Calibri"/>
          <w:b/>
          <w:bCs/>
          <w:szCs w:val="18"/>
        </w:rPr>
        <w:instrText xml:space="preserve"> STYLEREF 1 \s </w:instrText>
      </w:r>
      <w:r w:rsidR="00D95957">
        <w:rPr>
          <w:rFonts w:ascii="Calibri" w:hAnsi="Calibri"/>
          <w:b/>
          <w:bCs/>
          <w:szCs w:val="18"/>
        </w:rPr>
        <w:fldChar w:fldCharType="separate"/>
      </w:r>
      <w:r w:rsidR="00D95957">
        <w:rPr>
          <w:rFonts w:ascii="Calibri" w:hAnsi="Calibri"/>
          <w:b/>
          <w:bCs/>
          <w:noProof/>
          <w:szCs w:val="18"/>
        </w:rPr>
        <w:t>3</w:t>
      </w:r>
      <w:r w:rsidR="00D95957">
        <w:rPr>
          <w:rFonts w:ascii="Calibri" w:hAnsi="Calibri"/>
          <w:b/>
          <w:bCs/>
          <w:szCs w:val="18"/>
        </w:rPr>
        <w:fldChar w:fldCharType="end"/>
      </w:r>
      <w:r w:rsidR="00D95957">
        <w:rPr>
          <w:rFonts w:ascii="Calibri" w:hAnsi="Calibri"/>
          <w:b/>
          <w:bCs/>
          <w:szCs w:val="18"/>
        </w:rPr>
        <w:noBreakHyphen/>
      </w:r>
      <w:r w:rsidR="00D95957">
        <w:rPr>
          <w:rFonts w:ascii="Calibri" w:hAnsi="Calibri"/>
          <w:b/>
          <w:bCs/>
          <w:szCs w:val="18"/>
        </w:rPr>
        <w:fldChar w:fldCharType="begin"/>
      </w:r>
      <w:r w:rsidR="00D95957">
        <w:rPr>
          <w:rFonts w:ascii="Calibri" w:hAnsi="Calibri"/>
          <w:b/>
          <w:bCs/>
          <w:szCs w:val="18"/>
        </w:rPr>
        <w:instrText xml:space="preserve"> SEQ Table \* ARABIC \s 1 </w:instrText>
      </w:r>
      <w:r w:rsidR="00D95957">
        <w:rPr>
          <w:rFonts w:ascii="Calibri" w:hAnsi="Calibri"/>
          <w:b/>
          <w:bCs/>
          <w:szCs w:val="18"/>
        </w:rPr>
        <w:fldChar w:fldCharType="separate"/>
      </w:r>
      <w:r w:rsidR="00D95957">
        <w:rPr>
          <w:rFonts w:ascii="Calibri" w:hAnsi="Calibri"/>
          <w:b/>
          <w:bCs/>
          <w:noProof/>
          <w:szCs w:val="18"/>
        </w:rPr>
        <w:t>6</w:t>
      </w:r>
      <w:r w:rsidR="00D95957">
        <w:rPr>
          <w:rFonts w:ascii="Calibri" w:hAnsi="Calibri"/>
          <w:b/>
          <w:bCs/>
          <w:szCs w:val="18"/>
        </w:rPr>
        <w:fldChar w:fldCharType="end"/>
      </w:r>
      <w:bookmarkEnd w:id="227"/>
      <w:r w:rsidRPr="00DB6EC8">
        <w:rPr>
          <w:rFonts w:ascii="Calibri" w:hAnsi="Calibri"/>
          <w:b/>
          <w:bCs/>
          <w:szCs w:val="18"/>
        </w:rPr>
        <w:br/>
        <w:t>Percentage Growth Rates of the Gross and Net Forecasts</w:t>
      </w:r>
      <w:r w:rsidRPr="00DB6EC8">
        <w:rPr>
          <w:rFonts w:ascii="Calibri" w:hAnsi="Calibri"/>
          <w:b/>
          <w:bCs/>
          <w:szCs w:val="18"/>
        </w:rPr>
        <w:br/>
        <w:t>of Annual and Peak Electric Energy Use, 2017 to 2026</w:t>
      </w:r>
      <w:bookmarkEnd w:id="228"/>
      <w:bookmarkEnd w:id="229"/>
    </w:p>
    <w:tbl>
      <w:tblPr>
        <w:tblW w:w="0" w:type="auto"/>
        <w:jc w:val="center"/>
        <w:tblInd w:w="-115"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14" w:type="dxa"/>
          <w:right w:w="14" w:type="dxa"/>
        </w:tblCellMar>
        <w:tblLook w:val="04A0" w:firstRow="1" w:lastRow="0" w:firstColumn="1" w:lastColumn="0" w:noHBand="0" w:noVBand="1"/>
      </w:tblPr>
      <w:tblGrid>
        <w:gridCol w:w="2208"/>
        <w:gridCol w:w="720"/>
        <w:gridCol w:w="1816"/>
      </w:tblGrid>
      <w:tr w:rsidR="00DB6EC8" w:rsidRPr="00DB6EC8" w:rsidTr="00DB6EC8">
        <w:trPr>
          <w:cantSplit/>
          <w:trHeight w:val="500"/>
          <w:jc w:val="center"/>
        </w:trPr>
        <w:tc>
          <w:tcPr>
            <w:tcW w:w="2208" w:type="dxa"/>
            <w:tcBorders>
              <w:top w:val="single" w:sz="2" w:space="0" w:color="auto"/>
              <w:left w:val="single" w:sz="2" w:space="0" w:color="auto"/>
              <w:bottom w:val="single" w:sz="2" w:space="0" w:color="auto"/>
              <w:right w:val="single" w:sz="2" w:space="0" w:color="auto"/>
              <w:tl2br w:val="nil"/>
              <w:tr2bl w:val="nil"/>
            </w:tcBorders>
            <w:shd w:val="clear" w:color="auto" w:fill="1795D2" w:themeFill="accent1"/>
            <w:tcMar>
              <w:top w:w="29" w:type="dxa"/>
              <w:left w:w="58" w:type="dxa"/>
              <w:bottom w:w="29" w:type="dxa"/>
              <w:right w:w="58" w:type="dxa"/>
            </w:tcMar>
            <w:vAlign w:val="center"/>
          </w:tcPr>
          <w:p w:rsidR="00DB6EC8" w:rsidRPr="00DB6EC8" w:rsidRDefault="00DB6EC8" w:rsidP="00DB6EC8">
            <w:pPr>
              <w:keepNext/>
              <w:keepLines/>
              <w:spacing w:after="0" w:line="240" w:lineRule="auto"/>
              <w:jc w:val="center"/>
              <w:rPr>
                <w:rFonts w:ascii="Calibri" w:eastAsia="Times New Roman" w:hAnsi="Calibri" w:cstheme="majorBidi"/>
                <w:b/>
                <w:bCs/>
                <w:color w:val="0070C0"/>
                <w:sz w:val="18"/>
                <w:szCs w:val="18"/>
              </w:rPr>
            </w:pPr>
          </w:p>
        </w:tc>
        <w:tc>
          <w:tcPr>
            <w:tcW w:w="720" w:type="dxa"/>
            <w:tcBorders>
              <w:top w:val="single" w:sz="2" w:space="0" w:color="auto"/>
              <w:left w:val="single" w:sz="2" w:space="0" w:color="auto"/>
              <w:bottom w:val="single" w:sz="2" w:space="0" w:color="auto"/>
              <w:right w:val="single" w:sz="2" w:space="0" w:color="auto"/>
              <w:tl2br w:val="nil"/>
              <w:tr2bl w:val="nil"/>
            </w:tcBorders>
            <w:shd w:val="clear" w:color="auto" w:fill="1795D2" w:themeFill="accent1"/>
            <w:tcMar>
              <w:top w:w="29" w:type="dxa"/>
              <w:left w:w="58" w:type="dxa"/>
              <w:bottom w:w="29" w:type="dxa"/>
              <w:right w:w="58" w:type="dxa"/>
            </w:tcMar>
            <w:vAlign w:val="center"/>
          </w:tcPr>
          <w:p w:rsidR="00DB6EC8" w:rsidRPr="00DB6EC8" w:rsidRDefault="00DB6EC8" w:rsidP="00DB6EC8">
            <w:pPr>
              <w:keepNext/>
              <w:keepLines/>
              <w:spacing w:after="0" w:line="240" w:lineRule="auto"/>
              <w:jc w:val="center"/>
              <w:rPr>
                <w:rFonts w:ascii="Calibri" w:hAnsi="Calibri"/>
                <w:b/>
                <w:bCs/>
                <w:sz w:val="18"/>
                <w:szCs w:val="18"/>
              </w:rPr>
            </w:pPr>
            <w:r w:rsidRPr="00DB6EC8">
              <w:rPr>
                <w:rFonts w:ascii="Calibri" w:hAnsi="Calibri"/>
                <w:b/>
                <w:bCs/>
                <w:color w:val="FFFFFF"/>
                <w:sz w:val="18"/>
                <w:szCs w:val="18"/>
              </w:rPr>
              <w:t>Gross</w:t>
            </w:r>
          </w:p>
        </w:tc>
        <w:tc>
          <w:tcPr>
            <w:tcW w:w="1816" w:type="dxa"/>
            <w:tcBorders>
              <w:top w:val="single" w:sz="2" w:space="0" w:color="auto"/>
              <w:left w:val="single" w:sz="2" w:space="0" w:color="auto"/>
              <w:bottom w:val="single" w:sz="2" w:space="0" w:color="auto"/>
              <w:right w:val="single" w:sz="2" w:space="0" w:color="auto"/>
              <w:tl2br w:val="nil"/>
              <w:tr2bl w:val="nil"/>
            </w:tcBorders>
            <w:shd w:val="clear" w:color="auto" w:fill="1795D2" w:themeFill="accent1"/>
            <w:tcMar>
              <w:top w:w="29" w:type="dxa"/>
              <w:left w:w="58" w:type="dxa"/>
              <w:bottom w:w="29" w:type="dxa"/>
              <w:right w:w="58" w:type="dxa"/>
            </w:tcMar>
            <w:vAlign w:val="center"/>
          </w:tcPr>
          <w:p w:rsidR="00DB6EC8" w:rsidRPr="00DB6EC8" w:rsidRDefault="00DB6EC8" w:rsidP="00DB6EC8">
            <w:pPr>
              <w:keepNext/>
              <w:keepLines/>
              <w:spacing w:after="0" w:line="240" w:lineRule="auto"/>
              <w:jc w:val="center"/>
              <w:rPr>
                <w:rFonts w:ascii="Calibri" w:hAnsi="Calibri"/>
                <w:b/>
                <w:bCs/>
                <w:sz w:val="18"/>
                <w:szCs w:val="18"/>
              </w:rPr>
            </w:pPr>
            <w:r w:rsidRPr="00DB6EC8">
              <w:rPr>
                <w:rFonts w:ascii="Calibri" w:hAnsi="Calibri"/>
                <w:b/>
                <w:bCs/>
                <w:color w:val="FFFFFF"/>
                <w:sz w:val="18"/>
                <w:szCs w:val="18"/>
              </w:rPr>
              <w:t>Net</w:t>
            </w:r>
            <w:r w:rsidRPr="00DB6EC8">
              <w:rPr>
                <w:rFonts w:ascii="Calibri" w:hAnsi="Calibri"/>
                <w:b/>
                <w:bCs/>
                <w:color w:val="FFFFFF"/>
                <w:sz w:val="18"/>
                <w:szCs w:val="18"/>
                <w:vertAlign w:val="superscript"/>
              </w:rPr>
              <w:t>(a)</w:t>
            </w:r>
          </w:p>
        </w:tc>
      </w:tr>
      <w:tr w:rsidR="00DB6EC8" w:rsidRPr="00DB6EC8" w:rsidTr="00DB6EC8">
        <w:trPr>
          <w:cantSplit/>
          <w:trHeight w:val="20"/>
          <w:jc w:val="center"/>
        </w:trPr>
        <w:tc>
          <w:tcPr>
            <w:tcW w:w="2208" w:type="dxa"/>
            <w:tcBorders>
              <w:top w:val="single" w:sz="2" w:space="0" w:color="auto"/>
              <w:left w:val="single" w:sz="2" w:space="0" w:color="auto"/>
              <w:bottom w:val="single" w:sz="2" w:space="0" w:color="auto"/>
              <w:right w:val="single" w:sz="2" w:space="0" w:color="auto"/>
              <w:tl2br w:val="nil"/>
              <w:tr2bl w:val="nil"/>
            </w:tcBorders>
            <w:shd w:val="clear" w:color="auto" w:fill="FFFFFF"/>
            <w:tcMar>
              <w:top w:w="29" w:type="dxa"/>
              <w:left w:w="58" w:type="dxa"/>
              <w:bottom w:w="29" w:type="dxa"/>
              <w:right w:w="58" w:type="dxa"/>
            </w:tcMar>
            <w:vAlign w:val="center"/>
          </w:tcPr>
          <w:p w:rsidR="00DB6EC8" w:rsidRPr="00DB6EC8" w:rsidRDefault="00DB6EC8" w:rsidP="00DB6EC8">
            <w:pPr>
              <w:keepNext/>
              <w:keepLines/>
              <w:spacing w:after="0" w:line="240" w:lineRule="auto"/>
              <w:rPr>
                <w:rFonts w:ascii="Calibri" w:hAnsi="Calibri"/>
                <w:b/>
                <w:bCs/>
                <w:sz w:val="18"/>
                <w:szCs w:val="18"/>
              </w:rPr>
            </w:pPr>
            <w:r w:rsidRPr="00DB6EC8">
              <w:rPr>
                <w:rFonts w:ascii="Calibri" w:hAnsi="Calibri"/>
                <w:b/>
                <w:bCs/>
                <w:color w:val="000000"/>
                <w:sz w:val="18"/>
                <w:szCs w:val="18"/>
              </w:rPr>
              <w:t>NEL</w:t>
            </w:r>
          </w:p>
        </w:tc>
        <w:tc>
          <w:tcPr>
            <w:tcW w:w="720" w:type="dxa"/>
            <w:tcBorders>
              <w:top w:val="single" w:sz="2" w:space="0" w:color="auto"/>
              <w:left w:val="single" w:sz="2" w:space="0" w:color="auto"/>
              <w:bottom w:val="single" w:sz="2" w:space="0" w:color="auto"/>
              <w:right w:val="single" w:sz="2" w:space="0" w:color="auto"/>
              <w:tl2br w:val="nil"/>
              <w:tr2bl w:val="nil"/>
            </w:tcBorders>
            <w:shd w:val="clear" w:color="auto" w:fill="FFFFFF"/>
            <w:tcMar>
              <w:top w:w="29" w:type="dxa"/>
              <w:left w:w="0" w:type="dxa"/>
              <w:bottom w:w="29" w:type="dxa"/>
              <w:right w:w="58" w:type="dxa"/>
            </w:tcMar>
            <w:vAlign w:val="center"/>
          </w:tcPr>
          <w:p w:rsidR="00DB6EC8" w:rsidRPr="00DB6EC8" w:rsidRDefault="00DB6EC8" w:rsidP="00DB6EC8">
            <w:pPr>
              <w:keepNext/>
              <w:keepLines/>
              <w:spacing w:after="0" w:line="240" w:lineRule="auto"/>
              <w:jc w:val="center"/>
              <w:rPr>
                <w:rFonts w:ascii="Calibri" w:eastAsia="Times New Roman" w:hAnsi="Calibri"/>
                <w:sz w:val="18"/>
                <w:szCs w:val="18"/>
              </w:rPr>
            </w:pPr>
            <w:r w:rsidRPr="00DB6EC8">
              <w:rPr>
                <w:rFonts w:ascii="Calibri" w:hAnsi="Calibri"/>
                <w:color w:val="000000"/>
                <w:sz w:val="18"/>
                <w:szCs w:val="18"/>
              </w:rPr>
              <w:t>0.9</w:t>
            </w:r>
          </w:p>
        </w:tc>
        <w:tc>
          <w:tcPr>
            <w:tcW w:w="1816" w:type="dxa"/>
            <w:tcBorders>
              <w:top w:val="single" w:sz="2" w:space="0" w:color="auto"/>
              <w:left w:val="single" w:sz="2" w:space="0" w:color="auto"/>
              <w:bottom w:val="single" w:sz="2" w:space="0" w:color="auto"/>
              <w:right w:val="single" w:sz="2" w:space="0" w:color="auto"/>
              <w:tl2br w:val="nil"/>
              <w:tr2bl w:val="nil"/>
            </w:tcBorders>
            <w:shd w:val="clear" w:color="auto" w:fill="FFFFFF"/>
            <w:tcMar>
              <w:top w:w="29" w:type="dxa"/>
              <w:left w:w="0" w:type="dxa"/>
              <w:bottom w:w="29" w:type="dxa"/>
              <w:right w:w="0" w:type="dxa"/>
            </w:tcMar>
            <w:vAlign w:val="center"/>
          </w:tcPr>
          <w:p w:rsidR="00DB6EC8" w:rsidRPr="00DB6EC8" w:rsidRDefault="00DB6EC8" w:rsidP="00DB6EC8">
            <w:pPr>
              <w:keepNext/>
              <w:keepLines/>
              <w:spacing w:after="0" w:line="240" w:lineRule="auto"/>
              <w:jc w:val="center"/>
              <w:rPr>
                <w:rFonts w:ascii="Calibri" w:eastAsia="Times New Roman" w:hAnsi="Calibri"/>
                <w:sz w:val="18"/>
                <w:szCs w:val="18"/>
              </w:rPr>
            </w:pPr>
            <w:r w:rsidRPr="00DB6EC8">
              <w:rPr>
                <w:rFonts w:ascii="Calibri" w:hAnsi="Calibri"/>
                <w:color w:val="000000"/>
                <w:sz w:val="18"/>
                <w:szCs w:val="18"/>
              </w:rPr>
              <w:t>−0.6</w:t>
            </w:r>
          </w:p>
        </w:tc>
      </w:tr>
      <w:tr w:rsidR="00DB6EC8" w:rsidRPr="00DB6EC8" w:rsidTr="00DB6EC8">
        <w:trPr>
          <w:cantSplit/>
          <w:trHeight w:val="20"/>
          <w:jc w:val="center"/>
        </w:trPr>
        <w:tc>
          <w:tcPr>
            <w:tcW w:w="2208" w:type="dxa"/>
            <w:shd w:val="clear" w:color="auto" w:fill="CCEAF9" w:themeFill="accent1" w:themeFillTint="33"/>
            <w:tcMar>
              <w:top w:w="29" w:type="dxa"/>
              <w:left w:w="58" w:type="dxa"/>
              <w:bottom w:w="29" w:type="dxa"/>
              <w:right w:w="58" w:type="dxa"/>
            </w:tcMar>
            <w:vAlign w:val="center"/>
          </w:tcPr>
          <w:p w:rsidR="00DB6EC8" w:rsidRPr="00DB6EC8" w:rsidRDefault="00DB6EC8" w:rsidP="00DB6EC8">
            <w:pPr>
              <w:keepNext/>
              <w:keepLines/>
              <w:spacing w:after="0" w:line="240" w:lineRule="auto"/>
              <w:rPr>
                <w:rFonts w:ascii="Calibri" w:eastAsia="Times New Roman" w:hAnsi="Calibri"/>
                <w:b/>
                <w:bCs/>
                <w:sz w:val="18"/>
                <w:szCs w:val="18"/>
              </w:rPr>
            </w:pPr>
            <w:r w:rsidRPr="00DB6EC8">
              <w:rPr>
                <w:rFonts w:ascii="Calibri" w:hAnsi="Calibri"/>
                <w:b/>
                <w:bCs/>
                <w:color w:val="000000"/>
                <w:sz w:val="18"/>
                <w:szCs w:val="18"/>
              </w:rPr>
              <w:t>50/50 and 90/10 Summer</w:t>
            </w:r>
          </w:p>
        </w:tc>
        <w:tc>
          <w:tcPr>
            <w:tcW w:w="720" w:type="dxa"/>
            <w:shd w:val="clear" w:color="auto" w:fill="CCEAF9" w:themeFill="accent1" w:themeFillTint="33"/>
            <w:tcMar>
              <w:top w:w="29" w:type="dxa"/>
              <w:left w:w="0" w:type="dxa"/>
              <w:bottom w:w="29" w:type="dxa"/>
              <w:right w:w="58" w:type="dxa"/>
            </w:tcMar>
            <w:vAlign w:val="center"/>
          </w:tcPr>
          <w:p w:rsidR="00DB6EC8" w:rsidRPr="00DB6EC8" w:rsidRDefault="00DB6EC8" w:rsidP="00DB6EC8">
            <w:pPr>
              <w:keepNext/>
              <w:keepLines/>
              <w:spacing w:after="0" w:line="240" w:lineRule="auto"/>
              <w:jc w:val="center"/>
              <w:rPr>
                <w:rFonts w:ascii="Calibri" w:eastAsia="Times New Roman" w:hAnsi="Calibri"/>
                <w:sz w:val="18"/>
                <w:szCs w:val="18"/>
              </w:rPr>
            </w:pPr>
            <w:r w:rsidRPr="00DB6EC8">
              <w:rPr>
                <w:rFonts w:ascii="Calibri" w:hAnsi="Calibri"/>
                <w:color w:val="000000"/>
                <w:sz w:val="18"/>
                <w:szCs w:val="18"/>
              </w:rPr>
              <w:t>1.0</w:t>
            </w:r>
          </w:p>
        </w:tc>
        <w:tc>
          <w:tcPr>
            <w:tcW w:w="1816" w:type="dxa"/>
            <w:shd w:val="clear" w:color="auto" w:fill="CCEAF9" w:themeFill="accent1" w:themeFillTint="33"/>
            <w:tcMar>
              <w:top w:w="29" w:type="dxa"/>
              <w:left w:w="0" w:type="dxa"/>
              <w:bottom w:w="29" w:type="dxa"/>
              <w:right w:w="0" w:type="dxa"/>
            </w:tcMar>
            <w:vAlign w:val="center"/>
          </w:tcPr>
          <w:p w:rsidR="00DB6EC8" w:rsidRPr="00DB6EC8" w:rsidRDefault="00DB6EC8" w:rsidP="00DB6EC8">
            <w:pPr>
              <w:keepNext/>
              <w:keepLines/>
              <w:spacing w:after="0" w:line="240" w:lineRule="auto"/>
              <w:jc w:val="center"/>
              <w:rPr>
                <w:rFonts w:ascii="Calibri" w:eastAsia="Times New Roman" w:hAnsi="Calibri"/>
                <w:sz w:val="18"/>
                <w:szCs w:val="18"/>
              </w:rPr>
            </w:pPr>
            <w:r w:rsidRPr="00DB6EC8">
              <w:rPr>
                <w:rFonts w:ascii="Calibri" w:hAnsi="Calibri"/>
                <w:color w:val="000000"/>
                <w:sz w:val="18"/>
                <w:szCs w:val="18"/>
              </w:rPr>
              <w:t>−0.1/0.1</w:t>
            </w:r>
          </w:p>
        </w:tc>
      </w:tr>
      <w:tr w:rsidR="00DB6EC8" w:rsidRPr="00DB6EC8" w:rsidTr="00DB6EC8">
        <w:trPr>
          <w:cantSplit/>
          <w:trHeight w:val="288"/>
          <w:jc w:val="center"/>
        </w:trPr>
        <w:tc>
          <w:tcPr>
            <w:tcW w:w="2208" w:type="dxa"/>
            <w:tcBorders>
              <w:top w:val="single" w:sz="2" w:space="0" w:color="auto"/>
              <w:left w:val="single" w:sz="2" w:space="0" w:color="auto"/>
              <w:bottom w:val="single" w:sz="2" w:space="0" w:color="auto"/>
              <w:right w:val="single" w:sz="2" w:space="0" w:color="auto"/>
              <w:tl2br w:val="nil"/>
              <w:tr2bl w:val="nil"/>
            </w:tcBorders>
            <w:shd w:val="clear" w:color="auto" w:fill="FFFFFF"/>
            <w:tcMar>
              <w:top w:w="29" w:type="dxa"/>
              <w:left w:w="58" w:type="dxa"/>
              <w:bottom w:w="29" w:type="dxa"/>
              <w:right w:w="58" w:type="dxa"/>
            </w:tcMar>
            <w:vAlign w:val="center"/>
          </w:tcPr>
          <w:p w:rsidR="00DB6EC8" w:rsidRPr="00DB6EC8" w:rsidRDefault="00DB6EC8" w:rsidP="00DB6EC8">
            <w:pPr>
              <w:keepNext/>
              <w:keepLines/>
              <w:spacing w:after="0" w:line="240" w:lineRule="auto"/>
              <w:rPr>
                <w:rFonts w:ascii="Calibri" w:eastAsia="Times New Roman" w:hAnsi="Calibri"/>
                <w:b/>
                <w:bCs/>
                <w:sz w:val="18"/>
                <w:szCs w:val="18"/>
              </w:rPr>
            </w:pPr>
            <w:r w:rsidRPr="00DB6EC8">
              <w:rPr>
                <w:rFonts w:ascii="Calibri" w:hAnsi="Calibri"/>
                <w:b/>
                <w:bCs/>
                <w:color w:val="000000"/>
                <w:sz w:val="18"/>
                <w:szCs w:val="18"/>
              </w:rPr>
              <w:t>50/50 and 90/10 Winter</w:t>
            </w:r>
          </w:p>
        </w:tc>
        <w:tc>
          <w:tcPr>
            <w:tcW w:w="720" w:type="dxa"/>
            <w:tcBorders>
              <w:top w:val="single" w:sz="2" w:space="0" w:color="auto"/>
              <w:left w:val="single" w:sz="2" w:space="0" w:color="auto"/>
              <w:bottom w:val="single" w:sz="2" w:space="0" w:color="auto"/>
              <w:right w:val="single" w:sz="2" w:space="0" w:color="auto"/>
              <w:tl2br w:val="nil"/>
              <w:tr2bl w:val="nil"/>
            </w:tcBorders>
            <w:shd w:val="clear" w:color="auto" w:fill="FFFFFF"/>
            <w:tcMar>
              <w:top w:w="29" w:type="dxa"/>
              <w:left w:w="0" w:type="dxa"/>
              <w:bottom w:w="29" w:type="dxa"/>
              <w:right w:w="58" w:type="dxa"/>
            </w:tcMar>
            <w:vAlign w:val="center"/>
          </w:tcPr>
          <w:p w:rsidR="00DB6EC8" w:rsidRPr="00DB6EC8" w:rsidRDefault="00DB6EC8" w:rsidP="00DB6EC8">
            <w:pPr>
              <w:keepNext/>
              <w:keepLines/>
              <w:spacing w:after="0" w:line="240" w:lineRule="auto"/>
              <w:jc w:val="center"/>
              <w:rPr>
                <w:rFonts w:ascii="Calibri" w:eastAsia="Times New Roman" w:hAnsi="Calibri"/>
                <w:sz w:val="18"/>
                <w:szCs w:val="18"/>
              </w:rPr>
            </w:pPr>
            <w:r w:rsidRPr="00DB6EC8">
              <w:rPr>
                <w:rFonts w:ascii="Calibri" w:hAnsi="Calibri"/>
                <w:color w:val="000000"/>
                <w:sz w:val="18"/>
                <w:szCs w:val="18"/>
              </w:rPr>
              <w:t>0.6</w:t>
            </w:r>
          </w:p>
        </w:tc>
        <w:tc>
          <w:tcPr>
            <w:tcW w:w="1816" w:type="dxa"/>
            <w:tcBorders>
              <w:top w:val="single" w:sz="2" w:space="0" w:color="auto"/>
              <w:left w:val="single" w:sz="2" w:space="0" w:color="auto"/>
              <w:bottom w:val="single" w:sz="2" w:space="0" w:color="auto"/>
              <w:right w:val="single" w:sz="2" w:space="0" w:color="auto"/>
              <w:tl2br w:val="nil"/>
              <w:tr2bl w:val="nil"/>
            </w:tcBorders>
            <w:shd w:val="clear" w:color="auto" w:fill="FFFFFF"/>
            <w:tcMar>
              <w:top w:w="29" w:type="dxa"/>
              <w:left w:w="0" w:type="dxa"/>
              <w:bottom w:w="29" w:type="dxa"/>
              <w:right w:w="0" w:type="dxa"/>
            </w:tcMar>
            <w:vAlign w:val="center"/>
          </w:tcPr>
          <w:p w:rsidR="00DB6EC8" w:rsidRPr="00DB6EC8" w:rsidRDefault="00DB6EC8" w:rsidP="00DB6EC8">
            <w:pPr>
              <w:keepNext/>
              <w:keepLines/>
              <w:spacing w:after="0" w:line="240" w:lineRule="auto"/>
              <w:jc w:val="center"/>
              <w:rPr>
                <w:rFonts w:ascii="Calibri" w:eastAsia="Times New Roman" w:hAnsi="Calibri"/>
                <w:sz w:val="18"/>
                <w:szCs w:val="18"/>
              </w:rPr>
            </w:pPr>
            <w:r w:rsidRPr="00DB6EC8">
              <w:rPr>
                <w:rFonts w:ascii="Calibri" w:hAnsi="Calibri"/>
                <w:color w:val="000000"/>
                <w:sz w:val="18"/>
                <w:szCs w:val="18"/>
              </w:rPr>
              <w:t>−0.7</w:t>
            </w:r>
          </w:p>
        </w:tc>
      </w:tr>
    </w:tbl>
    <w:p w:rsidR="00DB6EC8" w:rsidRPr="00DB6EC8" w:rsidRDefault="00DB6EC8" w:rsidP="00C06CD9">
      <w:pPr>
        <w:spacing w:before="120" w:line="240" w:lineRule="auto"/>
        <w:ind w:left="2430" w:right="2070" w:hanging="270"/>
        <w:rPr>
          <w:rFonts w:asciiTheme="minorHAnsi" w:hAnsiTheme="minorHAnsi"/>
          <w:sz w:val="16"/>
          <w:szCs w:val="16"/>
        </w:rPr>
      </w:pPr>
      <w:r w:rsidRPr="00DB6EC8">
        <w:rPr>
          <w:rFonts w:asciiTheme="minorHAnsi" w:hAnsiTheme="minorHAnsi"/>
          <w:sz w:val="16"/>
          <w:szCs w:val="16"/>
        </w:rPr>
        <w:t>(a)</w:t>
      </w:r>
      <w:r w:rsidRPr="00DB6EC8">
        <w:rPr>
          <w:rFonts w:asciiTheme="minorHAnsi" w:hAnsiTheme="minorHAnsi"/>
          <w:sz w:val="16"/>
          <w:szCs w:val="16"/>
        </w:rPr>
        <w:tab/>
        <w:t>The net forecast is the gross forecast minus BTM PV, minus FCM PV, minus qualified passive demand resources for 2017 to 2020, and minus energy-efficiency forecast results for 2021 to 2026.</w:t>
      </w:r>
    </w:p>
    <w:p w:rsidR="00DB6EC8" w:rsidRPr="00DB6EC8" w:rsidRDefault="00DB6EC8" w:rsidP="00C06CD9">
      <w:pPr>
        <w:keepNext/>
        <w:keepLines/>
        <w:spacing w:after="120" w:line="240" w:lineRule="auto"/>
        <w:ind w:left="547" w:right="547"/>
        <w:jc w:val="center"/>
        <w:rPr>
          <w:rFonts w:ascii="Calibri" w:hAnsi="Calibri"/>
          <w:b/>
          <w:bCs/>
          <w:szCs w:val="18"/>
        </w:rPr>
      </w:pPr>
      <w:bookmarkStart w:id="230" w:name="_Ref417652655"/>
      <w:bookmarkStart w:id="231" w:name="_Toc484164910"/>
      <w:bookmarkStart w:id="232" w:name="_Toc491244003"/>
      <w:r w:rsidRPr="00DB6EC8">
        <w:rPr>
          <w:rFonts w:ascii="Calibri" w:hAnsi="Calibri"/>
          <w:b/>
          <w:bCs/>
          <w:szCs w:val="18"/>
        </w:rPr>
        <w:t xml:space="preserve">Table </w:t>
      </w:r>
      <w:r w:rsidR="00D95957">
        <w:rPr>
          <w:rFonts w:ascii="Calibri" w:hAnsi="Calibri"/>
          <w:b/>
          <w:bCs/>
          <w:szCs w:val="18"/>
        </w:rPr>
        <w:fldChar w:fldCharType="begin"/>
      </w:r>
      <w:r w:rsidR="00D95957">
        <w:rPr>
          <w:rFonts w:ascii="Calibri" w:hAnsi="Calibri"/>
          <w:b/>
          <w:bCs/>
          <w:szCs w:val="18"/>
        </w:rPr>
        <w:instrText xml:space="preserve"> STYLEREF 1 \s </w:instrText>
      </w:r>
      <w:r w:rsidR="00D95957">
        <w:rPr>
          <w:rFonts w:ascii="Calibri" w:hAnsi="Calibri"/>
          <w:b/>
          <w:bCs/>
          <w:szCs w:val="18"/>
        </w:rPr>
        <w:fldChar w:fldCharType="separate"/>
      </w:r>
      <w:r w:rsidR="00D95957">
        <w:rPr>
          <w:rFonts w:ascii="Calibri" w:hAnsi="Calibri"/>
          <w:b/>
          <w:bCs/>
          <w:noProof/>
          <w:szCs w:val="18"/>
        </w:rPr>
        <w:t>3</w:t>
      </w:r>
      <w:r w:rsidR="00D95957">
        <w:rPr>
          <w:rFonts w:ascii="Calibri" w:hAnsi="Calibri"/>
          <w:b/>
          <w:bCs/>
          <w:szCs w:val="18"/>
        </w:rPr>
        <w:fldChar w:fldCharType="end"/>
      </w:r>
      <w:r w:rsidR="00D95957">
        <w:rPr>
          <w:rFonts w:ascii="Calibri" w:hAnsi="Calibri"/>
          <w:b/>
          <w:bCs/>
          <w:szCs w:val="18"/>
        </w:rPr>
        <w:noBreakHyphen/>
      </w:r>
      <w:r w:rsidR="00D95957">
        <w:rPr>
          <w:rFonts w:ascii="Calibri" w:hAnsi="Calibri"/>
          <w:b/>
          <w:bCs/>
          <w:szCs w:val="18"/>
        </w:rPr>
        <w:fldChar w:fldCharType="begin"/>
      </w:r>
      <w:r w:rsidR="00D95957">
        <w:rPr>
          <w:rFonts w:ascii="Calibri" w:hAnsi="Calibri"/>
          <w:b/>
          <w:bCs/>
          <w:szCs w:val="18"/>
        </w:rPr>
        <w:instrText xml:space="preserve"> SEQ Table \* ARABIC \s 1 </w:instrText>
      </w:r>
      <w:r w:rsidR="00D95957">
        <w:rPr>
          <w:rFonts w:ascii="Calibri" w:hAnsi="Calibri"/>
          <w:b/>
          <w:bCs/>
          <w:szCs w:val="18"/>
        </w:rPr>
        <w:fldChar w:fldCharType="separate"/>
      </w:r>
      <w:r w:rsidR="00D95957">
        <w:rPr>
          <w:rFonts w:ascii="Calibri" w:hAnsi="Calibri"/>
          <w:b/>
          <w:bCs/>
          <w:noProof/>
          <w:szCs w:val="18"/>
        </w:rPr>
        <w:t>7</w:t>
      </w:r>
      <w:r w:rsidR="00D95957">
        <w:rPr>
          <w:rFonts w:ascii="Calibri" w:hAnsi="Calibri"/>
          <w:b/>
          <w:bCs/>
          <w:szCs w:val="18"/>
        </w:rPr>
        <w:fldChar w:fldCharType="end"/>
      </w:r>
      <w:bookmarkEnd w:id="230"/>
      <w:r w:rsidRPr="00DB6EC8">
        <w:rPr>
          <w:rFonts w:ascii="Calibri" w:hAnsi="Calibri"/>
          <w:b/>
          <w:bCs/>
          <w:szCs w:val="18"/>
        </w:rPr>
        <w:br/>
        <w:t>State and Systemwide Net Forecasts of Annual and Peak Electric Energy Use</w:t>
      </w:r>
      <w:r w:rsidR="00711D32">
        <w:rPr>
          <w:rFonts w:ascii="Calibri" w:hAnsi="Calibri"/>
          <w:b/>
          <w:bCs/>
          <w:szCs w:val="18"/>
        </w:rPr>
        <w:t>, 2017</w:t>
      </w:r>
      <w:r w:rsidRPr="00DB6EC8">
        <w:rPr>
          <w:rFonts w:ascii="Calibri" w:hAnsi="Calibri"/>
          <w:b/>
          <w:bCs/>
          <w:szCs w:val="18"/>
        </w:rPr>
        <w:t xml:space="preserve"> (MWh, MW)</w:t>
      </w:r>
      <w:bookmarkEnd w:id="231"/>
      <w:bookmarkEnd w:id="232"/>
    </w:p>
    <w:tbl>
      <w:tblPr>
        <w:tblW w:w="9932" w:type="dxa"/>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top w:w="58" w:type="dxa"/>
          <w:left w:w="58" w:type="dxa"/>
          <w:bottom w:w="58" w:type="dxa"/>
          <w:right w:w="58" w:type="dxa"/>
        </w:tblCellMar>
        <w:tblLook w:val="0000" w:firstRow="0" w:lastRow="0" w:firstColumn="0" w:lastColumn="0" w:noHBand="0" w:noVBand="0"/>
      </w:tblPr>
      <w:tblGrid>
        <w:gridCol w:w="720"/>
        <w:gridCol w:w="810"/>
        <w:gridCol w:w="830"/>
        <w:gridCol w:w="610"/>
        <w:gridCol w:w="646"/>
        <w:gridCol w:w="652"/>
        <w:gridCol w:w="652"/>
        <w:gridCol w:w="660"/>
        <w:gridCol w:w="540"/>
        <w:gridCol w:w="810"/>
        <w:gridCol w:w="842"/>
        <w:gridCol w:w="810"/>
        <w:gridCol w:w="778"/>
        <w:gridCol w:w="572"/>
      </w:tblGrid>
      <w:tr w:rsidR="00DB6EC8" w:rsidRPr="00DB6EC8" w:rsidTr="00DB6EC8">
        <w:trPr>
          <w:cantSplit/>
          <w:jc w:val="center"/>
        </w:trPr>
        <w:tc>
          <w:tcPr>
            <w:tcW w:w="720" w:type="dxa"/>
            <w:vMerge w:val="restart"/>
            <w:shd w:val="clear" w:color="auto" w:fill="1795D2" w:themeFill="accent1"/>
            <w:noWrap/>
            <w:vAlign w:val="center"/>
          </w:tcPr>
          <w:p w:rsidR="00DB6EC8" w:rsidRPr="00DB6EC8" w:rsidRDefault="00DB6EC8" w:rsidP="00C06CD9">
            <w:pPr>
              <w:keepNext/>
              <w:keepLines/>
              <w:spacing w:after="0" w:line="240" w:lineRule="auto"/>
              <w:jc w:val="center"/>
              <w:rPr>
                <w:rFonts w:asciiTheme="minorHAnsi" w:hAnsiTheme="minorHAnsi" w:cs="Arial"/>
                <w:b/>
                <w:color w:val="FFFFFF"/>
                <w:sz w:val="18"/>
                <w:szCs w:val="18"/>
              </w:rPr>
            </w:pPr>
            <w:r w:rsidRPr="00DB6EC8">
              <w:rPr>
                <w:rFonts w:asciiTheme="minorHAnsi" w:hAnsiTheme="minorHAnsi" w:cs="Arial"/>
                <w:b/>
                <w:color w:val="FFFFFF"/>
                <w:sz w:val="18"/>
                <w:szCs w:val="18"/>
              </w:rPr>
              <w:t>Area</w:t>
            </w:r>
          </w:p>
        </w:tc>
        <w:tc>
          <w:tcPr>
            <w:tcW w:w="2250" w:type="dxa"/>
            <w:gridSpan w:val="3"/>
            <w:vMerge w:val="restart"/>
            <w:shd w:val="clear" w:color="auto" w:fill="1795D2" w:themeFill="accent1"/>
            <w:noWrap/>
            <w:vAlign w:val="center"/>
          </w:tcPr>
          <w:p w:rsidR="00DB6EC8" w:rsidRPr="00DB6EC8" w:rsidRDefault="00DB6EC8" w:rsidP="00C06CD9">
            <w:pPr>
              <w:keepNext/>
              <w:keepLines/>
              <w:spacing w:after="0" w:line="240" w:lineRule="auto"/>
              <w:jc w:val="center"/>
              <w:rPr>
                <w:rFonts w:asciiTheme="minorHAnsi" w:hAnsiTheme="minorHAnsi" w:cs="Arial"/>
                <w:b/>
                <w:color w:val="FFFFFF"/>
                <w:sz w:val="18"/>
                <w:szCs w:val="18"/>
              </w:rPr>
            </w:pPr>
            <w:r w:rsidRPr="00DB6EC8">
              <w:rPr>
                <w:rFonts w:asciiTheme="minorHAnsi" w:hAnsiTheme="minorHAnsi" w:cs="Arial"/>
                <w:b/>
                <w:color w:val="FFFFFF"/>
                <w:sz w:val="18"/>
                <w:szCs w:val="18"/>
              </w:rPr>
              <w:t>Energy</w:t>
            </w:r>
          </w:p>
          <w:p w:rsidR="00DB6EC8" w:rsidRPr="00DB6EC8" w:rsidRDefault="00DB6EC8" w:rsidP="00C06CD9">
            <w:pPr>
              <w:keepNext/>
              <w:keepLines/>
              <w:spacing w:after="0" w:line="240" w:lineRule="auto"/>
              <w:jc w:val="center"/>
              <w:rPr>
                <w:rFonts w:asciiTheme="minorHAnsi" w:hAnsiTheme="minorHAnsi" w:cs="Arial"/>
                <w:b/>
                <w:color w:val="FFFFFF"/>
                <w:sz w:val="18"/>
                <w:szCs w:val="18"/>
              </w:rPr>
            </w:pPr>
            <w:r w:rsidRPr="00DB6EC8">
              <w:rPr>
                <w:rFonts w:asciiTheme="minorHAnsi" w:hAnsiTheme="minorHAnsi" w:cs="Arial"/>
                <w:b/>
                <w:color w:val="FFFFFF"/>
                <w:sz w:val="18"/>
                <w:szCs w:val="18"/>
              </w:rPr>
              <w:t>(1,000 MWh)</w:t>
            </w:r>
          </w:p>
        </w:tc>
        <w:tc>
          <w:tcPr>
            <w:tcW w:w="3150" w:type="dxa"/>
            <w:gridSpan w:val="5"/>
            <w:shd w:val="clear" w:color="auto" w:fill="1795D2" w:themeFill="accent1"/>
            <w:noWrap/>
            <w:vAlign w:val="center"/>
          </w:tcPr>
          <w:p w:rsidR="00DB6EC8" w:rsidRPr="00DB6EC8" w:rsidRDefault="00DB6EC8" w:rsidP="00C06CD9">
            <w:pPr>
              <w:keepNext/>
              <w:keepLines/>
              <w:spacing w:after="0" w:line="240" w:lineRule="auto"/>
              <w:jc w:val="center"/>
              <w:rPr>
                <w:rFonts w:asciiTheme="minorHAnsi" w:eastAsia="Arial Unicode MS" w:hAnsiTheme="minorHAnsi" w:cs="Arial"/>
                <w:b/>
                <w:color w:val="FFFFFF"/>
                <w:sz w:val="18"/>
                <w:szCs w:val="18"/>
              </w:rPr>
            </w:pPr>
            <w:r w:rsidRPr="00DB6EC8">
              <w:rPr>
                <w:rFonts w:asciiTheme="minorHAnsi" w:hAnsiTheme="minorHAnsi" w:cs="Arial"/>
                <w:b/>
                <w:color w:val="FFFFFF"/>
                <w:sz w:val="18"/>
                <w:szCs w:val="18"/>
              </w:rPr>
              <w:t>Summer Peak Loads (MW)</w:t>
            </w:r>
          </w:p>
        </w:tc>
        <w:tc>
          <w:tcPr>
            <w:tcW w:w="3812" w:type="dxa"/>
            <w:gridSpan w:val="5"/>
            <w:shd w:val="clear" w:color="auto" w:fill="1795D2" w:themeFill="accent1"/>
            <w:noWrap/>
            <w:vAlign w:val="center"/>
          </w:tcPr>
          <w:p w:rsidR="00DB6EC8" w:rsidRPr="00DB6EC8" w:rsidRDefault="00DB6EC8" w:rsidP="00C06CD9">
            <w:pPr>
              <w:keepNext/>
              <w:keepLines/>
              <w:spacing w:after="0" w:line="240" w:lineRule="auto"/>
              <w:jc w:val="center"/>
              <w:rPr>
                <w:rFonts w:asciiTheme="minorHAnsi" w:eastAsia="Arial Unicode MS" w:hAnsiTheme="minorHAnsi" w:cs="Arial"/>
                <w:b/>
                <w:color w:val="FFFFFF"/>
                <w:sz w:val="18"/>
                <w:szCs w:val="18"/>
              </w:rPr>
            </w:pPr>
            <w:r w:rsidRPr="00DB6EC8">
              <w:rPr>
                <w:rFonts w:asciiTheme="minorHAnsi" w:hAnsiTheme="minorHAnsi" w:cs="Arial"/>
                <w:b/>
                <w:color w:val="FFFFFF"/>
                <w:sz w:val="18"/>
                <w:szCs w:val="18"/>
              </w:rPr>
              <w:t>Winter Peak Loads (MW)</w:t>
            </w:r>
          </w:p>
        </w:tc>
      </w:tr>
      <w:tr w:rsidR="00DB6EC8" w:rsidRPr="00DB6EC8" w:rsidTr="00DB6EC8">
        <w:trPr>
          <w:cantSplit/>
          <w:jc w:val="center"/>
        </w:trPr>
        <w:tc>
          <w:tcPr>
            <w:tcW w:w="720" w:type="dxa"/>
            <w:vMerge/>
            <w:shd w:val="clear" w:color="auto" w:fill="1795D2" w:themeFill="accent1"/>
            <w:noWrap/>
            <w:vAlign w:val="center"/>
          </w:tcPr>
          <w:p w:rsidR="00DB6EC8" w:rsidRPr="00DB6EC8" w:rsidRDefault="00DB6EC8" w:rsidP="00C06CD9">
            <w:pPr>
              <w:keepNext/>
              <w:keepLines/>
              <w:spacing w:after="0" w:line="240" w:lineRule="auto"/>
              <w:jc w:val="center"/>
              <w:rPr>
                <w:rFonts w:asciiTheme="minorHAnsi" w:hAnsiTheme="minorHAnsi" w:cs="Arial"/>
                <w:b/>
                <w:color w:val="FFFFFF"/>
                <w:sz w:val="18"/>
                <w:szCs w:val="18"/>
              </w:rPr>
            </w:pPr>
          </w:p>
        </w:tc>
        <w:tc>
          <w:tcPr>
            <w:tcW w:w="2250" w:type="dxa"/>
            <w:gridSpan w:val="3"/>
            <w:vMerge/>
            <w:shd w:val="clear" w:color="auto" w:fill="1795D2" w:themeFill="accent1"/>
            <w:noWrap/>
            <w:vAlign w:val="center"/>
          </w:tcPr>
          <w:p w:rsidR="00DB6EC8" w:rsidRPr="00DB6EC8" w:rsidRDefault="00DB6EC8" w:rsidP="00C06CD9">
            <w:pPr>
              <w:keepNext/>
              <w:keepLines/>
              <w:spacing w:after="0" w:line="240" w:lineRule="auto"/>
              <w:jc w:val="center"/>
              <w:rPr>
                <w:rFonts w:asciiTheme="minorHAnsi" w:hAnsiTheme="minorHAnsi" w:cs="Arial"/>
                <w:b/>
                <w:color w:val="FFFFFF"/>
                <w:sz w:val="18"/>
                <w:szCs w:val="18"/>
              </w:rPr>
            </w:pPr>
          </w:p>
        </w:tc>
        <w:tc>
          <w:tcPr>
            <w:tcW w:w="1298" w:type="dxa"/>
            <w:gridSpan w:val="2"/>
            <w:shd w:val="clear" w:color="auto" w:fill="1795D2" w:themeFill="accent1"/>
            <w:noWrap/>
            <w:vAlign w:val="center"/>
          </w:tcPr>
          <w:p w:rsidR="00DB6EC8" w:rsidRPr="00DB6EC8" w:rsidRDefault="00DB6EC8" w:rsidP="00C06CD9">
            <w:pPr>
              <w:keepNext/>
              <w:keepLines/>
              <w:spacing w:after="0" w:line="240" w:lineRule="auto"/>
              <w:jc w:val="center"/>
              <w:rPr>
                <w:rFonts w:asciiTheme="minorHAnsi" w:eastAsia="Arial Unicode MS" w:hAnsiTheme="minorHAnsi" w:cs="Arial"/>
                <w:b/>
                <w:color w:val="FFFFFF"/>
                <w:sz w:val="18"/>
                <w:szCs w:val="18"/>
              </w:rPr>
            </w:pPr>
            <w:r w:rsidRPr="00DB6EC8">
              <w:rPr>
                <w:rFonts w:asciiTheme="minorHAnsi" w:hAnsiTheme="minorHAnsi" w:cs="Arial"/>
                <w:b/>
                <w:color w:val="FFFFFF"/>
                <w:sz w:val="18"/>
                <w:szCs w:val="18"/>
              </w:rPr>
              <w:t>50/50 Load</w:t>
            </w:r>
          </w:p>
        </w:tc>
        <w:tc>
          <w:tcPr>
            <w:tcW w:w="1312" w:type="dxa"/>
            <w:gridSpan w:val="2"/>
            <w:shd w:val="clear" w:color="auto" w:fill="1795D2" w:themeFill="accent1"/>
            <w:noWrap/>
            <w:vAlign w:val="center"/>
          </w:tcPr>
          <w:p w:rsidR="00DB6EC8" w:rsidRPr="00DB6EC8" w:rsidRDefault="00DB6EC8" w:rsidP="00C06CD9">
            <w:pPr>
              <w:keepNext/>
              <w:keepLines/>
              <w:spacing w:after="0" w:line="240" w:lineRule="auto"/>
              <w:jc w:val="center"/>
              <w:rPr>
                <w:rFonts w:asciiTheme="minorHAnsi" w:eastAsia="Arial Unicode MS" w:hAnsiTheme="minorHAnsi" w:cs="Arial"/>
                <w:b/>
                <w:color w:val="FFFFFF"/>
                <w:sz w:val="18"/>
                <w:szCs w:val="18"/>
              </w:rPr>
            </w:pPr>
            <w:r w:rsidRPr="00DB6EC8">
              <w:rPr>
                <w:rFonts w:asciiTheme="minorHAnsi" w:hAnsiTheme="minorHAnsi" w:cs="Arial"/>
                <w:b/>
                <w:color w:val="FFFFFF"/>
                <w:sz w:val="18"/>
                <w:szCs w:val="18"/>
              </w:rPr>
              <w:t>90/10 Load</w:t>
            </w:r>
          </w:p>
        </w:tc>
        <w:tc>
          <w:tcPr>
            <w:tcW w:w="540" w:type="dxa"/>
            <w:shd w:val="clear" w:color="auto" w:fill="1795D2" w:themeFill="accent1"/>
            <w:noWrap/>
            <w:vAlign w:val="center"/>
          </w:tcPr>
          <w:p w:rsidR="00DB6EC8" w:rsidRPr="00DB6EC8" w:rsidRDefault="00DB6EC8" w:rsidP="00C06CD9">
            <w:pPr>
              <w:keepNext/>
              <w:keepLines/>
              <w:spacing w:after="0" w:line="240" w:lineRule="auto"/>
              <w:jc w:val="center"/>
              <w:rPr>
                <w:rFonts w:asciiTheme="minorHAnsi" w:hAnsiTheme="minorHAnsi" w:cs="Arial"/>
                <w:b/>
                <w:color w:val="FFFFFF"/>
                <w:sz w:val="18"/>
                <w:szCs w:val="18"/>
              </w:rPr>
            </w:pPr>
          </w:p>
        </w:tc>
        <w:tc>
          <w:tcPr>
            <w:tcW w:w="1652" w:type="dxa"/>
            <w:gridSpan w:val="2"/>
            <w:shd w:val="clear" w:color="auto" w:fill="1795D2" w:themeFill="accent1"/>
            <w:noWrap/>
            <w:vAlign w:val="center"/>
          </w:tcPr>
          <w:p w:rsidR="00DB6EC8" w:rsidRPr="00DB6EC8" w:rsidRDefault="00DB6EC8" w:rsidP="00C06CD9">
            <w:pPr>
              <w:keepNext/>
              <w:keepLines/>
              <w:spacing w:after="0" w:line="240" w:lineRule="auto"/>
              <w:jc w:val="center"/>
              <w:rPr>
                <w:rFonts w:asciiTheme="minorHAnsi" w:eastAsia="Arial Unicode MS" w:hAnsiTheme="minorHAnsi" w:cs="Arial"/>
                <w:b/>
                <w:color w:val="FFFFFF"/>
                <w:sz w:val="18"/>
                <w:szCs w:val="18"/>
              </w:rPr>
            </w:pPr>
            <w:r w:rsidRPr="00DB6EC8">
              <w:rPr>
                <w:rFonts w:asciiTheme="minorHAnsi" w:hAnsiTheme="minorHAnsi" w:cs="Arial"/>
                <w:b/>
                <w:color w:val="FFFFFF"/>
                <w:sz w:val="18"/>
                <w:szCs w:val="18"/>
              </w:rPr>
              <w:t>50/50 Load</w:t>
            </w:r>
          </w:p>
        </w:tc>
        <w:tc>
          <w:tcPr>
            <w:tcW w:w="1588" w:type="dxa"/>
            <w:gridSpan w:val="2"/>
            <w:shd w:val="clear" w:color="auto" w:fill="1795D2" w:themeFill="accent1"/>
            <w:noWrap/>
            <w:vAlign w:val="center"/>
          </w:tcPr>
          <w:p w:rsidR="00DB6EC8" w:rsidRPr="00DB6EC8" w:rsidRDefault="00DB6EC8" w:rsidP="00C06CD9">
            <w:pPr>
              <w:keepNext/>
              <w:keepLines/>
              <w:spacing w:after="0" w:line="240" w:lineRule="auto"/>
              <w:jc w:val="center"/>
              <w:rPr>
                <w:rFonts w:asciiTheme="minorHAnsi" w:eastAsia="Arial Unicode MS" w:hAnsiTheme="minorHAnsi" w:cs="Arial"/>
                <w:b/>
                <w:color w:val="FFFFFF"/>
                <w:sz w:val="18"/>
                <w:szCs w:val="18"/>
              </w:rPr>
            </w:pPr>
            <w:r w:rsidRPr="00DB6EC8">
              <w:rPr>
                <w:rFonts w:asciiTheme="minorHAnsi" w:hAnsiTheme="minorHAnsi" w:cs="Arial"/>
                <w:b/>
                <w:color w:val="FFFFFF"/>
                <w:sz w:val="18"/>
                <w:szCs w:val="18"/>
              </w:rPr>
              <w:t>90/10 Load</w:t>
            </w:r>
          </w:p>
        </w:tc>
        <w:tc>
          <w:tcPr>
            <w:tcW w:w="572" w:type="dxa"/>
            <w:shd w:val="clear" w:color="auto" w:fill="1795D2" w:themeFill="accent1"/>
            <w:noWrap/>
            <w:vAlign w:val="center"/>
          </w:tcPr>
          <w:p w:rsidR="00DB6EC8" w:rsidRPr="00DB6EC8" w:rsidRDefault="00DB6EC8" w:rsidP="00C06CD9">
            <w:pPr>
              <w:keepNext/>
              <w:keepLines/>
              <w:spacing w:after="0" w:line="240" w:lineRule="auto"/>
              <w:jc w:val="center"/>
              <w:rPr>
                <w:rFonts w:asciiTheme="minorHAnsi" w:hAnsiTheme="minorHAnsi" w:cs="Arial"/>
                <w:b/>
                <w:color w:val="FFFFFF"/>
                <w:sz w:val="18"/>
                <w:szCs w:val="18"/>
              </w:rPr>
            </w:pPr>
          </w:p>
        </w:tc>
      </w:tr>
      <w:tr w:rsidR="00DB6EC8" w:rsidRPr="00DB6EC8" w:rsidTr="00DB6EC8">
        <w:trPr>
          <w:cantSplit/>
          <w:jc w:val="center"/>
        </w:trPr>
        <w:tc>
          <w:tcPr>
            <w:tcW w:w="720" w:type="dxa"/>
            <w:vMerge/>
            <w:shd w:val="clear" w:color="auto" w:fill="1795D2" w:themeFill="accent1"/>
            <w:noWrap/>
            <w:vAlign w:val="center"/>
          </w:tcPr>
          <w:p w:rsidR="00DB6EC8" w:rsidRPr="00DB6EC8" w:rsidRDefault="00DB6EC8" w:rsidP="00DB6EC8">
            <w:pPr>
              <w:keepNext/>
              <w:keepLines/>
              <w:spacing w:after="0" w:line="240" w:lineRule="auto"/>
              <w:jc w:val="center"/>
              <w:rPr>
                <w:rFonts w:asciiTheme="minorHAnsi" w:eastAsia="Arial Unicode MS" w:hAnsiTheme="minorHAnsi" w:cs="Arial"/>
                <w:b/>
                <w:color w:val="FFFFFF"/>
                <w:sz w:val="18"/>
                <w:szCs w:val="18"/>
              </w:rPr>
            </w:pPr>
          </w:p>
        </w:tc>
        <w:tc>
          <w:tcPr>
            <w:tcW w:w="810" w:type="dxa"/>
            <w:shd w:val="clear" w:color="auto" w:fill="1795D2" w:themeFill="accent1"/>
            <w:noWrap/>
            <w:vAlign w:val="center"/>
          </w:tcPr>
          <w:p w:rsidR="00DB6EC8" w:rsidRPr="00DB6EC8" w:rsidRDefault="00DB6EC8" w:rsidP="00DB6EC8">
            <w:pPr>
              <w:keepNext/>
              <w:keepLines/>
              <w:spacing w:after="0" w:line="240" w:lineRule="auto"/>
              <w:jc w:val="center"/>
              <w:rPr>
                <w:rFonts w:asciiTheme="minorHAnsi" w:eastAsia="Arial Unicode MS" w:hAnsiTheme="minorHAnsi" w:cs="Arial"/>
                <w:b/>
                <w:color w:val="FFFFFF" w:themeColor="background1"/>
                <w:sz w:val="18"/>
                <w:szCs w:val="18"/>
              </w:rPr>
            </w:pPr>
            <w:r w:rsidRPr="00DB6EC8">
              <w:rPr>
                <w:rFonts w:asciiTheme="minorHAnsi" w:hAnsiTheme="minorHAnsi"/>
                <w:b/>
                <w:color w:val="FFFFFF" w:themeColor="background1"/>
                <w:sz w:val="18"/>
                <w:szCs w:val="18"/>
              </w:rPr>
              <w:t>2017</w:t>
            </w:r>
          </w:p>
        </w:tc>
        <w:tc>
          <w:tcPr>
            <w:tcW w:w="830" w:type="dxa"/>
            <w:shd w:val="clear" w:color="auto" w:fill="1795D2" w:themeFill="accent1"/>
            <w:noWrap/>
            <w:vAlign w:val="center"/>
          </w:tcPr>
          <w:p w:rsidR="00DB6EC8" w:rsidRPr="00DB6EC8" w:rsidRDefault="00DB6EC8" w:rsidP="00DB6EC8">
            <w:pPr>
              <w:keepNext/>
              <w:keepLines/>
              <w:spacing w:after="0" w:line="240" w:lineRule="auto"/>
              <w:jc w:val="center"/>
              <w:rPr>
                <w:rFonts w:asciiTheme="minorHAnsi" w:eastAsia="Arial Unicode MS" w:hAnsiTheme="minorHAnsi" w:cs="Arial"/>
                <w:b/>
                <w:color w:val="FFFFFF" w:themeColor="background1"/>
                <w:sz w:val="18"/>
                <w:szCs w:val="18"/>
              </w:rPr>
            </w:pPr>
            <w:r w:rsidRPr="00DB6EC8">
              <w:rPr>
                <w:rFonts w:asciiTheme="minorHAnsi" w:hAnsiTheme="minorHAnsi"/>
                <w:b/>
                <w:color w:val="FFFFFF" w:themeColor="background1"/>
                <w:sz w:val="18"/>
                <w:szCs w:val="18"/>
              </w:rPr>
              <w:t>2026</w:t>
            </w:r>
          </w:p>
        </w:tc>
        <w:tc>
          <w:tcPr>
            <w:tcW w:w="610" w:type="dxa"/>
            <w:shd w:val="clear" w:color="auto" w:fill="1795D2" w:themeFill="accent1"/>
            <w:noWrap/>
            <w:vAlign w:val="center"/>
          </w:tcPr>
          <w:p w:rsidR="00DB6EC8" w:rsidRPr="00DB6EC8" w:rsidRDefault="00DB6EC8" w:rsidP="00DB6EC8">
            <w:pPr>
              <w:keepNext/>
              <w:keepLines/>
              <w:spacing w:after="0" w:line="240" w:lineRule="auto"/>
              <w:jc w:val="center"/>
              <w:rPr>
                <w:rFonts w:asciiTheme="minorHAnsi" w:eastAsia="Arial Unicode MS" w:hAnsiTheme="minorHAnsi" w:cs="Arial"/>
                <w:b/>
                <w:color w:val="FFFFFF" w:themeColor="background1"/>
                <w:sz w:val="18"/>
                <w:szCs w:val="18"/>
              </w:rPr>
            </w:pPr>
            <w:r w:rsidRPr="00DB6EC8">
              <w:rPr>
                <w:rFonts w:asciiTheme="minorHAnsi" w:hAnsiTheme="minorHAnsi"/>
                <w:b/>
                <w:color w:val="FFFFFF" w:themeColor="background1"/>
                <w:sz w:val="18"/>
                <w:szCs w:val="18"/>
              </w:rPr>
              <w:t>CAGR</w:t>
            </w:r>
          </w:p>
        </w:tc>
        <w:tc>
          <w:tcPr>
            <w:tcW w:w="646" w:type="dxa"/>
            <w:shd w:val="clear" w:color="auto" w:fill="1795D2" w:themeFill="accent1"/>
            <w:noWrap/>
            <w:vAlign w:val="center"/>
          </w:tcPr>
          <w:p w:rsidR="00DB6EC8" w:rsidRPr="00DB6EC8" w:rsidRDefault="00DB6EC8" w:rsidP="00DB6EC8">
            <w:pPr>
              <w:keepNext/>
              <w:keepLines/>
              <w:spacing w:after="0" w:line="240" w:lineRule="auto"/>
              <w:jc w:val="center"/>
              <w:rPr>
                <w:rFonts w:asciiTheme="minorHAnsi" w:eastAsia="Arial Unicode MS" w:hAnsiTheme="minorHAnsi" w:cs="Arial"/>
                <w:b/>
                <w:color w:val="FFFFFF" w:themeColor="background1"/>
                <w:sz w:val="18"/>
                <w:szCs w:val="18"/>
              </w:rPr>
            </w:pPr>
            <w:r w:rsidRPr="00DB6EC8">
              <w:rPr>
                <w:rFonts w:asciiTheme="minorHAnsi" w:hAnsiTheme="minorHAnsi"/>
                <w:b/>
                <w:color w:val="FFFFFF" w:themeColor="background1"/>
                <w:sz w:val="18"/>
                <w:szCs w:val="18"/>
              </w:rPr>
              <w:t>2017</w:t>
            </w:r>
          </w:p>
        </w:tc>
        <w:tc>
          <w:tcPr>
            <w:tcW w:w="652" w:type="dxa"/>
            <w:shd w:val="clear" w:color="auto" w:fill="1795D2" w:themeFill="accent1"/>
            <w:noWrap/>
            <w:vAlign w:val="center"/>
          </w:tcPr>
          <w:p w:rsidR="00DB6EC8" w:rsidRPr="00DB6EC8" w:rsidRDefault="00DB6EC8" w:rsidP="00DB6EC8">
            <w:pPr>
              <w:keepNext/>
              <w:keepLines/>
              <w:spacing w:after="0" w:line="240" w:lineRule="auto"/>
              <w:jc w:val="center"/>
              <w:rPr>
                <w:rFonts w:asciiTheme="minorHAnsi" w:eastAsia="Arial Unicode MS" w:hAnsiTheme="minorHAnsi" w:cs="Arial"/>
                <w:b/>
                <w:color w:val="FFFFFF" w:themeColor="background1"/>
                <w:sz w:val="18"/>
                <w:szCs w:val="18"/>
              </w:rPr>
            </w:pPr>
            <w:r w:rsidRPr="00DB6EC8">
              <w:rPr>
                <w:rFonts w:asciiTheme="minorHAnsi" w:hAnsiTheme="minorHAnsi"/>
                <w:b/>
                <w:color w:val="FFFFFF" w:themeColor="background1"/>
                <w:sz w:val="18"/>
                <w:szCs w:val="18"/>
              </w:rPr>
              <w:t>2026</w:t>
            </w:r>
          </w:p>
        </w:tc>
        <w:tc>
          <w:tcPr>
            <w:tcW w:w="652" w:type="dxa"/>
            <w:shd w:val="clear" w:color="auto" w:fill="1795D2" w:themeFill="accent1"/>
            <w:noWrap/>
            <w:vAlign w:val="center"/>
          </w:tcPr>
          <w:p w:rsidR="00DB6EC8" w:rsidRPr="00DB6EC8" w:rsidRDefault="00DB6EC8" w:rsidP="00DB6EC8">
            <w:pPr>
              <w:keepNext/>
              <w:keepLines/>
              <w:spacing w:after="0" w:line="240" w:lineRule="auto"/>
              <w:jc w:val="center"/>
              <w:rPr>
                <w:rFonts w:asciiTheme="minorHAnsi" w:eastAsia="Arial Unicode MS" w:hAnsiTheme="minorHAnsi" w:cs="Arial"/>
                <w:b/>
                <w:color w:val="FFFFFF" w:themeColor="background1"/>
                <w:sz w:val="18"/>
                <w:szCs w:val="18"/>
              </w:rPr>
            </w:pPr>
            <w:r w:rsidRPr="00DB6EC8">
              <w:rPr>
                <w:rFonts w:asciiTheme="minorHAnsi" w:hAnsiTheme="minorHAnsi"/>
                <w:b/>
                <w:color w:val="FFFFFF" w:themeColor="background1"/>
                <w:sz w:val="18"/>
                <w:szCs w:val="18"/>
              </w:rPr>
              <w:t>2017</w:t>
            </w:r>
          </w:p>
        </w:tc>
        <w:tc>
          <w:tcPr>
            <w:tcW w:w="660" w:type="dxa"/>
            <w:shd w:val="clear" w:color="auto" w:fill="1795D2" w:themeFill="accent1"/>
            <w:noWrap/>
            <w:vAlign w:val="center"/>
          </w:tcPr>
          <w:p w:rsidR="00DB6EC8" w:rsidRPr="00DB6EC8" w:rsidRDefault="00DB6EC8" w:rsidP="00DB6EC8">
            <w:pPr>
              <w:keepNext/>
              <w:keepLines/>
              <w:spacing w:after="0" w:line="240" w:lineRule="auto"/>
              <w:jc w:val="center"/>
              <w:rPr>
                <w:rFonts w:asciiTheme="minorHAnsi" w:eastAsia="Arial Unicode MS" w:hAnsiTheme="minorHAnsi" w:cs="Arial"/>
                <w:b/>
                <w:color w:val="FFFFFF" w:themeColor="background1"/>
                <w:sz w:val="18"/>
                <w:szCs w:val="18"/>
              </w:rPr>
            </w:pPr>
            <w:r w:rsidRPr="00DB6EC8">
              <w:rPr>
                <w:rFonts w:asciiTheme="minorHAnsi" w:hAnsiTheme="minorHAnsi"/>
                <w:b/>
                <w:color w:val="FFFFFF" w:themeColor="background1"/>
                <w:sz w:val="18"/>
                <w:szCs w:val="18"/>
              </w:rPr>
              <w:t>2026</w:t>
            </w:r>
          </w:p>
        </w:tc>
        <w:tc>
          <w:tcPr>
            <w:tcW w:w="540" w:type="dxa"/>
            <w:shd w:val="clear" w:color="auto" w:fill="1795D2" w:themeFill="accent1"/>
            <w:noWrap/>
            <w:vAlign w:val="center"/>
          </w:tcPr>
          <w:p w:rsidR="00DB6EC8" w:rsidRPr="00DB6EC8" w:rsidRDefault="00DB6EC8" w:rsidP="00DB6EC8">
            <w:pPr>
              <w:keepNext/>
              <w:keepLines/>
              <w:spacing w:after="0" w:line="240" w:lineRule="auto"/>
              <w:jc w:val="center"/>
              <w:rPr>
                <w:rFonts w:asciiTheme="minorHAnsi" w:eastAsia="Arial Unicode MS" w:hAnsiTheme="minorHAnsi" w:cs="Arial"/>
                <w:b/>
                <w:color w:val="FFFFFF" w:themeColor="background1"/>
                <w:sz w:val="18"/>
                <w:szCs w:val="18"/>
              </w:rPr>
            </w:pPr>
            <w:r w:rsidRPr="00DB6EC8">
              <w:rPr>
                <w:rFonts w:asciiTheme="minorHAnsi" w:hAnsiTheme="minorHAnsi"/>
                <w:b/>
                <w:color w:val="FFFFFF" w:themeColor="background1"/>
                <w:sz w:val="18"/>
                <w:szCs w:val="18"/>
              </w:rPr>
              <w:t>CAGR</w:t>
            </w:r>
          </w:p>
        </w:tc>
        <w:tc>
          <w:tcPr>
            <w:tcW w:w="810" w:type="dxa"/>
            <w:shd w:val="clear" w:color="auto" w:fill="1795D2" w:themeFill="accent1"/>
            <w:noWrap/>
            <w:vAlign w:val="center"/>
          </w:tcPr>
          <w:p w:rsidR="00DB6EC8" w:rsidRPr="00DB6EC8" w:rsidRDefault="00DB6EC8" w:rsidP="00DB6EC8">
            <w:pPr>
              <w:keepNext/>
              <w:keepLines/>
              <w:spacing w:after="0" w:line="240" w:lineRule="auto"/>
              <w:jc w:val="center"/>
              <w:rPr>
                <w:rFonts w:asciiTheme="minorHAnsi" w:eastAsia="Arial Unicode MS" w:hAnsiTheme="minorHAnsi" w:cs="Arial"/>
                <w:b/>
                <w:color w:val="FFFFFF" w:themeColor="background1"/>
                <w:sz w:val="18"/>
                <w:szCs w:val="18"/>
              </w:rPr>
            </w:pPr>
            <w:r w:rsidRPr="00DB6EC8">
              <w:rPr>
                <w:rFonts w:asciiTheme="minorHAnsi" w:hAnsiTheme="minorHAnsi"/>
                <w:b/>
                <w:color w:val="FFFFFF" w:themeColor="background1"/>
                <w:sz w:val="18"/>
                <w:szCs w:val="18"/>
              </w:rPr>
              <w:t>2017/18</w:t>
            </w:r>
          </w:p>
        </w:tc>
        <w:tc>
          <w:tcPr>
            <w:tcW w:w="842" w:type="dxa"/>
            <w:shd w:val="clear" w:color="auto" w:fill="1795D2" w:themeFill="accent1"/>
            <w:noWrap/>
            <w:vAlign w:val="center"/>
          </w:tcPr>
          <w:p w:rsidR="00DB6EC8" w:rsidRPr="00DB6EC8" w:rsidRDefault="00DB6EC8" w:rsidP="00DB6EC8">
            <w:pPr>
              <w:keepNext/>
              <w:keepLines/>
              <w:spacing w:after="0" w:line="240" w:lineRule="auto"/>
              <w:jc w:val="center"/>
              <w:rPr>
                <w:rFonts w:asciiTheme="minorHAnsi" w:eastAsia="Arial Unicode MS" w:hAnsiTheme="minorHAnsi" w:cs="Arial"/>
                <w:b/>
                <w:color w:val="FFFFFF" w:themeColor="background1"/>
                <w:sz w:val="18"/>
                <w:szCs w:val="18"/>
              </w:rPr>
            </w:pPr>
            <w:r w:rsidRPr="00DB6EC8">
              <w:rPr>
                <w:rFonts w:asciiTheme="minorHAnsi" w:hAnsiTheme="minorHAnsi"/>
                <w:b/>
                <w:color w:val="FFFFFF" w:themeColor="background1"/>
                <w:sz w:val="18"/>
                <w:szCs w:val="18"/>
              </w:rPr>
              <w:t>2026/27</w:t>
            </w:r>
          </w:p>
        </w:tc>
        <w:tc>
          <w:tcPr>
            <w:tcW w:w="810" w:type="dxa"/>
            <w:shd w:val="clear" w:color="auto" w:fill="1795D2" w:themeFill="accent1"/>
            <w:noWrap/>
            <w:vAlign w:val="center"/>
          </w:tcPr>
          <w:p w:rsidR="00DB6EC8" w:rsidRPr="00DB6EC8" w:rsidRDefault="00DB6EC8" w:rsidP="00DB6EC8">
            <w:pPr>
              <w:keepNext/>
              <w:keepLines/>
              <w:spacing w:after="0" w:line="240" w:lineRule="auto"/>
              <w:jc w:val="center"/>
              <w:rPr>
                <w:rFonts w:asciiTheme="minorHAnsi" w:eastAsia="Arial Unicode MS" w:hAnsiTheme="minorHAnsi" w:cs="Arial"/>
                <w:b/>
                <w:color w:val="FFFFFF" w:themeColor="background1"/>
                <w:sz w:val="18"/>
                <w:szCs w:val="18"/>
              </w:rPr>
            </w:pPr>
            <w:r w:rsidRPr="00DB6EC8">
              <w:rPr>
                <w:rFonts w:asciiTheme="minorHAnsi" w:hAnsiTheme="minorHAnsi"/>
                <w:b/>
                <w:color w:val="FFFFFF" w:themeColor="background1"/>
                <w:sz w:val="18"/>
                <w:szCs w:val="18"/>
              </w:rPr>
              <w:t>2017/18</w:t>
            </w:r>
          </w:p>
        </w:tc>
        <w:tc>
          <w:tcPr>
            <w:tcW w:w="778" w:type="dxa"/>
            <w:shd w:val="clear" w:color="auto" w:fill="1795D2" w:themeFill="accent1"/>
            <w:noWrap/>
            <w:vAlign w:val="center"/>
          </w:tcPr>
          <w:p w:rsidR="00DB6EC8" w:rsidRPr="00DB6EC8" w:rsidRDefault="00DB6EC8" w:rsidP="00DB6EC8">
            <w:pPr>
              <w:keepNext/>
              <w:keepLines/>
              <w:spacing w:after="0" w:line="240" w:lineRule="auto"/>
              <w:jc w:val="center"/>
              <w:rPr>
                <w:rFonts w:asciiTheme="minorHAnsi" w:eastAsia="Arial Unicode MS" w:hAnsiTheme="minorHAnsi" w:cs="Arial"/>
                <w:b/>
                <w:color w:val="FFFFFF" w:themeColor="background1"/>
                <w:sz w:val="18"/>
                <w:szCs w:val="18"/>
              </w:rPr>
            </w:pPr>
            <w:r w:rsidRPr="00DB6EC8">
              <w:rPr>
                <w:rFonts w:asciiTheme="minorHAnsi" w:hAnsiTheme="minorHAnsi"/>
                <w:b/>
                <w:color w:val="FFFFFF" w:themeColor="background1"/>
                <w:sz w:val="18"/>
                <w:szCs w:val="18"/>
              </w:rPr>
              <w:t>2026/27</w:t>
            </w:r>
          </w:p>
        </w:tc>
        <w:tc>
          <w:tcPr>
            <w:tcW w:w="572" w:type="dxa"/>
            <w:shd w:val="clear" w:color="auto" w:fill="1795D2" w:themeFill="accent1"/>
            <w:noWrap/>
            <w:vAlign w:val="center"/>
          </w:tcPr>
          <w:p w:rsidR="00DB6EC8" w:rsidRPr="00DB6EC8" w:rsidRDefault="00DB6EC8" w:rsidP="00DB6EC8">
            <w:pPr>
              <w:keepNext/>
              <w:keepLines/>
              <w:spacing w:after="0" w:line="240" w:lineRule="auto"/>
              <w:jc w:val="center"/>
              <w:rPr>
                <w:rFonts w:asciiTheme="minorHAnsi" w:eastAsia="Arial Unicode MS" w:hAnsiTheme="minorHAnsi" w:cs="Arial"/>
                <w:b/>
                <w:color w:val="FFFFFF" w:themeColor="background1"/>
                <w:sz w:val="18"/>
                <w:szCs w:val="18"/>
              </w:rPr>
            </w:pPr>
            <w:r w:rsidRPr="00DB6EC8">
              <w:rPr>
                <w:rFonts w:asciiTheme="minorHAnsi" w:hAnsiTheme="minorHAnsi"/>
                <w:b/>
                <w:color w:val="FFFFFF" w:themeColor="background1"/>
                <w:sz w:val="18"/>
                <w:szCs w:val="18"/>
              </w:rPr>
              <w:t>CAGR</w:t>
            </w:r>
          </w:p>
        </w:tc>
      </w:tr>
      <w:tr w:rsidR="00DB6EC8" w:rsidRPr="00DB6EC8" w:rsidTr="00DB6EC8">
        <w:trPr>
          <w:cantSplit/>
          <w:trHeight w:val="255"/>
          <w:jc w:val="center"/>
        </w:trPr>
        <w:tc>
          <w:tcPr>
            <w:tcW w:w="720" w:type="dxa"/>
            <w:shd w:val="clear" w:color="auto" w:fill="FFFFFF"/>
            <w:noWrap/>
            <w:vAlign w:val="center"/>
          </w:tcPr>
          <w:p w:rsidR="00DB6EC8" w:rsidRPr="00DB6EC8" w:rsidRDefault="00DB6EC8" w:rsidP="00DB6EC8">
            <w:pPr>
              <w:keepNext/>
              <w:keepLines/>
              <w:spacing w:after="0" w:line="240" w:lineRule="auto"/>
              <w:rPr>
                <w:rFonts w:asciiTheme="minorHAnsi" w:eastAsia="Arial Unicode MS" w:hAnsiTheme="minorHAnsi" w:cs="Arial"/>
                <w:b/>
                <w:sz w:val="18"/>
                <w:szCs w:val="18"/>
              </w:rPr>
            </w:pPr>
            <w:r w:rsidRPr="00DB6EC8">
              <w:rPr>
                <w:rFonts w:asciiTheme="minorHAnsi" w:hAnsiTheme="minorHAnsi"/>
                <w:b/>
                <w:color w:val="000000"/>
                <w:sz w:val="18"/>
                <w:szCs w:val="18"/>
              </w:rPr>
              <w:t>CT</w:t>
            </w:r>
          </w:p>
        </w:tc>
        <w:tc>
          <w:tcPr>
            <w:tcW w:w="810" w:type="dxa"/>
            <w:shd w:val="clear" w:color="auto" w:fill="FFFFFF"/>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31,336</w:t>
            </w:r>
          </w:p>
        </w:tc>
        <w:tc>
          <w:tcPr>
            <w:tcW w:w="830" w:type="dxa"/>
            <w:shd w:val="clear" w:color="auto" w:fill="FFFFFF"/>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29,039</w:t>
            </w:r>
          </w:p>
        </w:tc>
        <w:tc>
          <w:tcPr>
            <w:tcW w:w="610" w:type="dxa"/>
            <w:shd w:val="clear" w:color="auto" w:fill="FFFFFF"/>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−0.8</w:t>
            </w:r>
          </w:p>
        </w:tc>
        <w:tc>
          <w:tcPr>
            <w:tcW w:w="646" w:type="dxa"/>
            <w:shd w:val="clear" w:color="auto" w:fill="FFFFFF"/>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6,992</w:t>
            </w:r>
          </w:p>
        </w:tc>
        <w:tc>
          <w:tcPr>
            <w:tcW w:w="652" w:type="dxa"/>
            <w:shd w:val="clear" w:color="auto" w:fill="FFFFFF"/>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6,726</w:t>
            </w:r>
          </w:p>
        </w:tc>
        <w:tc>
          <w:tcPr>
            <w:tcW w:w="652" w:type="dxa"/>
            <w:shd w:val="clear" w:color="auto" w:fill="FFFFFF"/>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7,666</w:t>
            </w:r>
          </w:p>
        </w:tc>
        <w:tc>
          <w:tcPr>
            <w:tcW w:w="660" w:type="dxa"/>
            <w:shd w:val="clear" w:color="auto" w:fill="FFFFFF"/>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7,462</w:t>
            </w:r>
          </w:p>
        </w:tc>
        <w:tc>
          <w:tcPr>
            <w:tcW w:w="540" w:type="dxa"/>
            <w:shd w:val="clear" w:color="auto" w:fill="FFFFFF"/>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-0.3</w:t>
            </w:r>
          </w:p>
        </w:tc>
        <w:tc>
          <w:tcPr>
            <w:tcW w:w="810" w:type="dxa"/>
            <w:shd w:val="clear" w:color="auto" w:fill="FFFFFF"/>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5,470</w:t>
            </w:r>
          </w:p>
        </w:tc>
        <w:tc>
          <w:tcPr>
            <w:tcW w:w="842" w:type="dxa"/>
            <w:shd w:val="clear" w:color="auto" w:fill="FFFFFF"/>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4,975</w:t>
            </w:r>
          </w:p>
        </w:tc>
        <w:tc>
          <w:tcPr>
            <w:tcW w:w="810" w:type="dxa"/>
            <w:shd w:val="clear" w:color="auto" w:fill="FFFFFF"/>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5,658</w:t>
            </w:r>
          </w:p>
        </w:tc>
        <w:tc>
          <w:tcPr>
            <w:tcW w:w="778" w:type="dxa"/>
            <w:shd w:val="clear" w:color="auto" w:fill="FFFFFF"/>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5,163</w:t>
            </w:r>
          </w:p>
        </w:tc>
        <w:tc>
          <w:tcPr>
            <w:tcW w:w="572" w:type="dxa"/>
            <w:shd w:val="clear" w:color="auto" w:fill="FFFFFF"/>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−1.0</w:t>
            </w:r>
          </w:p>
        </w:tc>
      </w:tr>
      <w:tr w:rsidR="00DB6EC8" w:rsidRPr="00DB6EC8" w:rsidTr="00DB6EC8">
        <w:trPr>
          <w:cantSplit/>
          <w:trHeight w:val="255"/>
          <w:jc w:val="center"/>
        </w:trPr>
        <w:tc>
          <w:tcPr>
            <w:tcW w:w="720" w:type="dxa"/>
            <w:shd w:val="clear" w:color="auto" w:fill="CCEAF9" w:themeFill="accent1" w:themeFillTint="33"/>
            <w:noWrap/>
            <w:vAlign w:val="center"/>
          </w:tcPr>
          <w:p w:rsidR="00DB6EC8" w:rsidRPr="00DB6EC8" w:rsidRDefault="00DB6EC8" w:rsidP="00DB6EC8">
            <w:pPr>
              <w:keepNext/>
              <w:keepLines/>
              <w:spacing w:after="0" w:line="240" w:lineRule="auto"/>
              <w:rPr>
                <w:rFonts w:asciiTheme="minorHAnsi" w:eastAsia="Arial Unicode MS" w:hAnsiTheme="minorHAnsi" w:cs="Arial"/>
                <w:b/>
                <w:sz w:val="18"/>
                <w:szCs w:val="18"/>
              </w:rPr>
            </w:pPr>
            <w:r w:rsidRPr="00DB6EC8">
              <w:rPr>
                <w:rFonts w:asciiTheme="minorHAnsi" w:hAnsiTheme="minorHAnsi"/>
                <w:b/>
                <w:color w:val="000000"/>
                <w:sz w:val="18"/>
                <w:szCs w:val="18"/>
              </w:rPr>
              <w:t>ME</w:t>
            </w:r>
          </w:p>
        </w:tc>
        <w:tc>
          <w:tcPr>
            <w:tcW w:w="810" w:type="dxa"/>
            <w:shd w:val="clear" w:color="auto" w:fill="CCEAF9" w:themeFill="accent1" w:themeFillTint="33"/>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11,451</w:t>
            </w:r>
          </w:p>
        </w:tc>
        <w:tc>
          <w:tcPr>
            <w:tcW w:w="830" w:type="dxa"/>
            <w:shd w:val="clear" w:color="auto" w:fill="CCEAF9" w:themeFill="accent1" w:themeFillTint="33"/>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11,902</w:t>
            </w:r>
          </w:p>
        </w:tc>
        <w:tc>
          <w:tcPr>
            <w:tcW w:w="610" w:type="dxa"/>
            <w:shd w:val="clear" w:color="auto" w:fill="CCEAF9" w:themeFill="accent1" w:themeFillTint="33"/>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0.4</w:t>
            </w:r>
          </w:p>
        </w:tc>
        <w:tc>
          <w:tcPr>
            <w:tcW w:w="646" w:type="dxa"/>
            <w:shd w:val="clear" w:color="auto" w:fill="CCEAF9" w:themeFill="accent1" w:themeFillTint="33"/>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1,960</w:t>
            </w:r>
          </w:p>
        </w:tc>
        <w:tc>
          <w:tcPr>
            <w:tcW w:w="652" w:type="dxa"/>
            <w:shd w:val="clear" w:color="auto" w:fill="CCEAF9" w:themeFill="accent1" w:themeFillTint="33"/>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2,085</w:t>
            </w:r>
          </w:p>
        </w:tc>
        <w:tc>
          <w:tcPr>
            <w:tcW w:w="652" w:type="dxa"/>
            <w:shd w:val="clear" w:color="auto" w:fill="CCEAF9" w:themeFill="accent1" w:themeFillTint="33"/>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2,099</w:t>
            </w:r>
          </w:p>
        </w:tc>
        <w:tc>
          <w:tcPr>
            <w:tcW w:w="660" w:type="dxa"/>
            <w:shd w:val="clear" w:color="auto" w:fill="CCEAF9" w:themeFill="accent1" w:themeFillTint="33"/>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2,233</w:t>
            </w:r>
          </w:p>
        </w:tc>
        <w:tc>
          <w:tcPr>
            <w:tcW w:w="540" w:type="dxa"/>
            <w:shd w:val="clear" w:color="auto" w:fill="CCEAF9" w:themeFill="accent1" w:themeFillTint="33"/>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0.7</w:t>
            </w:r>
          </w:p>
        </w:tc>
        <w:tc>
          <w:tcPr>
            <w:tcW w:w="810" w:type="dxa"/>
            <w:shd w:val="clear" w:color="auto" w:fill="CCEAF9" w:themeFill="accent1" w:themeFillTint="33"/>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1,840</w:t>
            </w:r>
          </w:p>
        </w:tc>
        <w:tc>
          <w:tcPr>
            <w:tcW w:w="842" w:type="dxa"/>
            <w:shd w:val="clear" w:color="auto" w:fill="CCEAF9" w:themeFill="accent1" w:themeFillTint="33"/>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1,922</w:t>
            </w:r>
          </w:p>
        </w:tc>
        <w:tc>
          <w:tcPr>
            <w:tcW w:w="810" w:type="dxa"/>
            <w:shd w:val="clear" w:color="auto" w:fill="CCEAF9" w:themeFill="accent1" w:themeFillTint="33"/>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1,896</w:t>
            </w:r>
          </w:p>
        </w:tc>
        <w:tc>
          <w:tcPr>
            <w:tcW w:w="778" w:type="dxa"/>
            <w:shd w:val="clear" w:color="auto" w:fill="CCEAF9" w:themeFill="accent1" w:themeFillTint="33"/>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1,978</w:t>
            </w:r>
          </w:p>
        </w:tc>
        <w:tc>
          <w:tcPr>
            <w:tcW w:w="572" w:type="dxa"/>
            <w:shd w:val="clear" w:color="auto" w:fill="CCEAF9" w:themeFill="accent1" w:themeFillTint="33"/>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0.5</w:t>
            </w:r>
          </w:p>
        </w:tc>
      </w:tr>
      <w:tr w:rsidR="00DB6EC8" w:rsidRPr="00DB6EC8" w:rsidTr="00DB6EC8">
        <w:trPr>
          <w:cantSplit/>
          <w:trHeight w:val="255"/>
          <w:jc w:val="center"/>
        </w:trPr>
        <w:tc>
          <w:tcPr>
            <w:tcW w:w="720" w:type="dxa"/>
            <w:shd w:val="clear" w:color="auto" w:fill="FFFFFF"/>
            <w:noWrap/>
            <w:vAlign w:val="center"/>
          </w:tcPr>
          <w:p w:rsidR="00DB6EC8" w:rsidRPr="00DB6EC8" w:rsidRDefault="00DB6EC8" w:rsidP="00DB6EC8">
            <w:pPr>
              <w:keepNext/>
              <w:keepLines/>
              <w:spacing w:after="0" w:line="240" w:lineRule="auto"/>
              <w:rPr>
                <w:rFonts w:asciiTheme="minorHAnsi" w:eastAsia="Arial Unicode MS" w:hAnsiTheme="minorHAnsi" w:cs="Arial"/>
                <w:b/>
                <w:sz w:val="18"/>
                <w:szCs w:val="18"/>
              </w:rPr>
            </w:pPr>
            <w:r w:rsidRPr="00DB6EC8">
              <w:rPr>
                <w:rFonts w:asciiTheme="minorHAnsi" w:hAnsiTheme="minorHAnsi"/>
                <w:b/>
                <w:color w:val="000000"/>
                <w:sz w:val="18"/>
                <w:szCs w:val="18"/>
              </w:rPr>
              <w:t>MA</w:t>
            </w:r>
          </w:p>
        </w:tc>
        <w:tc>
          <w:tcPr>
            <w:tcW w:w="810" w:type="dxa"/>
            <w:shd w:val="clear" w:color="auto" w:fill="FFFFFF"/>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58,336</w:t>
            </w:r>
          </w:p>
        </w:tc>
        <w:tc>
          <w:tcPr>
            <w:tcW w:w="830" w:type="dxa"/>
            <w:shd w:val="clear" w:color="auto" w:fill="FFFFFF"/>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53,968</w:t>
            </w:r>
          </w:p>
        </w:tc>
        <w:tc>
          <w:tcPr>
            <w:tcW w:w="610" w:type="dxa"/>
            <w:shd w:val="clear" w:color="auto" w:fill="FFFFFF"/>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−0.9</w:t>
            </w:r>
          </w:p>
        </w:tc>
        <w:tc>
          <w:tcPr>
            <w:tcW w:w="646" w:type="dxa"/>
            <w:shd w:val="clear" w:color="auto" w:fill="FFFFFF"/>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12,299</w:t>
            </w:r>
          </w:p>
        </w:tc>
        <w:tc>
          <w:tcPr>
            <w:tcW w:w="652" w:type="dxa"/>
            <w:shd w:val="clear" w:color="auto" w:fill="FFFFFF"/>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12,185</w:t>
            </w:r>
          </w:p>
        </w:tc>
        <w:tc>
          <w:tcPr>
            <w:tcW w:w="652" w:type="dxa"/>
            <w:shd w:val="clear" w:color="auto" w:fill="FFFFFF"/>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13,338</w:t>
            </w:r>
          </w:p>
        </w:tc>
        <w:tc>
          <w:tcPr>
            <w:tcW w:w="660" w:type="dxa"/>
            <w:shd w:val="clear" w:color="auto" w:fill="FFFFFF"/>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13,392</w:t>
            </w:r>
          </w:p>
        </w:tc>
        <w:tc>
          <w:tcPr>
            <w:tcW w:w="540" w:type="dxa"/>
            <w:shd w:val="clear" w:color="auto" w:fill="FFFFFF"/>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0.0</w:t>
            </w:r>
          </w:p>
        </w:tc>
        <w:tc>
          <w:tcPr>
            <w:tcW w:w="810" w:type="dxa"/>
            <w:shd w:val="clear" w:color="auto" w:fill="FFFFFF"/>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9,655</w:t>
            </w:r>
          </w:p>
        </w:tc>
        <w:tc>
          <w:tcPr>
            <w:tcW w:w="842" w:type="dxa"/>
            <w:shd w:val="clear" w:color="auto" w:fill="FFFFFF"/>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8,953</w:t>
            </w:r>
          </w:p>
        </w:tc>
        <w:tc>
          <w:tcPr>
            <w:tcW w:w="810" w:type="dxa"/>
            <w:shd w:val="clear" w:color="auto" w:fill="FFFFFF"/>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9,981</w:t>
            </w:r>
          </w:p>
        </w:tc>
        <w:tc>
          <w:tcPr>
            <w:tcW w:w="778" w:type="dxa"/>
            <w:shd w:val="clear" w:color="auto" w:fill="FFFFFF"/>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9,278</w:t>
            </w:r>
          </w:p>
        </w:tc>
        <w:tc>
          <w:tcPr>
            <w:tcW w:w="572" w:type="dxa"/>
            <w:shd w:val="clear" w:color="auto" w:fill="FFFFFF"/>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−0.8</w:t>
            </w:r>
          </w:p>
        </w:tc>
      </w:tr>
      <w:tr w:rsidR="00DB6EC8" w:rsidRPr="00DB6EC8" w:rsidTr="00DB6EC8">
        <w:trPr>
          <w:cantSplit/>
          <w:trHeight w:val="255"/>
          <w:jc w:val="center"/>
        </w:trPr>
        <w:tc>
          <w:tcPr>
            <w:tcW w:w="720" w:type="dxa"/>
            <w:shd w:val="clear" w:color="auto" w:fill="CCEAF9" w:themeFill="accent1" w:themeFillTint="33"/>
            <w:noWrap/>
            <w:vAlign w:val="center"/>
          </w:tcPr>
          <w:p w:rsidR="00DB6EC8" w:rsidRPr="00DB6EC8" w:rsidRDefault="00DB6EC8" w:rsidP="00DB6EC8">
            <w:pPr>
              <w:keepNext/>
              <w:keepLines/>
              <w:spacing w:after="0" w:line="240" w:lineRule="auto"/>
              <w:rPr>
                <w:rFonts w:asciiTheme="minorHAnsi" w:eastAsia="Arial Unicode MS" w:hAnsiTheme="minorHAnsi" w:cs="Arial"/>
                <w:b/>
                <w:sz w:val="18"/>
                <w:szCs w:val="18"/>
              </w:rPr>
            </w:pPr>
            <w:r w:rsidRPr="00DB6EC8">
              <w:rPr>
                <w:rFonts w:asciiTheme="minorHAnsi" w:hAnsiTheme="minorHAnsi"/>
                <w:b/>
                <w:color w:val="000000"/>
                <w:sz w:val="18"/>
                <w:szCs w:val="18"/>
              </w:rPr>
              <w:t>NH</w:t>
            </w:r>
          </w:p>
        </w:tc>
        <w:tc>
          <w:tcPr>
            <w:tcW w:w="810" w:type="dxa"/>
            <w:shd w:val="clear" w:color="auto" w:fill="CCEAF9" w:themeFill="accent1" w:themeFillTint="33"/>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11,793</w:t>
            </w:r>
          </w:p>
        </w:tc>
        <w:tc>
          <w:tcPr>
            <w:tcW w:w="830" w:type="dxa"/>
            <w:shd w:val="clear" w:color="auto" w:fill="CCEAF9" w:themeFill="accent1" w:themeFillTint="33"/>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12,101</w:t>
            </w:r>
          </w:p>
        </w:tc>
        <w:tc>
          <w:tcPr>
            <w:tcW w:w="610" w:type="dxa"/>
            <w:shd w:val="clear" w:color="auto" w:fill="CCEAF9" w:themeFill="accent1" w:themeFillTint="33"/>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0.3</w:t>
            </w:r>
          </w:p>
        </w:tc>
        <w:tc>
          <w:tcPr>
            <w:tcW w:w="646" w:type="dxa"/>
            <w:shd w:val="clear" w:color="auto" w:fill="CCEAF9" w:themeFill="accent1" w:themeFillTint="33"/>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2,460</w:t>
            </w:r>
          </w:p>
        </w:tc>
        <w:tc>
          <w:tcPr>
            <w:tcW w:w="652" w:type="dxa"/>
            <w:shd w:val="clear" w:color="auto" w:fill="CCEAF9" w:themeFill="accent1" w:themeFillTint="33"/>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2,606</w:t>
            </w:r>
          </w:p>
        </w:tc>
        <w:tc>
          <w:tcPr>
            <w:tcW w:w="652" w:type="dxa"/>
            <w:shd w:val="clear" w:color="auto" w:fill="CCEAF9" w:themeFill="accent1" w:themeFillTint="33"/>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2,676</w:t>
            </w:r>
          </w:p>
        </w:tc>
        <w:tc>
          <w:tcPr>
            <w:tcW w:w="660" w:type="dxa"/>
            <w:shd w:val="clear" w:color="auto" w:fill="CCEAF9" w:themeFill="accent1" w:themeFillTint="33"/>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2,854</w:t>
            </w:r>
          </w:p>
        </w:tc>
        <w:tc>
          <w:tcPr>
            <w:tcW w:w="540" w:type="dxa"/>
            <w:shd w:val="clear" w:color="auto" w:fill="CCEAF9" w:themeFill="accent1" w:themeFillTint="33"/>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0.7</w:t>
            </w:r>
          </w:p>
        </w:tc>
        <w:tc>
          <w:tcPr>
            <w:tcW w:w="810" w:type="dxa"/>
            <w:shd w:val="clear" w:color="auto" w:fill="CCEAF9" w:themeFill="accent1" w:themeFillTint="33"/>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1,976</w:t>
            </w:r>
          </w:p>
        </w:tc>
        <w:tc>
          <w:tcPr>
            <w:tcW w:w="842" w:type="dxa"/>
            <w:shd w:val="clear" w:color="auto" w:fill="CCEAF9" w:themeFill="accent1" w:themeFillTint="33"/>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1,977</w:t>
            </w:r>
          </w:p>
        </w:tc>
        <w:tc>
          <w:tcPr>
            <w:tcW w:w="810" w:type="dxa"/>
            <w:shd w:val="clear" w:color="auto" w:fill="CCEAF9" w:themeFill="accent1" w:themeFillTint="33"/>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2,062</w:t>
            </w:r>
          </w:p>
        </w:tc>
        <w:tc>
          <w:tcPr>
            <w:tcW w:w="778" w:type="dxa"/>
            <w:shd w:val="clear" w:color="auto" w:fill="CCEAF9" w:themeFill="accent1" w:themeFillTint="33"/>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2,064</w:t>
            </w:r>
          </w:p>
        </w:tc>
        <w:tc>
          <w:tcPr>
            <w:tcW w:w="572" w:type="dxa"/>
            <w:shd w:val="clear" w:color="auto" w:fill="CCEAF9" w:themeFill="accent1" w:themeFillTint="33"/>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0.0</w:t>
            </w:r>
          </w:p>
        </w:tc>
      </w:tr>
      <w:tr w:rsidR="00DB6EC8" w:rsidRPr="00DB6EC8" w:rsidTr="00DB6EC8">
        <w:trPr>
          <w:cantSplit/>
          <w:trHeight w:val="255"/>
          <w:jc w:val="center"/>
        </w:trPr>
        <w:tc>
          <w:tcPr>
            <w:tcW w:w="720" w:type="dxa"/>
            <w:shd w:val="clear" w:color="auto" w:fill="FFFFFF"/>
            <w:noWrap/>
            <w:vAlign w:val="center"/>
          </w:tcPr>
          <w:p w:rsidR="00DB6EC8" w:rsidRPr="00DB6EC8" w:rsidRDefault="00DB6EC8" w:rsidP="00DB6EC8">
            <w:pPr>
              <w:keepNext/>
              <w:keepLines/>
              <w:spacing w:after="0" w:line="240" w:lineRule="auto"/>
              <w:rPr>
                <w:rFonts w:asciiTheme="minorHAnsi" w:eastAsia="Arial Unicode MS" w:hAnsiTheme="minorHAnsi" w:cs="Arial"/>
                <w:b/>
                <w:sz w:val="18"/>
                <w:szCs w:val="18"/>
              </w:rPr>
            </w:pPr>
            <w:r w:rsidRPr="00DB6EC8">
              <w:rPr>
                <w:rFonts w:asciiTheme="minorHAnsi" w:hAnsiTheme="minorHAnsi"/>
                <w:b/>
                <w:color w:val="000000"/>
                <w:sz w:val="18"/>
                <w:szCs w:val="18"/>
              </w:rPr>
              <w:t>RI</w:t>
            </w:r>
          </w:p>
        </w:tc>
        <w:tc>
          <w:tcPr>
            <w:tcW w:w="810" w:type="dxa"/>
            <w:shd w:val="clear" w:color="auto" w:fill="FFFFFF"/>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8,180</w:t>
            </w:r>
          </w:p>
        </w:tc>
        <w:tc>
          <w:tcPr>
            <w:tcW w:w="830" w:type="dxa"/>
            <w:shd w:val="clear" w:color="auto" w:fill="FFFFFF"/>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7,257</w:t>
            </w:r>
          </w:p>
        </w:tc>
        <w:tc>
          <w:tcPr>
            <w:tcW w:w="610" w:type="dxa"/>
            <w:shd w:val="clear" w:color="auto" w:fill="FFFFFF"/>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−1.3</w:t>
            </w:r>
          </w:p>
        </w:tc>
        <w:tc>
          <w:tcPr>
            <w:tcW w:w="646" w:type="dxa"/>
            <w:shd w:val="clear" w:color="auto" w:fill="FFFFFF"/>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1,870</w:t>
            </w:r>
          </w:p>
        </w:tc>
        <w:tc>
          <w:tcPr>
            <w:tcW w:w="652" w:type="dxa"/>
            <w:shd w:val="clear" w:color="auto" w:fill="FFFFFF"/>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1,828</w:t>
            </w:r>
          </w:p>
        </w:tc>
        <w:tc>
          <w:tcPr>
            <w:tcW w:w="652" w:type="dxa"/>
            <w:shd w:val="clear" w:color="auto" w:fill="FFFFFF"/>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2,124</w:t>
            </w:r>
          </w:p>
        </w:tc>
        <w:tc>
          <w:tcPr>
            <w:tcW w:w="660" w:type="dxa"/>
            <w:shd w:val="clear" w:color="auto" w:fill="FFFFFF"/>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2,128</w:t>
            </w:r>
          </w:p>
        </w:tc>
        <w:tc>
          <w:tcPr>
            <w:tcW w:w="540" w:type="dxa"/>
            <w:shd w:val="clear" w:color="auto" w:fill="FFFFFF"/>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0.0</w:t>
            </w:r>
          </w:p>
        </w:tc>
        <w:tc>
          <w:tcPr>
            <w:tcW w:w="810" w:type="dxa"/>
            <w:shd w:val="clear" w:color="auto" w:fill="FFFFFF"/>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1,278</w:t>
            </w:r>
          </w:p>
        </w:tc>
        <w:tc>
          <w:tcPr>
            <w:tcW w:w="842" w:type="dxa"/>
            <w:shd w:val="clear" w:color="auto" w:fill="FFFFFF"/>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1,111</w:t>
            </w:r>
          </w:p>
        </w:tc>
        <w:tc>
          <w:tcPr>
            <w:tcW w:w="810" w:type="dxa"/>
            <w:shd w:val="clear" w:color="auto" w:fill="FFFFFF"/>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1,304</w:t>
            </w:r>
          </w:p>
        </w:tc>
        <w:tc>
          <w:tcPr>
            <w:tcW w:w="778" w:type="dxa"/>
            <w:shd w:val="clear" w:color="auto" w:fill="FFFFFF"/>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1,137</w:t>
            </w:r>
          </w:p>
        </w:tc>
        <w:tc>
          <w:tcPr>
            <w:tcW w:w="572" w:type="dxa"/>
            <w:shd w:val="clear" w:color="auto" w:fill="FFFFFF"/>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−1.5</w:t>
            </w:r>
          </w:p>
        </w:tc>
      </w:tr>
      <w:tr w:rsidR="00DB6EC8" w:rsidRPr="00DB6EC8" w:rsidTr="00DB6EC8">
        <w:trPr>
          <w:cantSplit/>
          <w:trHeight w:val="270"/>
          <w:jc w:val="center"/>
        </w:trPr>
        <w:tc>
          <w:tcPr>
            <w:tcW w:w="720" w:type="dxa"/>
            <w:shd w:val="clear" w:color="auto" w:fill="CCEAF9" w:themeFill="accent1" w:themeFillTint="33"/>
            <w:noWrap/>
            <w:vAlign w:val="center"/>
          </w:tcPr>
          <w:p w:rsidR="00DB6EC8" w:rsidRPr="00DB6EC8" w:rsidRDefault="00DB6EC8" w:rsidP="00DB6EC8">
            <w:pPr>
              <w:keepNext/>
              <w:keepLines/>
              <w:spacing w:after="0" w:line="240" w:lineRule="auto"/>
              <w:rPr>
                <w:rFonts w:asciiTheme="minorHAnsi" w:eastAsia="Arial Unicode MS" w:hAnsiTheme="minorHAnsi" w:cs="Arial"/>
                <w:b/>
                <w:sz w:val="18"/>
                <w:szCs w:val="18"/>
              </w:rPr>
            </w:pPr>
            <w:r w:rsidRPr="00DB6EC8">
              <w:rPr>
                <w:rFonts w:asciiTheme="minorHAnsi" w:hAnsiTheme="minorHAnsi"/>
                <w:b/>
                <w:color w:val="000000"/>
                <w:sz w:val="18"/>
                <w:szCs w:val="18"/>
              </w:rPr>
              <w:t>VT</w:t>
            </w:r>
          </w:p>
        </w:tc>
        <w:tc>
          <w:tcPr>
            <w:tcW w:w="810" w:type="dxa"/>
            <w:shd w:val="clear" w:color="auto" w:fill="CCEAF9" w:themeFill="accent1" w:themeFillTint="33"/>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5,690</w:t>
            </w:r>
          </w:p>
        </w:tc>
        <w:tc>
          <w:tcPr>
            <w:tcW w:w="830" w:type="dxa"/>
            <w:shd w:val="clear" w:color="auto" w:fill="CCEAF9" w:themeFill="accent1" w:themeFillTint="33"/>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5,412</w:t>
            </w:r>
          </w:p>
        </w:tc>
        <w:tc>
          <w:tcPr>
            <w:tcW w:w="610" w:type="dxa"/>
            <w:shd w:val="clear" w:color="auto" w:fill="CCEAF9" w:themeFill="accent1" w:themeFillTint="33"/>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−0.6</w:t>
            </w:r>
          </w:p>
        </w:tc>
        <w:tc>
          <w:tcPr>
            <w:tcW w:w="646" w:type="dxa"/>
            <w:shd w:val="clear" w:color="auto" w:fill="CCEAF9" w:themeFill="accent1" w:themeFillTint="33"/>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898</w:t>
            </w:r>
          </w:p>
        </w:tc>
        <w:tc>
          <w:tcPr>
            <w:tcW w:w="652" w:type="dxa"/>
            <w:shd w:val="clear" w:color="auto" w:fill="CCEAF9" w:themeFill="accent1" w:themeFillTint="33"/>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olor w:val="000000"/>
                <w:sz w:val="18"/>
                <w:szCs w:val="18"/>
              </w:rPr>
            </w:pPr>
            <w:r w:rsidRPr="00DB6EC8">
              <w:rPr>
                <w:rFonts w:asciiTheme="minorHAnsi" w:hAnsiTheme="minorHAnsi"/>
                <w:sz w:val="18"/>
                <w:szCs w:val="18"/>
              </w:rPr>
              <w:t>877</w:t>
            </w:r>
          </w:p>
        </w:tc>
        <w:tc>
          <w:tcPr>
            <w:tcW w:w="652" w:type="dxa"/>
            <w:shd w:val="clear" w:color="auto" w:fill="CCEAF9" w:themeFill="accent1" w:themeFillTint="33"/>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942</w:t>
            </w:r>
          </w:p>
        </w:tc>
        <w:tc>
          <w:tcPr>
            <w:tcW w:w="660" w:type="dxa"/>
            <w:shd w:val="clear" w:color="auto" w:fill="CCEAF9" w:themeFill="accent1" w:themeFillTint="33"/>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930</w:t>
            </w:r>
          </w:p>
        </w:tc>
        <w:tc>
          <w:tcPr>
            <w:tcW w:w="540" w:type="dxa"/>
            <w:shd w:val="clear" w:color="auto" w:fill="CCEAF9" w:themeFill="accent1" w:themeFillTint="33"/>
            <w:noWrap/>
            <w:tcMar>
              <w:left w:w="0" w:type="dxa"/>
              <w:right w:w="72" w:type="dxa"/>
            </w:tcMar>
            <w:vAlign w:val="center"/>
          </w:tcPr>
          <w:p w:rsidR="00DB6EC8" w:rsidRPr="00DB6EC8" w:rsidRDefault="004C524E"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w:t>
            </w:r>
            <w:r w:rsidR="00DB6EC8" w:rsidRPr="00DB6EC8">
              <w:rPr>
                <w:rFonts w:asciiTheme="minorHAnsi" w:hAnsiTheme="minorHAnsi"/>
                <w:sz w:val="18"/>
                <w:szCs w:val="18"/>
              </w:rPr>
              <w:t>0.1</w:t>
            </w:r>
          </w:p>
        </w:tc>
        <w:tc>
          <w:tcPr>
            <w:tcW w:w="810" w:type="dxa"/>
            <w:shd w:val="clear" w:color="auto" w:fill="CCEAF9" w:themeFill="accent1" w:themeFillTint="33"/>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975</w:t>
            </w:r>
          </w:p>
        </w:tc>
        <w:tc>
          <w:tcPr>
            <w:tcW w:w="842" w:type="dxa"/>
            <w:shd w:val="clear" w:color="auto" w:fill="CCEAF9" w:themeFill="accent1" w:themeFillTint="33"/>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993</w:t>
            </w:r>
          </w:p>
        </w:tc>
        <w:tc>
          <w:tcPr>
            <w:tcW w:w="810" w:type="dxa"/>
            <w:shd w:val="clear" w:color="auto" w:fill="CCEAF9" w:themeFill="accent1" w:themeFillTint="33"/>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993</w:t>
            </w:r>
          </w:p>
        </w:tc>
        <w:tc>
          <w:tcPr>
            <w:tcW w:w="778" w:type="dxa"/>
            <w:shd w:val="clear" w:color="auto" w:fill="CCEAF9" w:themeFill="accent1" w:themeFillTint="33"/>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1,011</w:t>
            </w:r>
          </w:p>
        </w:tc>
        <w:tc>
          <w:tcPr>
            <w:tcW w:w="572" w:type="dxa"/>
            <w:shd w:val="clear" w:color="auto" w:fill="CCEAF9" w:themeFill="accent1" w:themeFillTint="33"/>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0.2</w:t>
            </w:r>
          </w:p>
        </w:tc>
      </w:tr>
      <w:tr w:rsidR="00DB6EC8" w:rsidRPr="00DB6EC8" w:rsidTr="00026C99">
        <w:trPr>
          <w:cantSplit/>
          <w:trHeight w:val="270"/>
          <w:jc w:val="center"/>
        </w:trPr>
        <w:tc>
          <w:tcPr>
            <w:tcW w:w="720" w:type="dxa"/>
            <w:shd w:val="clear" w:color="auto" w:fill="1795D2" w:themeFill="accent1"/>
            <w:noWrap/>
            <w:vAlign w:val="center"/>
          </w:tcPr>
          <w:p w:rsidR="00DB6EC8" w:rsidRPr="00DB6EC8" w:rsidRDefault="00DB6EC8" w:rsidP="00DB6EC8">
            <w:pPr>
              <w:keepNext/>
              <w:keepLines/>
              <w:spacing w:after="0" w:line="240" w:lineRule="auto"/>
              <w:rPr>
                <w:rFonts w:asciiTheme="minorHAnsi" w:eastAsia="Arial Unicode MS" w:hAnsiTheme="minorHAnsi" w:cs="Arial"/>
                <w:b/>
                <w:color w:val="FFFFFF" w:themeColor="background1"/>
                <w:sz w:val="18"/>
                <w:szCs w:val="18"/>
              </w:rPr>
            </w:pPr>
            <w:r w:rsidRPr="00DB6EC8">
              <w:rPr>
                <w:rFonts w:asciiTheme="minorHAnsi" w:hAnsiTheme="minorHAnsi"/>
                <w:b/>
                <w:color w:val="FFFFFF" w:themeColor="background1"/>
                <w:sz w:val="18"/>
                <w:szCs w:val="18"/>
              </w:rPr>
              <w:t>ISO</w:t>
            </w:r>
            <w:r w:rsidRPr="00DB6EC8">
              <w:rPr>
                <w:rFonts w:asciiTheme="minorHAnsi" w:hAnsiTheme="minorHAnsi"/>
                <w:b/>
                <w:color w:val="FFFFFF" w:themeColor="background1"/>
                <w:sz w:val="18"/>
                <w:szCs w:val="18"/>
                <w:vertAlign w:val="superscript"/>
              </w:rPr>
              <w:t>(a, b)</w:t>
            </w:r>
          </w:p>
        </w:tc>
        <w:tc>
          <w:tcPr>
            <w:tcW w:w="810" w:type="dxa"/>
            <w:shd w:val="clear" w:color="auto" w:fill="1795D2" w:themeFill="accent1"/>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b/>
                <w:color w:val="FFFFFF" w:themeColor="background1"/>
                <w:sz w:val="18"/>
                <w:szCs w:val="18"/>
              </w:rPr>
            </w:pPr>
            <w:r w:rsidRPr="00DB6EC8">
              <w:rPr>
                <w:rFonts w:asciiTheme="minorHAnsi" w:hAnsiTheme="minorHAnsi"/>
                <w:b/>
                <w:color w:val="FFFFFF" w:themeColor="background1"/>
                <w:sz w:val="18"/>
                <w:szCs w:val="18"/>
              </w:rPr>
              <w:t>126,786</w:t>
            </w:r>
          </w:p>
        </w:tc>
        <w:tc>
          <w:tcPr>
            <w:tcW w:w="830" w:type="dxa"/>
            <w:shd w:val="clear" w:color="auto" w:fill="1795D2" w:themeFill="accent1"/>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b/>
                <w:color w:val="FFFFFF" w:themeColor="background1"/>
                <w:sz w:val="18"/>
                <w:szCs w:val="18"/>
              </w:rPr>
            </w:pPr>
            <w:r w:rsidRPr="00DB6EC8">
              <w:rPr>
                <w:rFonts w:asciiTheme="minorHAnsi" w:hAnsiTheme="minorHAnsi"/>
                <w:b/>
                <w:color w:val="FFFFFF" w:themeColor="background1"/>
                <w:sz w:val="18"/>
                <w:szCs w:val="18"/>
              </w:rPr>
              <w:t>119,680</w:t>
            </w:r>
          </w:p>
        </w:tc>
        <w:tc>
          <w:tcPr>
            <w:tcW w:w="610" w:type="dxa"/>
            <w:shd w:val="clear" w:color="auto" w:fill="1795D2" w:themeFill="accent1"/>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b/>
                <w:color w:val="FFFFFF" w:themeColor="background1"/>
                <w:sz w:val="18"/>
                <w:szCs w:val="18"/>
              </w:rPr>
            </w:pPr>
            <w:r w:rsidRPr="00026C99">
              <w:rPr>
                <w:rFonts w:asciiTheme="minorHAnsi" w:hAnsiTheme="minorHAnsi"/>
                <w:b/>
                <w:color w:val="FFFFFF" w:themeColor="background1"/>
                <w:sz w:val="18"/>
                <w:szCs w:val="18"/>
              </w:rPr>
              <w:t>−</w:t>
            </w:r>
            <w:r w:rsidRPr="00DB6EC8">
              <w:rPr>
                <w:rFonts w:asciiTheme="minorHAnsi" w:hAnsiTheme="minorHAnsi"/>
                <w:b/>
                <w:color w:val="FFFFFF" w:themeColor="background1"/>
                <w:sz w:val="18"/>
                <w:szCs w:val="18"/>
              </w:rPr>
              <w:t>0.6</w:t>
            </w:r>
          </w:p>
        </w:tc>
        <w:tc>
          <w:tcPr>
            <w:tcW w:w="646" w:type="dxa"/>
            <w:shd w:val="clear" w:color="auto" w:fill="1795D2" w:themeFill="accent1"/>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b/>
                <w:color w:val="FFFFFF" w:themeColor="background1"/>
                <w:sz w:val="18"/>
                <w:szCs w:val="18"/>
              </w:rPr>
            </w:pPr>
            <w:r w:rsidRPr="00DB6EC8">
              <w:rPr>
                <w:rFonts w:asciiTheme="minorHAnsi" w:hAnsiTheme="minorHAnsi"/>
                <w:b/>
                <w:color w:val="FFFFFF" w:themeColor="background1"/>
                <w:sz w:val="18"/>
                <w:szCs w:val="18"/>
              </w:rPr>
              <w:t>26,482</w:t>
            </w:r>
          </w:p>
        </w:tc>
        <w:tc>
          <w:tcPr>
            <w:tcW w:w="652" w:type="dxa"/>
            <w:shd w:val="clear" w:color="auto" w:fill="1795D2" w:themeFill="accent1"/>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b/>
                <w:color w:val="FFFFFF" w:themeColor="background1"/>
                <w:sz w:val="18"/>
                <w:szCs w:val="18"/>
              </w:rPr>
            </w:pPr>
            <w:r w:rsidRPr="00DB6EC8">
              <w:rPr>
                <w:rFonts w:asciiTheme="minorHAnsi" w:hAnsiTheme="minorHAnsi"/>
                <w:b/>
                <w:color w:val="FFFFFF" w:themeColor="background1"/>
                <w:sz w:val="18"/>
                <w:szCs w:val="18"/>
              </w:rPr>
              <w:t>26,310</w:t>
            </w:r>
          </w:p>
        </w:tc>
        <w:tc>
          <w:tcPr>
            <w:tcW w:w="652" w:type="dxa"/>
            <w:shd w:val="clear" w:color="auto" w:fill="1795D2" w:themeFill="accent1"/>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b/>
                <w:color w:val="FFFFFF" w:themeColor="background1"/>
                <w:sz w:val="18"/>
                <w:szCs w:val="18"/>
              </w:rPr>
            </w:pPr>
            <w:r w:rsidRPr="00DB6EC8">
              <w:rPr>
                <w:rFonts w:asciiTheme="minorHAnsi" w:hAnsiTheme="minorHAnsi"/>
                <w:b/>
                <w:color w:val="FFFFFF" w:themeColor="background1"/>
                <w:sz w:val="18"/>
                <w:szCs w:val="18"/>
              </w:rPr>
              <w:t>28,865</w:t>
            </w:r>
          </w:p>
        </w:tc>
        <w:tc>
          <w:tcPr>
            <w:tcW w:w="660" w:type="dxa"/>
            <w:shd w:val="clear" w:color="auto" w:fill="1795D2" w:themeFill="accent1"/>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b/>
                <w:color w:val="FFFFFF" w:themeColor="background1"/>
                <w:sz w:val="18"/>
                <w:szCs w:val="18"/>
              </w:rPr>
            </w:pPr>
            <w:r w:rsidRPr="00DB6EC8">
              <w:rPr>
                <w:rFonts w:asciiTheme="minorHAnsi" w:hAnsiTheme="minorHAnsi"/>
                <w:b/>
                <w:color w:val="FFFFFF" w:themeColor="background1"/>
                <w:sz w:val="18"/>
                <w:szCs w:val="18"/>
              </w:rPr>
              <w:t>29,021</w:t>
            </w:r>
          </w:p>
        </w:tc>
        <w:tc>
          <w:tcPr>
            <w:tcW w:w="540" w:type="dxa"/>
            <w:shd w:val="clear" w:color="auto" w:fill="1795D2" w:themeFill="accent1"/>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b/>
                <w:color w:val="FFFFFF" w:themeColor="background1"/>
                <w:sz w:val="18"/>
                <w:szCs w:val="18"/>
              </w:rPr>
            </w:pPr>
            <w:r w:rsidRPr="00DB6EC8">
              <w:rPr>
                <w:rFonts w:asciiTheme="minorHAnsi" w:hAnsiTheme="minorHAnsi"/>
                <w:b/>
                <w:color w:val="FFFFFF" w:themeColor="background1"/>
                <w:sz w:val="18"/>
                <w:szCs w:val="18"/>
              </w:rPr>
              <w:t>0.1</w:t>
            </w:r>
          </w:p>
        </w:tc>
        <w:tc>
          <w:tcPr>
            <w:tcW w:w="810" w:type="dxa"/>
            <w:shd w:val="clear" w:color="auto" w:fill="1795D2" w:themeFill="accent1"/>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b/>
                <w:color w:val="FFFFFF" w:themeColor="background1"/>
                <w:sz w:val="18"/>
                <w:szCs w:val="18"/>
              </w:rPr>
            </w:pPr>
            <w:r w:rsidRPr="00DB6EC8">
              <w:rPr>
                <w:rFonts w:asciiTheme="minorHAnsi" w:hAnsiTheme="minorHAnsi"/>
                <w:b/>
                <w:color w:val="FFFFFF" w:themeColor="background1"/>
                <w:sz w:val="18"/>
                <w:szCs w:val="18"/>
              </w:rPr>
              <w:t>21,197</w:t>
            </w:r>
          </w:p>
        </w:tc>
        <w:tc>
          <w:tcPr>
            <w:tcW w:w="842" w:type="dxa"/>
            <w:shd w:val="clear" w:color="auto" w:fill="1795D2" w:themeFill="accent1"/>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b/>
                <w:color w:val="FFFFFF" w:themeColor="background1"/>
                <w:sz w:val="18"/>
                <w:szCs w:val="18"/>
              </w:rPr>
            </w:pPr>
            <w:r w:rsidRPr="00DB6EC8">
              <w:rPr>
                <w:rFonts w:asciiTheme="minorHAnsi" w:hAnsiTheme="minorHAnsi"/>
                <w:b/>
                <w:color w:val="FFFFFF" w:themeColor="background1"/>
                <w:sz w:val="18"/>
                <w:szCs w:val="18"/>
              </w:rPr>
              <w:t>19,932</w:t>
            </w:r>
          </w:p>
        </w:tc>
        <w:tc>
          <w:tcPr>
            <w:tcW w:w="810" w:type="dxa"/>
            <w:shd w:val="clear" w:color="auto" w:fill="1795D2" w:themeFill="accent1"/>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b/>
                <w:color w:val="FFFFFF" w:themeColor="background1"/>
                <w:sz w:val="18"/>
                <w:szCs w:val="18"/>
              </w:rPr>
            </w:pPr>
            <w:r w:rsidRPr="00DB6EC8">
              <w:rPr>
                <w:rFonts w:asciiTheme="minorHAnsi" w:hAnsiTheme="minorHAnsi"/>
                <w:b/>
                <w:color w:val="FFFFFF" w:themeColor="background1"/>
                <w:sz w:val="18"/>
                <w:szCs w:val="18"/>
              </w:rPr>
              <w:t>21,895</w:t>
            </w:r>
          </w:p>
        </w:tc>
        <w:tc>
          <w:tcPr>
            <w:tcW w:w="778" w:type="dxa"/>
            <w:shd w:val="clear" w:color="auto" w:fill="1795D2" w:themeFill="accent1"/>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b/>
                <w:color w:val="FFFFFF" w:themeColor="background1"/>
                <w:sz w:val="18"/>
                <w:szCs w:val="18"/>
              </w:rPr>
            </w:pPr>
            <w:r w:rsidRPr="00DB6EC8">
              <w:rPr>
                <w:rFonts w:asciiTheme="minorHAnsi" w:hAnsiTheme="minorHAnsi"/>
                <w:b/>
                <w:color w:val="FFFFFF" w:themeColor="background1"/>
                <w:sz w:val="18"/>
                <w:szCs w:val="18"/>
              </w:rPr>
              <w:t>20,630</w:t>
            </w:r>
          </w:p>
        </w:tc>
        <w:tc>
          <w:tcPr>
            <w:tcW w:w="572" w:type="dxa"/>
            <w:shd w:val="clear" w:color="auto" w:fill="1795D2" w:themeFill="accent1"/>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b/>
                <w:color w:val="FFFFFF" w:themeColor="background1"/>
                <w:sz w:val="18"/>
                <w:szCs w:val="18"/>
              </w:rPr>
            </w:pPr>
            <w:r w:rsidRPr="00026C99">
              <w:rPr>
                <w:rFonts w:asciiTheme="minorHAnsi" w:hAnsiTheme="minorHAnsi"/>
                <w:b/>
                <w:color w:val="FFFFFF" w:themeColor="background1"/>
                <w:sz w:val="18"/>
                <w:szCs w:val="18"/>
              </w:rPr>
              <w:t>−</w:t>
            </w:r>
            <w:r w:rsidRPr="00DB6EC8">
              <w:rPr>
                <w:rFonts w:asciiTheme="minorHAnsi" w:hAnsiTheme="minorHAnsi"/>
                <w:b/>
                <w:color w:val="FFFFFF" w:themeColor="background1"/>
                <w:sz w:val="18"/>
                <w:szCs w:val="18"/>
              </w:rPr>
              <w:t>0.7</w:t>
            </w:r>
          </w:p>
        </w:tc>
      </w:tr>
    </w:tbl>
    <w:p w:rsidR="00DB6EC8" w:rsidRPr="00DB6EC8" w:rsidRDefault="00DB6EC8" w:rsidP="00DB6EC8">
      <w:pPr>
        <w:keepNext/>
        <w:keepLines/>
        <w:spacing w:before="120" w:after="80" w:line="240" w:lineRule="auto"/>
        <w:ind w:left="-180" w:right="-450" w:hanging="270"/>
        <w:rPr>
          <w:rFonts w:asciiTheme="minorHAnsi" w:hAnsiTheme="minorHAnsi" w:cs="Arial"/>
          <w:bCs/>
          <w:sz w:val="16"/>
          <w:szCs w:val="16"/>
        </w:rPr>
      </w:pPr>
      <w:r w:rsidRPr="00DB6EC8">
        <w:rPr>
          <w:rFonts w:asciiTheme="minorHAnsi" w:hAnsiTheme="minorHAnsi" w:cs="Arial"/>
          <w:sz w:val="16"/>
          <w:szCs w:val="16"/>
        </w:rPr>
        <w:t xml:space="preserve">(a) </w:t>
      </w:r>
      <w:r w:rsidRPr="00DB6EC8">
        <w:rPr>
          <w:rFonts w:asciiTheme="minorHAnsi" w:hAnsiTheme="minorHAnsi" w:cs="Arial"/>
          <w:sz w:val="16"/>
          <w:szCs w:val="16"/>
        </w:rPr>
        <w:tab/>
        <w:t xml:space="preserve">The total load-zone projections are similar to the state load projections and are available at the ISO’s “2017 Forecast Data File,” </w:t>
      </w:r>
      <w:hyperlink r:id="rId38" w:history="1">
        <w:r w:rsidRPr="004C524E">
          <w:rPr>
            <w:rStyle w:val="Hyperlink"/>
            <w:rFonts w:asciiTheme="minorHAnsi" w:hAnsiTheme="minorHAnsi"/>
            <w:sz w:val="16"/>
            <w:szCs w:val="16"/>
          </w:rPr>
          <w:t>https://www.iso-ne.com/static-assets/documents/2017/05/forecast_data_2017.xlsx</w:t>
        </w:r>
      </w:hyperlink>
      <w:r w:rsidRPr="00DB6EC8">
        <w:rPr>
          <w:rFonts w:asciiTheme="minorHAnsi" w:hAnsiTheme="minorHAnsi" w:cs="Arial"/>
          <w:sz w:val="16"/>
          <w:szCs w:val="16"/>
        </w:rPr>
        <w:t>; tab #2A-2C, “</w:t>
      </w:r>
      <w:r w:rsidRPr="00DB6EC8">
        <w:rPr>
          <w:rFonts w:asciiTheme="minorHAnsi" w:hAnsiTheme="minorHAnsi" w:cs="Arial"/>
          <w:bCs/>
          <w:sz w:val="16"/>
          <w:szCs w:val="16"/>
        </w:rPr>
        <w:t>ISO-NE Control Area, States, RSP17 Subareas, and Standard Market Design (SMD) Load Zones Energy and Seasonal Peak Load Forecast.”</w:t>
      </w:r>
    </w:p>
    <w:p w:rsidR="00DB6EC8" w:rsidRPr="00DB6EC8" w:rsidRDefault="00DB6EC8" w:rsidP="00DB6EC8">
      <w:pPr>
        <w:spacing w:after="200" w:line="240" w:lineRule="auto"/>
        <w:ind w:left="-180" w:right="-450" w:hanging="270"/>
        <w:rPr>
          <w:rFonts w:asciiTheme="minorHAnsi" w:hAnsiTheme="minorHAnsi" w:cs="Arial"/>
          <w:bCs/>
          <w:sz w:val="16"/>
          <w:szCs w:val="16"/>
        </w:rPr>
      </w:pPr>
      <w:r w:rsidRPr="00DB6EC8">
        <w:rPr>
          <w:rFonts w:asciiTheme="minorHAnsi" w:hAnsiTheme="minorHAnsi" w:cs="Arial"/>
          <w:bCs/>
          <w:sz w:val="16"/>
          <w:szCs w:val="16"/>
        </w:rPr>
        <w:t xml:space="preserve">(b) </w:t>
      </w:r>
      <w:r w:rsidRPr="00DB6EC8">
        <w:rPr>
          <w:rFonts w:asciiTheme="minorHAnsi" w:hAnsiTheme="minorHAnsi" w:cs="Arial"/>
          <w:bCs/>
          <w:sz w:val="16"/>
          <w:szCs w:val="16"/>
        </w:rPr>
        <w:tab/>
        <w:t>Totals may not equal the sum because of rounding and may not exactly match the results for other tables in this section.</w:t>
      </w:r>
    </w:p>
    <w:p w:rsidR="00DB6EC8" w:rsidRPr="00DB6EC8" w:rsidRDefault="00DB6EC8" w:rsidP="00DB6EC8">
      <w:pPr>
        <w:keepNext/>
        <w:keepLines/>
        <w:spacing w:after="120" w:line="240" w:lineRule="auto"/>
        <w:ind w:left="-360"/>
        <w:jc w:val="center"/>
        <w:rPr>
          <w:rFonts w:ascii="Calibri" w:hAnsi="Calibri"/>
          <w:b/>
          <w:bCs/>
          <w:szCs w:val="18"/>
          <w:vertAlign w:val="superscript"/>
        </w:rPr>
      </w:pPr>
      <w:bookmarkStart w:id="233" w:name="_Ref418891493"/>
      <w:bookmarkStart w:id="234" w:name="_Toc484164911"/>
      <w:bookmarkStart w:id="235" w:name="_Toc491244004"/>
      <w:r w:rsidRPr="00DB6EC8">
        <w:rPr>
          <w:rFonts w:ascii="Calibri" w:hAnsi="Calibri"/>
          <w:b/>
          <w:bCs/>
          <w:szCs w:val="18"/>
        </w:rPr>
        <w:lastRenderedPageBreak/>
        <w:t xml:space="preserve">Table </w:t>
      </w:r>
      <w:r w:rsidR="00D95957">
        <w:rPr>
          <w:rFonts w:ascii="Calibri" w:hAnsi="Calibri"/>
          <w:b/>
          <w:bCs/>
          <w:szCs w:val="18"/>
        </w:rPr>
        <w:fldChar w:fldCharType="begin"/>
      </w:r>
      <w:r w:rsidR="00D95957">
        <w:rPr>
          <w:rFonts w:ascii="Calibri" w:hAnsi="Calibri"/>
          <w:b/>
          <w:bCs/>
          <w:szCs w:val="18"/>
        </w:rPr>
        <w:instrText xml:space="preserve"> STYLEREF 1 \s </w:instrText>
      </w:r>
      <w:r w:rsidR="00D95957">
        <w:rPr>
          <w:rFonts w:ascii="Calibri" w:hAnsi="Calibri"/>
          <w:b/>
          <w:bCs/>
          <w:szCs w:val="18"/>
        </w:rPr>
        <w:fldChar w:fldCharType="separate"/>
      </w:r>
      <w:r w:rsidR="00D95957">
        <w:rPr>
          <w:rFonts w:ascii="Calibri" w:hAnsi="Calibri"/>
          <w:b/>
          <w:bCs/>
          <w:noProof/>
          <w:szCs w:val="18"/>
        </w:rPr>
        <w:t>3</w:t>
      </w:r>
      <w:r w:rsidR="00D95957">
        <w:rPr>
          <w:rFonts w:ascii="Calibri" w:hAnsi="Calibri"/>
          <w:b/>
          <w:bCs/>
          <w:szCs w:val="18"/>
        </w:rPr>
        <w:fldChar w:fldCharType="end"/>
      </w:r>
      <w:r w:rsidR="00D95957">
        <w:rPr>
          <w:rFonts w:ascii="Calibri" w:hAnsi="Calibri"/>
          <w:b/>
          <w:bCs/>
          <w:szCs w:val="18"/>
        </w:rPr>
        <w:noBreakHyphen/>
      </w:r>
      <w:r w:rsidR="00D95957">
        <w:rPr>
          <w:rFonts w:ascii="Calibri" w:hAnsi="Calibri"/>
          <w:b/>
          <w:bCs/>
          <w:szCs w:val="18"/>
        </w:rPr>
        <w:fldChar w:fldCharType="begin"/>
      </w:r>
      <w:r w:rsidR="00D95957">
        <w:rPr>
          <w:rFonts w:ascii="Calibri" w:hAnsi="Calibri"/>
          <w:b/>
          <w:bCs/>
          <w:szCs w:val="18"/>
        </w:rPr>
        <w:instrText xml:space="preserve"> SEQ Table \* ARABIC \s 1 </w:instrText>
      </w:r>
      <w:r w:rsidR="00D95957">
        <w:rPr>
          <w:rFonts w:ascii="Calibri" w:hAnsi="Calibri"/>
          <w:b/>
          <w:bCs/>
          <w:szCs w:val="18"/>
        </w:rPr>
        <w:fldChar w:fldCharType="separate"/>
      </w:r>
      <w:r w:rsidR="00D95957">
        <w:rPr>
          <w:rFonts w:ascii="Calibri" w:hAnsi="Calibri"/>
          <w:b/>
          <w:bCs/>
          <w:noProof/>
          <w:szCs w:val="18"/>
        </w:rPr>
        <w:t>8</w:t>
      </w:r>
      <w:r w:rsidR="00D95957">
        <w:rPr>
          <w:rFonts w:ascii="Calibri" w:hAnsi="Calibri"/>
          <w:b/>
          <w:bCs/>
          <w:szCs w:val="18"/>
        </w:rPr>
        <w:fldChar w:fldCharType="end"/>
      </w:r>
      <w:bookmarkEnd w:id="233"/>
      <w:r w:rsidRPr="00DB6EC8">
        <w:rPr>
          <w:rFonts w:ascii="Calibri" w:hAnsi="Calibri"/>
          <w:b/>
          <w:bCs/>
          <w:szCs w:val="18"/>
        </w:rPr>
        <w:br/>
        <w:t>Net Forecast of Demand in RSP Subareas, 2017 to 2026 (GWh, MW)</w:t>
      </w:r>
      <w:r w:rsidRPr="00DB6EC8">
        <w:rPr>
          <w:rFonts w:ascii="Calibri" w:hAnsi="Calibri"/>
          <w:b/>
          <w:bCs/>
          <w:szCs w:val="18"/>
          <w:vertAlign w:val="superscript"/>
        </w:rPr>
        <w:t>(a)</w:t>
      </w:r>
      <w:bookmarkEnd w:id="234"/>
      <w:bookmarkEnd w:id="235"/>
    </w:p>
    <w:tbl>
      <w:tblPr>
        <w:tblW w:w="10381" w:type="dxa"/>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top w:w="58" w:type="dxa"/>
          <w:left w:w="58" w:type="dxa"/>
          <w:bottom w:w="58" w:type="dxa"/>
          <w:right w:w="58" w:type="dxa"/>
        </w:tblCellMar>
        <w:tblLook w:val="0000" w:firstRow="0" w:lastRow="0" w:firstColumn="0" w:lastColumn="0" w:noHBand="0" w:noVBand="0"/>
      </w:tblPr>
      <w:tblGrid>
        <w:gridCol w:w="1079"/>
        <w:gridCol w:w="709"/>
        <w:gridCol w:w="711"/>
        <w:gridCol w:w="680"/>
        <w:gridCol w:w="742"/>
        <w:gridCol w:w="698"/>
        <w:gridCol w:w="724"/>
        <w:gridCol w:w="626"/>
        <w:gridCol w:w="630"/>
        <w:gridCol w:w="810"/>
        <w:gridCol w:w="810"/>
        <w:gridCol w:w="812"/>
        <w:gridCol w:w="810"/>
        <w:gridCol w:w="540"/>
      </w:tblGrid>
      <w:tr w:rsidR="00DB6EC8" w:rsidRPr="00DB6EC8" w:rsidTr="004C524E">
        <w:trPr>
          <w:cantSplit/>
          <w:jc w:val="center"/>
        </w:trPr>
        <w:tc>
          <w:tcPr>
            <w:tcW w:w="1079" w:type="dxa"/>
            <w:vMerge w:val="restart"/>
            <w:shd w:val="clear" w:color="auto" w:fill="1795D2" w:themeFill="accent1"/>
            <w:noWrap/>
            <w:tcMar>
              <w:left w:w="29" w:type="dxa"/>
              <w:right w:w="29" w:type="dxa"/>
            </w:tcMar>
            <w:vAlign w:val="center"/>
          </w:tcPr>
          <w:p w:rsidR="00DB6EC8" w:rsidRPr="00DB6EC8" w:rsidRDefault="00DB6EC8" w:rsidP="00DB6EC8">
            <w:pPr>
              <w:keepNext/>
              <w:keepLines/>
              <w:spacing w:after="0" w:line="240" w:lineRule="auto"/>
              <w:jc w:val="center"/>
              <w:rPr>
                <w:rFonts w:asciiTheme="minorHAnsi" w:hAnsiTheme="minorHAnsi" w:cs="Arial"/>
                <w:b/>
                <w:color w:val="FFFFFF" w:themeColor="background1"/>
                <w:sz w:val="18"/>
                <w:szCs w:val="18"/>
              </w:rPr>
            </w:pPr>
            <w:r w:rsidRPr="00DB6EC8">
              <w:rPr>
                <w:rFonts w:asciiTheme="minorHAnsi" w:hAnsiTheme="minorHAnsi" w:cs="Arial"/>
                <w:b/>
                <w:color w:val="FFFFFF" w:themeColor="background1"/>
                <w:sz w:val="18"/>
                <w:szCs w:val="18"/>
              </w:rPr>
              <w:t>Area</w:t>
            </w:r>
          </w:p>
        </w:tc>
        <w:tc>
          <w:tcPr>
            <w:tcW w:w="2100" w:type="dxa"/>
            <w:gridSpan w:val="3"/>
            <w:vMerge w:val="restart"/>
            <w:shd w:val="clear" w:color="auto" w:fill="1795D2" w:themeFill="accent1"/>
            <w:noWrap/>
            <w:tcMar>
              <w:left w:w="29" w:type="dxa"/>
              <w:right w:w="29" w:type="dxa"/>
            </w:tcMar>
            <w:vAlign w:val="center"/>
          </w:tcPr>
          <w:p w:rsidR="00DB6EC8" w:rsidRPr="00DB6EC8" w:rsidRDefault="00DB6EC8" w:rsidP="00DB6EC8">
            <w:pPr>
              <w:keepNext/>
              <w:keepLines/>
              <w:spacing w:after="0" w:line="240" w:lineRule="auto"/>
              <w:jc w:val="center"/>
              <w:rPr>
                <w:rFonts w:asciiTheme="minorHAnsi" w:hAnsiTheme="minorHAnsi" w:cs="Arial"/>
                <w:b/>
                <w:color w:val="FFFFFF" w:themeColor="background1"/>
                <w:sz w:val="18"/>
                <w:szCs w:val="18"/>
              </w:rPr>
            </w:pPr>
            <w:r w:rsidRPr="00DB6EC8">
              <w:rPr>
                <w:rFonts w:asciiTheme="minorHAnsi" w:hAnsiTheme="minorHAnsi" w:cs="Arial"/>
                <w:b/>
                <w:color w:val="FFFFFF" w:themeColor="background1"/>
                <w:sz w:val="18"/>
                <w:szCs w:val="18"/>
              </w:rPr>
              <w:t>Energy</w:t>
            </w:r>
          </w:p>
          <w:p w:rsidR="00DB6EC8" w:rsidRPr="00DB6EC8" w:rsidRDefault="00DB6EC8" w:rsidP="00DB6EC8">
            <w:pPr>
              <w:keepNext/>
              <w:keepLines/>
              <w:spacing w:after="0" w:line="240" w:lineRule="auto"/>
              <w:jc w:val="center"/>
              <w:rPr>
                <w:rFonts w:asciiTheme="minorHAnsi" w:hAnsiTheme="minorHAnsi" w:cs="Arial"/>
                <w:b/>
                <w:color w:val="FFFFFF" w:themeColor="background1"/>
                <w:sz w:val="18"/>
                <w:szCs w:val="18"/>
              </w:rPr>
            </w:pPr>
            <w:r w:rsidRPr="00DB6EC8">
              <w:rPr>
                <w:rFonts w:asciiTheme="minorHAnsi" w:hAnsiTheme="minorHAnsi" w:cs="Arial"/>
                <w:b/>
                <w:color w:val="FFFFFF" w:themeColor="background1"/>
                <w:sz w:val="18"/>
                <w:szCs w:val="18"/>
              </w:rPr>
              <w:t>(1,000 MWh)</w:t>
            </w:r>
          </w:p>
        </w:tc>
        <w:tc>
          <w:tcPr>
            <w:tcW w:w="3420" w:type="dxa"/>
            <w:gridSpan w:val="5"/>
            <w:shd w:val="clear" w:color="auto" w:fill="1795D2" w:themeFill="accent1"/>
            <w:noWrap/>
            <w:tcMar>
              <w:left w:w="29" w:type="dxa"/>
              <w:right w:w="29" w:type="dxa"/>
            </w:tcMar>
            <w:vAlign w:val="center"/>
          </w:tcPr>
          <w:p w:rsidR="00DB6EC8" w:rsidRPr="00DB6EC8" w:rsidRDefault="00DB6EC8" w:rsidP="00DB6EC8">
            <w:pPr>
              <w:keepNext/>
              <w:keepLines/>
              <w:spacing w:after="0" w:line="240" w:lineRule="auto"/>
              <w:jc w:val="center"/>
              <w:rPr>
                <w:rFonts w:asciiTheme="minorHAnsi" w:eastAsia="Arial Unicode MS" w:hAnsiTheme="minorHAnsi" w:cs="Arial"/>
                <w:b/>
                <w:color w:val="FFFFFF" w:themeColor="background1"/>
                <w:sz w:val="18"/>
                <w:szCs w:val="18"/>
              </w:rPr>
            </w:pPr>
            <w:r w:rsidRPr="00DB6EC8">
              <w:rPr>
                <w:rFonts w:asciiTheme="minorHAnsi" w:hAnsiTheme="minorHAnsi" w:cs="Arial"/>
                <w:b/>
                <w:color w:val="FFFFFF" w:themeColor="background1"/>
                <w:sz w:val="18"/>
                <w:szCs w:val="18"/>
              </w:rPr>
              <w:t>Summer Peak Loads (MW)</w:t>
            </w:r>
          </w:p>
        </w:tc>
        <w:tc>
          <w:tcPr>
            <w:tcW w:w="3782" w:type="dxa"/>
            <w:gridSpan w:val="5"/>
            <w:shd w:val="clear" w:color="auto" w:fill="1795D2" w:themeFill="accent1"/>
            <w:noWrap/>
            <w:tcMar>
              <w:left w:w="29" w:type="dxa"/>
              <w:right w:w="29" w:type="dxa"/>
            </w:tcMar>
            <w:vAlign w:val="center"/>
          </w:tcPr>
          <w:p w:rsidR="00DB6EC8" w:rsidRPr="00DB6EC8" w:rsidRDefault="00DB6EC8" w:rsidP="00DB6EC8">
            <w:pPr>
              <w:keepNext/>
              <w:keepLines/>
              <w:spacing w:after="0" w:line="240" w:lineRule="auto"/>
              <w:jc w:val="center"/>
              <w:rPr>
                <w:rFonts w:asciiTheme="minorHAnsi" w:eastAsia="Arial Unicode MS" w:hAnsiTheme="minorHAnsi" w:cs="Arial"/>
                <w:b/>
                <w:color w:val="FFFFFF" w:themeColor="background1"/>
                <w:sz w:val="18"/>
                <w:szCs w:val="18"/>
              </w:rPr>
            </w:pPr>
            <w:r w:rsidRPr="00DB6EC8">
              <w:rPr>
                <w:rFonts w:asciiTheme="minorHAnsi" w:hAnsiTheme="minorHAnsi" w:cs="Arial"/>
                <w:b/>
                <w:color w:val="FFFFFF" w:themeColor="background1"/>
                <w:sz w:val="18"/>
                <w:szCs w:val="18"/>
              </w:rPr>
              <w:t>Winter Peak Loads (MW)</w:t>
            </w:r>
          </w:p>
        </w:tc>
      </w:tr>
      <w:tr w:rsidR="00DB6EC8" w:rsidRPr="00DB6EC8" w:rsidTr="004C524E">
        <w:trPr>
          <w:cantSplit/>
          <w:jc w:val="center"/>
        </w:trPr>
        <w:tc>
          <w:tcPr>
            <w:tcW w:w="1079" w:type="dxa"/>
            <w:vMerge/>
            <w:shd w:val="clear" w:color="auto" w:fill="1795D2" w:themeFill="accent1"/>
            <w:noWrap/>
            <w:tcMar>
              <w:left w:w="29" w:type="dxa"/>
              <w:right w:w="29" w:type="dxa"/>
            </w:tcMar>
            <w:vAlign w:val="center"/>
          </w:tcPr>
          <w:p w:rsidR="00DB6EC8" w:rsidRPr="00DB6EC8" w:rsidRDefault="00DB6EC8" w:rsidP="00DB6EC8">
            <w:pPr>
              <w:keepNext/>
              <w:keepLines/>
              <w:spacing w:after="0" w:line="240" w:lineRule="auto"/>
              <w:jc w:val="center"/>
              <w:rPr>
                <w:rFonts w:asciiTheme="minorHAnsi" w:hAnsiTheme="minorHAnsi" w:cs="Arial"/>
                <w:b/>
                <w:color w:val="FFFFFF" w:themeColor="background1"/>
                <w:sz w:val="18"/>
                <w:szCs w:val="18"/>
              </w:rPr>
            </w:pPr>
          </w:p>
        </w:tc>
        <w:tc>
          <w:tcPr>
            <w:tcW w:w="2100" w:type="dxa"/>
            <w:gridSpan w:val="3"/>
            <w:vMerge/>
            <w:shd w:val="clear" w:color="auto" w:fill="1795D2" w:themeFill="accent1"/>
            <w:noWrap/>
            <w:tcMar>
              <w:left w:w="29" w:type="dxa"/>
              <w:right w:w="29" w:type="dxa"/>
            </w:tcMar>
            <w:vAlign w:val="center"/>
          </w:tcPr>
          <w:p w:rsidR="00DB6EC8" w:rsidRPr="00DB6EC8" w:rsidRDefault="00DB6EC8" w:rsidP="00DB6EC8">
            <w:pPr>
              <w:keepNext/>
              <w:keepLines/>
              <w:spacing w:after="0" w:line="240" w:lineRule="auto"/>
              <w:jc w:val="center"/>
              <w:rPr>
                <w:rFonts w:asciiTheme="minorHAnsi" w:hAnsiTheme="minorHAnsi" w:cs="Arial"/>
                <w:b/>
                <w:color w:val="FFFFFF" w:themeColor="background1"/>
                <w:sz w:val="18"/>
                <w:szCs w:val="18"/>
              </w:rPr>
            </w:pPr>
          </w:p>
        </w:tc>
        <w:tc>
          <w:tcPr>
            <w:tcW w:w="1440" w:type="dxa"/>
            <w:gridSpan w:val="2"/>
            <w:shd w:val="clear" w:color="auto" w:fill="1795D2" w:themeFill="accent1"/>
            <w:noWrap/>
            <w:tcMar>
              <w:left w:w="29" w:type="dxa"/>
              <w:right w:w="29" w:type="dxa"/>
            </w:tcMar>
            <w:vAlign w:val="center"/>
          </w:tcPr>
          <w:p w:rsidR="00DB6EC8" w:rsidRPr="00DB6EC8" w:rsidRDefault="00DB6EC8" w:rsidP="00DB6EC8">
            <w:pPr>
              <w:keepNext/>
              <w:keepLines/>
              <w:spacing w:after="0" w:line="240" w:lineRule="auto"/>
              <w:jc w:val="center"/>
              <w:rPr>
                <w:rFonts w:asciiTheme="minorHAnsi" w:eastAsia="Arial Unicode MS" w:hAnsiTheme="minorHAnsi" w:cs="Arial"/>
                <w:b/>
                <w:color w:val="FFFFFF" w:themeColor="background1"/>
                <w:sz w:val="18"/>
                <w:szCs w:val="18"/>
              </w:rPr>
            </w:pPr>
            <w:r w:rsidRPr="00DB6EC8">
              <w:rPr>
                <w:rFonts w:asciiTheme="minorHAnsi" w:hAnsiTheme="minorHAnsi" w:cs="Arial"/>
                <w:b/>
                <w:color w:val="FFFFFF" w:themeColor="background1"/>
                <w:sz w:val="18"/>
                <w:szCs w:val="18"/>
              </w:rPr>
              <w:t>50/50 Load</w:t>
            </w:r>
          </w:p>
        </w:tc>
        <w:tc>
          <w:tcPr>
            <w:tcW w:w="1350" w:type="dxa"/>
            <w:gridSpan w:val="2"/>
            <w:shd w:val="clear" w:color="auto" w:fill="1795D2" w:themeFill="accent1"/>
            <w:noWrap/>
            <w:tcMar>
              <w:left w:w="29" w:type="dxa"/>
              <w:right w:w="29" w:type="dxa"/>
            </w:tcMar>
            <w:vAlign w:val="center"/>
          </w:tcPr>
          <w:p w:rsidR="00DB6EC8" w:rsidRPr="00DB6EC8" w:rsidRDefault="00DB6EC8" w:rsidP="00DB6EC8">
            <w:pPr>
              <w:keepNext/>
              <w:keepLines/>
              <w:spacing w:after="0" w:line="240" w:lineRule="auto"/>
              <w:jc w:val="center"/>
              <w:rPr>
                <w:rFonts w:asciiTheme="minorHAnsi" w:eastAsia="Arial Unicode MS" w:hAnsiTheme="minorHAnsi" w:cs="Arial"/>
                <w:b/>
                <w:color w:val="FFFFFF" w:themeColor="background1"/>
                <w:sz w:val="18"/>
                <w:szCs w:val="18"/>
              </w:rPr>
            </w:pPr>
            <w:r w:rsidRPr="00DB6EC8">
              <w:rPr>
                <w:rFonts w:asciiTheme="minorHAnsi" w:hAnsiTheme="minorHAnsi" w:cs="Arial"/>
                <w:b/>
                <w:color w:val="FFFFFF" w:themeColor="background1"/>
                <w:sz w:val="18"/>
                <w:szCs w:val="18"/>
              </w:rPr>
              <w:t>90/10 Load</w:t>
            </w:r>
          </w:p>
        </w:tc>
        <w:tc>
          <w:tcPr>
            <w:tcW w:w="630" w:type="dxa"/>
            <w:shd w:val="clear" w:color="auto" w:fill="1795D2" w:themeFill="accent1"/>
            <w:noWrap/>
            <w:tcMar>
              <w:left w:w="29" w:type="dxa"/>
              <w:right w:w="29" w:type="dxa"/>
            </w:tcMar>
            <w:vAlign w:val="center"/>
          </w:tcPr>
          <w:p w:rsidR="00DB6EC8" w:rsidRPr="00DB6EC8" w:rsidRDefault="00DB6EC8" w:rsidP="00DB6EC8">
            <w:pPr>
              <w:keepNext/>
              <w:keepLines/>
              <w:spacing w:after="0" w:line="240" w:lineRule="auto"/>
              <w:jc w:val="center"/>
              <w:rPr>
                <w:rFonts w:asciiTheme="minorHAnsi" w:hAnsiTheme="minorHAnsi" w:cs="Arial"/>
                <w:b/>
                <w:color w:val="FFFFFF" w:themeColor="background1"/>
                <w:sz w:val="18"/>
                <w:szCs w:val="18"/>
              </w:rPr>
            </w:pPr>
          </w:p>
        </w:tc>
        <w:tc>
          <w:tcPr>
            <w:tcW w:w="1620" w:type="dxa"/>
            <w:gridSpan w:val="2"/>
            <w:shd w:val="clear" w:color="auto" w:fill="1795D2" w:themeFill="accent1"/>
            <w:noWrap/>
            <w:tcMar>
              <w:left w:w="29" w:type="dxa"/>
              <w:right w:w="29" w:type="dxa"/>
            </w:tcMar>
            <w:vAlign w:val="center"/>
          </w:tcPr>
          <w:p w:rsidR="00DB6EC8" w:rsidRPr="00DB6EC8" w:rsidRDefault="00DB6EC8" w:rsidP="00DB6EC8">
            <w:pPr>
              <w:keepNext/>
              <w:keepLines/>
              <w:spacing w:after="0" w:line="240" w:lineRule="auto"/>
              <w:jc w:val="center"/>
              <w:rPr>
                <w:rFonts w:asciiTheme="minorHAnsi" w:eastAsia="Arial Unicode MS" w:hAnsiTheme="minorHAnsi" w:cs="Arial"/>
                <w:b/>
                <w:color w:val="FFFFFF" w:themeColor="background1"/>
                <w:sz w:val="18"/>
                <w:szCs w:val="18"/>
              </w:rPr>
            </w:pPr>
            <w:r w:rsidRPr="00DB6EC8">
              <w:rPr>
                <w:rFonts w:asciiTheme="minorHAnsi" w:hAnsiTheme="minorHAnsi" w:cs="Arial"/>
                <w:b/>
                <w:color w:val="FFFFFF" w:themeColor="background1"/>
                <w:sz w:val="18"/>
                <w:szCs w:val="18"/>
              </w:rPr>
              <w:t>50/50 Load</w:t>
            </w:r>
          </w:p>
        </w:tc>
        <w:tc>
          <w:tcPr>
            <w:tcW w:w="1622" w:type="dxa"/>
            <w:gridSpan w:val="2"/>
            <w:shd w:val="clear" w:color="auto" w:fill="1795D2" w:themeFill="accent1"/>
            <w:noWrap/>
            <w:tcMar>
              <w:left w:w="29" w:type="dxa"/>
              <w:right w:w="29" w:type="dxa"/>
            </w:tcMar>
            <w:vAlign w:val="center"/>
          </w:tcPr>
          <w:p w:rsidR="00DB6EC8" w:rsidRPr="00DB6EC8" w:rsidRDefault="00DB6EC8" w:rsidP="00DB6EC8">
            <w:pPr>
              <w:keepNext/>
              <w:keepLines/>
              <w:spacing w:after="0" w:line="240" w:lineRule="auto"/>
              <w:jc w:val="center"/>
              <w:rPr>
                <w:rFonts w:asciiTheme="minorHAnsi" w:eastAsia="Arial Unicode MS" w:hAnsiTheme="minorHAnsi" w:cs="Arial"/>
                <w:b/>
                <w:color w:val="FFFFFF" w:themeColor="background1"/>
                <w:sz w:val="18"/>
                <w:szCs w:val="18"/>
              </w:rPr>
            </w:pPr>
            <w:r w:rsidRPr="00DB6EC8">
              <w:rPr>
                <w:rFonts w:asciiTheme="minorHAnsi" w:hAnsiTheme="minorHAnsi" w:cs="Arial"/>
                <w:b/>
                <w:color w:val="FFFFFF" w:themeColor="background1"/>
                <w:sz w:val="18"/>
                <w:szCs w:val="18"/>
              </w:rPr>
              <w:t>90/10 Load</w:t>
            </w:r>
          </w:p>
        </w:tc>
        <w:tc>
          <w:tcPr>
            <w:tcW w:w="540" w:type="dxa"/>
            <w:shd w:val="clear" w:color="auto" w:fill="1795D2" w:themeFill="accent1"/>
            <w:noWrap/>
            <w:tcMar>
              <w:left w:w="29" w:type="dxa"/>
              <w:right w:w="29" w:type="dxa"/>
            </w:tcMar>
            <w:vAlign w:val="center"/>
          </w:tcPr>
          <w:p w:rsidR="00DB6EC8" w:rsidRPr="00DB6EC8" w:rsidRDefault="00DB6EC8" w:rsidP="00DB6EC8">
            <w:pPr>
              <w:keepNext/>
              <w:keepLines/>
              <w:spacing w:after="0" w:line="240" w:lineRule="auto"/>
              <w:jc w:val="center"/>
              <w:rPr>
                <w:rFonts w:asciiTheme="minorHAnsi" w:hAnsiTheme="minorHAnsi" w:cs="Arial"/>
                <w:b/>
                <w:color w:val="FFFFFF" w:themeColor="background1"/>
                <w:sz w:val="18"/>
                <w:szCs w:val="18"/>
              </w:rPr>
            </w:pPr>
          </w:p>
        </w:tc>
      </w:tr>
      <w:tr w:rsidR="00DB6EC8" w:rsidRPr="00DB6EC8" w:rsidTr="004C524E">
        <w:trPr>
          <w:cantSplit/>
          <w:jc w:val="center"/>
        </w:trPr>
        <w:tc>
          <w:tcPr>
            <w:tcW w:w="1079" w:type="dxa"/>
            <w:vMerge/>
            <w:shd w:val="clear" w:color="auto" w:fill="1795D2" w:themeFill="accent1"/>
            <w:noWrap/>
            <w:tcMar>
              <w:left w:w="29" w:type="dxa"/>
              <w:right w:w="29" w:type="dxa"/>
            </w:tcMar>
            <w:vAlign w:val="center"/>
          </w:tcPr>
          <w:p w:rsidR="00DB6EC8" w:rsidRPr="00DB6EC8" w:rsidRDefault="00DB6EC8" w:rsidP="00DB6EC8">
            <w:pPr>
              <w:keepNext/>
              <w:keepLines/>
              <w:spacing w:after="0" w:line="240" w:lineRule="auto"/>
              <w:jc w:val="center"/>
              <w:rPr>
                <w:rFonts w:asciiTheme="minorHAnsi" w:eastAsia="Arial Unicode MS" w:hAnsiTheme="minorHAnsi" w:cs="Arial"/>
                <w:b/>
                <w:color w:val="FFFFFF" w:themeColor="background1"/>
                <w:sz w:val="18"/>
                <w:szCs w:val="18"/>
              </w:rPr>
            </w:pPr>
          </w:p>
        </w:tc>
        <w:tc>
          <w:tcPr>
            <w:tcW w:w="709" w:type="dxa"/>
            <w:shd w:val="clear" w:color="auto" w:fill="1795D2" w:themeFill="accent1"/>
            <w:noWrap/>
            <w:tcMar>
              <w:left w:w="29" w:type="dxa"/>
              <w:right w:w="29" w:type="dxa"/>
            </w:tcMar>
            <w:vAlign w:val="center"/>
          </w:tcPr>
          <w:p w:rsidR="00DB6EC8" w:rsidRPr="00DB6EC8" w:rsidRDefault="00DB6EC8" w:rsidP="00DB6EC8">
            <w:pPr>
              <w:keepNext/>
              <w:keepLines/>
              <w:spacing w:after="0" w:line="240" w:lineRule="auto"/>
              <w:jc w:val="center"/>
              <w:rPr>
                <w:rFonts w:asciiTheme="minorHAnsi" w:eastAsia="Arial Unicode MS" w:hAnsiTheme="minorHAnsi" w:cs="Arial"/>
                <w:b/>
                <w:color w:val="FFFFFF" w:themeColor="background1"/>
                <w:sz w:val="18"/>
                <w:szCs w:val="18"/>
              </w:rPr>
            </w:pPr>
            <w:r w:rsidRPr="00DB6EC8">
              <w:rPr>
                <w:rFonts w:asciiTheme="minorHAnsi" w:hAnsiTheme="minorHAnsi"/>
                <w:b/>
                <w:color w:val="FFFFFF" w:themeColor="background1"/>
                <w:sz w:val="18"/>
                <w:szCs w:val="18"/>
              </w:rPr>
              <w:t>2017</w:t>
            </w:r>
          </w:p>
        </w:tc>
        <w:tc>
          <w:tcPr>
            <w:tcW w:w="711" w:type="dxa"/>
            <w:shd w:val="clear" w:color="auto" w:fill="1795D2" w:themeFill="accent1"/>
            <w:noWrap/>
            <w:tcMar>
              <w:left w:w="29" w:type="dxa"/>
              <w:right w:w="29" w:type="dxa"/>
            </w:tcMar>
            <w:vAlign w:val="center"/>
          </w:tcPr>
          <w:p w:rsidR="00DB6EC8" w:rsidRPr="00DB6EC8" w:rsidRDefault="00DB6EC8" w:rsidP="00DB6EC8">
            <w:pPr>
              <w:keepNext/>
              <w:keepLines/>
              <w:spacing w:after="0" w:line="240" w:lineRule="auto"/>
              <w:jc w:val="center"/>
              <w:rPr>
                <w:rFonts w:asciiTheme="minorHAnsi" w:eastAsia="Arial Unicode MS" w:hAnsiTheme="minorHAnsi" w:cs="Arial"/>
                <w:b/>
                <w:color w:val="FFFFFF" w:themeColor="background1"/>
                <w:sz w:val="18"/>
                <w:szCs w:val="18"/>
              </w:rPr>
            </w:pPr>
            <w:r w:rsidRPr="00DB6EC8">
              <w:rPr>
                <w:rFonts w:asciiTheme="minorHAnsi" w:hAnsiTheme="minorHAnsi"/>
                <w:b/>
                <w:color w:val="FFFFFF" w:themeColor="background1"/>
                <w:sz w:val="18"/>
                <w:szCs w:val="18"/>
              </w:rPr>
              <w:t>2026</w:t>
            </w:r>
          </w:p>
        </w:tc>
        <w:tc>
          <w:tcPr>
            <w:tcW w:w="680" w:type="dxa"/>
            <w:shd w:val="clear" w:color="auto" w:fill="1795D2" w:themeFill="accent1"/>
            <w:noWrap/>
            <w:tcMar>
              <w:left w:w="29" w:type="dxa"/>
              <w:right w:w="29" w:type="dxa"/>
            </w:tcMar>
            <w:vAlign w:val="center"/>
          </w:tcPr>
          <w:p w:rsidR="00DB6EC8" w:rsidRPr="00DB6EC8" w:rsidRDefault="00DB6EC8" w:rsidP="00DB6EC8">
            <w:pPr>
              <w:keepNext/>
              <w:keepLines/>
              <w:spacing w:after="0" w:line="240" w:lineRule="auto"/>
              <w:jc w:val="center"/>
              <w:rPr>
                <w:rFonts w:asciiTheme="minorHAnsi" w:eastAsia="Arial Unicode MS" w:hAnsiTheme="minorHAnsi" w:cs="Arial"/>
                <w:b/>
                <w:color w:val="FFFFFF" w:themeColor="background1"/>
                <w:sz w:val="18"/>
                <w:szCs w:val="18"/>
              </w:rPr>
            </w:pPr>
            <w:r w:rsidRPr="00DB6EC8">
              <w:rPr>
                <w:rFonts w:asciiTheme="minorHAnsi" w:hAnsiTheme="minorHAnsi"/>
                <w:b/>
                <w:color w:val="FFFFFF" w:themeColor="background1"/>
                <w:sz w:val="18"/>
                <w:szCs w:val="18"/>
              </w:rPr>
              <w:t>CAGR</w:t>
            </w:r>
          </w:p>
        </w:tc>
        <w:tc>
          <w:tcPr>
            <w:tcW w:w="742" w:type="dxa"/>
            <w:shd w:val="clear" w:color="auto" w:fill="1795D2" w:themeFill="accent1"/>
            <w:noWrap/>
            <w:tcMar>
              <w:left w:w="29" w:type="dxa"/>
              <w:right w:w="29" w:type="dxa"/>
            </w:tcMar>
            <w:vAlign w:val="center"/>
          </w:tcPr>
          <w:p w:rsidR="00DB6EC8" w:rsidRPr="00DB6EC8" w:rsidRDefault="00DB6EC8" w:rsidP="00DB6EC8">
            <w:pPr>
              <w:keepNext/>
              <w:keepLines/>
              <w:spacing w:after="0" w:line="240" w:lineRule="auto"/>
              <w:jc w:val="center"/>
              <w:rPr>
                <w:rFonts w:asciiTheme="minorHAnsi" w:eastAsia="Arial Unicode MS" w:hAnsiTheme="minorHAnsi" w:cs="Arial"/>
                <w:b/>
                <w:color w:val="FFFFFF" w:themeColor="background1"/>
                <w:sz w:val="18"/>
                <w:szCs w:val="18"/>
              </w:rPr>
            </w:pPr>
            <w:r w:rsidRPr="00DB6EC8">
              <w:rPr>
                <w:rFonts w:asciiTheme="minorHAnsi" w:hAnsiTheme="minorHAnsi"/>
                <w:b/>
                <w:color w:val="FFFFFF" w:themeColor="background1"/>
                <w:sz w:val="18"/>
                <w:szCs w:val="18"/>
              </w:rPr>
              <w:t>2017</w:t>
            </w:r>
          </w:p>
        </w:tc>
        <w:tc>
          <w:tcPr>
            <w:tcW w:w="698" w:type="dxa"/>
            <w:shd w:val="clear" w:color="auto" w:fill="1795D2" w:themeFill="accent1"/>
            <w:noWrap/>
            <w:tcMar>
              <w:left w:w="29" w:type="dxa"/>
              <w:right w:w="29" w:type="dxa"/>
            </w:tcMar>
            <w:vAlign w:val="center"/>
          </w:tcPr>
          <w:p w:rsidR="00DB6EC8" w:rsidRPr="00DB6EC8" w:rsidRDefault="00DB6EC8" w:rsidP="00DB6EC8">
            <w:pPr>
              <w:keepNext/>
              <w:keepLines/>
              <w:spacing w:after="0" w:line="240" w:lineRule="auto"/>
              <w:jc w:val="center"/>
              <w:rPr>
                <w:rFonts w:asciiTheme="minorHAnsi" w:eastAsia="Arial Unicode MS" w:hAnsiTheme="minorHAnsi" w:cs="Arial"/>
                <w:b/>
                <w:color w:val="FFFFFF" w:themeColor="background1"/>
                <w:sz w:val="18"/>
                <w:szCs w:val="18"/>
              </w:rPr>
            </w:pPr>
            <w:r w:rsidRPr="00DB6EC8">
              <w:rPr>
                <w:rFonts w:asciiTheme="minorHAnsi" w:hAnsiTheme="minorHAnsi"/>
                <w:b/>
                <w:color w:val="FFFFFF" w:themeColor="background1"/>
                <w:sz w:val="18"/>
                <w:szCs w:val="18"/>
              </w:rPr>
              <w:t>2026</w:t>
            </w:r>
          </w:p>
        </w:tc>
        <w:tc>
          <w:tcPr>
            <w:tcW w:w="724" w:type="dxa"/>
            <w:shd w:val="clear" w:color="auto" w:fill="1795D2" w:themeFill="accent1"/>
            <w:noWrap/>
            <w:tcMar>
              <w:left w:w="29" w:type="dxa"/>
              <w:right w:w="29" w:type="dxa"/>
            </w:tcMar>
            <w:vAlign w:val="center"/>
          </w:tcPr>
          <w:p w:rsidR="00DB6EC8" w:rsidRPr="00DB6EC8" w:rsidRDefault="00DB6EC8" w:rsidP="00DB6EC8">
            <w:pPr>
              <w:keepNext/>
              <w:keepLines/>
              <w:spacing w:after="0" w:line="240" w:lineRule="auto"/>
              <w:jc w:val="center"/>
              <w:rPr>
                <w:rFonts w:asciiTheme="minorHAnsi" w:eastAsia="Arial Unicode MS" w:hAnsiTheme="minorHAnsi" w:cs="Arial"/>
                <w:b/>
                <w:color w:val="FFFFFF" w:themeColor="background1"/>
                <w:sz w:val="18"/>
                <w:szCs w:val="18"/>
              </w:rPr>
            </w:pPr>
            <w:r w:rsidRPr="00DB6EC8">
              <w:rPr>
                <w:rFonts w:asciiTheme="minorHAnsi" w:hAnsiTheme="minorHAnsi"/>
                <w:b/>
                <w:color w:val="FFFFFF" w:themeColor="background1"/>
                <w:sz w:val="18"/>
                <w:szCs w:val="18"/>
              </w:rPr>
              <w:t>2017</w:t>
            </w:r>
          </w:p>
        </w:tc>
        <w:tc>
          <w:tcPr>
            <w:tcW w:w="626" w:type="dxa"/>
            <w:shd w:val="clear" w:color="auto" w:fill="1795D2" w:themeFill="accent1"/>
            <w:noWrap/>
            <w:tcMar>
              <w:left w:w="29" w:type="dxa"/>
              <w:right w:w="29" w:type="dxa"/>
            </w:tcMar>
            <w:vAlign w:val="center"/>
          </w:tcPr>
          <w:p w:rsidR="00DB6EC8" w:rsidRPr="00DB6EC8" w:rsidRDefault="00DB6EC8" w:rsidP="00DB6EC8">
            <w:pPr>
              <w:keepNext/>
              <w:keepLines/>
              <w:spacing w:after="0" w:line="240" w:lineRule="auto"/>
              <w:jc w:val="center"/>
              <w:rPr>
                <w:rFonts w:asciiTheme="minorHAnsi" w:eastAsia="Arial Unicode MS" w:hAnsiTheme="minorHAnsi" w:cs="Arial"/>
                <w:b/>
                <w:color w:val="FFFFFF" w:themeColor="background1"/>
                <w:sz w:val="18"/>
                <w:szCs w:val="18"/>
              </w:rPr>
            </w:pPr>
            <w:r w:rsidRPr="00DB6EC8">
              <w:rPr>
                <w:rFonts w:asciiTheme="minorHAnsi" w:hAnsiTheme="minorHAnsi"/>
                <w:b/>
                <w:color w:val="FFFFFF" w:themeColor="background1"/>
                <w:sz w:val="18"/>
                <w:szCs w:val="18"/>
              </w:rPr>
              <w:t>2026</w:t>
            </w:r>
          </w:p>
        </w:tc>
        <w:tc>
          <w:tcPr>
            <w:tcW w:w="630" w:type="dxa"/>
            <w:shd w:val="clear" w:color="auto" w:fill="1795D2" w:themeFill="accent1"/>
            <w:noWrap/>
            <w:tcMar>
              <w:left w:w="29" w:type="dxa"/>
              <w:right w:w="29" w:type="dxa"/>
            </w:tcMar>
            <w:vAlign w:val="center"/>
          </w:tcPr>
          <w:p w:rsidR="00DB6EC8" w:rsidRPr="00DB6EC8" w:rsidRDefault="00DB6EC8" w:rsidP="00DB6EC8">
            <w:pPr>
              <w:keepNext/>
              <w:keepLines/>
              <w:spacing w:after="0" w:line="240" w:lineRule="auto"/>
              <w:jc w:val="center"/>
              <w:rPr>
                <w:rFonts w:asciiTheme="minorHAnsi" w:eastAsia="Arial Unicode MS" w:hAnsiTheme="minorHAnsi" w:cs="Arial"/>
                <w:b/>
                <w:color w:val="FFFFFF" w:themeColor="background1"/>
                <w:sz w:val="18"/>
                <w:szCs w:val="18"/>
              </w:rPr>
            </w:pPr>
            <w:r w:rsidRPr="00DB6EC8">
              <w:rPr>
                <w:rFonts w:asciiTheme="minorHAnsi" w:hAnsiTheme="minorHAnsi"/>
                <w:b/>
                <w:color w:val="FFFFFF" w:themeColor="background1"/>
                <w:sz w:val="18"/>
                <w:szCs w:val="18"/>
              </w:rPr>
              <w:t>CAGR</w:t>
            </w:r>
          </w:p>
        </w:tc>
        <w:tc>
          <w:tcPr>
            <w:tcW w:w="810" w:type="dxa"/>
            <w:shd w:val="clear" w:color="auto" w:fill="1795D2" w:themeFill="accent1"/>
            <w:noWrap/>
            <w:tcMar>
              <w:left w:w="29" w:type="dxa"/>
              <w:right w:w="29" w:type="dxa"/>
            </w:tcMar>
            <w:vAlign w:val="center"/>
          </w:tcPr>
          <w:p w:rsidR="00DB6EC8" w:rsidRPr="00DB6EC8" w:rsidRDefault="00DB6EC8" w:rsidP="00DB6EC8">
            <w:pPr>
              <w:keepNext/>
              <w:keepLines/>
              <w:spacing w:after="0" w:line="240" w:lineRule="auto"/>
              <w:jc w:val="center"/>
              <w:rPr>
                <w:rFonts w:asciiTheme="minorHAnsi" w:eastAsia="Arial Unicode MS" w:hAnsiTheme="minorHAnsi" w:cs="Arial"/>
                <w:b/>
                <w:color w:val="FFFFFF" w:themeColor="background1"/>
                <w:sz w:val="18"/>
                <w:szCs w:val="18"/>
              </w:rPr>
            </w:pPr>
            <w:r w:rsidRPr="00DB6EC8">
              <w:rPr>
                <w:rFonts w:asciiTheme="minorHAnsi" w:hAnsiTheme="minorHAnsi"/>
                <w:b/>
                <w:color w:val="FFFFFF" w:themeColor="background1"/>
                <w:sz w:val="18"/>
                <w:szCs w:val="18"/>
              </w:rPr>
              <w:t>2017/18</w:t>
            </w:r>
          </w:p>
        </w:tc>
        <w:tc>
          <w:tcPr>
            <w:tcW w:w="810" w:type="dxa"/>
            <w:shd w:val="clear" w:color="auto" w:fill="1795D2" w:themeFill="accent1"/>
            <w:noWrap/>
            <w:tcMar>
              <w:left w:w="29" w:type="dxa"/>
              <w:right w:w="29" w:type="dxa"/>
            </w:tcMar>
            <w:vAlign w:val="center"/>
          </w:tcPr>
          <w:p w:rsidR="00DB6EC8" w:rsidRPr="00DB6EC8" w:rsidRDefault="00DB6EC8" w:rsidP="00DB6EC8">
            <w:pPr>
              <w:keepNext/>
              <w:keepLines/>
              <w:spacing w:after="0" w:line="240" w:lineRule="auto"/>
              <w:jc w:val="center"/>
              <w:rPr>
                <w:rFonts w:asciiTheme="minorHAnsi" w:eastAsia="Arial Unicode MS" w:hAnsiTheme="minorHAnsi" w:cs="Arial"/>
                <w:b/>
                <w:color w:val="FFFFFF" w:themeColor="background1"/>
                <w:sz w:val="18"/>
                <w:szCs w:val="18"/>
              </w:rPr>
            </w:pPr>
            <w:r w:rsidRPr="00DB6EC8">
              <w:rPr>
                <w:rFonts w:asciiTheme="minorHAnsi" w:hAnsiTheme="minorHAnsi"/>
                <w:b/>
                <w:color w:val="FFFFFF" w:themeColor="background1"/>
                <w:sz w:val="18"/>
                <w:szCs w:val="18"/>
              </w:rPr>
              <w:t>2026/27</w:t>
            </w:r>
          </w:p>
        </w:tc>
        <w:tc>
          <w:tcPr>
            <w:tcW w:w="812" w:type="dxa"/>
            <w:shd w:val="clear" w:color="auto" w:fill="1795D2" w:themeFill="accent1"/>
            <w:noWrap/>
            <w:tcMar>
              <w:left w:w="29" w:type="dxa"/>
              <w:right w:w="29" w:type="dxa"/>
            </w:tcMar>
            <w:vAlign w:val="center"/>
          </w:tcPr>
          <w:p w:rsidR="00DB6EC8" w:rsidRPr="00DB6EC8" w:rsidRDefault="00DB6EC8" w:rsidP="00DB6EC8">
            <w:pPr>
              <w:keepNext/>
              <w:keepLines/>
              <w:spacing w:after="0" w:line="240" w:lineRule="auto"/>
              <w:jc w:val="center"/>
              <w:rPr>
                <w:rFonts w:asciiTheme="minorHAnsi" w:eastAsia="Arial Unicode MS" w:hAnsiTheme="minorHAnsi" w:cs="Arial"/>
                <w:b/>
                <w:color w:val="FFFFFF" w:themeColor="background1"/>
                <w:sz w:val="18"/>
                <w:szCs w:val="18"/>
              </w:rPr>
            </w:pPr>
            <w:r w:rsidRPr="00DB6EC8">
              <w:rPr>
                <w:rFonts w:asciiTheme="minorHAnsi" w:hAnsiTheme="minorHAnsi"/>
                <w:b/>
                <w:color w:val="FFFFFF" w:themeColor="background1"/>
                <w:sz w:val="18"/>
                <w:szCs w:val="18"/>
              </w:rPr>
              <w:t>2017/18</w:t>
            </w:r>
          </w:p>
        </w:tc>
        <w:tc>
          <w:tcPr>
            <w:tcW w:w="810" w:type="dxa"/>
            <w:shd w:val="clear" w:color="auto" w:fill="1795D2" w:themeFill="accent1"/>
            <w:noWrap/>
            <w:tcMar>
              <w:left w:w="29" w:type="dxa"/>
              <w:right w:w="29" w:type="dxa"/>
            </w:tcMar>
            <w:vAlign w:val="center"/>
          </w:tcPr>
          <w:p w:rsidR="00DB6EC8" w:rsidRPr="00DB6EC8" w:rsidRDefault="00DB6EC8" w:rsidP="00DB6EC8">
            <w:pPr>
              <w:keepNext/>
              <w:keepLines/>
              <w:spacing w:after="0" w:line="240" w:lineRule="auto"/>
              <w:jc w:val="center"/>
              <w:rPr>
                <w:rFonts w:asciiTheme="minorHAnsi" w:eastAsia="Arial Unicode MS" w:hAnsiTheme="minorHAnsi" w:cs="Arial"/>
                <w:b/>
                <w:color w:val="FFFFFF" w:themeColor="background1"/>
                <w:sz w:val="18"/>
                <w:szCs w:val="18"/>
              </w:rPr>
            </w:pPr>
            <w:r w:rsidRPr="00DB6EC8">
              <w:rPr>
                <w:rFonts w:asciiTheme="minorHAnsi" w:hAnsiTheme="minorHAnsi"/>
                <w:b/>
                <w:color w:val="FFFFFF" w:themeColor="background1"/>
                <w:sz w:val="18"/>
                <w:szCs w:val="18"/>
              </w:rPr>
              <w:t>2026/27</w:t>
            </w:r>
          </w:p>
        </w:tc>
        <w:tc>
          <w:tcPr>
            <w:tcW w:w="540" w:type="dxa"/>
            <w:shd w:val="clear" w:color="auto" w:fill="1795D2" w:themeFill="accent1"/>
            <w:noWrap/>
            <w:tcMar>
              <w:left w:w="29" w:type="dxa"/>
              <w:right w:w="29" w:type="dxa"/>
            </w:tcMar>
            <w:vAlign w:val="center"/>
          </w:tcPr>
          <w:p w:rsidR="00DB6EC8" w:rsidRPr="00DB6EC8" w:rsidRDefault="00DB6EC8" w:rsidP="00DB6EC8">
            <w:pPr>
              <w:keepNext/>
              <w:keepLines/>
              <w:spacing w:after="0" w:line="240" w:lineRule="auto"/>
              <w:jc w:val="center"/>
              <w:rPr>
                <w:rFonts w:asciiTheme="minorHAnsi" w:eastAsia="Arial Unicode MS" w:hAnsiTheme="minorHAnsi" w:cs="Arial"/>
                <w:b/>
                <w:color w:val="FFFFFF" w:themeColor="background1"/>
                <w:sz w:val="18"/>
                <w:szCs w:val="18"/>
              </w:rPr>
            </w:pPr>
            <w:r w:rsidRPr="00DB6EC8">
              <w:rPr>
                <w:rFonts w:asciiTheme="minorHAnsi" w:hAnsiTheme="minorHAnsi"/>
                <w:b/>
                <w:color w:val="FFFFFF" w:themeColor="background1"/>
                <w:sz w:val="18"/>
                <w:szCs w:val="18"/>
              </w:rPr>
              <w:t>CAGR</w:t>
            </w:r>
          </w:p>
        </w:tc>
      </w:tr>
      <w:tr w:rsidR="00DB6EC8" w:rsidRPr="00DB6EC8" w:rsidTr="00DB6EC8">
        <w:trPr>
          <w:cantSplit/>
          <w:trHeight w:val="255"/>
          <w:jc w:val="center"/>
        </w:trPr>
        <w:tc>
          <w:tcPr>
            <w:tcW w:w="1079" w:type="dxa"/>
            <w:shd w:val="clear" w:color="auto" w:fill="FFFFFF"/>
            <w:noWrap/>
            <w:tcMar>
              <w:left w:w="58" w:type="dxa"/>
              <w:right w:w="29" w:type="dxa"/>
            </w:tcMar>
            <w:vAlign w:val="center"/>
          </w:tcPr>
          <w:p w:rsidR="00DB6EC8" w:rsidRPr="00DB6EC8" w:rsidRDefault="00DB6EC8" w:rsidP="00DB6EC8">
            <w:pPr>
              <w:keepNext/>
              <w:keepLines/>
              <w:spacing w:after="0" w:line="240" w:lineRule="auto"/>
              <w:rPr>
                <w:rFonts w:asciiTheme="minorHAnsi" w:eastAsia="Arial Unicode MS" w:hAnsiTheme="minorHAnsi" w:cs="Arial"/>
                <w:b/>
                <w:sz w:val="18"/>
                <w:szCs w:val="18"/>
              </w:rPr>
            </w:pPr>
            <w:r w:rsidRPr="00DB6EC8">
              <w:rPr>
                <w:rFonts w:asciiTheme="minorHAnsi" w:hAnsiTheme="minorHAnsi" w:cs="Arial"/>
                <w:b/>
                <w:sz w:val="18"/>
                <w:szCs w:val="18"/>
              </w:rPr>
              <w:t>BHE</w:t>
            </w:r>
          </w:p>
        </w:tc>
        <w:tc>
          <w:tcPr>
            <w:tcW w:w="709"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1,625</w:t>
            </w:r>
          </w:p>
        </w:tc>
        <w:tc>
          <w:tcPr>
            <w:tcW w:w="711"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1,692</w:t>
            </w:r>
          </w:p>
        </w:tc>
        <w:tc>
          <w:tcPr>
            <w:tcW w:w="680"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0.5</w:t>
            </w:r>
          </w:p>
        </w:tc>
        <w:tc>
          <w:tcPr>
            <w:tcW w:w="742"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278</w:t>
            </w:r>
          </w:p>
        </w:tc>
        <w:tc>
          <w:tcPr>
            <w:tcW w:w="698"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296</w:t>
            </w:r>
          </w:p>
        </w:tc>
        <w:tc>
          <w:tcPr>
            <w:tcW w:w="724"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297</w:t>
            </w:r>
          </w:p>
        </w:tc>
        <w:tc>
          <w:tcPr>
            <w:tcW w:w="626"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317</w:t>
            </w:r>
          </w:p>
        </w:tc>
        <w:tc>
          <w:tcPr>
            <w:tcW w:w="630"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0.7</w:t>
            </w:r>
          </w:p>
        </w:tc>
        <w:tc>
          <w:tcPr>
            <w:tcW w:w="810"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262</w:t>
            </w:r>
          </w:p>
        </w:tc>
        <w:tc>
          <w:tcPr>
            <w:tcW w:w="810"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273</w:t>
            </w:r>
          </w:p>
        </w:tc>
        <w:tc>
          <w:tcPr>
            <w:tcW w:w="812"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270</w:t>
            </w:r>
          </w:p>
        </w:tc>
        <w:tc>
          <w:tcPr>
            <w:tcW w:w="810"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281</w:t>
            </w:r>
          </w:p>
        </w:tc>
        <w:tc>
          <w:tcPr>
            <w:tcW w:w="540"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0.5</w:t>
            </w:r>
          </w:p>
        </w:tc>
      </w:tr>
      <w:tr w:rsidR="00DB6EC8" w:rsidRPr="00DB6EC8" w:rsidTr="004C524E">
        <w:trPr>
          <w:cantSplit/>
          <w:trHeight w:val="255"/>
          <w:jc w:val="center"/>
        </w:trPr>
        <w:tc>
          <w:tcPr>
            <w:tcW w:w="1079" w:type="dxa"/>
            <w:shd w:val="clear" w:color="auto" w:fill="CCEAF9" w:themeFill="accent1" w:themeFillTint="33"/>
            <w:noWrap/>
            <w:tcMar>
              <w:left w:w="58" w:type="dxa"/>
              <w:right w:w="29" w:type="dxa"/>
            </w:tcMar>
            <w:vAlign w:val="center"/>
          </w:tcPr>
          <w:p w:rsidR="00DB6EC8" w:rsidRPr="00DB6EC8" w:rsidRDefault="00DB6EC8" w:rsidP="00DB6EC8">
            <w:pPr>
              <w:keepNext/>
              <w:keepLines/>
              <w:spacing w:after="0" w:line="240" w:lineRule="auto"/>
              <w:rPr>
                <w:rFonts w:asciiTheme="minorHAnsi" w:eastAsia="Arial Unicode MS" w:hAnsiTheme="minorHAnsi" w:cs="Arial"/>
                <w:b/>
                <w:sz w:val="18"/>
                <w:szCs w:val="18"/>
              </w:rPr>
            </w:pPr>
            <w:r w:rsidRPr="00DB6EC8">
              <w:rPr>
                <w:rFonts w:asciiTheme="minorHAnsi" w:hAnsiTheme="minorHAnsi" w:cs="Arial"/>
                <w:b/>
                <w:sz w:val="18"/>
                <w:szCs w:val="18"/>
              </w:rPr>
              <w:t>ME</w:t>
            </w:r>
          </w:p>
        </w:tc>
        <w:tc>
          <w:tcPr>
            <w:tcW w:w="709"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5,583</w:t>
            </w:r>
          </w:p>
        </w:tc>
        <w:tc>
          <w:tcPr>
            <w:tcW w:w="711"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5,799</w:t>
            </w:r>
          </w:p>
        </w:tc>
        <w:tc>
          <w:tcPr>
            <w:tcW w:w="680"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0.4</w:t>
            </w:r>
          </w:p>
        </w:tc>
        <w:tc>
          <w:tcPr>
            <w:tcW w:w="742"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918</w:t>
            </w:r>
          </w:p>
        </w:tc>
        <w:tc>
          <w:tcPr>
            <w:tcW w:w="698"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974</w:t>
            </w:r>
          </w:p>
        </w:tc>
        <w:tc>
          <w:tcPr>
            <w:tcW w:w="724"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983</w:t>
            </w:r>
          </w:p>
        </w:tc>
        <w:tc>
          <w:tcPr>
            <w:tcW w:w="626"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1,043</w:t>
            </w:r>
          </w:p>
        </w:tc>
        <w:tc>
          <w:tcPr>
            <w:tcW w:w="630"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0.7</w:t>
            </w:r>
          </w:p>
        </w:tc>
        <w:tc>
          <w:tcPr>
            <w:tcW w:w="810"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932</w:t>
            </w:r>
          </w:p>
        </w:tc>
        <w:tc>
          <w:tcPr>
            <w:tcW w:w="810"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975</w:t>
            </w:r>
          </w:p>
        </w:tc>
        <w:tc>
          <w:tcPr>
            <w:tcW w:w="812"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961</w:t>
            </w:r>
          </w:p>
        </w:tc>
        <w:tc>
          <w:tcPr>
            <w:tcW w:w="810"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1,004</w:t>
            </w:r>
          </w:p>
        </w:tc>
        <w:tc>
          <w:tcPr>
            <w:tcW w:w="540"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0.5</w:t>
            </w:r>
          </w:p>
        </w:tc>
      </w:tr>
      <w:tr w:rsidR="00DB6EC8" w:rsidRPr="00DB6EC8" w:rsidTr="00DB6EC8">
        <w:trPr>
          <w:cantSplit/>
          <w:trHeight w:val="255"/>
          <w:jc w:val="center"/>
        </w:trPr>
        <w:tc>
          <w:tcPr>
            <w:tcW w:w="1079" w:type="dxa"/>
            <w:shd w:val="clear" w:color="auto" w:fill="FFFFFF"/>
            <w:noWrap/>
            <w:tcMar>
              <w:left w:w="58" w:type="dxa"/>
              <w:right w:w="29" w:type="dxa"/>
            </w:tcMar>
            <w:vAlign w:val="center"/>
          </w:tcPr>
          <w:p w:rsidR="00DB6EC8" w:rsidRPr="00DB6EC8" w:rsidRDefault="00DB6EC8" w:rsidP="00DB6EC8">
            <w:pPr>
              <w:keepNext/>
              <w:keepLines/>
              <w:spacing w:after="0" w:line="240" w:lineRule="auto"/>
              <w:rPr>
                <w:rFonts w:asciiTheme="minorHAnsi" w:eastAsia="Arial Unicode MS" w:hAnsiTheme="minorHAnsi" w:cs="Arial"/>
                <w:b/>
                <w:sz w:val="18"/>
                <w:szCs w:val="18"/>
              </w:rPr>
            </w:pPr>
            <w:r w:rsidRPr="00DB6EC8">
              <w:rPr>
                <w:rFonts w:asciiTheme="minorHAnsi" w:hAnsiTheme="minorHAnsi" w:cs="Arial"/>
                <w:b/>
                <w:sz w:val="18"/>
                <w:szCs w:val="18"/>
              </w:rPr>
              <w:t>SME</w:t>
            </w:r>
          </w:p>
        </w:tc>
        <w:tc>
          <w:tcPr>
            <w:tcW w:w="709"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3,944</w:t>
            </w:r>
          </w:p>
        </w:tc>
        <w:tc>
          <w:tcPr>
            <w:tcW w:w="711"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4,108</w:t>
            </w:r>
          </w:p>
        </w:tc>
        <w:tc>
          <w:tcPr>
            <w:tcW w:w="680"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0.5</w:t>
            </w:r>
          </w:p>
        </w:tc>
        <w:tc>
          <w:tcPr>
            <w:tcW w:w="742"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702</w:t>
            </w:r>
          </w:p>
        </w:tc>
        <w:tc>
          <w:tcPr>
            <w:tcW w:w="698"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749</w:t>
            </w:r>
          </w:p>
        </w:tc>
        <w:tc>
          <w:tcPr>
            <w:tcW w:w="724"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751</w:t>
            </w:r>
          </w:p>
        </w:tc>
        <w:tc>
          <w:tcPr>
            <w:tcW w:w="626"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802</w:t>
            </w:r>
          </w:p>
        </w:tc>
        <w:tc>
          <w:tcPr>
            <w:tcW w:w="630"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0.7</w:t>
            </w:r>
          </w:p>
        </w:tc>
        <w:tc>
          <w:tcPr>
            <w:tcW w:w="810"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609</w:t>
            </w:r>
          </w:p>
        </w:tc>
        <w:tc>
          <w:tcPr>
            <w:tcW w:w="810"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636</w:t>
            </w:r>
          </w:p>
        </w:tc>
        <w:tc>
          <w:tcPr>
            <w:tcW w:w="812"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628</w:t>
            </w:r>
          </w:p>
        </w:tc>
        <w:tc>
          <w:tcPr>
            <w:tcW w:w="810"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655</w:t>
            </w:r>
          </w:p>
        </w:tc>
        <w:tc>
          <w:tcPr>
            <w:tcW w:w="540"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0.5</w:t>
            </w:r>
          </w:p>
        </w:tc>
      </w:tr>
      <w:tr w:rsidR="00DB6EC8" w:rsidRPr="00DB6EC8" w:rsidTr="004C524E">
        <w:trPr>
          <w:cantSplit/>
          <w:trHeight w:val="255"/>
          <w:jc w:val="center"/>
        </w:trPr>
        <w:tc>
          <w:tcPr>
            <w:tcW w:w="1079" w:type="dxa"/>
            <w:shd w:val="clear" w:color="auto" w:fill="CCEAF9" w:themeFill="accent1" w:themeFillTint="33"/>
            <w:noWrap/>
            <w:tcMar>
              <w:left w:w="58" w:type="dxa"/>
              <w:right w:w="29" w:type="dxa"/>
            </w:tcMar>
            <w:vAlign w:val="center"/>
          </w:tcPr>
          <w:p w:rsidR="00DB6EC8" w:rsidRPr="00DB6EC8" w:rsidRDefault="00DB6EC8" w:rsidP="00DB6EC8">
            <w:pPr>
              <w:keepNext/>
              <w:keepLines/>
              <w:spacing w:after="0" w:line="240" w:lineRule="auto"/>
              <w:rPr>
                <w:rFonts w:asciiTheme="minorHAnsi" w:eastAsia="Arial Unicode MS" w:hAnsiTheme="minorHAnsi" w:cs="Arial"/>
                <w:b/>
                <w:sz w:val="18"/>
                <w:szCs w:val="18"/>
              </w:rPr>
            </w:pPr>
            <w:r w:rsidRPr="00DB6EC8">
              <w:rPr>
                <w:rFonts w:asciiTheme="minorHAnsi" w:hAnsiTheme="minorHAnsi" w:cs="Arial"/>
                <w:b/>
                <w:sz w:val="18"/>
                <w:szCs w:val="18"/>
              </w:rPr>
              <w:t>NH</w:t>
            </w:r>
          </w:p>
        </w:tc>
        <w:tc>
          <w:tcPr>
            <w:tcW w:w="709"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9,982</w:t>
            </w:r>
          </w:p>
        </w:tc>
        <w:tc>
          <w:tcPr>
            <w:tcW w:w="711"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10,237</w:t>
            </w:r>
          </w:p>
        </w:tc>
        <w:tc>
          <w:tcPr>
            <w:tcW w:w="680"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0.3</w:t>
            </w:r>
          </w:p>
        </w:tc>
        <w:tc>
          <w:tcPr>
            <w:tcW w:w="742"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2,072</w:t>
            </w:r>
          </w:p>
        </w:tc>
        <w:tc>
          <w:tcPr>
            <w:tcW w:w="698"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2,195</w:t>
            </w:r>
          </w:p>
        </w:tc>
        <w:tc>
          <w:tcPr>
            <w:tcW w:w="724"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2,251</w:t>
            </w:r>
          </w:p>
        </w:tc>
        <w:tc>
          <w:tcPr>
            <w:tcW w:w="626"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2,401</w:t>
            </w:r>
          </w:p>
        </w:tc>
        <w:tc>
          <w:tcPr>
            <w:tcW w:w="630"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0.7</w:t>
            </w:r>
          </w:p>
        </w:tc>
        <w:tc>
          <w:tcPr>
            <w:tcW w:w="810"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1,660</w:t>
            </w:r>
          </w:p>
        </w:tc>
        <w:tc>
          <w:tcPr>
            <w:tcW w:w="810"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1,665</w:t>
            </w:r>
          </w:p>
        </w:tc>
        <w:tc>
          <w:tcPr>
            <w:tcW w:w="812"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1,731</w:t>
            </w:r>
          </w:p>
        </w:tc>
        <w:tc>
          <w:tcPr>
            <w:tcW w:w="810"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1,736</w:t>
            </w:r>
          </w:p>
        </w:tc>
        <w:tc>
          <w:tcPr>
            <w:tcW w:w="540"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0.0</w:t>
            </w:r>
          </w:p>
        </w:tc>
      </w:tr>
      <w:tr w:rsidR="00DB6EC8" w:rsidRPr="00DB6EC8" w:rsidTr="00DB6EC8">
        <w:trPr>
          <w:cantSplit/>
          <w:trHeight w:val="255"/>
          <w:jc w:val="center"/>
        </w:trPr>
        <w:tc>
          <w:tcPr>
            <w:tcW w:w="1079" w:type="dxa"/>
            <w:shd w:val="clear" w:color="auto" w:fill="FFFFFF"/>
            <w:noWrap/>
            <w:tcMar>
              <w:left w:w="58" w:type="dxa"/>
              <w:right w:w="29" w:type="dxa"/>
            </w:tcMar>
            <w:vAlign w:val="center"/>
          </w:tcPr>
          <w:p w:rsidR="00DB6EC8" w:rsidRPr="00DB6EC8" w:rsidRDefault="00DB6EC8" w:rsidP="00DB6EC8">
            <w:pPr>
              <w:keepNext/>
              <w:keepLines/>
              <w:spacing w:after="0" w:line="240" w:lineRule="auto"/>
              <w:rPr>
                <w:rFonts w:asciiTheme="minorHAnsi" w:eastAsia="Arial Unicode MS" w:hAnsiTheme="minorHAnsi" w:cs="Arial"/>
                <w:b/>
                <w:sz w:val="18"/>
                <w:szCs w:val="18"/>
              </w:rPr>
            </w:pPr>
            <w:r w:rsidRPr="00DB6EC8">
              <w:rPr>
                <w:rFonts w:asciiTheme="minorHAnsi" w:hAnsiTheme="minorHAnsi" w:cs="Arial"/>
                <w:b/>
                <w:sz w:val="18"/>
                <w:szCs w:val="18"/>
              </w:rPr>
              <w:t>VT</w:t>
            </w:r>
          </w:p>
        </w:tc>
        <w:tc>
          <w:tcPr>
            <w:tcW w:w="709"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6,898</w:t>
            </w:r>
          </w:p>
        </w:tc>
        <w:tc>
          <w:tcPr>
            <w:tcW w:w="711"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6,670</w:t>
            </w:r>
          </w:p>
        </w:tc>
        <w:tc>
          <w:tcPr>
            <w:tcW w:w="680"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-0.4</w:t>
            </w:r>
          </w:p>
        </w:tc>
        <w:tc>
          <w:tcPr>
            <w:tcW w:w="742"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1,173</w:t>
            </w:r>
          </w:p>
        </w:tc>
        <w:tc>
          <w:tcPr>
            <w:tcW w:w="698"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1,172</w:t>
            </w:r>
          </w:p>
        </w:tc>
        <w:tc>
          <w:tcPr>
            <w:tcW w:w="724"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1,244</w:t>
            </w:r>
          </w:p>
        </w:tc>
        <w:tc>
          <w:tcPr>
            <w:tcW w:w="626"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1,255</w:t>
            </w:r>
          </w:p>
        </w:tc>
        <w:tc>
          <w:tcPr>
            <w:tcW w:w="630"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0.1</w:t>
            </w:r>
          </w:p>
        </w:tc>
        <w:tc>
          <w:tcPr>
            <w:tcW w:w="810"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1,174</w:t>
            </w:r>
          </w:p>
        </w:tc>
        <w:tc>
          <w:tcPr>
            <w:tcW w:w="810"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1,188</w:t>
            </w:r>
          </w:p>
        </w:tc>
        <w:tc>
          <w:tcPr>
            <w:tcW w:w="812"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1,203</w:t>
            </w:r>
          </w:p>
        </w:tc>
        <w:tc>
          <w:tcPr>
            <w:tcW w:w="810"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1,217</w:t>
            </w:r>
          </w:p>
        </w:tc>
        <w:tc>
          <w:tcPr>
            <w:tcW w:w="540"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0.1</w:t>
            </w:r>
          </w:p>
        </w:tc>
      </w:tr>
      <w:tr w:rsidR="00DB6EC8" w:rsidRPr="00DB6EC8" w:rsidTr="004C524E">
        <w:trPr>
          <w:cantSplit/>
          <w:trHeight w:val="270"/>
          <w:jc w:val="center"/>
        </w:trPr>
        <w:tc>
          <w:tcPr>
            <w:tcW w:w="1079" w:type="dxa"/>
            <w:shd w:val="clear" w:color="auto" w:fill="CCEAF9" w:themeFill="accent1" w:themeFillTint="33"/>
            <w:noWrap/>
            <w:tcMar>
              <w:left w:w="58" w:type="dxa"/>
              <w:right w:w="29" w:type="dxa"/>
            </w:tcMar>
            <w:vAlign w:val="center"/>
          </w:tcPr>
          <w:p w:rsidR="00DB6EC8" w:rsidRPr="00DB6EC8" w:rsidRDefault="00DB6EC8" w:rsidP="00DB6EC8">
            <w:pPr>
              <w:keepNext/>
              <w:keepLines/>
              <w:spacing w:after="0" w:line="240" w:lineRule="auto"/>
              <w:rPr>
                <w:rFonts w:asciiTheme="minorHAnsi" w:eastAsia="Arial Unicode MS" w:hAnsiTheme="minorHAnsi" w:cs="Arial"/>
                <w:b/>
                <w:sz w:val="18"/>
                <w:szCs w:val="18"/>
              </w:rPr>
            </w:pPr>
            <w:r w:rsidRPr="00DB6EC8">
              <w:rPr>
                <w:rFonts w:asciiTheme="minorHAnsi" w:hAnsiTheme="minorHAnsi" w:cs="Arial"/>
                <w:b/>
                <w:sz w:val="18"/>
                <w:szCs w:val="18"/>
              </w:rPr>
              <w:t>BOSTON</w:t>
            </w:r>
          </w:p>
        </w:tc>
        <w:tc>
          <w:tcPr>
            <w:tcW w:w="709"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26,552</w:t>
            </w:r>
          </w:p>
        </w:tc>
        <w:tc>
          <w:tcPr>
            <w:tcW w:w="711"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24,737</w:t>
            </w:r>
          </w:p>
        </w:tc>
        <w:tc>
          <w:tcPr>
            <w:tcW w:w="680"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-0.8</w:t>
            </w:r>
          </w:p>
        </w:tc>
        <w:tc>
          <w:tcPr>
            <w:tcW w:w="742"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5,626</w:t>
            </w:r>
          </w:p>
        </w:tc>
        <w:tc>
          <w:tcPr>
            <w:tcW w:w="698"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olor w:val="000000"/>
                <w:sz w:val="18"/>
                <w:szCs w:val="18"/>
              </w:rPr>
            </w:pPr>
            <w:r w:rsidRPr="00DB6EC8">
              <w:rPr>
                <w:rFonts w:asciiTheme="minorHAnsi" w:hAnsiTheme="minorHAnsi"/>
                <w:color w:val="000000"/>
                <w:sz w:val="18"/>
                <w:szCs w:val="18"/>
              </w:rPr>
              <w:t>5,572</w:t>
            </w:r>
          </w:p>
        </w:tc>
        <w:tc>
          <w:tcPr>
            <w:tcW w:w="724"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6,095</w:t>
            </w:r>
          </w:p>
        </w:tc>
        <w:tc>
          <w:tcPr>
            <w:tcW w:w="626"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6,111</w:t>
            </w:r>
          </w:p>
        </w:tc>
        <w:tc>
          <w:tcPr>
            <w:tcW w:w="630"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0.0</w:t>
            </w:r>
          </w:p>
        </w:tc>
        <w:tc>
          <w:tcPr>
            <w:tcW w:w="810"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4,347</w:t>
            </w:r>
          </w:p>
        </w:tc>
        <w:tc>
          <w:tcPr>
            <w:tcW w:w="810"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4,023</w:t>
            </w:r>
          </w:p>
        </w:tc>
        <w:tc>
          <w:tcPr>
            <w:tcW w:w="812"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4,494</w:t>
            </w:r>
          </w:p>
        </w:tc>
        <w:tc>
          <w:tcPr>
            <w:tcW w:w="810"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4,170</w:t>
            </w:r>
          </w:p>
        </w:tc>
        <w:tc>
          <w:tcPr>
            <w:tcW w:w="540"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w:t>
            </w:r>
            <w:r w:rsidRPr="00DB6EC8">
              <w:rPr>
                <w:rFonts w:asciiTheme="minorHAnsi" w:hAnsiTheme="minorHAnsi"/>
                <w:color w:val="000000"/>
                <w:sz w:val="18"/>
                <w:szCs w:val="18"/>
              </w:rPr>
              <w:t>0.8</w:t>
            </w:r>
          </w:p>
        </w:tc>
      </w:tr>
      <w:tr w:rsidR="00DB6EC8" w:rsidRPr="00DB6EC8" w:rsidTr="00DB6EC8">
        <w:trPr>
          <w:cantSplit/>
          <w:trHeight w:val="270"/>
          <w:jc w:val="center"/>
        </w:trPr>
        <w:tc>
          <w:tcPr>
            <w:tcW w:w="1079" w:type="dxa"/>
            <w:shd w:val="clear" w:color="auto" w:fill="FFFFFF"/>
            <w:noWrap/>
            <w:tcMar>
              <w:left w:w="58" w:type="dxa"/>
              <w:right w:w="29" w:type="dxa"/>
            </w:tcMar>
            <w:vAlign w:val="center"/>
          </w:tcPr>
          <w:p w:rsidR="00DB6EC8" w:rsidRPr="00DB6EC8" w:rsidRDefault="00DB6EC8" w:rsidP="00DB6EC8">
            <w:pPr>
              <w:keepNext/>
              <w:keepLines/>
              <w:spacing w:after="0" w:line="240" w:lineRule="auto"/>
              <w:rPr>
                <w:rFonts w:asciiTheme="minorHAnsi" w:eastAsia="Arial Unicode MS" w:hAnsiTheme="minorHAnsi" w:cs="Arial"/>
                <w:b/>
                <w:sz w:val="18"/>
                <w:szCs w:val="18"/>
              </w:rPr>
            </w:pPr>
            <w:r w:rsidRPr="00DB6EC8">
              <w:rPr>
                <w:rFonts w:asciiTheme="minorHAnsi" w:hAnsiTheme="minorHAnsi" w:cs="Arial"/>
                <w:b/>
                <w:sz w:val="18"/>
                <w:szCs w:val="18"/>
              </w:rPr>
              <w:t>CMA/NEMA</w:t>
            </w:r>
          </w:p>
        </w:tc>
        <w:tc>
          <w:tcPr>
            <w:tcW w:w="709"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7,787</w:t>
            </w:r>
          </w:p>
        </w:tc>
        <w:tc>
          <w:tcPr>
            <w:tcW w:w="711"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7,285</w:t>
            </w:r>
          </w:p>
        </w:tc>
        <w:tc>
          <w:tcPr>
            <w:tcW w:w="680"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w:t>
            </w:r>
            <w:r w:rsidRPr="00DB6EC8">
              <w:rPr>
                <w:rFonts w:asciiTheme="minorHAnsi" w:hAnsiTheme="minorHAnsi"/>
                <w:color w:val="000000"/>
                <w:sz w:val="18"/>
                <w:szCs w:val="18"/>
              </w:rPr>
              <w:t>0.7</w:t>
            </w:r>
          </w:p>
        </w:tc>
        <w:tc>
          <w:tcPr>
            <w:tcW w:w="742"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1,648</w:t>
            </w:r>
          </w:p>
        </w:tc>
        <w:tc>
          <w:tcPr>
            <w:tcW w:w="698"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1,656</w:t>
            </w:r>
          </w:p>
        </w:tc>
        <w:tc>
          <w:tcPr>
            <w:tcW w:w="724"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1,787</w:t>
            </w:r>
          </w:p>
        </w:tc>
        <w:tc>
          <w:tcPr>
            <w:tcW w:w="626"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1,820</w:t>
            </w:r>
          </w:p>
        </w:tc>
        <w:tc>
          <w:tcPr>
            <w:tcW w:w="630"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0.2</w:t>
            </w:r>
          </w:p>
        </w:tc>
        <w:tc>
          <w:tcPr>
            <w:tcW w:w="810"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1,286</w:t>
            </w:r>
          </w:p>
        </w:tc>
        <w:tc>
          <w:tcPr>
            <w:tcW w:w="810"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1,201</w:t>
            </w:r>
          </w:p>
        </w:tc>
        <w:tc>
          <w:tcPr>
            <w:tcW w:w="812"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1,330</w:t>
            </w:r>
          </w:p>
        </w:tc>
        <w:tc>
          <w:tcPr>
            <w:tcW w:w="810"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1,245</w:t>
            </w:r>
          </w:p>
        </w:tc>
        <w:tc>
          <w:tcPr>
            <w:tcW w:w="540"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w:t>
            </w:r>
            <w:r w:rsidRPr="00DB6EC8">
              <w:rPr>
                <w:rFonts w:asciiTheme="minorHAnsi" w:hAnsiTheme="minorHAnsi"/>
                <w:color w:val="000000"/>
                <w:sz w:val="18"/>
                <w:szCs w:val="18"/>
              </w:rPr>
              <w:t>0.7</w:t>
            </w:r>
          </w:p>
        </w:tc>
      </w:tr>
      <w:tr w:rsidR="00DB6EC8" w:rsidRPr="00DB6EC8" w:rsidTr="004C524E">
        <w:trPr>
          <w:cantSplit/>
          <w:trHeight w:val="270"/>
          <w:jc w:val="center"/>
        </w:trPr>
        <w:tc>
          <w:tcPr>
            <w:tcW w:w="1079" w:type="dxa"/>
            <w:shd w:val="clear" w:color="auto" w:fill="CCEAF9" w:themeFill="accent1" w:themeFillTint="33"/>
            <w:noWrap/>
            <w:tcMar>
              <w:left w:w="58" w:type="dxa"/>
              <w:right w:w="29" w:type="dxa"/>
            </w:tcMar>
            <w:vAlign w:val="center"/>
          </w:tcPr>
          <w:p w:rsidR="00DB6EC8" w:rsidRPr="00DB6EC8" w:rsidRDefault="00DB6EC8" w:rsidP="00DB6EC8">
            <w:pPr>
              <w:keepNext/>
              <w:keepLines/>
              <w:spacing w:after="0" w:line="240" w:lineRule="auto"/>
              <w:rPr>
                <w:rFonts w:asciiTheme="minorHAnsi" w:eastAsia="Arial Unicode MS" w:hAnsiTheme="minorHAnsi" w:cs="Arial"/>
                <w:b/>
                <w:sz w:val="18"/>
                <w:szCs w:val="18"/>
              </w:rPr>
            </w:pPr>
            <w:r w:rsidRPr="00DB6EC8">
              <w:rPr>
                <w:rFonts w:asciiTheme="minorHAnsi" w:hAnsiTheme="minorHAnsi" w:cs="Arial"/>
                <w:b/>
                <w:sz w:val="18"/>
                <w:szCs w:val="18"/>
              </w:rPr>
              <w:t>WMA</w:t>
            </w:r>
          </w:p>
        </w:tc>
        <w:tc>
          <w:tcPr>
            <w:tcW w:w="709"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9,424</w:t>
            </w:r>
          </w:p>
        </w:tc>
        <w:tc>
          <w:tcPr>
            <w:tcW w:w="711"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8,546</w:t>
            </w:r>
          </w:p>
        </w:tc>
        <w:tc>
          <w:tcPr>
            <w:tcW w:w="680"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w:t>
            </w:r>
            <w:r w:rsidRPr="00DB6EC8">
              <w:rPr>
                <w:rFonts w:asciiTheme="minorHAnsi" w:hAnsiTheme="minorHAnsi"/>
                <w:color w:val="000000"/>
                <w:sz w:val="18"/>
                <w:szCs w:val="18"/>
              </w:rPr>
              <w:t>1.1</w:t>
            </w:r>
          </w:p>
        </w:tc>
        <w:tc>
          <w:tcPr>
            <w:tcW w:w="742"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1,912</w:t>
            </w:r>
          </w:p>
        </w:tc>
        <w:tc>
          <w:tcPr>
            <w:tcW w:w="698"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1,864</w:t>
            </w:r>
          </w:p>
        </w:tc>
        <w:tc>
          <w:tcPr>
            <w:tcW w:w="724"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2,077</w:t>
            </w:r>
          </w:p>
        </w:tc>
        <w:tc>
          <w:tcPr>
            <w:tcW w:w="626"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2,055</w:t>
            </w:r>
          </w:p>
        </w:tc>
        <w:tc>
          <w:tcPr>
            <w:tcW w:w="630"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w:t>
            </w:r>
            <w:r w:rsidRPr="00DB6EC8">
              <w:rPr>
                <w:rFonts w:asciiTheme="minorHAnsi" w:hAnsiTheme="minorHAnsi"/>
                <w:color w:val="000000"/>
                <w:sz w:val="18"/>
                <w:szCs w:val="18"/>
              </w:rPr>
              <w:t>0.1</w:t>
            </w:r>
          </w:p>
        </w:tc>
        <w:tc>
          <w:tcPr>
            <w:tcW w:w="810"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1,631</w:t>
            </w:r>
          </w:p>
        </w:tc>
        <w:tc>
          <w:tcPr>
            <w:tcW w:w="810"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1,507</w:t>
            </w:r>
          </w:p>
        </w:tc>
        <w:tc>
          <w:tcPr>
            <w:tcW w:w="812"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1,686</w:t>
            </w:r>
          </w:p>
        </w:tc>
        <w:tc>
          <w:tcPr>
            <w:tcW w:w="810"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1,561</w:t>
            </w:r>
          </w:p>
        </w:tc>
        <w:tc>
          <w:tcPr>
            <w:tcW w:w="540"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w:t>
            </w:r>
            <w:r w:rsidRPr="00DB6EC8">
              <w:rPr>
                <w:rFonts w:asciiTheme="minorHAnsi" w:hAnsiTheme="minorHAnsi"/>
                <w:color w:val="000000"/>
                <w:sz w:val="18"/>
                <w:szCs w:val="18"/>
              </w:rPr>
              <w:t>0.8</w:t>
            </w:r>
          </w:p>
        </w:tc>
      </w:tr>
      <w:tr w:rsidR="00DB6EC8" w:rsidRPr="00DB6EC8" w:rsidTr="00DB6EC8">
        <w:trPr>
          <w:cantSplit/>
          <w:trHeight w:val="270"/>
          <w:jc w:val="center"/>
        </w:trPr>
        <w:tc>
          <w:tcPr>
            <w:tcW w:w="1079" w:type="dxa"/>
            <w:shd w:val="clear" w:color="auto" w:fill="FFFFFF"/>
            <w:noWrap/>
            <w:tcMar>
              <w:left w:w="58" w:type="dxa"/>
              <w:right w:w="29" w:type="dxa"/>
            </w:tcMar>
            <w:vAlign w:val="center"/>
          </w:tcPr>
          <w:p w:rsidR="00DB6EC8" w:rsidRPr="00DB6EC8" w:rsidRDefault="00DB6EC8" w:rsidP="00DB6EC8">
            <w:pPr>
              <w:keepNext/>
              <w:keepLines/>
              <w:spacing w:after="0" w:line="240" w:lineRule="auto"/>
              <w:rPr>
                <w:rFonts w:asciiTheme="minorHAnsi" w:eastAsia="Arial Unicode MS" w:hAnsiTheme="minorHAnsi" w:cs="Arial"/>
                <w:b/>
                <w:sz w:val="18"/>
                <w:szCs w:val="18"/>
              </w:rPr>
            </w:pPr>
            <w:r w:rsidRPr="00DB6EC8">
              <w:rPr>
                <w:rFonts w:asciiTheme="minorHAnsi" w:hAnsiTheme="minorHAnsi" w:cs="Arial"/>
                <w:b/>
                <w:sz w:val="18"/>
                <w:szCs w:val="18"/>
              </w:rPr>
              <w:t>SEMA</w:t>
            </w:r>
          </w:p>
        </w:tc>
        <w:tc>
          <w:tcPr>
            <w:tcW w:w="709"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13,096</w:t>
            </w:r>
          </w:p>
        </w:tc>
        <w:tc>
          <w:tcPr>
            <w:tcW w:w="711"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12,112</w:t>
            </w:r>
          </w:p>
        </w:tc>
        <w:tc>
          <w:tcPr>
            <w:tcW w:w="680"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w:t>
            </w:r>
            <w:r w:rsidRPr="00DB6EC8">
              <w:rPr>
                <w:rFonts w:asciiTheme="minorHAnsi" w:hAnsiTheme="minorHAnsi"/>
                <w:color w:val="000000"/>
                <w:sz w:val="18"/>
                <w:szCs w:val="18"/>
              </w:rPr>
              <w:t>0.9</w:t>
            </w:r>
          </w:p>
        </w:tc>
        <w:tc>
          <w:tcPr>
            <w:tcW w:w="742"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2,814</w:t>
            </w:r>
          </w:p>
        </w:tc>
        <w:tc>
          <w:tcPr>
            <w:tcW w:w="698"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2,788</w:t>
            </w:r>
          </w:p>
        </w:tc>
        <w:tc>
          <w:tcPr>
            <w:tcW w:w="724"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3,064</w:t>
            </w:r>
          </w:p>
        </w:tc>
        <w:tc>
          <w:tcPr>
            <w:tcW w:w="626"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3,081</w:t>
            </w:r>
          </w:p>
        </w:tc>
        <w:tc>
          <w:tcPr>
            <w:tcW w:w="630"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0.1</w:t>
            </w:r>
          </w:p>
        </w:tc>
        <w:tc>
          <w:tcPr>
            <w:tcW w:w="810"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2,142</w:t>
            </w:r>
          </w:p>
        </w:tc>
        <w:tc>
          <w:tcPr>
            <w:tcW w:w="810"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2,012</w:t>
            </w:r>
          </w:p>
        </w:tc>
        <w:tc>
          <w:tcPr>
            <w:tcW w:w="812"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2,213</w:t>
            </w:r>
          </w:p>
        </w:tc>
        <w:tc>
          <w:tcPr>
            <w:tcW w:w="810"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2,084</w:t>
            </w:r>
          </w:p>
        </w:tc>
        <w:tc>
          <w:tcPr>
            <w:tcW w:w="540"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w:t>
            </w:r>
            <w:r w:rsidRPr="00DB6EC8">
              <w:rPr>
                <w:rFonts w:asciiTheme="minorHAnsi" w:hAnsiTheme="minorHAnsi"/>
                <w:color w:val="000000"/>
                <w:sz w:val="18"/>
                <w:szCs w:val="18"/>
              </w:rPr>
              <w:t>0.7</w:t>
            </w:r>
          </w:p>
        </w:tc>
      </w:tr>
      <w:tr w:rsidR="00DB6EC8" w:rsidRPr="00DB6EC8" w:rsidTr="004C524E">
        <w:trPr>
          <w:cantSplit/>
          <w:trHeight w:val="270"/>
          <w:jc w:val="center"/>
        </w:trPr>
        <w:tc>
          <w:tcPr>
            <w:tcW w:w="1079" w:type="dxa"/>
            <w:shd w:val="clear" w:color="auto" w:fill="CCEAF9" w:themeFill="accent1" w:themeFillTint="33"/>
            <w:noWrap/>
            <w:tcMar>
              <w:left w:w="58" w:type="dxa"/>
              <w:right w:w="29" w:type="dxa"/>
            </w:tcMar>
            <w:vAlign w:val="center"/>
          </w:tcPr>
          <w:p w:rsidR="00DB6EC8" w:rsidRPr="00DB6EC8" w:rsidRDefault="00DB6EC8" w:rsidP="00DB6EC8">
            <w:pPr>
              <w:keepNext/>
              <w:keepLines/>
              <w:spacing w:after="0" w:line="240" w:lineRule="auto"/>
              <w:rPr>
                <w:rFonts w:asciiTheme="minorHAnsi" w:eastAsia="Arial Unicode MS" w:hAnsiTheme="minorHAnsi" w:cs="Arial"/>
                <w:b/>
                <w:sz w:val="18"/>
                <w:szCs w:val="18"/>
              </w:rPr>
            </w:pPr>
            <w:r w:rsidRPr="00DB6EC8">
              <w:rPr>
                <w:rFonts w:asciiTheme="minorHAnsi" w:hAnsiTheme="minorHAnsi" w:cs="Arial"/>
                <w:b/>
                <w:sz w:val="18"/>
                <w:szCs w:val="18"/>
              </w:rPr>
              <w:t>RI</w:t>
            </w:r>
          </w:p>
        </w:tc>
        <w:tc>
          <w:tcPr>
            <w:tcW w:w="709"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10,963</w:t>
            </w:r>
          </w:p>
        </w:tc>
        <w:tc>
          <w:tcPr>
            <w:tcW w:w="711"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9,838</w:t>
            </w:r>
          </w:p>
        </w:tc>
        <w:tc>
          <w:tcPr>
            <w:tcW w:w="680"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w:t>
            </w:r>
            <w:r w:rsidRPr="00DB6EC8">
              <w:rPr>
                <w:rFonts w:asciiTheme="minorHAnsi" w:hAnsiTheme="minorHAnsi"/>
                <w:color w:val="000000"/>
                <w:sz w:val="18"/>
                <w:szCs w:val="18"/>
              </w:rPr>
              <w:t>1.2</w:t>
            </w:r>
          </w:p>
        </w:tc>
        <w:tc>
          <w:tcPr>
            <w:tcW w:w="742"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2,435</w:t>
            </w:r>
          </w:p>
        </w:tc>
        <w:tc>
          <w:tcPr>
            <w:tcW w:w="698"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2,405</w:t>
            </w:r>
          </w:p>
        </w:tc>
        <w:tc>
          <w:tcPr>
            <w:tcW w:w="724"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2,728</w:t>
            </w:r>
          </w:p>
        </w:tc>
        <w:tc>
          <w:tcPr>
            <w:tcW w:w="626"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2,752</w:t>
            </w:r>
          </w:p>
        </w:tc>
        <w:tc>
          <w:tcPr>
            <w:tcW w:w="630"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0.1</w:t>
            </w:r>
          </w:p>
        </w:tc>
        <w:tc>
          <w:tcPr>
            <w:tcW w:w="810"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1,786</w:t>
            </w:r>
          </w:p>
        </w:tc>
        <w:tc>
          <w:tcPr>
            <w:tcW w:w="810"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1,614</w:t>
            </w:r>
          </w:p>
        </w:tc>
        <w:tc>
          <w:tcPr>
            <w:tcW w:w="812"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1,830</w:t>
            </w:r>
          </w:p>
        </w:tc>
        <w:tc>
          <w:tcPr>
            <w:tcW w:w="810"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1,657</w:t>
            </w:r>
          </w:p>
        </w:tc>
        <w:tc>
          <w:tcPr>
            <w:tcW w:w="540"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w:t>
            </w:r>
            <w:r w:rsidRPr="00DB6EC8">
              <w:rPr>
                <w:rFonts w:asciiTheme="minorHAnsi" w:hAnsiTheme="minorHAnsi"/>
                <w:color w:val="000000"/>
                <w:sz w:val="18"/>
                <w:szCs w:val="18"/>
              </w:rPr>
              <w:t>1.1</w:t>
            </w:r>
          </w:p>
        </w:tc>
      </w:tr>
      <w:tr w:rsidR="00DB6EC8" w:rsidRPr="00DB6EC8" w:rsidTr="00DB6EC8">
        <w:trPr>
          <w:cantSplit/>
          <w:trHeight w:val="270"/>
          <w:jc w:val="center"/>
        </w:trPr>
        <w:tc>
          <w:tcPr>
            <w:tcW w:w="1079" w:type="dxa"/>
            <w:shd w:val="clear" w:color="auto" w:fill="FFFFFF"/>
            <w:noWrap/>
            <w:tcMar>
              <w:left w:w="58" w:type="dxa"/>
              <w:right w:w="29" w:type="dxa"/>
            </w:tcMar>
            <w:vAlign w:val="center"/>
          </w:tcPr>
          <w:p w:rsidR="00DB6EC8" w:rsidRPr="00DB6EC8" w:rsidRDefault="00DB6EC8" w:rsidP="00DB6EC8">
            <w:pPr>
              <w:keepNext/>
              <w:keepLines/>
              <w:spacing w:after="0" w:line="240" w:lineRule="auto"/>
              <w:rPr>
                <w:rFonts w:asciiTheme="minorHAnsi" w:eastAsia="Arial Unicode MS" w:hAnsiTheme="minorHAnsi" w:cs="Arial"/>
                <w:b/>
                <w:sz w:val="18"/>
                <w:szCs w:val="18"/>
              </w:rPr>
            </w:pPr>
            <w:r w:rsidRPr="00DB6EC8">
              <w:rPr>
                <w:rFonts w:asciiTheme="minorHAnsi" w:hAnsiTheme="minorHAnsi" w:cs="Arial"/>
                <w:b/>
                <w:sz w:val="18"/>
                <w:szCs w:val="18"/>
              </w:rPr>
              <w:t>CT</w:t>
            </w:r>
          </w:p>
        </w:tc>
        <w:tc>
          <w:tcPr>
            <w:tcW w:w="709"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15,187</w:t>
            </w:r>
          </w:p>
        </w:tc>
        <w:tc>
          <w:tcPr>
            <w:tcW w:w="711"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14,033</w:t>
            </w:r>
          </w:p>
        </w:tc>
        <w:tc>
          <w:tcPr>
            <w:tcW w:w="680"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w:t>
            </w:r>
            <w:r w:rsidRPr="00DB6EC8">
              <w:rPr>
                <w:rFonts w:asciiTheme="minorHAnsi" w:hAnsiTheme="minorHAnsi"/>
                <w:color w:val="000000"/>
                <w:sz w:val="18"/>
                <w:szCs w:val="18"/>
              </w:rPr>
              <w:t>0.9</w:t>
            </w:r>
          </w:p>
        </w:tc>
        <w:tc>
          <w:tcPr>
            <w:tcW w:w="742"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3,386</w:t>
            </w:r>
          </w:p>
        </w:tc>
        <w:tc>
          <w:tcPr>
            <w:tcW w:w="698"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3,250</w:t>
            </w:r>
          </w:p>
        </w:tc>
        <w:tc>
          <w:tcPr>
            <w:tcW w:w="724"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3,714</w:t>
            </w:r>
          </w:p>
        </w:tc>
        <w:tc>
          <w:tcPr>
            <w:tcW w:w="626"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3,609</w:t>
            </w:r>
          </w:p>
        </w:tc>
        <w:tc>
          <w:tcPr>
            <w:tcW w:w="630"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w:t>
            </w:r>
            <w:r w:rsidRPr="00DB6EC8">
              <w:rPr>
                <w:rFonts w:asciiTheme="minorHAnsi" w:hAnsiTheme="minorHAnsi"/>
                <w:color w:val="000000"/>
                <w:sz w:val="18"/>
                <w:szCs w:val="18"/>
              </w:rPr>
              <w:t>0.3</w:t>
            </w:r>
          </w:p>
        </w:tc>
        <w:tc>
          <w:tcPr>
            <w:tcW w:w="810"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2,569</w:t>
            </w:r>
          </w:p>
        </w:tc>
        <w:tc>
          <w:tcPr>
            <w:tcW w:w="810"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2,369</w:t>
            </w:r>
          </w:p>
        </w:tc>
        <w:tc>
          <w:tcPr>
            <w:tcW w:w="812"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2,660</w:t>
            </w:r>
          </w:p>
        </w:tc>
        <w:tc>
          <w:tcPr>
            <w:tcW w:w="810"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2,461</w:t>
            </w:r>
          </w:p>
        </w:tc>
        <w:tc>
          <w:tcPr>
            <w:tcW w:w="540"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w:t>
            </w:r>
            <w:r w:rsidRPr="00DB6EC8">
              <w:rPr>
                <w:rFonts w:asciiTheme="minorHAnsi" w:hAnsiTheme="minorHAnsi"/>
                <w:color w:val="000000"/>
                <w:sz w:val="18"/>
                <w:szCs w:val="18"/>
              </w:rPr>
              <w:t>0.9</w:t>
            </w:r>
          </w:p>
        </w:tc>
      </w:tr>
      <w:tr w:rsidR="00DB6EC8" w:rsidRPr="00DB6EC8" w:rsidTr="004C524E">
        <w:trPr>
          <w:cantSplit/>
          <w:trHeight w:val="270"/>
          <w:jc w:val="center"/>
        </w:trPr>
        <w:tc>
          <w:tcPr>
            <w:tcW w:w="1079" w:type="dxa"/>
            <w:shd w:val="clear" w:color="auto" w:fill="CCEAF9" w:themeFill="accent1" w:themeFillTint="33"/>
            <w:noWrap/>
            <w:tcMar>
              <w:left w:w="58" w:type="dxa"/>
              <w:right w:w="29" w:type="dxa"/>
            </w:tcMar>
            <w:vAlign w:val="center"/>
          </w:tcPr>
          <w:p w:rsidR="00DB6EC8" w:rsidRPr="00DB6EC8" w:rsidRDefault="00DB6EC8" w:rsidP="00DB6EC8">
            <w:pPr>
              <w:keepNext/>
              <w:keepLines/>
              <w:spacing w:after="0" w:line="240" w:lineRule="auto"/>
              <w:rPr>
                <w:rFonts w:asciiTheme="minorHAnsi" w:eastAsia="Arial Unicode MS" w:hAnsiTheme="minorHAnsi" w:cs="Arial"/>
                <w:b/>
                <w:sz w:val="18"/>
                <w:szCs w:val="18"/>
              </w:rPr>
            </w:pPr>
            <w:r w:rsidRPr="00DB6EC8">
              <w:rPr>
                <w:rFonts w:asciiTheme="minorHAnsi" w:hAnsiTheme="minorHAnsi" w:cs="Arial"/>
                <w:b/>
                <w:sz w:val="18"/>
                <w:szCs w:val="18"/>
              </w:rPr>
              <w:t>SWCT</w:t>
            </w:r>
          </w:p>
        </w:tc>
        <w:tc>
          <w:tcPr>
            <w:tcW w:w="709"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10,367</w:t>
            </w:r>
          </w:p>
        </w:tc>
        <w:tc>
          <w:tcPr>
            <w:tcW w:w="711"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9,570</w:t>
            </w:r>
          </w:p>
        </w:tc>
        <w:tc>
          <w:tcPr>
            <w:tcW w:w="680"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w:t>
            </w:r>
            <w:r w:rsidRPr="00DB6EC8">
              <w:rPr>
                <w:rFonts w:asciiTheme="minorHAnsi" w:hAnsiTheme="minorHAnsi"/>
                <w:color w:val="000000"/>
                <w:sz w:val="18"/>
                <w:szCs w:val="18"/>
              </w:rPr>
              <w:t>0.9</w:t>
            </w:r>
          </w:p>
        </w:tc>
        <w:tc>
          <w:tcPr>
            <w:tcW w:w="742"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2,313</w:t>
            </w:r>
          </w:p>
        </w:tc>
        <w:tc>
          <w:tcPr>
            <w:tcW w:w="698"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2,216</w:t>
            </w:r>
          </w:p>
        </w:tc>
        <w:tc>
          <w:tcPr>
            <w:tcW w:w="724"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2,536</w:t>
            </w:r>
          </w:p>
        </w:tc>
        <w:tc>
          <w:tcPr>
            <w:tcW w:w="626"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2,458</w:t>
            </w:r>
          </w:p>
        </w:tc>
        <w:tc>
          <w:tcPr>
            <w:tcW w:w="630"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w:t>
            </w:r>
            <w:r w:rsidRPr="00DB6EC8">
              <w:rPr>
                <w:rFonts w:asciiTheme="minorHAnsi" w:hAnsiTheme="minorHAnsi"/>
                <w:color w:val="000000"/>
                <w:sz w:val="18"/>
                <w:szCs w:val="18"/>
              </w:rPr>
              <w:t>0.3</w:t>
            </w:r>
          </w:p>
        </w:tc>
        <w:tc>
          <w:tcPr>
            <w:tcW w:w="810"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1,810</w:t>
            </w:r>
          </w:p>
        </w:tc>
        <w:tc>
          <w:tcPr>
            <w:tcW w:w="810"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1,639</w:t>
            </w:r>
          </w:p>
        </w:tc>
        <w:tc>
          <w:tcPr>
            <w:tcW w:w="812"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1,872</w:t>
            </w:r>
          </w:p>
        </w:tc>
        <w:tc>
          <w:tcPr>
            <w:tcW w:w="810"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1,700</w:t>
            </w:r>
          </w:p>
        </w:tc>
        <w:tc>
          <w:tcPr>
            <w:tcW w:w="540"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w:t>
            </w:r>
            <w:r w:rsidRPr="00DB6EC8">
              <w:rPr>
                <w:rFonts w:asciiTheme="minorHAnsi" w:hAnsiTheme="minorHAnsi"/>
                <w:color w:val="000000"/>
                <w:sz w:val="18"/>
                <w:szCs w:val="18"/>
              </w:rPr>
              <w:t>1.1</w:t>
            </w:r>
          </w:p>
        </w:tc>
      </w:tr>
      <w:tr w:rsidR="00DB6EC8" w:rsidRPr="00DB6EC8" w:rsidTr="00DB6EC8">
        <w:trPr>
          <w:cantSplit/>
          <w:trHeight w:val="270"/>
          <w:jc w:val="center"/>
        </w:trPr>
        <w:tc>
          <w:tcPr>
            <w:tcW w:w="1079" w:type="dxa"/>
            <w:shd w:val="clear" w:color="auto" w:fill="FFFFFF"/>
            <w:noWrap/>
            <w:tcMar>
              <w:left w:w="58" w:type="dxa"/>
              <w:right w:w="29" w:type="dxa"/>
            </w:tcMar>
            <w:vAlign w:val="center"/>
          </w:tcPr>
          <w:p w:rsidR="00DB6EC8" w:rsidRPr="00DB6EC8" w:rsidRDefault="00DB6EC8" w:rsidP="00DB6EC8">
            <w:pPr>
              <w:keepNext/>
              <w:keepLines/>
              <w:spacing w:after="0" w:line="240" w:lineRule="auto"/>
              <w:rPr>
                <w:rFonts w:asciiTheme="minorHAnsi" w:eastAsia="Arial Unicode MS" w:hAnsiTheme="minorHAnsi" w:cs="Arial"/>
                <w:b/>
                <w:sz w:val="18"/>
                <w:szCs w:val="18"/>
              </w:rPr>
            </w:pPr>
            <w:r w:rsidRPr="00DB6EC8">
              <w:rPr>
                <w:rFonts w:asciiTheme="minorHAnsi" w:hAnsiTheme="minorHAnsi" w:cs="Arial"/>
                <w:b/>
                <w:sz w:val="18"/>
                <w:szCs w:val="18"/>
              </w:rPr>
              <w:t>NOR</w:t>
            </w:r>
          </w:p>
        </w:tc>
        <w:tc>
          <w:tcPr>
            <w:tcW w:w="709"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5,377</w:t>
            </w:r>
          </w:p>
        </w:tc>
        <w:tc>
          <w:tcPr>
            <w:tcW w:w="711"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5,050</w:t>
            </w:r>
          </w:p>
        </w:tc>
        <w:tc>
          <w:tcPr>
            <w:tcW w:w="680"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w:t>
            </w:r>
            <w:r w:rsidRPr="00DB6EC8">
              <w:rPr>
                <w:rFonts w:asciiTheme="minorHAnsi" w:hAnsiTheme="minorHAnsi"/>
                <w:color w:val="000000"/>
                <w:sz w:val="18"/>
                <w:szCs w:val="18"/>
              </w:rPr>
              <w:t>0.7</w:t>
            </w:r>
          </w:p>
        </w:tc>
        <w:tc>
          <w:tcPr>
            <w:tcW w:w="742"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1,203</w:t>
            </w:r>
          </w:p>
        </w:tc>
        <w:tc>
          <w:tcPr>
            <w:tcW w:w="698"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1,171</w:t>
            </w:r>
          </w:p>
        </w:tc>
        <w:tc>
          <w:tcPr>
            <w:tcW w:w="724"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1,318</w:t>
            </w:r>
          </w:p>
        </w:tc>
        <w:tc>
          <w:tcPr>
            <w:tcW w:w="626"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1,295</w:t>
            </w:r>
          </w:p>
        </w:tc>
        <w:tc>
          <w:tcPr>
            <w:tcW w:w="630"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w:t>
            </w:r>
            <w:r w:rsidRPr="00DB6EC8">
              <w:rPr>
                <w:rFonts w:asciiTheme="minorHAnsi" w:hAnsiTheme="minorHAnsi"/>
                <w:color w:val="000000"/>
                <w:sz w:val="18"/>
                <w:szCs w:val="18"/>
              </w:rPr>
              <w:t>0.2</w:t>
            </w:r>
          </w:p>
        </w:tc>
        <w:tc>
          <w:tcPr>
            <w:tcW w:w="810"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931</w:t>
            </w:r>
          </w:p>
        </w:tc>
        <w:tc>
          <w:tcPr>
            <w:tcW w:w="810"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844</w:t>
            </w:r>
          </w:p>
        </w:tc>
        <w:tc>
          <w:tcPr>
            <w:tcW w:w="812"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963</w:t>
            </w:r>
          </w:p>
        </w:tc>
        <w:tc>
          <w:tcPr>
            <w:tcW w:w="810"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876</w:t>
            </w:r>
          </w:p>
        </w:tc>
        <w:tc>
          <w:tcPr>
            <w:tcW w:w="540"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w:t>
            </w:r>
            <w:r w:rsidRPr="00DB6EC8">
              <w:rPr>
                <w:rFonts w:asciiTheme="minorHAnsi" w:hAnsiTheme="minorHAnsi"/>
                <w:color w:val="000000"/>
                <w:sz w:val="18"/>
                <w:szCs w:val="18"/>
              </w:rPr>
              <w:t>1.0</w:t>
            </w:r>
          </w:p>
        </w:tc>
      </w:tr>
      <w:tr w:rsidR="00DB6EC8" w:rsidRPr="00DB6EC8" w:rsidTr="004C524E">
        <w:trPr>
          <w:cantSplit/>
          <w:trHeight w:val="270"/>
          <w:jc w:val="center"/>
        </w:trPr>
        <w:tc>
          <w:tcPr>
            <w:tcW w:w="1079" w:type="dxa"/>
            <w:shd w:val="clear" w:color="auto" w:fill="1795D2" w:themeFill="accent1"/>
            <w:noWrap/>
            <w:tcMar>
              <w:left w:w="58" w:type="dxa"/>
              <w:right w:w="29" w:type="dxa"/>
            </w:tcMar>
            <w:vAlign w:val="center"/>
          </w:tcPr>
          <w:p w:rsidR="00DB6EC8" w:rsidRPr="00DB6EC8" w:rsidRDefault="00DB6EC8" w:rsidP="00DB6EC8">
            <w:pPr>
              <w:keepNext/>
              <w:keepLines/>
              <w:spacing w:after="0" w:line="240" w:lineRule="auto"/>
              <w:rPr>
                <w:rFonts w:asciiTheme="minorHAnsi" w:hAnsiTheme="minorHAnsi" w:cs="Arial"/>
                <w:b/>
                <w:color w:val="FFFFFF"/>
                <w:sz w:val="18"/>
                <w:szCs w:val="18"/>
              </w:rPr>
            </w:pPr>
            <w:r w:rsidRPr="00DB6EC8">
              <w:rPr>
                <w:rFonts w:asciiTheme="minorHAnsi" w:hAnsiTheme="minorHAnsi" w:cs="Arial"/>
                <w:b/>
                <w:color w:val="FFFFFF"/>
                <w:sz w:val="18"/>
                <w:szCs w:val="18"/>
              </w:rPr>
              <w:t>ISO total</w:t>
            </w:r>
            <w:r w:rsidRPr="00DB6EC8">
              <w:rPr>
                <w:rFonts w:asciiTheme="minorHAnsi" w:hAnsiTheme="minorHAnsi" w:cs="Arial"/>
                <w:b/>
                <w:color w:val="FFFFFF"/>
                <w:sz w:val="18"/>
                <w:szCs w:val="18"/>
                <w:vertAlign w:val="superscript"/>
              </w:rPr>
              <w:t>(a, b)</w:t>
            </w:r>
          </w:p>
        </w:tc>
        <w:tc>
          <w:tcPr>
            <w:tcW w:w="709" w:type="dxa"/>
            <w:shd w:val="clear" w:color="auto" w:fill="1795D2" w:themeFill="accent1"/>
            <w:noWrap/>
            <w:tcMar>
              <w:left w:w="29" w:type="dxa"/>
              <w:right w:w="58" w:type="dxa"/>
            </w:tcMar>
            <w:vAlign w:val="center"/>
          </w:tcPr>
          <w:p w:rsidR="00DB6EC8" w:rsidRPr="00B31E80" w:rsidRDefault="00DB6EC8" w:rsidP="00DB6EC8">
            <w:pPr>
              <w:keepNext/>
              <w:keepLines/>
              <w:spacing w:after="0" w:line="240" w:lineRule="auto"/>
              <w:jc w:val="right"/>
              <w:rPr>
                <w:rFonts w:asciiTheme="minorHAnsi" w:hAnsiTheme="minorHAnsi" w:cs="Calibri"/>
                <w:b/>
                <w:color w:val="FFFFFF" w:themeColor="background1"/>
                <w:sz w:val="18"/>
                <w:szCs w:val="18"/>
              </w:rPr>
            </w:pPr>
            <w:r w:rsidRPr="004C524E">
              <w:rPr>
                <w:rFonts w:asciiTheme="minorHAnsi" w:hAnsiTheme="minorHAnsi"/>
                <w:b/>
                <w:bCs/>
                <w:color w:val="FFFFFF" w:themeColor="background1"/>
                <w:sz w:val="18"/>
                <w:szCs w:val="18"/>
              </w:rPr>
              <w:t>126,786</w:t>
            </w:r>
          </w:p>
        </w:tc>
        <w:tc>
          <w:tcPr>
            <w:tcW w:w="711" w:type="dxa"/>
            <w:shd w:val="clear" w:color="auto" w:fill="1795D2" w:themeFill="accent1"/>
            <w:noWrap/>
            <w:tcMar>
              <w:left w:w="29" w:type="dxa"/>
              <w:right w:w="58" w:type="dxa"/>
            </w:tcMar>
            <w:vAlign w:val="center"/>
          </w:tcPr>
          <w:p w:rsidR="00DB6EC8" w:rsidRPr="00B31E80" w:rsidRDefault="00DB6EC8" w:rsidP="00DB6EC8">
            <w:pPr>
              <w:keepNext/>
              <w:keepLines/>
              <w:spacing w:after="0" w:line="240" w:lineRule="auto"/>
              <w:jc w:val="right"/>
              <w:rPr>
                <w:rFonts w:asciiTheme="minorHAnsi" w:hAnsiTheme="minorHAnsi" w:cs="Calibri"/>
                <w:b/>
                <w:color w:val="FFFFFF" w:themeColor="background1"/>
                <w:sz w:val="18"/>
                <w:szCs w:val="18"/>
              </w:rPr>
            </w:pPr>
            <w:r w:rsidRPr="004C524E">
              <w:rPr>
                <w:rFonts w:asciiTheme="minorHAnsi" w:hAnsiTheme="minorHAnsi"/>
                <w:b/>
                <w:bCs/>
                <w:color w:val="FFFFFF" w:themeColor="background1"/>
                <w:sz w:val="18"/>
                <w:szCs w:val="18"/>
              </w:rPr>
              <w:t>119,680</w:t>
            </w:r>
          </w:p>
        </w:tc>
        <w:tc>
          <w:tcPr>
            <w:tcW w:w="680" w:type="dxa"/>
            <w:shd w:val="clear" w:color="auto" w:fill="1795D2" w:themeFill="accent1"/>
            <w:noWrap/>
            <w:tcMar>
              <w:left w:w="29" w:type="dxa"/>
              <w:right w:w="58" w:type="dxa"/>
            </w:tcMar>
            <w:vAlign w:val="center"/>
          </w:tcPr>
          <w:p w:rsidR="00DB6EC8" w:rsidRPr="00B31E80" w:rsidRDefault="00DB6EC8" w:rsidP="00DB6EC8">
            <w:pPr>
              <w:keepNext/>
              <w:keepLines/>
              <w:spacing w:after="0" w:line="240" w:lineRule="auto"/>
              <w:jc w:val="right"/>
              <w:rPr>
                <w:rFonts w:asciiTheme="minorHAnsi" w:hAnsiTheme="minorHAnsi" w:cs="Calibri"/>
                <w:b/>
                <w:color w:val="FFFFFF" w:themeColor="background1"/>
                <w:sz w:val="18"/>
                <w:szCs w:val="18"/>
              </w:rPr>
            </w:pPr>
            <w:r w:rsidRPr="004C524E">
              <w:rPr>
                <w:rFonts w:asciiTheme="minorHAnsi" w:hAnsiTheme="minorHAnsi"/>
                <w:b/>
                <w:color w:val="FFFFFF" w:themeColor="background1"/>
                <w:sz w:val="18"/>
                <w:szCs w:val="18"/>
              </w:rPr>
              <w:t>−</w:t>
            </w:r>
            <w:r w:rsidRPr="004C524E">
              <w:rPr>
                <w:rFonts w:asciiTheme="minorHAnsi" w:hAnsiTheme="minorHAnsi"/>
                <w:b/>
                <w:bCs/>
                <w:color w:val="FFFFFF" w:themeColor="background1"/>
                <w:sz w:val="18"/>
                <w:szCs w:val="18"/>
              </w:rPr>
              <w:t>0.6</w:t>
            </w:r>
          </w:p>
        </w:tc>
        <w:tc>
          <w:tcPr>
            <w:tcW w:w="742" w:type="dxa"/>
            <w:shd w:val="clear" w:color="auto" w:fill="1795D2" w:themeFill="accent1"/>
            <w:noWrap/>
            <w:tcMar>
              <w:left w:w="29" w:type="dxa"/>
              <w:right w:w="58" w:type="dxa"/>
            </w:tcMar>
            <w:vAlign w:val="center"/>
          </w:tcPr>
          <w:p w:rsidR="00DB6EC8" w:rsidRPr="00B31E80" w:rsidRDefault="00DB6EC8" w:rsidP="00DB6EC8">
            <w:pPr>
              <w:keepNext/>
              <w:keepLines/>
              <w:spacing w:after="0" w:line="240" w:lineRule="auto"/>
              <w:jc w:val="right"/>
              <w:rPr>
                <w:rFonts w:asciiTheme="minorHAnsi" w:hAnsiTheme="minorHAnsi" w:cs="Calibri"/>
                <w:b/>
                <w:color w:val="FFFFFF" w:themeColor="background1"/>
                <w:sz w:val="18"/>
                <w:szCs w:val="18"/>
              </w:rPr>
            </w:pPr>
            <w:r w:rsidRPr="004C524E">
              <w:rPr>
                <w:rFonts w:asciiTheme="minorHAnsi" w:hAnsiTheme="minorHAnsi"/>
                <w:b/>
                <w:bCs/>
                <w:color w:val="FFFFFF" w:themeColor="background1"/>
                <w:sz w:val="18"/>
                <w:szCs w:val="18"/>
              </w:rPr>
              <w:t>26,482</w:t>
            </w:r>
          </w:p>
        </w:tc>
        <w:tc>
          <w:tcPr>
            <w:tcW w:w="698" w:type="dxa"/>
            <w:shd w:val="clear" w:color="auto" w:fill="1795D2" w:themeFill="accent1"/>
            <w:noWrap/>
            <w:tcMar>
              <w:left w:w="29" w:type="dxa"/>
              <w:right w:w="58" w:type="dxa"/>
            </w:tcMar>
            <w:vAlign w:val="center"/>
          </w:tcPr>
          <w:p w:rsidR="00DB6EC8" w:rsidRPr="00B31E80" w:rsidRDefault="00DB6EC8" w:rsidP="00DB6EC8">
            <w:pPr>
              <w:keepNext/>
              <w:keepLines/>
              <w:spacing w:after="0" w:line="240" w:lineRule="auto"/>
              <w:jc w:val="right"/>
              <w:rPr>
                <w:rFonts w:asciiTheme="minorHAnsi" w:hAnsiTheme="minorHAnsi" w:cs="Calibri"/>
                <w:b/>
                <w:color w:val="FFFFFF" w:themeColor="background1"/>
                <w:sz w:val="18"/>
                <w:szCs w:val="18"/>
              </w:rPr>
            </w:pPr>
            <w:r w:rsidRPr="004C524E">
              <w:rPr>
                <w:rFonts w:asciiTheme="minorHAnsi" w:hAnsiTheme="minorHAnsi"/>
                <w:b/>
                <w:bCs/>
                <w:color w:val="FFFFFF" w:themeColor="background1"/>
                <w:sz w:val="18"/>
                <w:szCs w:val="18"/>
              </w:rPr>
              <w:t>26,310</w:t>
            </w:r>
          </w:p>
        </w:tc>
        <w:tc>
          <w:tcPr>
            <w:tcW w:w="724" w:type="dxa"/>
            <w:shd w:val="clear" w:color="auto" w:fill="1795D2" w:themeFill="accent1"/>
            <w:noWrap/>
            <w:tcMar>
              <w:left w:w="29" w:type="dxa"/>
              <w:right w:w="58" w:type="dxa"/>
            </w:tcMar>
            <w:vAlign w:val="center"/>
          </w:tcPr>
          <w:p w:rsidR="00DB6EC8" w:rsidRPr="00B31E80" w:rsidRDefault="00DB6EC8" w:rsidP="00DB6EC8">
            <w:pPr>
              <w:keepNext/>
              <w:keepLines/>
              <w:spacing w:after="0" w:line="240" w:lineRule="auto"/>
              <w:jc w:val="right"/>
              <w:rPr>
                <w:rFonts w:asciiTheme="minorHAnsi" w:hAnsiTheme="minorHAnsi" w:cs="Calibri"/>
                <w:b/>
                <w:color w:val="FFFFFF" w:themeColor="background1"/>
                <w:sz w:val="18"/>
                <w:szCs w:val="18"/>
              </w:rPr>
            </w:pPr>
            <w:r w:rsidRPr="004C524E">
              <w:rPr>
                <w:rFonts w:asciiTheme="minorHAnsi" w:hAnsiTheme="minorHAnsi"/>
                <w:b/>
                <w:bCs/>
                <w:color w:val="FFFFFF" w:themeColor="background1"/>
                <w:sz w:val="18"/>
                <w:szCs w:val="18"/>
              </w:rPr>
              <w:t>28,865</w:t>
            </w:r>
          </w:p>
        </w:tc>
        <w:tc>
          <w:tcPr>
            <w:tcW w:w="626" w:type="dxa"/>
            <w:shd w:val="clear" w:color="auto" w:fill="1795D2" w:themeFill="accent1"/>
            <w:noWrap/>
            <w:tcMar>
              <w:left w:w="29" w:type="dxa"/>
              <w:right w:w="58" w:type="dxa"/>
            </w:tcMar>
            <w:vAlign w:val="center"/>
          </w:tcPr>
          <w:p w:rsidR="00DB6EC8" w:rsidRPr="00B31E80" w:rsidRDefault="00DB6EC8" w:rsidP="00DB6EC8">
            <w:pPr>
              <w:keepNext/>
              <w:keepLines/>
              <w:spacing w:after="0" w:line="240" w:lineRule="auto"/>
              <w:jc w:val="right"/>
              <w:rPr>
                <w:rFonts w:asciiTheme="minorHAnsi" w:hAnsiTheme="minorHAnsi" w:cs="Calibri"/>
                <w:b/>
                <w:color w:val="FFFFFF" w:themeColor="background1"/>
                <w:sz w:val="18"/>
                <w:szCs w:val="18"/>
              </w:rPr>
            </w:pPr>
            <w:r w:rsidRPr="004C524E">
              <w:rPr>
                <w:rFonts w:asciiTheme="minorHAnsi" w:hAnsiTheme="minorHAnsi"/>
                <w:b/>
                <w:bCs/>
                <w:color w:val="FFFFFF" w:themeColor="background1"/>
                <w:sz w:val="18"/>
                <w:szCs w:val="18"/>
              </w:rPr>
              <w:t>29,021</w:t>
            </w:r>
          </w:p>
        </w:tc>
        <w:tc>
          <w:tcPr>
            <w:tcW w:w="630" w:type="dxa"/>
            <w:shd w:val="clear" w:color="auto" w:fill="1795D2" w:themeFill="accent1"/>
            <w:noWrap/>
            <w:tcMar>
              <w:left w:w="29" w:type="dxa"/>
              <w:right w:w="58" w:type="dxa"/>
            </w:tcMar>
            <w:vAlign w:val="center"/>
          </w:tcPr>
          <w:p w:rsidR="00DB6EC8" w:rsidRPr="00B31E80" w:rsidRDefault="00DB6EC8" w:rsidP="00DB6EC8">
            <w:pPr>
              <w:keepNext/>
              <w:keepLines/>
              <w:spacing w:after="0" w:line="240" w:lineRule="auto"/>
              <w:jc w:val="right"/>
              <w:rPr>
                <w:rFonts w:asciiTheme="minorHAnsi" w:hAnsiTheme="minorHAnsi" w:cs="Calibri"/>
                <w:b/>
                <w:color w:val="FFFFFF" w:themeColor="background1"/>
                <w:sz w:val="18"/>
                <w:szCs w:val="18"/>
              </w:rPr>
            </w:pPr>
            <w:r w:rsidRPr="004C524E">
              <w:rPr>
                <w:rFonts w:asciiTheme="minorHAnsi" w:hAnsiTheme="minorHAnsi"/>
                <w:b/>
                <w:bCs/>
                <w:color w:val="FFFFFF" w:themeColor="background1"/>
                <w:sz w:val="18"/>
                <w:szCs w:val="18"/>
              </w:rPr>
              <w:t>0.1</w:t>
            </w:r>
          </w:p>
        </w:tc>
        <w:tc>
          <w:tcPr>
            <w:tcW w:w="810" w:type="dxa"/>
            <w:shd w:val="clear" w:color="auto" w:fill="1795D2" w:themeFill="accent1"/>
            <w:noWrap/>
            <w:tcMar>
              <w:left w:w="29" w:type="dxa"/>
              <w:right w:w="58" w:type="dxa"/>
            </w:tcMar>
            <w:vAlign w:val="center"/>
          </w:tcPr>
          <w:p w:rsidR="00DB6EC8" w:rsidRPr="00B31E80" w:rsidRDefault="00DB6EC8" w:rsidP="00DB6EC8">
            <w:pPr>
              <w:keepNext/>
              <w:keepLines/>
              <w:spacing w:after="0" w:line="240" w:lineRule="auto"/>
              <w:jc w:val="right"/>
              <w:rPr>
                <w:rFonts w:asciiTheme="minorHAnsi" w:hAnsiTheme="minorHAnsi" w:cs="Calibri"/>
                <w:b/>
                <w:color w:val="FFFFFF" w:themeColor="background1"/>
                <w:sz w:val="18"/>
                <w:szCs w:val="18"/>
              </w:rPr>
            </w:pPr>
            <w:r w:rsidRPr="004C524E">
              <w:rPr>
                <w:rFonts w:asciiTheme="minorHAnsi" w:hAnsiTheme="minorHAnsi"/>
                <w:b/>
                <w:bCs/>
                <w:color w:val="FFFFFF" w:themeColor="background1"/>
                <w:sz w:val="18"/>
                <w:szCs w:val="18"/>
              </w:rPr>
              <w:t>21,197</w:t>
            </w:r>
          </w:p>
        </w:tc>
        <w:tc>
          <w:tcPr>
            <w:tcW w:w="810" w:type="dxa"/>
            <w:shd w:val="clear" w:color="auto" w:fill="1795D2" w:themeFill="accent1"/>
            <w:noWrap/>
            <w:tcMar>
              <w:left w:w="29" w:type="dxa"/>
              <w:right w:w="58" w:type="dxa"/>
            </w:tcMar>
            <w:vAlign w:val="center"/>
          </w:tcPr>
          <w:p w:rsidR="00DB6EC8" w:rsidRPr="00B31E80" w:rsidRDefault="00DB6EC8" w:rsidP="00DB6EC8">
            <w:pPr>
              <w:keepNext/>
              <w:keepLines/>
              <w:spacing w:after="0" w:line="240" w:lineRule="auto"/>
              <w:jc w:val="right"/>
              <w:rPr>
                <w:rFonts w:asciiTheme="minorHAnsi" w:hAnsiTheme="minorHAnsi" w:cs="Calibri"/>
                <w:b/>
                <w:color w:val="FFFFFF" w:themeColor="background1"/>
                <w:sz w:val="18"/>
                <w:szCs w:val="18"/>
              </w:rPr>
            </w:pPr>
            <w:r w:rsidRPr="004C524E">
              <w:rPr>
                <w:rFonts w:asciiTheme="minorHAnsi" w:hAnsiTheme="minorHAnsi"/>
                <w:b/>
                <w:bCs/>
                <w:color w:val="FFFFFF" w:themeColor="background1"/>
                <w:sz w:val="18"/>
                <w:szCs w:val="18"/>
              </w:rPr>
              <w:t>19,932</w:t>
            </w:r>
          </w:p>
        </w:tc>
        <w:tc>
          <w:tcPr>
            <w:tcW w:w="812" w:type="dxa"/>
            <w:shd w:val="clear" w:color="auto" w:fill="1795D2" w:themeFill="accent1"/>
            <w:noWrap/>
            <w:tcMar>
              <w:left w:w="29" w:type="dxa"/>
              <w:right w:w="58" w:type="dxa"/>
            </w:tcMar>
            <w:vAlign w:val="center"/>
          </w:tcPr>
          <w:p w:rsidR="00DB6EC8" w:rsidRPr="00B31E80" w:rsidRDefault="00DB6EC8" w:rsidP="00DB6EC8">
            <w:pPr>
              <w:keepNext/>
              <w:keepLines/>
              <w:spacing w:after="0" w:line="240" w:lineRule="auto"/>
              <w:jc w:val="right"/>
              <w:rPr>
                <w:rFonts w:asciiTheme="minorHAnsi" w:hAnsiTheme="minorHAnsi" w:cs="Calibri"/>
                <w:b/>
                <w:color w:val="FFFFFF" w:themeColor="background1"/>
                <w:sz w:val="18"/>
                <w:szCs w:val="18"/>
              </w:rPr>
            </w:pPr>
            <w:r w:rsidRPr="004C524E">
              <w:rPr>
                <w:rFonts w:asciiTheme="minorHAnsi" w:hAnsiTheme="minorHAnsi"/>
                <w:b/>
                <w:bCs/>
                <w:color w:val="FFFFFF" w:themeColor="background1"/>
                <w:sz w:val="18"/>
                <w:szCs w:val="18"/>
              </w:rPr>
              <w:t>21,895</w:t>
            </w:r>
          </w:p>
        </w:tc>
        <w:tc>
          <w:tcPr>
            <w:tcW w:w="810" w:type="dxa"/>
            <w:shd w:val="clear" w:color="auto" w:fill="1795D2" w:themeFill="accent1"/>
            <w:noWrap/>
            <w:tcMar>
              <w:left w:w="29" w:type="dxa"/>
              <w:right w:w="58" w:type="dxa"/>
            </w:tcMar>
            <w:vAlign w:val="center"/>
          </w:tcPr>
          <w:p w:rsidR="00DB6EC8" w:rsidRPr="00B31E80" w:rsidRDefault="00DB6EC8" w:rsidP="00DB6EC8">
            <w:pPr>
              <w:keepNext/>
              <w:keepLines/>
              <w:spacing w:after="0" w:line="240" w:lineRule="auto"/>
              <w:jc w:val="right"/>
              <w:rPr>
                <w:rFonts w:asciiTheme="minorHAnsi" w:hAnsiTheme="minorHAnsi" w:cs="Calibri"/>
                <w:b/>
                <w:color w:val="FFFFFF" w:themeColor="background1"/>
                <w:sz w:val="18"/>
                <w:szCs w:val="18"/>
              </w:rPr>
            </w:pPr>
            <w:r w:rsidRPr="004C524E">
              <w:rPr>
                <w:rFonts w:asciiTheme="minorHAnsi" w:hAnsiTheme="minorHAnsi"/>
                <w:b/>
                <w:bCs/>
                <w:color w:val="FFFFFF" w:themeColor="background1"/>
                <w:sz w:val="18"/>
                <w:szCs w:val="18"/>
              </w:rPr>
              <w:t>20,630</w:t>
            </w:r>
          </w:p>
        </w:tc>
        <w:tc>
          <w:tcPr>
            <w:tcW w:w="540" w:type="dxa"/>
            <w:shd w:val="clear" w:color="auto" w:fill="1795D2" w:themeFill="accent1"/>
            <w:noWrap/>
            <w:tcMar>
              <w:left w:w="29" w:type="dxa"/>
              <w:right w:w="58" w:type="dxa"/>
            </w:tcMar>
            <w:vAlign w:val="center"/>
          </w:tcPr>
          <w:p w:rsidR="00DB6EC8" w:rsidRPr="00B31E80" w:rsidRDefault="00DB6EC8" w:rsidP="00DB6EC8">
            <w:pPr>
              <w:keepNext/>
              <w:keepLines/>
              <w:spacing w:after="0" w:line="240" w:lineRule="auto"/>
              <w:jc w:val="right"/>
              <w:rPr>
                <w:rFonts w:asciiTheme="minorHAnsi" w:hAnsiTheme="minorHAnsi" w:cs="Calibri"/>
                <w:b/>
                <w:color w:val="FFFFFF" w:themeColor="background1"/>
                <w:sz w:val="18"/>
                <w:szCs w:val="18"/>
              </w:rPr>
            </w:pPr>
            <w:r w:rsidRPr="004C524E">
              <w:rPr>
                <w:rFonts w:asciiTheme="minorHAnsi" w:hAnsiTheme="minorHAnsi"/>
                <w:b/>
                <w:color w:val="FFFFFF" w:themeColor="background1"/>
                <w:sz w:val="18"/>
                <w:szCs w:val="18"/>
              </w:rPr>
              <w:t>−</w:t>
            </w:r>
            <w:r w:rsidRPr="004C524E">
              <w:rPr>
                <w:rFonts w:asciiTheme="minorHAnsi" w:hAnsiTheme="minorHAnsi"/>
                <w:b/>
                <w:bCs/>
                <w:color w:val="FFFFFF" w:themeColor="background1"/>
                <w:sz w:val="18"/>
                <w:szCs w:val="18"/>
              </w:rPr>
              <w:t>0.7</w:t>
            </w:r>
          </w:p>
        </w:tc>
      </w:tr>
    </w:tbl>
    <w:p w:rsidR="00DB6EC8" w:rsidRPr="00DB6EC8" w:rsidRDefault="00DB6EC8" w:rsidP="00DB6EC8">
      <w:pPr>
        <w:keepNext/>
        <w:keepLines/>
        <w:spacing w:before="120" w:after="80" w:line="240" w:lineRule="auto"/>
        <w:ind w:left="-450" w:right="-720" w:hanging="270"/>
        <w:rPr>
          <w:rFonts w:asciiTheme="minorHAnsi" w:hAnsiTheme="minorHAnsi" w:cs="Arial"/>
          <w:bCs/>
          <w:sz w:val="16"/>
          <w:szCs w:val="16"/>
        </w:rPr>
      </w:pPr>
      <w:r w:rsidRPr="00DB6EC8" w:rsidDel="00B3673A">
        <w:rPr>
          <w:rFonts w:asciiTheme="minorHAnsi" w:hAnsiTheme="minorHAnsi"/>
          <w:b/>
          <w:bCs/>
          <w:sz w:val="16"/>
          <w:szCs w:val="16"/>
        </w:rPr>
        <w:t xml:space="preserve"> </w:t>
      </w:r>
      <w:r w:rsidRPr="00DB6EC8">
        <w:rPr>
          <w:rFonts w:asciiTheme="minorHAnsi" w:hAnsiTheme="minorHAnsi" w:cs="Arial"/>
          <w:sz w:val="16"/>
          <w:szCs w:val="16"/>
        </w:rPr>
        <w:t xml:space="preserve">(a) </w:t>
      </w:r>
      <w:r w:rsidRPr="00DB6EC8">
        <w:rPr>
          <w:rFonts w:asciiTheme="minorHAnsi" w:hAnsiTheme="minorHAnsi" w:cs="Arial"/>
          <w:sz w:val="16"/>
          <w:szCs w:val="16"/>
        </w:rPr>
        <w:tab/>
        <w:t>The total load-zone projections are similar to the state load projections and are available at the ISO’s “2017 Forecast Data File</w:t>
      </w:r>
      <w:r w:rsidRPr="00DB6EC8">
        <w:rPr>
          <w:rFonts w:asciiTheme="minorHAnsi" w:hAnsiTheme="minorHAnsi" w:cs="Arial"/>
          <w:color w:val="000000"/>
          <w:sz w:val="16"/>
          <w:szCs w:val="16"/>
        </w:rPr>
        <w:t>;</w:t>
      </w:r>
      <w:r w:rsidRPr="00DB6EC8">
        <w:rPr>
          <w:rFonts w:asciiTheme="minorHAnsi" w:hAnsiTheme="minorHAnsi" w:cs="Arial"/>
          <w:sz w:val="16"/>
          <w:szCs w:val="16"/>
        </w:rPr>
        <w:t xml:space="preserve"> </w:t>
      </w:r>
      <w:hyperlink r:id="rId39" w:history="1">
        <w:r w:rsidRPr="004C524E">
          <w:rPr>
            <w:rStyle w:val="Hyperlink"/>
            <w:rFonts w:asciiTheme="minorHAnsi" w:hAnsiTheme="minorHAnsi"/>
            <w:sz w:val="16"/>
            <w:szCs w:val="16"/>
          </w:rPr>
          <w:t>https://www.iso-ne.com/static-assets/documents/2017/05/forecast_data_2017.xlsx</w:t>
        </w:r>
      </w:hyperlink>
      <w:r w:rsidRPr="00DB6EC8">
        <w:rPr>
          <w:rFonts w:asciiTheme="minorHAnsi" w:hAnsiTheme="minorHAnsi" w:cs="Arial"/>
          <w:sz w:val="16"/>
          <w:szCs w:val="16"/>
        </w:rPr>
        <w:t>, tabs #2A-2C, “</w:t>
      </w:r>
      <w:r w:rsidRPr="00DB6EC8">
        <w:rPr>
          <w:rFonts w:asciiTheme="minorHAnsi" w:hAnsiTheme="minorHAnsi" w:cs="Arial"/>
          <w:bCs/>
          <w:sz w:val="16"/>
          <w:szCs w:val="16"/>
        </w:rPr>
        <w:t>ISO-NE Control Area, States, RSP Subareas, and SMD Load Zones.”</w:t>
      </w:r>
    </w:p>
    <w:p w:rsidR="00DB6EC8" w:rsidRPr="00DB6EC8" w:rsidRDefault="00DB6EC8" w:rsidP="00DB6EC8">
      <w:pPr>
        <w:keepNext/>
        <w:keepLines/>
        <w:spacing w:line="240" w:lineRule="auto"/>
        <w:ind w:left="-450" w:right="-720" w:hanging="270"/>
        <w:rPr>
          <w:rFonts w:asciiTheme="minorHAnsi" w:hAnsiTheme="minorHAnsi" w:cs="Arial"/>
          <w:bCs/>
          <w:sz w:val="16"/>
          <w:szCs w:val="16"/>
        </w:rPr>
      </w:pPr>
      <w:r w:rsidRPr="00DB6EC8">
        <w:rPr>
          <w:rFonts w:asciiTheme="minorHAnsi" w:hAnsiTheme="minorHAnsi" w:cs="Arial"/>
          <w:bCs/>
          <w:sz w:val="16"/>
          <w:szCs w:val="16"/>
        </w:rPr>
        <w:t xml:space="preserve">(b) </w:t>
      </w:r>
      <w:r w:rsidRPr="00DB6EC8">
        <w:rPr>
          <w:rFonts w:asciiTheme="minorHAnsi" w:hAnsiTheme="minorHAnsi" w:cs="Arial"/>
          <w:bCs/>
          <w:sz w:val="16"/>
          <w:szCs w:val="16"/>
        </w:rPr>
        <w:tab/>
        <w:t>Totals may not equal the sum because of rounding and may not exactly match the results for other tables in this section.</w:t>
      </w:r>
    </w:p>
    <w:p w:rsidR="00DB6EC8" w:rsidRPr="00DB6EC8" w:rsidRDefault="00DB6EC8" w:rsidP="00F0458F">
      <w:pPr>
        <w:pStyle w:val="Heading2"/>
      </w:pPr>
      <w:bookmarkStart w:id="236" w:name="_Toc396807619"/>
      <w:bookmarkStart w:id="237" w:name="_Toc484957897"/>
      <w:bookmarkStart w:id="238" w:name="_Toc490323022"/>
      <w:bookmarkEnd w:id="206"/>
      <w:r w:rsidRPr="00DB6EC8">
        <w:t>Summary of Key Findings of the Demand, Energy-Efficiency, and PV Forecasts</w:t>
      </w:r>
      <w:bookmarkEnd w:id="197"/>
      <w:bookmarkEnd w:id="236"/>
      <w:bookmarkEnd w:id="237"/>
      <w:bookmarkEnd w:id="238"/>
      <w:r w:rsidRPr="00DB6EC8">
        <w:t xml:space="preserve"> </w:t>
      </w:r>
    </w:p>
    <w:p w:rsidR="00DB6EC8" w:rsidRPr="00DB6EC8" w:rsidRDefault="00DB6EC8" w:rsidP="00DB6EC8">
      <w:pPr>
        <w:keepNext/>
        <w:keepLines/>
        <w:spacing w:after="200" w:line="276" w:lineRule="auto"/>
      </w:pPr>
      <w:r w:rsidRPr="00DB6EC8">
        <w:t xml:space="preserve">The RSP17 forecasts of annual energy use and peak loads are key inputs in establishing the system needs discussed in </w:t>
      </w:r>
      <w:r w:rsidRPr="00DB6EC8">
        <w:fldChar w:fldCharType="begin"/>
      </w:r>
      <w:r w:rsidRPr="00DB6EC8">
        <w:instrText xml:space="preserve"> REF _Ref418680938 \n \h  \* MERGEFORMAT </w:instrText>
      </w:r>
      <w:r w:rsidRPr="00DB6EC8">
        <w:fldChar w:fldCharType="separate"/>
      </w:r>
      <w:r w:rsidR="00314781">
        <w:t>Section 4</w:t>
      </w:r>
      <w:r w:rsidRPr="00DB6EC8">
        <w:fldChar w:fldCharType="end"/>
      </w:r>
      <w:r w:rsidRPr="00DB6EC8">
        <w:t xml:space="preserve"> through </w:t>
      </w:r>
      <w:r w:rsidRPr="00DB6EC8">
        <w:fldChar w:fldCharType="begin"/>
      </w:r>
      <w:r w:rsidRPr="00DB6EC8">
        <w:instrText xml:space="preserve"> REF _Ref418860292 \n \h  \* MERGEFORMAT </w:instrText>
      </w:r>
      <w:r w:rsidRPr="00DB6EC8">
        <w:fldChar w:fldCharType="separate"/>
      </w:r>
      <w:r w:rsidR="00314781">
        <w:t>Section 6</w:t>
      </w:r>
      <w:r w:rsidRPr="00DB6EC8">
        <w:fldChar w:fldCharType="end"/>
      </w:r>
      <w:r w:rsidRPr="00DB6EC8">
        <w:t>. The key points of the forecast are as follows:</w:t>
      </w:r>
    </w:p>
    <w:p w:rsidR="00DB6EC8" w:rsidRPr="00DB6EC8" w:rsidRDefault="00DB6EC8" w:rsidP="003D70FB">
      <w:pPr>
        <w:keepNext/>
        <w:keepLines/>
        <w:numPr>
          <w:ilvl w:val="0"/>
          <w:numId w:val="59"/>
        </w:numPr>
        <w:spacing w:after="120"/>
        <w:rPr>
          <w:rFonts w:eastAsia="Times New Roman"/>
          <w:color w:val="000000"/>
          <w:szCs w:val="24"/>
        </w:rPr>
      </w:pPr>
      <w:r w:rsidRPr="00DB6EC8">
        <w:rPr>
          <w:rFonts w:eastAsia="Times New Roman"/>
          <w:color w:val="000000"/>
          <w:szCs w:val="24"/>
        </w:rPr>
        <w:t>The 10-year net energy for load, accounting for both EE and PV, is projected to decrease from</w:t>
      </w:r>
      <w:r w:rsidR="000736AF">
        <w:rPr>
          <w:rFonts w:eastAsia="Times New Roman"/>
          <w:color w:val="000000"/>
          <w:szCs w:val="24"/>
        </w:rPr>
        <w:t xml:space="preserve"> </w:t>
      </w:r>
      <w:r w:rsidRPr="00DB6EC8">
        <w:rPr>
          <w:rFonts w:eastAsia="Times New Roman"/>
          <w:color w:val="000000"/>
          <w:szCs w:val="24"/>
        </w:rPr>
        <w:t>126,786 GWh in 2017 to 119,680 GWh in 2026, which represents a decline of 0.6% per year. The RSP17 50/50 net summer peak forecast is 26,482 MW for 2017, which declines to 26,310 MW for 2026. The 90/10 net summer peak forecast, which represents more extreme summer heat waves, is 28,865 MW for 2017 and grows by 0.1% per year to 29,021 MW in 2026</w:t>
      </w:r>
      <w:r w:rsidR="005B146A">
        <w:rPr>
          <w:rFonts w:eastAsia="Times New Roman"/>
          <w:color w:val="000000"/>
          <w:szCs w:val="24"/>
        </w:rPr>
        <w:t xml:space="preserve">. </w:t>
      </w:r>
    </w:p>
    <w:p w:rsidR="00DB6EC8" w:rsidRPr="00DB6EC8" w:rsidRDefault="00DB6EC8" w:rsidP="003D70FB">
      <w:pPr>
        <w:keepNext/>
        <w:keepLines/>
        <w:numPr>
          <w:ilvl w:val="0"/>
          <w:numId w:val="59"/>
        </w:numPr>
        <w:spacing w:after="120"/>
        <w:rPr>
          <w:rFonts w:eastAsia="Times New Roman"/>
          <w:color w:val="000000"/>
          <w:szCs w:val="24"/>
        </w:rPr>
      </w:pPr>
      <w:r w:rsidRPr="00DB6EC8">
        <w:rPr>
          <w:rFonts w:eastAsia="Times New Roman"/>
          <w:color w:val="000000"/>
          <w:szCs w:val="24"/>
        </w:rPr>
        <w:t xml:space="preserve">The EE forecast drives the reduction of the growth rate of the 10-year gross winter peak demand from 0.6% to a net annual value of −0.7%. The projected decline of the net peak load helps mitigate winter reliability concerns. </w:t>
      </w:r>
    </w:p>
    <w:p w:rsidR="00DB6EC8" w:rsidRPr="00DB6EC8" w:rsidRDefault="00DB6EC8" w:rsidP="003D70FB">
      <w:pPr>
        <w:numPr>
          <w:ilvl w:val="0"/>
          <w:numId w:val="59"/>
        </w:numPr>
        <w:spacing w:after="120"/>
        <w:rPr>
          <w:rFonts w:eastAsia="Times New Roman"/>
          <w:color w:val="000000"/>
          <w:szCs w:val="24"/>
        </w:rPr>
      </w:pPr>
      <w:r w:rsidRPr="00DB6EC8">
        <w:rPr>
          <w:rFonts w:eastAsia="Times New Roman"/>
          <w:color w:val="000000"/>
          <w:szCs w:val="24"/>
        </w:rPr>
        <w:t xml:space="preserve">Regional passive demand resources and energy efficiency are expected to grow from 2,089 MW in 2017 to 4,475 MW in 2026. New England states’ annual investments in EE programs are expected to be more than $1 billion per year for 2017 through 2026. These EE investments remain a major factor in the expansion of passive demand resources in the region, which are projected to grow at an average rate of 265 MW per year across the 10-year horizon. </w:t>
      </w:r>
    </w:p>
    <w:p w:rsidR="00DB6EC8" w:rsidRPr="00DB6EC8" w:rsidRDefault="00DB6EC8" w:rsidP="003D70FB">
      <w:pPr>
        <w:numPr>
          <w:ilvl w:val="0"/>
          <w:numId w:val="60"/>
        </w:numPr>
        <w:spacing w:after="120"/>
        <w:rPr>
          <w:rFonts w:eastAsia="Times New Roman"/>
          <w:color w:val="000000"/>
          <w:szCs w:val="24"/>
        </w:rPr>
      </w:pPr>
      <w:r w:rsidRPr="00DB6EC8">
        <w:rPr>
          <w:rFonts w:eastAsia="Times New Roman"/>
          <w:color w:val="000000"/>
          <w:szCs w:val="24"/>
        </w:rPr>
        <w:lastRenderedPageBreak/>
        <w:t>Photovoltaic resources reached 1,918 MWac in nameplate capacity by the end of 2016 and are expected to grow to 4,733 MWac by 2026. The estimated reductions in summer seasonal peak loads due to BTM PV resources are 575 MW in 2017 and 1,035 MW in 2026; BTM PV does not reduce winter peaks because they typically occur after dusk.</w:t>
      </w:r>
    </w:p>
    <w:p w:rsidR="00B47695" w:rsidRPr="00B47695" w:rsidRDefault="00B47695" w:rsidP="00B47695">
      <w:pPr>
        <w:pStyle w:val="Heading1"/>
      </w:pPr>
      <w:r w:rsidRPr="00B47695">
        <w:lastRenderedPageBreak/>
        <w:br/>
      </w:r>
      <w:bookmarkStart w:id="239" w:name="_Ref418680938"/>
      <w:bookmarkStart w:id="240" w:name="_Toc481053246"/>
      <w:bookmarkStart w:id="241" w:name="_Toc490323023"/>
      <w:bookmarkStart w:id="242" w:name="_Ref387327898"/>
      <w:r w:rsidRPr="00B47695">
        <w:t>Resource Adequacy—Resources, Capacity, and Reserves</w:t>
      </w:r>
      <w:bookmarkEnd w:id="239"/>
      <w:bookmarkEnd w:id="240"/>
      <w:bookmarkEnd w:id="241"/>
      <w:r w:rsidRPr="00B47695">
        <w:t xml:space="preserve"> </w:t>
      </w:r>
    </w:p>
    <w:p w:rsidR="00B47695" w:rsidRPr="00B47695" w:rsidRDefault="00B47695" w:rsidP="00B47695">
      <w:r w:rsidRPr="00B47695">
        <w:t xml:space="preserve">The ISO’s system planning process identifies the amounts, locations, and types of resources the system needs for ensuring resource adequacy and how the region is meeting these needs in the short term through the Forward Capacity Market (FCM) and the locational Forward Reserve Market (FRM). The amount of capacity the system requires in a given year is determined through the Installed Capacity Requirement calculation, which accounts for uncertainties, contingencies, and resource performance under a wide range of existing and future system conditions. The procurement of resources providing operating reserves for the system and local areas addresses contingencies, such as unplanned outages. Collectively, the forecasts of future electricity demand (as discussed in </w:t>
      </w:r>
      <w:r w:rsidRPr="00B47695">
        <w:fldChar w:fldCharType="begin"/>
      </w:r>
      <w:r w:rsidRPr="00B47695">
        <w:instrText xml:space="preserve"> REF _Ref418518333 \n \h  \* MERGEFORMAT </w:instrText>
      </w:r>
      <w:r w:rsidRPr="00B47695">
        <w:fldChar w:fldCharType="separate"/>
      </w:r>
      <w:r w:rsidR="00314781">
        <w:t>Section 3</w:t>
      </w:r>
      <w:r w:rsidRPr="00B47695">
        <w:fldChar w:fldCharType="end"/>
      </w:r>
      <w:r w:rsidRPr="00B47695">
        <w:t xml:space="preserve">), the ICR calculation, the procurement of resources providing capacity and reserves, and the operable capacity analyses that consider future scenarios of load forecasts and operating conditions are referred to as the resource adequacy process. </w:t>
      </w:r>
    </w:p>
    <w:p w:rsidR="00B47695" w:rsidRPr="00B47695" w:rsidRDefault="00B47695" w:rsidP="00B47695">
      <w:r w:rsidRPr="00B47695">
        <w:t xml:space="preserve">This section describes requirements for resource adequacy over the planning period; the analyses conducted to determine the systemwide and local-area needs for ensuring resource adequacy; and the region’s efforts to meet the need for resources through market initiatives, such as the FCM and FRM and energy-efficiency resources supported by the states. The forecasts of resources needed to satisfy FCM and the FRM requirements account for the ISO’s net demand forecast that fully considers EE and behind-the-meter </w:t>
      </w:r>
      <w:r w:rsidR="00877D79">
        <w:t>generation</w:t>
      </w:r>
      <w:r w:rsidRPr="00B47695">
        <w:t>. This section also discusses the results of the net operable-capacity assessments of the system under a variety of deterministic stressed-system conditions.</w:t>
      </w:r>
      <w:r w:rsidRPr="00B47695">
        <w:rPr>
          <w:vertAlign w:val="superscript"/>
        </w:rPr>
        <w:footnoteReference w:id="84"/>
      </w:r>
      <w:r w:rsidRPr="00B47695">
        <w:t xml:space="preserve"> Also addressed are existing and future generating resources, including the capacity supply obligations to the markets and the seasonal claimed capability </w:t>
      </w:r>
      <w:r w:rsidR="00AC1B21">
        <w:t xml:space="preserve">(SCC) </w:t>
      </w:r>
      <w:r w:rsidRPr="00B47695">
        <w:t xml:space="preserve">of existing resources and projects proposed through the ISO’s interconnection queue that can help meet the long-term needs of the system. </w:t>
      </w:r>
    </w:p>
    <w:p w:rsidR="00B47695" w:rsidRPr="00B47695" w:rsidRDefault="00B47695" w:rsidP="00B47695">
      <w:pPr>
        <w:pStyle w:val="Heading2"/>
      </w:pPr>
      <w:bookmarkStart w:id="243" w:name="_Ref327866184"/>
      <w:bookmarkStart w:id="244" w:name="_Toc334601025"/>
      <w:bookmarkStart w:id="245" w:name="_Toc365440992"/>
      <w:bookmarkStart w:id="246" w:name="_Toc396807621"/>
      <w:bookmarkStart w:id="247" w:name="_Toc481053247"/>
      <w:bookmarkStart w:id="248" w:name="_Toc490323024"/>
      <w:r w:rsidRPr="00B47695">
        <w:t>Determining Systemwide and Local-Area Capacity Needs</w:t>
      </w:r>
      <w:bookmarkEnd w:id="243"/>
      <w:bookmarkEnd w:id="244"/>
      <w:bookmarkEnd w:id="245"/>
      <w:bookmarkEnd w:id="246"/>
      <w:bookmarkEnd w:id="247"/>
      <w:bookmarkEnd w:id="248"/>
      <w:r w:rsidRPr="00B47695">
        <w:t xml:space="preserve"> </w:t>
      </w:r>
    </w:p>
    <w:p w:rsidR="00B47695" w:rsidRPr="00B47695" w:rsidRDefault="00B47695" w:rsidP="00B47695">
      <w:r w:rsidRPr="00B47695">
        <w:t>The Installed Capacity Requirement forms the basis for determining the future systemwide capacity needs. The planning process also determines the need for capacity in local capacity zones, accounting for export and import capabilities (or limitations) of these local zones. The annual Forward Capacity Auction (FCA) and reconfiguration auctions are intended to procure the needed capacity, systemwide and for capacity zones. Th</w:t>
      </w:r>
      <w:r w:rsidR="00877D79">
        <w:t>is</w:t>
      </w:r>
      <w:r w:rsidRPr="00B47695">
        <w:t xml:space="preserve"> section provides the results of the systemwide and local-area analyses for the planning period.</w:t>
      </w:r>
    </w:p>
    <w:p w:rsidR="00B47695" w:rsidRPr="00B47695" w:rsidRDefault="00B47695" w:rsidP="00B47695">
      <w:pPr>
        <w:pStyle w:val="Heading3"/>
      </w:pPr>
      <w:bookmarkStart w:id="249" w:name="_Ref387673339"/>
      <w:bookmarkStart w:id="250" w:name="_Toc396807622"/>
      <w:bookmarkStart w:id="251" w:name="_Toc481053248"/>
      <w:bookmarkStart w:id="252" w:name="_Toc490323025"/>
      <w:r w:rsidRPr="00B47695">
        <w:t>Systemwide Installed Capacity Requirements</w:t>
      </w:r>
      <w:bookmarkEnd w:id="249"/>
      <w:bookmarkEnd w:id="250"/>
      <w:bookmarkEnd w:id="251"/>
      <w:bookmarkEnd w:id="252"/>
    </w:p>
    <w:p w:rsidR="00B47695" w:rsidRPr="00B47695" w:rsidRDefault="00B47695" w:rsidP="00B47695">
      <w:r w:rsidRPr="00B47695">
        <w:t>RSP17 discusses the established net ICR (NICR) values for the 2017/2018 through 2020/2021 capacity commitment periods (CCPs) and illustrates representative net ICR values for the 2022/2023 through 2026/2027 periods.</w:t>
      </w:r>
      <w:r w:rsidRPr="00B47695">
        <w:rPr>
          <w:vertAlign w:val="superscript"/>
        </w:rPr>
        <w:footnoteReference w:id="85"/>
      </w:r>
      <w:r w:rsidRPr="00B47695">
        <w:t xml:space="preserve"> The established net ICR values for the 2017/2018 through 2020/2021 capacity </w:t>
      </w:r>
      <w:r w:rsidRPr="00B47695">
        <w:lastRenderedPageBreak/>
        <w:t>commitment periods reflect the latest ICR values approved by FERC and were developed using the 2016 CELT Report load data.</w:t>
      </w:r>
      <w:r w:rsidRPr="00B47695">
        <w:rPr>
          <w:vertAlign w:val="superscript"/>
        </w:rPr>
        <w:footnoteReference w:id="86"/>
      </w:r>
      <w:r w:rsidRPr="00B47695">
        <w:t xml:space="preserve"> The representative net ICR values, rounded to the nearest 100 MW, for 2022/2023 through 2026/2027 are calculated using the same assumptions used to develop the NICR for 2020/2021 except for the demand forecast net of BTM PV.</w:t>
      </w:r>
      <w:r w:rsidRPr="00B47695">
        <w:rPr>
          <w:vertAlign w:val="superscript"/>
        </w:rPr>
        <w:footnoteReference w:id="87"/>
      </w:r>
      <w:r w:rsidRPr="00B47695">
        <w:t xml:space="preserve"> The net demand forecast used to calculate the representative NICR values are based on the 2017 CELT forecast.</w:t>
      </w:r>
      <w:r w:rsidRPr="00B47695">
        <w:rPr>
          <w:vertAlign w:val="superscript"/>
        </w:rPr>
        <w:footnoteReference w:id="88"/>
      </w:r>
      <w:r w:rsidRPr="00B47695">
        <w:t xml:space="preserve">  </w:t>
      </w:r>
    </w:p>
    <w:p w:rsidR="00B47695" w:rsidRPr="00B47695" w:rsidRDefault="00B47695" w:rsidP="00B47695">
      <w:r w:rsidRPr="00B47695">
        <w:t xml:space="preserve">The representative NICR values do not indicate the definitive amount of capacity the region will purchase for that period but provide stakeholders with a general forecast of the likely resource needs of the region. The actual amount of capacity the region will purchase in an FCA and subsequent reconfiguration auctions will be based on the net Installed Capacity Requirements and the resource offers </w:t>
      </w:r>
      <w:r w:rsidR="00B01489">
        <w:t xml:space="preserve">resulting from </w:t>
      </w:r>
      <w:r w:rsidRPr="00B47695">
        <w:t>the use of demand curves. Specifically, beginning with FCA #11 for capacity commitment period 2020/2021, the ISO has developed systemwide and zonal demand curves using a marginal-reliability-impact (MRI)-based methodology to procure capacity.</w:t>
      </w:r>
      <w:r w:rsidRPr="00B47695">
        <w:rPr>
          <w:vertAlign w:val="superscript"/>
        </w:rPr>
        <w:footnoteReference w:id="89"/>
      </w:r>
      <w:r w:rsidRPr="00B47695">
        <w:t xml:space="preserve">    </w:t>
      </w:r>
    </w:p>
    <w:p w:rsidR="00B47695" w:rsidRPr="00B47695" w:rsidRDefault="00B47695" w:rsidP="00B47695">
      <w:r w:rsidRPr="00B47695">
        <w:fldChar w:fldCharType="begin"/>
      </w:r>
      <w:r w:rsidRPr="00B47695">
        <w:instrText xml:space="preserve"> REF _Ref484975569 \h  \* MERGEFORMAT </w:instrText>
      </w:r>
      <w:r w:rsidRPr="00B47695">
        <w:fldChar w:fldCharType="separate"/>
      </w:r>
      <w:r w:rsidR="00314781" w:rsidRPr="008531AA">
        <w:rPr>
          <w:bCs/>
          <w:szCs w:val="18"/>
        </w:rPr>
        <w:t>Table 4</w:t>
      </w:r>
      <w:r w:rsidR="00314781" w:rsidRPr="008531AA">
        <w:rPr>
          <w:bCs/>
          <w:szCs w:val="18"/>
        </w:rPr>
        <w:noBreakHyphen/>
        <w:t>1</w:t>
      </w:r>
      <w:r w:rsidRPr="00B47695">
        <w:fldChar w:fldCharType="end"/>
      </w:r>
      <w:r w:rsidRPr="00B47695">
        <w:t xml:space="preserve"> shows the actual and representative New England net I</w:t>
      </w:r>
      <w:r w:rsidR="00217C0B">
        <w:t>CRs</w:t>
      </w:r>
      <w:r w:rsidRPr="00B47695">
        <w:t xml:space="preserve"> for 2017/2018 to 2026/2027 and the resulting reserves expressed as a percentage of the 2017 CELT Report forecast of the 50/50 peak demands.</w:t>
      </w:r>
      <w:r w:rsidRPr="00B47695">
        <w:rPr>
          <w:vertAlign w:val="superscript"/>
        </w:rPr>
        <w:footnoteReference w:id="90"/>
      </w:r>
      <w:r w:rsidRPr="00B47695">
        <w:t xml:space="preserve"> The percentage resulting reserves associated with the actual net ICRs would be lower if these requirements were expressed as a percentage of the 2016 CELT 50/50 peak demands. The 50/50 peak forecast for these years is equal to the gross demand forecast minus reductions for behind-the-meter PV (see Section </w:t>
      </w:r>
      <w:r w:rsidR="00217C0B">
        <w:fldChar w:fldCharType="begin"/>
      </w:r>
      <w:r w:rsidR="00217C0B">
        <w:instrText xml:space="preserve"> REF _Ref418883457 \r \h </w:instrText>
      </w:r>
      <w:r w:rsidR="00217C0B">
        <w:fldChar w:fldCharType="separate"/>
      </w:r>
      <w:r w:rsidR="00314781">
        <w:t>3.4</w:t>
      </w:r>
      <w:r w:rsidR="00217C0B">
        <w:fldChar w:fldCharType="end"/>
      </w:r>
      <w:r w:rsidRPr="00B47695">
        <w:t>).</w:t>
      </w:r>
    </w:p>
    <w:p w:rsidR="00B47695" w:rsidRPr="00B47695" w:rsidRDefault="00B47695" w:rsidP="00B47695">
      <w:pPr>
        <w:keepNext/>
        <w:keepLines/>
        <w:spacing w:after="80" w:line="240" w:lineRule="auto"/>
        <w:ind w:left="547" w:right="547"/>
        <w:jc w:val="center"/>
        <w:rPr>
          <w:rFonts w:ascii="Calibri" w:hAnsi="Calibri"/>
          <w:b/>
          <w:bCs/>
          <w:szCs w:val="18"/>
        </w:rPr>
      </w:pPr>
      <w:bookmarkStart w:id="253" w:name="_Ref484975569"/>
      <w:bookmarkStart w:id="254" w:name="_Toc491244005"/>
      <w:r w:rsidRPr="00B47695">
        <w:rPr>
          <w:rFonts w:ascii="Calibri" w:hAnsi="Calibri"/>
          <w:b/>
          <w:bCs/>
          <w:szCs w:val="18"/>
        </w:rPr>
        <w:lastRenderedPageBreak/>
        <w:t>Table </w:t>
      </w:r>
      <w:r w:rsidR="00D95957">
        <w:rPr>
          <w:rFonts w:ascii="Calibri" w:hAnsi="Calibri"/>
          <w:b/>
          <w:bCs/>
          <w:szCs w:val="18"/>
        </w:rPr>
        <w:fldChar w:fldCharType="begin"/>
      </w:r>
      <w:r w:rsidR="00D95957">
        <w:rPr>
          <w:rFonts w:ascii="Calibri" w:hAnsi="Calibri"/>
          <w:b/>
          <w:bCs/>
          <w:szCs w:val="18"/>
        </w:rPr>
        <w:instrText xml:space="preserve"> STYLEREF 1 \s </w:instrText>
      </w:r>
      <w:r w:rsidR="00D95957">
        <w:rPr>
          <w:rFonts w:ascii="Calibri" w:hAnsi="Calibri"/>
          <w:b/>
          <w:bCs/>
          <w:szCs w:val="18"/>
        </w:rPr>
        <w:fldChar w:fldCharType="separate"/>
      </w:r>
      <w:r w:rsidR="00D95957">
        <w:rPr>
          <w:rFonts w:ascii="Calibri" w:hAnsi="Calibri"/>
          <w:b/>
          <w:bCs/>
          <w:noProof/>
          <w:szCs w:val="18"/>
        </w:rPr>
        <w:t>4</w:t>
      </w:r>
      <w:r w:rsidR="00D95957">
        <w:rPr>
          <w:rFonts w:ascii="Calibri" w:hAnsi="Calibri"/>
          <w:b/>
          <w:bCs/>
          <w:szCs w:val="18"/>
        </w:rPr>
        <w:fldChar w:fldCharType="end"/>
      </w:r>
      <w:r w:rsidR="00D95957">
        <w:rPr>
          <w:rFonts w:ascii="Calibri" w:hAnsi="Calibri"/>
          <w:b/>
          <w:bCs/>
          <w:szCs w:val="18"/>
        </w:rPr>
        <w:noBreakHyphen/>
      </w:r>
      <w:r w:rsidR="00D95957">
        <w:rPr>
          <w:rFonts w:ascii="Calibri" w:hAnsi="Calibri"/>
          <w:b/>
          <w:bCs/>
          <w:szCs w:val="18"/>
        </w:rPr>
        <w:fldChar w:fldCharType="begin"/>
      </w:r>
      <w:r w:rsidR="00D95957">
        <w:rPr>
          <w:rFonts w:ascii="Calibri" w:hAnsi="Calibri"/>
          <w:b/>
          <w:bCs/>
          <w:szCs w:val="18"/>
        </w:rPr>
        <w:instrText xml:space="preserve"> SEQ Table \* ARABIC \s 1 </w:instrText>
      </w:r>
      <w:r w:rsidR="00D95957">
        <w:rPr>
          <w:rFonts w:ascii="Calibri" w:hAnsi="Calibri"/>
          <w:b/>
          <w:bCs/>
          <w:szCs w:val="18"/>
        </w:rPr>
        <w:fldChar w:fldCharType="separate"/>
      </w:r>
      <w:r w:rsidR="00D95957">
        <w:rPr>
          <w:rFonts w:ascii="Calibri" w:hAnsi="Calibri"/>
          <w:b/>
          <w:bCs/>
          <w:noProof/>
          <w:szCs w:val="18"/>
        </w:rPr>
        <w:t>1</w:t>
      </w:r>
      <w:r w:rsidR="00D95957">
        <w:rPr>
          <w:rFonts w:ascii="Calibri" w:hAnsi="Calibri"/>
          <w:b/>
          <w:bCs/>
          <w:szCs w:val="18"/>
        </w:rPr>
        <w:fldChar w:fldCharType="end"/>
      </w:r>
      <w:bookmarkEnd w:id="253"/>
      <w:r w:rsidRPr="00B47695">
        <w:rPr>
          <w:rFonts w:ascii="Calibri" w:hAnsi="Calibri"/>
          <w:b/>
          <w:bCs/>
          <w:szCs w:val="18"/>
        </w:rPr>
        <w:t xml:space="preserve"> </w:t>
      </w:r>
      <w:r w:rsidRPr="00B47695">
        <w:rPr>
          <w:rFonts w:ascii="Calibri" w:hAnsi="Calibri"/>
          <w:b/>
          <w:bCs/>
          <w:szCs w:val="18"/>
        </w:rPr>
        <w:br/>
        <w:t>Actual and Representative New England Net Installed Capacity Requirements</w:t>
      </w:r>
      <w:r w:rsidRPr="00B47695">
        <w:rPr>
          <w:rFonts w:ascii="Calibri" w:hAnsi="Calibri"/>
          <w:b/>
          <w:bCs/>
          <w:szCs w:val="18"/>
        </w:rPr>
        <w:br/>
        <w:t>and Resulting Reserves (MW, %)</w:t>
      </w:r>
      <w:bookmarkEnd w:id="254"/>
      <w:r w:rsidRPr="00B47695">
        <w:rPr>
          <w:rFonts w:ascii="Calibri" w:hAnsi="Calibri"/>
          <w:b/>
          <w:bCs/>
          <w:szCs w:val="18"/>
        </w:rPr>
        <w:t xml:space="preserve"> </w:t>
      </w:r>
    </w:p>
    <w:tbl>
      <w:tblPr>
        <w:tblW w:w="0" w:type="auto"/>
        <w:jc w:val="center"/>
        <w:tblInd w:w="-5"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58" w:type="dxa"/>
          <w:right w:w="58" w:type="dxa"/>
        </w:tblCellMar>
        <w:tblLook w:val="01E0" w:firstRow="1" w:lastRow="1" w:firstColumn="1" w:lastColumn="1" w:noHBand="0" w:noVBand="0"/>
      </w:tblPr>
      <w:tblGrid>
        <w:gridCol w:w="1495"/>
        <w:gridCol w:w="2020"/>
        <w:gridCol w:w="2019"/>
        <w:gridCol w:w="2020"/>
      </w:tblGrid>
      <w:tr w:rsidR="00B47695" w:rsidRPr="00B47695" w:rsidTr="00B47695">
        <w:trPr>
          <w:cantSplit/>
          <w:tblHeader/>
          <w:jc w:val="center"/>
        </w:trPr>
        <w:tc>
          <w:tcPr>
            <w:tcW w:w="1495" w:type="dxa"/>
            <w:shd w:val="clear" w:color="auto" w:fill="1795D2" w:themeFill="accent1"/>
            <w:vAlign w:val="center"/>
          </w:tcPr>
          <w:p w:rsidR="00B47695" w:rsidRPr="00B47695" w:rsidRDefault="00B47695" w:rsidP="00B47695">
            <w:pPr>
              <w:keepNext/>
              <w:keepLines/>
              <w:spacing w:before="20" w:after="20" w:line="240" w:lineRule="auto"/>
              <w:jc w:val="center"/>
              <w:rPr>
                <w:rFonts w:asciiTheme="minorHAnsi" w:hAnsiTheme="minorHAnsi"/>
                <w:b/>
                <w:bCs/>
                <w:color w:val="FFFFFF" w:themeColor="background1"/>
                <w:sz w:val="18"/>
                <w:szCs w:val="18"/>
              </w:rPr>
            </w:pPr>
            <w:r w:rsidRPr="00B47695">
              <w:rPr>
                <w:rFonts w:asciiTheme="minorHAnsi" w:hAnsiTheme="minorHAnsi"/>
                <w:b/>
                <w:color w:val="FFFFFF" w:themeColor="background1"/>
                <w:sz w:val="18"/>
                <w:szCs w:val="18"/>
              </w:rPr>
              <w:t>Commitment Periods</w:t>
            </w:r>
          </w:p>
        </w:tc>
        <w:tc>
          <w:tcPr>
            <w:tcW w:w="2020" w:type="dxa"/>
            <w:shd w:val="clear" w:color="auto" w:fill="1795D2" w:themeFill="accent1"/>
            <w:vAlign w:val="center"/>
          </w:tcPr>
          <w:p w:rsidR="00B47695" w:rsidRPr="00B47695" w:rsidRDefault="00B47695" w:rsidP="00B47695">
            <w:pPr>
              <w:keepNext/>
              <w:keepLines/>
              <w:spacing w:before="20" w:after="20" w:line="240" w:lineRule="auto"/>
              <w:jc w:val="center"/>
              <w:rPr>
                <w:rFonts w:asciiTheme="minorHAnsi" w:hAnsiTheme="minorHAnsi"/>
                <w:b/>
                <w:bCs/>
                <w:color w:val="FFFFFF" w:themeColor="background1"/>
                <w:sz w:val="18"/>
                <w:szCs w:val="18"/>
              </w:rPr>
            </w:pPr>
            <w:r w:rsidRPr="00B47695">
              <w:rPr>
                <w:rFonts w:asciiTheme="minorHAnsi" w:hAnsiTheme="minorHAnsi"/>
                <w:b/>
                <w:color w:val="FFFFFF" w:themeColor="background1"/>
                <w:sz w:val="18"/>
                <w:szCs w:val="18"/>
              </w:rPr>
              <w:t>2017  CELT Forecast</w:t>
            </w:r>
            <w:r w:rsidRPr="00B47695">
              <w:rPr>
                <w:rFonts w:asciiTheme="minorHAnsi" w:hAnsiTheme="minorHAnsi"/>
                <w:b/>
                <w:color w:val="FFFFFF" w:themeColor="background1"/>
                <w:sz w:val="18"/>
                <w:szCs w:val="18"/>
              </w:rPr>
              <w:br/>
              <w:t>50/50 Peak (MW)</w:t>
            </w:r>
            <w:r w:rsidRPr="00B47695">
              <w:rPr>
                <w:rFonts w:asciiTheme="minorHAnsi" w:hAnsiTheme="minorHAnsi"/>
                <w:b/>
                <w:color w:val="FFFFFF" w:themeColor="background1"/>
                <w:sz w:val="18"/>
                <w:szCs w:val="18"/>
                <w:vertAlign w:val="superscript"/>
              </w:rPr>
              <w:t>(a)</w:t>
            </w:r>
          </w:p>
        </w:tc>
        <w:tc>
          <w:tcPr>
            <w:tcW w:w="2019" w:type="dxa"/>
            <w:shd w:val="clear" w:color="auto" w:fill="1795D2" w:themeFill="accent1"/>
            <w:vAlign w:val="center"/>
          </w:tcPr>
          <w:p w:rsidR="00B47695" w:rsidRPr="00B47695" w:rsidRDefault="00B47695" w:rsidP="00B47695">
            <w:pPr>
              <w:keepNext/>
              <w:keepLines/>
              <w:spacing w:before="20" w:after="20" w:line="240" w:lineRule="auto"/>
              <w:jc w:val="center"/>
              <w:rPr>
                <w:rFonts w:asciiTheme="minorHAnsi" w:eastAsiaTheme="majorEastAsia" w:hAnsiTheme="minorHAnsi" w:cstheme="majorBidi"/>
                <w:b/>
                <w:bCs/>
                <w:color w:val="FFFFFF" w:themeColor="background1"/>
                <w:sz w:val="18"/>
                <w:szCs w:val="18"/>
              </w:rPr>
            </w:pPr>
            <w:r w:rsidRPr="00B47695">
              <w:rPr>
                <w:rFonts w:asciiTheme="minorHAnsi" w:hAnsiTheme="minorHAnsi"/>
                <w:b/>
                <w:color w:val="FFFFFF" w:themeColor="background1"/>
                <w:sz w:val="18"/>
                <w:szCs w:val="18"/>
              </w:rPr>
              <w:t>Actual and Representative</w:t>
            </w:r>
            <w:r w:rsidRPr="00B47695">
              <w:rPr>
                <w:rFonts w:asciiTheme="minorHAnsi" w:hAnsiTheme="minorHAnsi"/>
                <w:b/>
                <w:color w:val="FFFFFF" w:themeColor="background1"/>
                <w:sz w:val="18"/>
                <w:szCs w:val="18"/>
              </w:rPr>
              <w:br/>
              <w:t>Future Net ICR</w:t>
            </w:r>
            <w:r w:rsidRPr="00B47695" w:rsidDel="00A04777">
              <w:rPr>
                <w:rFonts w:asciiTheme="minorHAnsi" w:hAnsiTheme="minorHAnsi"/>
                <w:b/>
                <w:color w:val="FFFFFF" w:themeColor="background1"/>
                <w:sz w:val="18"/>
                <w:szCs w:val="18"/>
                <w:vertAlign w:val="superscript"/>
              </w:rPr>
              <w:t xml:space="preserve"> </w:t>
            </w:r>
            <w:r w:rsidRPr="00B47695">
              <w:rPr>
                <w:rFonts w:asciiTheme="minorHAnsi" w:hAnsiTheme="minorHAnsi"/>
                <w:b/>
                <w:bCs/>
                <w:color w:val="FFFFFF" w:themeColor="background1"/>
                <w:sz w:val="18"/>
                <w:szCs w:val="18"/>
              </w:rPr>
              <w:t>(MW)</w:t>
            </w:r>
            <w:r w:rsidRPr="00B47695">
              <w:rPr>
                <w:rFonts w:asciiTheme="minorHAnsi" w:hAnsiTheme="minorHAnsi"/>
                <w:b/>
                <w:color w:val="FFFFFF" w:themeColor="background1"/>
                <w:sz w:val="18"/>
                <w:szCs w:val="18"/>
                <w:vertAlign w:val="superscript"/>
              </w:rPr>
              <w:t>(b)</w:t>
            </w:r>
          </w:p>
        </w:tc>
        <w:tc>
          <w:tcPr>
            <w:tcW w:w="2020" w:type="dxa"/>
            <w:shd w:val="clear" w:color="auto" w:fill="1795D2" w:themeFill="accent1"/>
            <w:vAlign w:val="center"/>
          </w:tcPr>
          <w:p w:rsidR="00B47695" w:rsidRPr="00B47695" w:rsidRDefault="00B47695" w:rsidP="00B47695">
            <w:pPr>
              <w:keepNext/>
              <w:keepLines/>
              <w:spacing w:before="20" w:after="20" w:line="240" w:lineRule="auto"/>
              <w:jc w:val="center"/>
              <w:rPr>
                <w:rFonts w:asciiTheme="minorHAnsi" w:hAnsiTheme="minorHAnsi"/>
                <w:b/>
                <w:bCs/>
                <w:color w:val="FFFFFF" w:themeColor="background1"/>
                <w:sz w:val="18"/>
                <w:szCs w:val="18"/>
              </w:rPr>
            </w:pPr>
            <w:r w:rsidRPr="00B47695">
              <w:rPr>
                <w:rFonts w:asciiTheme="minorHAnsi" w:hAnsiTheme="minorHAnsi"/>
                <w:b/>
                <w:color w:val="FFFFFF" w:themeColor="background1"/>
                <w:sz w:val="18"/>
                <w:szCs w:val="18"/>
              </w:rPr>
              <w:t>Resulting Reserves</w:t>
            </w:r>
            <w:r w:rsidRPr="00B47695">
              <w:rPr>
                <w:rFonts w:asciiTheme="minorHAnsi" w:hAnsiTheme="minorHAnsi"/>
                <w:b/>
                <w:color w:val="FFFFFF" w:themeColor="background1"/>
                <w:sz w:val="18"/>
                <w:szCs w:val="18"/>
                <w:vertAlign w:val="superscript"/>
              </w:rPr>
              <w:br/>
            </w:r>
            <w:r w:rsidRPr="00B47695">
              <w:rPr>
                <w:rFonts w:asciiTheme="minorHAnsi" w:hAnsiTheme="minorHAnsi"/>
                <w:b/>
                <w:color w:val="FFFFFF" w:themeColor="background1"/>
                <w:sz w:val="18"/>
                <w:szCs w:val="18"/>
              </w:rPr>
              <w:t>(%)</w:t>
            </w:r>
            <w:r w:rsidRPr="00B47695">
              <w:rPr>
                <w:rFonts w:asciiTheme="minorHAnsi" w:hAnsiTheme="minorHAnsi"/>
                <w:b/>
                <w:color w:val="FFFFFF" w:themeColor="background1"/>
                <w:sz w:val="18"/>
                <w:szCs w:val="18"/>
                <w:vertAlign w:val="superscript"/>
              </w:rPr>
              <w:t>(c)</w:t>
            </w:r>
          </w:p>
        </w:tc>
      </w:tr>
      <w:tr w:rsidR="00B47695" w:rsidRPr="00B47695" w:rsidTr="00B47695">
        <w:trPr>
          <w:cantSplit/>
          <w:trHeight w:val="331"/>
          <w:jc w:val="center"/>
        </w:trPr>
        <w:tc>
          <w:tcPr>
            <w:tcW w:w="1495" w:type="dxa"/>
            <w:shd w:val="clear" w:color="auto" w:fill="auto"/>
            <w:noWrap/>
            <w:tcMar>
              <w:left w:w="115" w:type="dxa"/>
              <w:right w:w="0" w:type="dxa"/>
            </w:tcMar>
            <w:vAlign w:val="center"/>
          </w:tcPr>
          <w:p w:rsidR="00B47695" w:rsidRPr="00B47695" w:rsidRDefault="00B47695" w:rsidP="00B47695">
            <w:pPr>
              <w:keepNext/>
              <w:keepLines/>
              <w:spacing w:before="20" w:after="20" w:line="240" w:lineRule="auto"/>
              <w:rPr>
                <w:rFonts w:asciiTheme="minorHAnsi" w:hAnsiTheme="minorHAnsi"/>
                <w:b/>
                <w:bCs/>
                <w:sz w:val="18"/>
                <w:szCs w:val="18"/>
              </w:rPr>
            </w:pPr>
            <w:r w:rsidRPr="00B47695">
              <w:rPr>
                <w:rFonts w:asciiTheme="minorHAnsi" w:hAnsiTheme="minorHAnsi"/>
                <w:b/>
                <w:sz w:val="18"/>
                <w:szCs w:val="18"/>
              </w:rPr>
              <w:t>2017/2018</w:t>
            </w:r>
          </w:p>
        </w:tc>
        <w:tc>
          <w:tcPr>
            <w:tcW w:w="2020" w:type="dxa"/>
            <w:shd w:val="clear" w:color="auto" w:fill="auto"/>
            <w:noWrap/>
            <w:vAlign w:val="center"/>
          </w:tcPr>
          <w:p w:rsidR="00B47695" w:rsidRPr="00B47695" w:rsidRDefault="00B47695" w:rsidP="00B47695">
            <w:pPr>
              <w:keepNext/>
              <w:keepLines/>
              <w:spacing w:before="20" w:after="20" w:line="240" w:lineRule="auto"/>
              <w:jc w:val="center"/>
              <w:rPr>
                <w:rFonts w:asciiTheme="minorHAnsi" w:hAnsiTheme="minorHAnsi" w:cs="Arial"/>
                <w:sz w:val="18"/>
                <w:szCs w:val="18"/>
              </w:rPr>
            </w:pPr>
            <w:r w:rsidRPr="00B47695">
              <w:rPr>
                <w:rFonts w:asciiTheme="minorHAnsi" w:hAnsiTheme="minorHAnsi" w:cs="Arial"/>
                <w:sz w:val="18"/>
                <w:szCs w:val="18"/>
              </w:rPr>
              <w:t>28,571</w:t>
            </w:r>
          </w:p>
        </w:tc>
        <w:tc>
          <w:tcPr>
            <w:tcW w:w="2019" w:type="dxa"/>
            <w:shd w:val="clear" w:color="auto" w:fill="auto"/>
            <w:noWrap/>
            <w:vAlign w:val="center"/>
          </w:tcPr>
          <w:p w:rsidR="00B47695" w:rsidRPr="00B47695" w:rsidRDefault="00B47695" w:rsidP="00B47695">
            <w:pPr>
              <w:keepNext/>
              <w:keepLines/>
              <w:spacing w:before="20" w:after="20" w:line="240" w:lineRule="auto"/>
              <w:jc w:val="center"/>
              <w:rPr>
                <w:rFonts w:asciiTheme="minorHAnsi" w:hAnsiTheme="minorHAnsi" w:cs="Arial"/>
                <w:sz w:val="18"/>
                <w:szCs w:val="18"/>
              </w:rPr>
            </w:pPr>
            <w:r w:rsidRPr="00B47695">
              <w:rPr>
                <w:rFonts w:asciiTheme="minorHAnsi" w:hAnsiTheme="minorHAnsi" w:cs="Arial"/>
                <w:sz w:val="18"/>
                <w:szCs w:val="18"/>
              </w:rPr>
              <w:t>33,138</w:t>
            </w:r>
          </w:p>
        </w:tc>
        <w:tc>
          <w:tcPr>
            <w:tcW w:w="2020" w:type="dxa"/>
            <w:shd w:val="clear" w:color="auto" w:fill="auto"/>
            <w:noWrap/>
            <w:vAlign w:val="center"/>
          </w:tcPr>
          <w:p w:rsidR="00B47695" w:rsidRPr="00B47695" w:rsidRDefault="00B47695" w:rsidP="00B47695">
            <w:pPr>
              <w:keepNext/>
              <w:keepLines/>
              <w:spacing w:before="20" w:after="20" w:line="240" w:lineRule="auto"/>
              <w:jc w:val="center"/>
              <w:rPr>
                <w:rFonts w:asciiTheme="minorHAnsi" w:hAnsiTheme="minorHAnsi" w:cs="Arial"/>
                <w:bCs/>
                <w:sz w:val="18"/>
                <w:szCs w:val="18"/>
              </w:rPr>
            </w:pPr>
            <w:r w:rsidRPr="00B47695">
              <w:rPr>
                <w:rFonts w:asciiTheme="minorHAnsi" w:hAnsiTheme="minorHAnsi"/>
                <w:sz w:val="18"/>
                <w:szCs w:val="18"/>
              </w:rPr>
              <w:t>16.0</w:t>
            </w:r>
          </w:p>
        </w:tc>
      </w:tr>
      <w:tr w:rsidR="00B47695" w:rsidRPr="00B47695" w:rsidTr="00B47695">
        <w:trPr>
          <w:cantSplit/>
          <w:trHeight w:val="331"/>
          <w:jc w:val="center"/>
        </w:trPr>
        <w:tc>
          <w:tcPr>
            <w:tcW w:w="1495" w:type="dxa"/>
            <w:shd w:val="clear" w:color="auto" w:fill="CCEAF9" w:themeFill="accent1" w:themeFillTint="33"/>
            <w:noWrap/>
            <w:tcMar>
              <w:left w:w="115" w:type="dxa"/>
              <w:right w:w="0" w:type="dxa"/>
            </w:tcMar>
            <w:vAlign w:val="center"/>
          </w:tcPr>
          <w:p w:rsidR="00B47695" w:rsidRPr="00B47695" w:rsidRDefault="00B47695" w:rsidP="00B47695">
            <w:pPr>
              <w:keepNext/>
              <w:keepLines/>
              <w:spacing w:before="20" w:after="20" w:line="240" w:lineRule="auto"/>
              <w:rPr>
                <w:rFonts w:asciiTheme="minorHAnsi" w:hAnsiTheme="minorHAnsi"/>
                <w:b/>
                <w:bCs/>
                <w:sz w:val="18"/>
                <w:szCs w:val="18"/>
              </w:rPr>
            </w:pPr>
            <w:r w:rsidRPr="00B47695">
              <w:rPr>
                <w:rFonts w:asciiTheme="minorHAnsi" w:hAnsiTheme="minorHAnsi"/>
                <w:b/>
                <w:sz w:val="18"/>
                <w:szCs w:val="18"/>
              </w:rPr>
              <w:t>2018/2019</w:t>
            </w:r>
          </w:p>
        </w:tc>
        <w:tc>
          <w:tcPr>
            <w:tcW w:w="2020" w:type="dxa"/>
            <w:shd w:val="clear" w:color="auto" w:fill="CCEAF9" w:themeFill="accent1" w:themeFillTint="33"/>
            <w:noWrap/>
            <w:vAlign w:val="center"/>
          </w:tcPr>
          <w:p w:rsidR="00B47695" w:rsidRPr="00B47695" w:rsidRDefault="00B47695" w:rsidP="00B47695">
            <w:pPr>
              <w:keepNext/>
              <w:keepLines/>
              <w:spacing w:before="20" w:after="20" w:line="240" w:lineRule="auto"/>
              <w:jc w:val="center"/>
              <w:rPr>
                <w:rFonts w:asciiTheme="minorHAnsi" w:hAnsiTheme="minorHAnsi" w:cs="Arial"/>
                <w:sz w:val="18"/>
                <w:szCs w:val="18"/>
              </w:rPr>
            </w:pPr>
            <w:r w:rsidRPr="00B47695">
              <w:rPr>
                <w:rFonts w:asciiTheme="minorHAnsi" w:hAnsiTheme="minorHAnsi" w:cs="Arial"/>
                <w:sz w:val="18"/>
                <w:szCs w:val="18"/>
              </w:rPr>
              <w:t>28,764</w:t>
            </w:r>
          </w:p>
        </w:tc>
        <w:tc>
          <w:tcPr>
            <w:tcW w:w="2019" w:type="dxa"/>
            <w:shd w:val="clear" w:color="auto" w:fill="CCEAF9" w:themeFill="accent1" w:themeFillTint="33"/>
            <w:noWrap/>
            <w:vAlign w:val="center"/>
          </w:tcPr>
          <w:p w:rsidR="00B47695" w:rsidRPr="00B47695" w:rsidRDefault="00B47695" w:rsidP="00B47695">
            <w:pPr>
              <w:keepNext/>
              <w:keepLines/>
              <w:spacing w:before="20" w:after="20" w:line="240" w:lineRule="auto"/>
              <w:jc w:val="center"/>
              <w:rPr>
                <w:rFonts w:asciiTheme="minorHAnsi" w:hAnsiTheme="minorHAnsi" w:cs="Arial"/>
                <w:sz w:val="18"/>
                <w:szCs w:val="18"/>
              </w:rPr>
            </w:pPr>
            <w:r w:rsidRPr="00B47695">
              <w:rPr>
                <w:rFonts w:asciiTheme="minorHAnsi" w:hAnsiTheme="minorHAnsi" w:cs="Arial"/>
                <w:sz w:val="18"/>
                <w:szCs w:val="18"/>
              </w:rPr>
              <w:t>33,421</w:t>
            </w:r>
          </w:p>
        </w:tc>
        <w:tc>
          <w:tcPr>
            <w:tcW w:w="2020" w:type="dxa"/>
            <w:shd w:val="clear" w:color="auto" w:fill="CCEAF9" w:themeFill="accent1" w:themeFillTint="33"/>
            <w:noWrap/>
            <w:vAlign w:val="center"/>
          </w:tcPr>
          <w:p w:rsidR="00B47695" w:rsidRPr="00B47695" w:rsidRDefault="00B47695" w:rsidP="00B47695">
            <w:pPr>
              <w:keepNext/>
              <w:keepLines/>
              <w:spacing w:before="20" w:after="20" w:line="240" w:lineRule="auto"/>
              <w:jc w:val="center"/>
              <w:rPr>
                <w:rFonts w:asciiTheme="minorHAnsi" w:hAnsiTheme="minorHAnsi" w:cs="Arial"/>
                <w:bCs/>
                <w:sz w:val="18"/>
                <w:szCs w:val="18"/>
              </w:rPr>
            </w:pPr>
            <w:r w:rsidRPr="00B47695">
              <w:rPr>
                <w:rFonts w:asciiTheme="minorHAnsi" w:hAnsiTheme="minorHAnsi"/>
                <w:sz w:val="18"/>
                <w:szCs w:val="18"/>
              </w:rPr>
              <w:t>16.2</w:t>
            </w:r>
          </w:p>
        </w:tc>
      </w:tr>
      <w:tr w:rsidR="00B47695" w:rsidRPr="00B47695" w:rsidTr="00B47695">
        <w:trPr>
          <w:cantSplit/>
          <w:trHeight w:val="331"/>
          <w:jc w:val="center"/>
        </w:trPr>
        <w:tc>
          <w:tcPr>
            <w:tcW w:w="1495" w:type="dxa"/>
            <w:shd w:val="clear" w:color="auto" w:fill="auto"/>
            <w:noWrap/>
            <w:tcMar>
              <w:left w:w="115" w:type="dxa"/>
              <w:right w:w="0" w:type="dxa"/>
            </w:tcMar>
            <w:vAlign w:val="center"/>
          </w:tcPr>
          <w:p w:rsidR="00B47695" w:rsidRPr="00B47695" w:rsidRDefault="00B47695" w:rsidP="00B47695">
            <w:pPr>
              <w:keepNext/>
              <w:keepLines/>
              <w:spacing w:before="20" w:after="20" w:line="240" w:lineRule="auto"/>
              <w:rPr>
                <w:rFonts w:asciiTheme="minorHAnsi" w:hAnsiTheme="minorHAnsi"/>
                <w:b/>
                <w:bCs/>
                <w:sz w:val="18"/>
                <w:szCs w:val="18"/>
              </w:rPr>
            </w:pPr>
            <w:r w:rsidRPr="00B47695">
              <w:rPr>
                <w:rFonts w:asciiTheme="minorHAnsi" w:hAnsiTheme="minorHAnsi"/>
                <w:b/>
                <w:sz w:val="18"/>
                <w:szCs w:val="18"/>
              </w:rPr>
              <w:t>2019/2020</w:t>
            </w:r>
          </w:p>
        </w:tc>
        <w:tc>
          <w:tcPr>
            <w:tcW w:w="2020" w:type="dxa"/>
            <w:shd w:val="clear" w:color="auto" w:fill="auto"/>
            <w:noWrap/>
            <w:vAlign w:val="center"/>
          </w:tcPr>
          <w:p w:rsidR="00B47695" w:rsidRPr="00B47695" w:rsidRDefault="00B47695" w:rsidP="00B47695">
            <w:pPr>
              <w:keepNext/>
              <w:keepLines/>
              <w:spacing w:before="20" w:after="20" w:line="240" w:lineRule="auto"/>
              <w:jc w:val="center"/>
              <w:rPr>
                <w:rFonts w:asciiTheme="minorHAnsi" w:hAnsiTheme="minorHAnsi" w:cs="Arial"/>
                <w:sz w:val="18"/>
                <w:szCs w:val="18"/>
              </w:rPr>
            </w:pPr>
            <w:r w:rsidRPr="00B47695">
              <w:rPr>
                <w:rFonts w:asciiTheme="minorHAnsi" w:hAnsiTheme="minorHAnsi" w:cs="Arial"/>
                <w:sz w:val="18"/>
                <w:szCs w:val="18"/>
              </w:rPr>
              <w:t>28,970</w:t>
            </w:r>
          </w:p>
        </w:tc>
        <w:tc>
          <w:tcPr>
            <w:tcW w:w="2019" w:type="dxa"/>
            <w:shd w:val="clear" w:color="auto" w:fill="auto"/>
            <w:noWrap/>
            <w:vAlign w:val="center"/>
          </w:tcPr>
          <w:p w:rsidR="00B47695" w:rsidRPr="00B47695" w:rsidRDefault="00B47695" w:rsidP="00B47695">
            <w:pPr>
              <w:keepNext/>
              <w:keepLines/>
              <w:spacing w:before="20" w:after="20" w:line="240" w:lineRule="auto"/>
              <w:jc w:val="center"/>
              <w:rPr>
                <w:rFonts w:asciiTheme="minorHAnsi" w:hAnsiTheme="minorHAnsi" w:cs="Arial"/>
                <w:sz w:val="18"/>
                <w:szCs w:val="18"/>
              </w:rPr>
            </w:pPr>
            <w:r w:rsidRPr="00B47695">
              <w:rPr>
                <w:rFonts w:asciiTheme="minorHAnsi" w:hAnsiTheme="minorHAnsi" w:cs="Arial"/>
                <w:sz w:val="18"/>
                <w:szCs w:val="18"/>
              </w:rPr>
              <w:t>33,755</w:t>
            </w:r>
          </w:p>
        </w:tc>
        <w:tc>
          <w:tcPr>
            <w:tcW w:w="2020" w:type="dxa"/>
            <w:shd w:val="clear" w:color="auto" w:fill="auto"/>
            <w:noWrap/>
            <w:vAlign w:val="center"/>
          </w:tcPr>
          <w:p w:rsidR="00B47695" w:rsidRPr="00B47695" w:rsidRDefault="00B47695" w:rsidP="00B47695">
            <w:pPr>
              <w:keepNext/>
              <w:keepLines/>
              <w:spacing w:before="20" w:after="20" w:line="240" w:lineRule="auto"/>
              <w:jc w:val="center"/>
              <w:rPr>
                <w:rFonts w:asciiTheme="minorHAnsi" w:hAnsiTheme="minorHAnsi" w:cs="Arial"/>
                <w:bCs/>
                <w:sz w:val="18"/>
                <w:szCs w:val="18"/>
              </w:rPr>
            </w:pPr>
            <w:r w:rsidRPr="00B47695">
              <w:rPr>
                <w:rFonts w:asciiTheme="minorHAnsi" w:hAnsiTheme="minorHAnsi"/>
                <w:sz w:val="18"/>
                <w:szCs w:val="18"/>
              </w:rPr>
              <w:t>16.5</w:t>
            </w:r>
          </w:p>
        </w:tc>
      </w:tr>
      <w:tr w:rsidR="00B47695" w:rsidRPr="00B47695" w:rsidTr="00B47695">
        <w:trPr>
          <w:cantSplit/>
          <w:trHeight w:val="331"/>
          <w:jc w:val="center"/>
        </w:trPr>
        <w:tc>
          <w:tcPr>
            <w:tcW w:w="1495" w:type="dxa"/>
            <w:shd w:val="clear" w:color="auto" w:fill="CCEAF9" w:themeFill="accent1" w:themeFillTint="33"/>
            <w:noWrap/>
            <w:tcMar>
              <w:left w:w="115" w:type="dxa"/>
              <w:right w:w="0" w:type="dxa"/>
            </w:tcMar>
            <w:vAlign w:val="center"/>
          </w:tcPr>
          <w:p w:rsidR="00B47695" w:rsidRPr="00B47695" w:rsidRDefault="00B47695" w:rsidP="00B47695">
            <w:pPr>
              <w:keepNext/>
              <w:keepLines/>
              <w:spacing w:before="20" w:after="20" w:line="240" w:lineRule="auto"/>
              <w:rPr>
                <w:rFonts w:asciiTheme="minorHAnsi" w:hAnsiTheme="minorHAnsi"/>
                <w:b/>
                <w:bCs/>
                <w:sz w:val="18"/>
                <w:szCs w:val="18"/>
              </w:rPr>
            </w:pPr>
            <w:r w:rsidRPr="00B47695">
              <w:rPr>
                <w:rFonts w:asciiTheme="minorHAnsi" w:hAnsiTheme="minorHAnsi"/>
                <w:b/>
                <w:bCs/>
                <w:sz w:val="18"/>
                <w:szCs w:val="18"/>
              </w:rPr>
              <w:t>2020/2021</w:t>
            </w:r>
          </w:p>
        </w:tc>
        <w:tc>
          <w:tcPr>
            <w:tcW w:w="2020" w:type="dxa"/>
            <w:shd w:val="clear" w:color="auto" w:fill="CCEAF9" w:themeFill="accent1" w:themeFillTint="33"/>
            <w:noWrap/>
            <w:vAlign w:val="center"/>
          </w:tcPr>
          <w:p w:rsidR="00B47695" w:rsidRPr="00B47695" w:rsidRDefault="00B47695" w:rsidP="00B47695">
            <w:pPr>
              <w:keepNext/>
              <w:keepLines/>
              <w:spacing w:before="20" w:after="20" w:line="240" w:lineRule="auto"/>
              <w:jc w:val="center"/>
              <w:rPr>
                <w:rFonts w:asciiTheme="minorHAnsi" w:hAnsiTheme="minorHAnsi" w:cs="Arial"/>
                <w:sz w:val="18"/>
                <w:szCs w:val="18"/>
              </w:rPr>
            </w:pPr>
            <w:r w:rsidRPr="00B47695">
              <w:rPr>
                <w:rFonts w:asciiTheme="minorHAnsi" w:hAnsiTheme="minorHAnsi" w:cs="Arial"/>
                <w:sz w:val="18"/>
                <w:szCs w:val="18"/>
              </w:rPr>
              <w:t>29,191</w:t>
            </w:r>
          </w:p>
        </w:tc>
        <w:tc>
          <w:tcPr>
            <w:tcW w:w="2019" w:type="dxa"/>
            <w:shd w:val="clear" w:color="auto" w:fill="CCEAF9" w:themeFill="accent1" w:themeFillTint="33"/>
            <w:noWrap/>
            <w:vAlign w:val="center"/>
          </w:tcPr>
          <w:p w:rsidR="00B47695" w:rsidRPr="00B47695" w:rsidRDefault="00B47695" w:rsidP="00B47695">
            <w:pPr>
              <w:keepNext/>
              <w:keepLines/>
              <w:spacing w:before="20" w:after="20" w:line="240" w:lineRule="auto"/>
              <w:jc w:val="center"/>
              <w:rPr>
                <w:rFonts w:asciiTheme="minorHAnsi" w:hAnsiTheme="minorHAnsi" w:cs="Arial"/>
                <w:sz w:val="18"/>
                <w:szCs w:val="18"/>
              </w:rPr>
            </w:pPr>
            <w:r w:rsidRPr="00B47695">
              <w:rPr>
                <w:rFonts w:asciiTheme="minorHAnsi" w:hAnsiTheme="minorHAnsi" w:cs="Arial"/>
                <w:sz w:val="18"/>
                <w:szCs w:val="18"/>
              </w:rPr>
              <w:t>34,075</w:t>
            </w:r>
          </w:p>
        </w:tc>
        <w:tc>
          <w:tcPr>
            <w:tcW w:w="2020" w:type="dxa"/>
            <w:shd w:val="clear" w:color="auto" w:fill="CCEAF9" w:themeFill="accent1" w:themeFillTint="33"/>
            <w:noWrap/>
            <w:vAlign w:val="center"/>
          </w:tcPr>
          <w:p w:rsidR="00B47695" w:rsidRPr="00B47695" w:rsidRDefault="00B47695" w:rsidP="00B47695">
            <w:pPr>
              <w:keepNext/>
              <w:keepLines/>
              <w:spacing w:before="20" w:after="20" w:line="240" w:lineRule="auto"/>
              <w:jc w:val="center"/>
              <w:rPr>
                <w:rFonts w:asciiTheme="minorHAnsi" w:hAnsiTheme="minorHAnsi" w:cs="Arial"/>
                <w:bCs/>
                <w:sz w:val="18"/>
                <w:szCs w:val="18"/>
              </w:rPr>
            </w:pPr>
            <w:r w:rsidRPr="00B47695">
              <w:rPr>
                <w:rFonts w:asciiTheme="minorHAnsi" w:hAnsiTheme="minorHAnsi"/>
                <w:sz w:val="18"/>
                <w:szCs w:val="18"/>
              </w:rPr>
              <w:t>16.7</w:t>
            </w:r>
          </w:p>
        </w:tc>
      </w:tr>
      <w:tr w:rsidR="00B47695" w:rsidRPr="00B47695" w:rsidTr="00B47695">
        <w:trPr>
          <w:cantSplit/>
          <w:trHeight w:val="331"/>
          <w:jc w:val="center"/>
        </w:trPr>
        <w:tc>
          <w:tcPr>
            <w:tcW w:w="1495" w:type="dxa"/>
            <w:shd w:val="clear" w:color="auto" w:fill="auto"/>
            <w:noWrap/>
            <w:tcMar>
              <w:left w:w="115" w:type="dxa"/>
              <w:right w:w="0" w:type="dxa"/>
            </w:tcMar>
            <w:vAlign w:val="center"/>
          </w:tcPr>
          <w:p w:rsidR="00B47695" w:rsidRPr="00B47695" w:rsidRDefault="00B47695" w:rsidP="00B47695">
            <w:pPr>
              <w:keepNext/>
              <w:keepLines/>
              <w:spacing w:before="20" w:after="20" w:line="240" w:lineRule="auto"/>
              <w:rPr>
                <w:rFonts w:asciiTheme="minorHAnsi" w:hAnsiTheme="minorHAnsi"/>
                <w:b/>
                <w:bCs/>
                <w:sz w:val="18"/>
                <w:szCs w:val="18"/>
              </w:rPr>
            </w:pPr>
            <w:r w:rsidRPr="00B47695">
              <w:rPr>
                <w:rFonts w:asciiTheme="minorHAnsi" w:hAnsiTheme="minorHAnsi"/>
                <w:b/>
                <w:bCs/>
                <w:sz w:val="18"/>
                <w:szCs w:val="18"/>
              </w:rPr>
              <w:t>2021/2022</w:t>
            </w:r>
          </w:p>
        </w:tc>
        <w:tc>
          <w:tcPr>
            <w:tcW w:w="2020" w:type="dxa"/>
            <w:shd w:val="clear" w:color="auto" w:fill="auto"/>
            <w:noWrap/>
            <w:vAlign w:val="center"/>
          </w:tcPr>
          <w:p w:rsidR="00B47695" w:rsidRPr="00B47695" w:rsidRDefault="00B47695" w:rsidP="00B47695">
            <w:pPr>
              <w:keepNext/>
              <w:keepLines/>
              <w:spacing w:before="20" w:after="20" w:line="240" w:lineRule="auto"/>
              <w:jc w:val="center"/>
              <w:rPr>
                <w:rFonts w:asciiTheme="minorHAnsi" w:hAnsiTheme="minorHAnsi" w:cs="Arial"/>
                <w:sz w:val="18"/>
                <w:szCs w:val="18"/>
              </w:rPr>
            </w:pPr>
            <w:r w:rsidRPr="00B47695">
              <w:rPr>
                <w:rFonts w:asciiTheme="minorHAnsi" w:hAnsiTheme="minorHAnsi" w:cs="Arial"/>
                <w:sz w:val="18"/>
                <w:szCs w:val="18"/>
              </w:rPr>
              <w:t>29,436</w:t>
            </w:r>
          </w:p>
        </w:tc>
        <w:tc>
          <w:tcPr>
            <w:tcW w:w="2019" w:type="dxa"/>
            <w:shd w:val="clear" w:color="auto" w:fill="auto"/>
            <w:noWrap/>
            <w:vAlign w:val="center"/>
          </w:tcPr>
          <w:p w:rsidR="00B47695" w:rsidRPr="00B47695" w:rsidRDefault="00B47695" w:rsidP="00B47695">
            <w:pPr>
              <w:keepNext/>
              <w:keepLines/>
              <w:spacing w:before="20" w:after="20" w:line="240" w:lineRule="auto"/>
              <w:jc w:val="center"/>
              <w:rPr>
                <w:rFonts w:asciiTheme="minorHAnsi" w:hAnsiTheme="minorHAnsi" w:cs="Arial"/>
                <w:sz w:val="18"/>
                <w:szCs w:val="18"/>
              </w:rPr>
            </w:pPr>
            <w:r w:rsidRPr="00B47695">
              <w:rPr>
                <w:rFonts w:asciiTheme="minorHAnsi" w:hAnsiTheme="minorHAnsi" w:cs="Arial"/>
                <w:sz w:val="18"/>
                <w:szCs w:val="18"/>
              </w:rPr>
              <w:t>TBD</w:t>
            </w:r>
            <w:r w:rsidRPr="00B47695">
              <w:rPr>
                <w:rFonts w:asciiTheme="minorHAnsi" w:hAnsiTheme="minorHAnsi"/>
                <w:b/>
                <w:sz w:val="18"/>
                <w:szCs w:val="18"/>
                <w:vertAlign w:val="superscript"/>
              </w:rPr>
              <w:t>(d)</w:t>
            </w:r>
          </w:p>
        </w:tc>
        <w:tc>
          <w:tcPr>
            <w:tcW w:w="2020" w:type="dxa"/>
            <w:shd w:val="clear" w:color="auto" w:fill="auto"/>
            <w:noWrap/>
            <w:vAlign w:val="center"/>
          </w:tcPr>
          <w:p w:rsidR="00B47695" w:rsidRPr="00B47695" w:rsidRDefault="00B47695" w:rsidP="00B47695">
            <w:pPr>
              <w:keepNext/>
              <w:keepLines/>
              <w:spacing w:before="20" w:after="20" w:line="240" w:lineRule="auto"/>
              <w:jc w:val="center"/>
              <w:rPr>
                <w:rFonts w:asciiTheme="minorHAnsi" w:hAnsiTheme="minorHAnsi" w:cs="Arial"/>
                <w:bCs/>
                <w:sz w:val="18"/>
                <w:szCs w:val="18"/>
              </w:rPr>
            </w:pPr>
            <w:r w:rsidRPr="00B47695">
              <w:rPr>
                <w:rFonts w:asciiTheme="minorHAnsi" w:hAnsiTheme="minorHAnsi" w:cs="Arial"/>
                <w:bCs/>
                <w:sz w:val="18"/>
                <w:szCs w:val="18"/>
              </w:rPr>
              <w:t>-</w:t>
            </w:r>
          </w:p>
        </w:tc>
      </w:tr>
      <w:tr w:rsidR="00B47695" w:rsidRPr="00B47695" w:rsidTr="00B47695">
        <w:trPr>
          <w:cantSplit/>
          <w:trHeight w:val="331"/>
          <w:jc w:val="center"/>
        </w:trPr>
        <w:tc>
          <w:tcPr>
            <w:tcW w:w="1495" w:type="dxa"/>
            <w:shd w:val="clear" w:color="auto" w:fill="CCEAF9" w:themeFill="accent1" w:themeFillTint="33"/>
            <w:noWrap/>
            <w:tcMar>
              <w:left w:w="115" w:type="dxa"/>
              <w:right w:w="0" w:type="dxa"/>
            </w:tcMar>
            <w:vAlign w:val="center"/>
          </w:tcPr>
          <w:p w:rsidR="00B47695" w:rsidRPr="00B47695" w:rsidRDefault="00B47695" w:rsidP="00B47695">
            <w:pPr>
              <w:keepNext/>
              <w:keepLines/>
              <w:spacing w:before="20" w:after="20" w:line="240" w:lineRule="auto"/>
              <w:rPr>
                <w:rFonts w:asciiTheme="minorHAnsi" w:hAnsiTheme="minorHAnsi"/>
                <w:b/>
                <w:bCs/>
                <w:sz w:val="18"/>
                <w:szCs w:val="18"/>
              </w:rPr>
            </w:pPr>
            <w:r w:rsidRPr="00B47695">
              <w:rPr>
                <w:rFonts w:asciiTheme="minorHAnsi" w:hAnsiTheme="minorHAnsi"/>
                <w:b/>
                <w:bCs/>
                <w:sz w:val="18"/>
                <w:szCs w:val="18"/>
              </w:rPr>
              <w:t>2022/2023</w:t>
            </w:r>
          </w:p>
        </w:tc>
        <w:tc>
          <w:tcPr>
            <w:tcW w:w="2020" w:type="dxa"/>
            <w:shd w:val="clear" w:color="auto" w:fill="CCEAF9" w:themeFill="accent1" w:themeFillTint="33"/>
            <w:noWrap/>
            <w:vAlign w:val="center"/>
          </w:tcPr>
          <w:p w:rsidR="00B47695" w:rsidRPr="00B47695" w:rsidRDefault="00B47695" w:rsidP="00B47695">
            <w:pPr>
              <w:keepNext/>
              <w:keepLines/>
              <w:spacing w:before="20" w:after="20" w:line="240" w:lineRule="auto"/>
              <w:jc w:val="center"/>
              <w:rPr>
                <w:rFonts w:asciiTheme="minorHAnsi" w:hAnsiTheme="minorHAnsi" w:cs="Arial"/>
                <w:sz w:val="18"/>
                <w:szCs w:val="18"/>
              </w:rPr>
            </w:pPr>
            <w:r w:rsidRPr="00B47695">
              <w:rPr>
                <w:rFonts w:asciiTheme="minorHAnsi" w:hAnsiTheme="minorHAnsi" w:cs="Arial"/>
                <w:bCs/>
                <w:sz w:val="18"/>
                <w:szCs w:val="18"/>
              </w:rPr>
              <w:t>29,694</w:t>
            </w:r>
          </w:p>
        </w:tc>
        <w:tc>
          <w:tcPr>
            <w:tcW w:w="2019" w:type="dxa"/>
            <w:shd w:val="clear" w:color="auto" w:fill="CCEAF9" w:themeFill="accent1" w:themeFillTint="33"/>
            <w:noWrap/>
            <w:vAlign w:val="center"/>
          </w:tcPr>
          <w:p w:rsidR="00B47695" w:rsidRPr="00B47695" w:rsidRDefault="00B47695" w:rsidP="00B47695">
            <w:pPr>
              <w:keepNext/>
              <w:keepLines/>
              <w:spacing w:before="20" w:after="20" w:line="240" w:lineRule="auto"/>
              <w:jc w:val="center"/>
              <w:rPr>
                <w:rFonts w:asciiTheme="minorHAnsi" w:hAnsiTheme="minorHAnsi" w:cs="Arial"/>
                <w:sz w:val="18"/>
                <w:szCs w:val="18"/>
              </w:rPr>
            </w:pPr>
            <w:r w:rsidRPr="00B47695">
              <w:rPr>
                <w:rFonts w:asciiTheme="minorHAnsi" w:hAnsiTheme="minorHAnsi" w:cs="Arial"/>
                <w:bCs/>
                <w:sz w:val="18"/>
                <w:szCs w:val="18"/>
              </w:rPr>
              <w:t>34,300</w:t>
            </w:r>
          </w:p>
        </w:tc>
        <w:tc>
          <w:tcPr>
            <w:tcW w:w="2020" w:type="dxa"/>
            <w:shd w:val="clear" w:color="auto" w:fill="CCEAF9" w:themeFill="accent1" w:themeFillTint="33"/>
            <w:noWrap/>
            <w:vAlign w:val="center"/>
          </w:tcPr>
          <w:p w:rsidR="00B47695" w:rsidRPr="00B47695" w:rsidRDefault="00B47695" w:rsidP="00B47695">
            <w:pPr>
              <w:keepNext/>
              <w:keepLines/>
              <w:spacing w:before="20" w:after="20" w:line="240" w:lineRule="auto"/>
              <w:jc w:val="center"/>
              <w:rPr>
                <w:rFonts w:asciiTheme="minorHAnsi" w:hAnsiTheme="minorHAnsi" w:cs="Arial"/>
                <w:bCs/>
                <w:sz w:val="18"/>
                <w:szCs w:val="18"/>
              </w:rPr>
            </w:pPr>
            <w:r w:rsidRPr="00B47695">
              <w:rPr>
                <w:rFonts w:asciiTheme="minorHAnsi" w:hAnsiTheme="minorHAnsi" w:cs="Arial"/>
                <w:bCs/>
                <w:sz w:val="18"/>
                <w:szCs w:val="18"/>
              </w:rPr>
              <w:t>15.5</w:t>
            </w:r>
          </w:p>
        </w:tc>
      </w:tr>
      <w:tr w:rsidR="00B47695" w:rsidRPr="00B47695" w:rsidTr="00B47695">
        <w:trPr>
          <w:cantSplit/>
          <w:trHeight w:val="331"/>
          <w:jc w:val="center"/>
        </w:trPr>
        <w:tc>
          <w:tcPr>
            <w:tcW w:w="1495" w:type="dxa"/>
            <w:shd w:val="clear" w:color="auto" w:fill="auto"/>
            <w:noWrap/>
            <w:tcMar>
              <w:left w:w="115" w:type="dxa"/>
              <w:right w:w="0" w:type="dxa"/>
            </w:tcMar>
            <w:vAlign w:val="center"/>
          </w:tcPr>
          <w:p w:rsidR="00B47695" w:rsidRPr="00B47695" w:rsidRDefault="00B47695" w:rsidP="00B47695">
            <w:pPr>
              <w:keepNext/>
              <w:keepLines/>
              <w:spacing w:before="20" w:after="20" w:line="240" w:lineRule="auto"/>
              <w:rPr>
                <w:rFonts w:asciiTheme="minorHAnsi" w:hAnsiTheme="minorHAnsi"/>
                <w:b/>
                <w:bCs/>
                <w:sz w:val="18"/>
                <w:szCs w:val="18"/>
              </w:rPr>
            </w:pPr>
            <w:r w:rsidRPr="00B47695">
              <w:rPr>
                <w:rFonts w:asciiTheme="minorHAnsi" w:hAnsiTheme="minorHAnsi"/>
                <w:b/>
                <w:bCs/>
                <w:sz w:val="18"/>
                <w:szCs w:val="18"/>
              </w:rPr>
              <w:t>2023/2024</w:t>
            </w:r>
          </w:p>
        </w:tc>
        <w:tc>
          <w:tcPr>
            <w:tcW w:w="2020" w:type="dxa"/>
            <w:shd w:val="clear" w:color="auto" w:fill="auto"/>
            <w:noWrap/>
            <w:vAlign w:val="center"/>
          </w:tcPr>
          <w:p w:rsidR="00B47695" w:rsidRPr="00B47695" w:rsidRDefault="00B47695" w:rsidP="00B47695">
            <w:pPr>
              <w:keepNext/>
              <w:keepLines/>
              <w:spacing w:before="20" w:after="20" w:line="240" w:lineRule="auto"/>
              <w:jc w:val="center"/>
              <w:rPr>
                <w:rFonts w:asciiTheme="minorHAnsi" w:hAnsiTheme="minorHAnsi" w:cs="Arial"/>
                <w:b/>
                <w:sz w:val="18"/>
                <w:szCs w:val="18"/>
              </w:rPr>
            </w:pPr>
            <w:r w:rsidRPr="00B47695">
              <w:rPr>
                <w:rFonts w:asciiTheme="minorHAnsi" w:hAnsiTheme="minorHAnsi" w:cs="Arial"/>
                <w:bCs/>
                <w:sz w:val="18"/>
                <w:szCs w:val="18"/>
              </w:rPr>
              <w:t>29,960</w:t>
            </w:r>
          </w:p>
        </w:tc>
        <w:tc>
          <w:tcPr>
            <w:tcW w:w="2019" w:type="dxa"/>
            <w:shd w:val="clear" w:color="auto" w:fill="auto"/>
            <w:noWrap/>
            <w:vAlign w:val="center"/>
          </w:tcPr>
          <w:p w:rsidR="00B47695" w:rsidRPr="00B47695" w:rsidRDefault="00B47695" w:rsidP="00B47695">
            <w:pPr>
              <w:keepNext/>
              <w:keepLines/>
              <w:spacing w:before="20" w:after="20" w:line="240" w:lineRule="auto"/>
              <w:jc w:val="center"/>
              <w:rPr>
                <w:rFonts w:asciiTheme="minorHAnsi" w:hAnsiTheme="minorHAnsi" w:cs="Arial"/>
                <w:bCs/>
                <w:sz w:val="18"/>
                <w:szCs w:val="18"/>
              </w:rPr>
            </w:pPr>
            <w:r w:rsidRPr="00B47695">
              <w:rPr>
                <w:rFonts w:asciiTheme="minorHAnsi" w:hAnsiTheme="minorHAnsi" w:cs="Arial"/>
                <w:bCs/>
                <w:sz w:val="18"/>
                <w:szCs w:val="18"/>
              </w:rPr>
              <w:t>34,600</w:t>
            </w:r>
          </w:p>
        </w:tc>
        <w:tc>
          <w:tcPr>
            <w:tcW w:w="2020" w:type="dxa"/>
            <w:shd w:val="clear" w:color="auto" w:fill="auto"/>
            <w:noWrap/>
            <w:vAlign w:val="center"/>
          </w:tcPr>
          <w:p w:rsidR="00B47695" w:rsidRPr="00B47695" w:rsidRDefault="00B47695" w:rsidP="00B47695">
            <w:pPr>
              <w:keepNext/>
              <w:keepLines/>
              <w:spacing w:before="20" w:after="20" w:line="240" w:lineRule="auto"/>
              <w:jc w:val="center"/>
              <w:rPr>
                <w:rFonts w:asciiTheme="minorHAnsi" w:hAnsiTheme="minorHAnsi" w:cs="Arial"/>
                <w:bCs/>
                <w:sz w:val="18"/>
                <w:szCs w:val="18"/>
              </w:rPr>
            </w:pPr>
            <w:r w:rsidRPr="00B47695">
              <w:rPr>
                <w:rFonts w:asciiTheme="minorHAnsi" w:hAnsiTheme="minorHAnsi" w:cs="Arial"/>
                <w:bCs/>
                <w:sz w:val="18"/>
                <w:szCs w:val="18"/>
              </w:rPr>
              <w:t>15.6</w:t>
            </w:r>
          </w:p>
        </w:tc>
      </w:tr>
      <w:tr w:rsidR="00B47695" w:rsidRPr="00B47695" w:rsidTr="00B47695">
        <w:trPr>
          <w:cantSplit/>
          <w:trHeight w:val="331"/>
          <w:jc w:val="center"/>
        </w:trPr>
        <w:tc>
          <w:tcPr>
            <w:tcW w:w="1495" w:type="dxa"/>
            <w:shd w:val="clear" w:color="auto" w:fill="CCEAF9" w:themeFill="accent1" w:themeFillTint="33"/>
            <w:noWrap/>
            <w:tcMar>
              <w:left w:w="115" w:type="dxa"/>
              <w:right w:w="0" w:type="dxa"/>
            </w:tcMar>
            <w:vAlign w:val="center"/>
          </w:tcPr>
          <w:p w:rsidR="00B47695" w:rsidRPr="00B47695" w:rsidRDefault="00B47695" w:rsidP="00B47695">
            <w:pPr>
              <w:keepNext/>
              <w:keepLines/>
              <w:spacing w:before="20" w:after="20" w:line="240" w:lineRule="auto"/>
              <w:rPr>
                <w:rFonts w:asciiTheme="minorHAnsi" w:hAnsiTheme="minorHAnsi"/>
                <w:b/>
                <w:bCs/>
                <w:sz w:val="18"/>
                <w:szCs w:val="18"/>
              </w:rPr>
            </w:pPr>
            <w:r w:rsidRPr="00B47695">
              <w:rPr>
                <w:rFonts w:asciiTheme="minorHAnsi" w:hAnsiTheme="minorHAnsi"/>
                <w:b/>
                <w:bCs/>
                <w:sz w:val="18"/>
                <w:szCs w:val="18"/>
              </w:rPr>
              <w:t>2024/2025</w:t>
            </w:r>
          </w:p>
        </w:tc>
        <w:tc>
          <w:tcPr>
            <w:tcW w:w="2020" w:type="dxa"/>
            <w:shd w:val="clear" w:color="auto" w:fill="CCEAF9" w:themeFill="accent1" w:themeFillTint="33"/>
            <w:noWrap/>
            <w:vAlign w:val="center"/>
          </w:tcPr>
          <w:p w:rsidR="00B47695" w:rsidRPr="00B47695" w:rsidRDefault="00B47695" w:rsidP="00B47695">
            <w:pPr>
              <w:keepNext/>
              <w:keepLines/>
              <w:spacing w:before="20" w:after="20" w:line="240" w:lineRule="auto"/>
              <w:jc w:val="center"/>
              <w:rPr>
                <w:rFonts w:asciiTheme="minorHAnsi" w:hAnsiTheme="minorHAnsi" w:cs="Arial"/>
                <w:bCs/>
                <w:sz w:val="18"/>
                <w:szCs w:val="18"/>
              </w:rPr>
            </w:pPr>
            <w:r w:rsidRPr="00B47695">
              <w:rPr>
                <w:rFonts w:asciiTheme="minorHAnsi" w:hAnsiTheme="minorHAnsi" w:cs="Arial"/>
                <w:bCs/>
                <w:sz w:val="18"/>
                <w:szCs w:val="18"/>
              </w:rPr>
              <w:t>30,231</w:t>
            </w:r>
          </w:p>
        </w:tc>
        <w:tc>
          <w:tcPr>
            <w:tcW w:w="2019" w:type="dxa"/>
            <w:shd w:val="clear" w:color="auto" w:fill="CCEAF9" w:themeFill="accent1" w:themeFillTint="33"/>
            <w:noWrap/>
            <w:vAlign w:val="center"/>
          </w:tcPr>
          <w:p w:rsidR="00B47695" w:rsidRPr="00B47695" w:rsidRDefault="00B47695" w:rsidP="00B47695">
            <w:pPr>
              <w:keepNext/>
              <w:keepLines/>
              <w:spacing w:before="20" w:after="20" w:line="240" w:lineRule="auto"/>
              <w:jc w:val="center"/>
              <w:rPr>
                <w:rFonts w:asciiTheme="minorHAnsi" w:hAnsiTheme="minorHAnsi" w:cs="Arial"/>
                <w:bCs/>
                <w:sz w:val="18"/>
                <w:szCs w:val="18"/>
              </w:rPr>
            </w:pPr>
            <w:r w:rsidRPr="00B47695">
              <w:rPr>
                <w:rFonts w:asciiTheme="minorHAnsi" w:hAnsiTheme="minorHAnsi" w:cs="Arial"/>
                <w:bCs/>
                <w:sz w:val="18"/>
                <w:szCs w:val="18"/>
              </w:rPr>
              <w:t>35,000</w:t>
            </w:r>
          </w:p>
        </w:tc>
        <w:tc>
          <w:tcPr>
            <w:tcW w:w="2020" w:type="dxa"/>
            <w:shd w:val="clear" w:color="auto" w:fill="CCEAF9" w:themeFill="accent1" w:themeFillTint="33"/>
            <w:noWrap/>
            <w:vAlign w:val="center"/>
          </w:tcPr>
          <w:p w:rsidR="00B47695" w:rsidRPr="00B47695" w:rsidRDefault="00B47695" w:rsidP="00B47695">
            <w:pPr>
              <w:keepNext/>
              <w:keepLines/>
              <w:spacing w:before="20" w:after="20" w:line="240" w:lineRule="auto"/>
              <w:jc w:val="center"/>
              <w:rPr>
                <w:rFonts w:asciiTheme="minorHAnsi" w:hAnsiTheme="minorHAnsi" w:cs="Arial"/>
                <w:bCs/>
                <w:sz w:val="18"/>
                <w:szCs w:val="18"/>
              </w:rPr>
            </w:pPr>
            <w:r w:rsidRPr="00B47695">
              <w:rPr>
                <w:rFonts w:asciiTheme="minorHAnsi" w:hAnsiTheme="minorHAnsi" w:cs="Arial"/>
                <w:bCs/>
                <w:sz w:val="18"/>
                <w:szCs w:val="18"/>
              </w:rPr>
              <w:t>15.7</w:t>
            </w:r>
          </w:p>
        </w:tc>
      </w:tr>
      <w:tr w:rsidR="00B47695" w:rsidRPr="00B47695" w:rsidTr="00B47695">
        <w:trPr>
          <w:cantSplit/>
          <w:trHeight w:val="331"/>
          <w:jc w:val="center"/>
        </w:trPr>
        <w:tc>
          <w:tcPr>
            <w:tcW w:w="1495" w:type="dxa"/>
            <w:shd w:val="clear" w:color="auto" w:fill="auto"/>
            <w:noWrap/>
            <w:tcMar>
              <w:left w:w="115" w:type="dxa"/>
              <w:right w:w="0" w:type="dxa"/>
            </w:tcMar>
          </w:tcPr>
          <w:p w:rsidR="00B47695" w:rsidRPr="00B47695" w:rsidRDefault="00B47695" w:rsidP="00B47695">
            <w:pPr>
              <w:keepNext/>
              <w:keepLines/>
              <w:spacing w:before="20" w:after="20" w:line="240" w:lineRule="auto"/>
              <w:rPr>
                <w:rFonts w:asciiTheme="minorHAnsi" w:hAnsiTheme="minorHAnsi"/>
                <w:b/>
                <w:bCs/>
                <w:sz w:val="18"/>
                <w:szCs w:val="18"/>
              </w:rPr>
            </w:pPr>
            <w:r w:rsidRPr="00B47695">
              <w:rPr>
                <w:rFonts w:asciiTheme="minorHAnsi" w:hAnsiTheme="minorHAnsi"/>
                <w:b/>
                <w:bCs/>
                <w:sz w:val="18"/>
                <w:szCs w:val="18"/>
              </w:rPr>
              <w:t>2025/2026</w:t>
            </w:r>
          </w:p>
        </w:tc>
        <w:tc>
          <w:tcPr>
            <w:tcW w:w="2020" w:type="dxa"/>
            <w:shd w:val="clear" w:color="auto" w:fill="auto"/>
            <w:noWrap/>
            <w:vAlign w:val="center"/>
          </w:tcPr>
          <w:p w:rsidR="00B47695" w:rsidRPr="00B47695" w:rsidRDefault="00B47695" w:rsidP="00B47695">
            <w:pPr>
              <w:keepNext/>
              <w:keepLines/>
              <w:spacing w:before="20" w:after="20" w:line="240" w:lineRule="auto"/>
              <w:jc w:val="center"/>
              <w:rPr>
                <w:rFonts w:asciiTheme="minorHAnsi" w:hAnsiTheme="minorHAnsi"/>
                <w:b/>
                <w:bCs/>
                <w:sz w:val="18"/>
                <w:szCs w:val="18"/>
              </w:rPr>
            </w:pPr>
            <w:r w:rsidRPr="00B47695">
              <w:rPr>
                <w:rFonts w:asciiTheme="minorHAnsi" w:hAnsiTheme="minorHAnsi" w:cs="Arial"/>
                <w:bCs/>
                <w:sz w:val="18"/>
                <w:szCs w:val="18"/>
              </w:rPr>
              <w:t>30,507</w:t>
            </w:r>
          </w:p>
        </w:tc>
        <w:tc>
          <w:tcPr>
            <w:tcW w:w="2019" w:type="dxa"/>
            <w:shd w:val="clear" w:color="auto" w:fill="auto"/>
            <w:noWrap/>
          </w:tcPr>
          <w:p w:rsidR="00B47695" w:rsidRPr="00B47695" w:rsidRDefault="00B47695" w:rsidP="00B47695">
            <w:pPr>
              <w:keepNext/>
              <w:keepLines/>
              <w:spacing w:before="20" w:after="20" w:line="240" w:lineRule="auto"/>
              <w:jc w:val="center"/>
              <w:rPr>
                <w:rFonts w:asciiTheme="minorHAnsi" w:hAnsiTheme="minorHAnsi" w:cs="Arial"/>
                <w:bCs/>
                <w:sz w:val="18"/>
                <w:szCs w:val="18"/>
              </w:rPr>
            </w:pPr>
            <w:r w:rsidRPr="00B47695">
              <w:rPr>
                <w:rFonts w:asciiTheme="minorHAnsi" w:hAnsiTheme="minorHAnsi" w:cs="Arial"/>
                <w:bCs/>
                <w:sz w:val="18"/>
                <w:szCs w:val="18"/>
              </w:rPr>
              <w:t>35,300</w:t>
            </w:r>
          </w:p>
        </w:tc>
        <w:tc>
          <w:tcPr>
            <w:tcW w:w="2020" w:type="dxa"/>
            <w:shd w:val="clear" w:color="auto" w:fill="auto"/>
            <w:noWrap/>
          </w:tcPr>
          <w:p w:rsidR="00B47695" w:rsidRPr="00B47695" w:rsidRDefault="00B47695" w:rsidP="00B47695">
            <w:pPr>
              <w:keepNext/>
              <w:keepLines/>
              <w:spacing w:before="20" w:after="20" w:line="240" w:lineRule="auto"/>
              <w:jc w:val="center"/>
              <w:rPr>
                <w:rFonts w:asciiTheme="minorHAnsi" w:hAnsiTheme="minorHAnsi" w:cs="Arial"/>
                <w:bCs/>
                <w:sz w:val="18"/>
                <w:szCs w:val="18"/>
              </w:rPr>
            </w:pPr>
            <w:r w:rsidRPr="00B47695">
              <w:rPr>
                <w:rFonts w:asciiTheme="minorHAnsi" w:hAnsiTheme="minorHAnsi" w:cs="Arial"/>
                <w:bCs/>
                <w:sz w:val="18"/>
                <w:szCs w:val="18"/>
              </w:rPr>
              <w:t>15.8</w:t>
            </w:r>
          </w:p>
        </w:tc>
      </w:tr>
      <w:tr w:rsidR="00B47695" w:rsidRPr="00B47695" w:rsidTr="00B47695">
        <w:trPr>
          <w:cantSplit/>
          <w:trHeight w:val="331"/>
          <w:jc w:val="center"/>
        </w:trPr>
        <w:tc>
          <w:tcPr>
            <w:tcW w:w="1495" w:type="dxa"/>
            <w:shd w:val="clear" w:color="auto" w:fill="CCEAF9" w:themeFill="accent1" w:themeFillTint="33"/>
            <w:noWrap/>
            <w:tcMar>
              <w:left w:w="115" w:type="dxa"/>
              <w:right w:w="0" w:type="dxa"/>
            </w:tcMar>
          </w:tcPr>
          <w:p w:rsidR="00B47695" w:rsidRPr="00B47695" w:rsidRDefault="00B47695" w:rsidP="00B47695">
            <w:pPr>
              <w:keepNext/>
              <w:keepLines/>
              <w:spacing w:before="20" w:after="20" w:line="240" w:lineRule="auto"/>
              <w:rPr>
                <w:rFonts w:asciiTheme="minorHAnsi" w:hAnsiTheme="minorHAnsi"/>
                <w:b/>
                <w:bCs/>
                <w:sz w:val="18"/>
                <w:szCs w:val="18"/>
              </w:rPr>
            </w:pPr>
            <w:r w:rsidRPr="00B47695">
              <w:rPr>
                <w:rFonts w:asciiTheme="minorHAnsi" w:hAnsiTheme="minorHAnsi"/>
                <w:b/>
                <w:bCs/>
                <w:sz w:val="18"/>
                <w:szCs w:val="18"/>
              </w:rPr>
              <w:t>2026/2027</w:t>
            </w:r>
          </w:p>
        </w:tc>
        <w:tc>
          <w:tcPr>
            <w:tcW w:w="2020" w:type="dxa"/>
            <w:shd w:val="clear" w:color="auto" w:fill="CCEAF9" w:themeFill="accent1" w:themeFillTint="33"/>
            <w:noWrap/>
            <w:vAlign w:val="center"/>
          </w:tcPr>
          <w:p w:rsidR="00B47695" w:rsidRPr="00B47695" w:rsidRDefault="00B47695" w:rsidP="00B47695">
            <w:pPr>
              <w:keepNext/>
              <w:keepLines/>
              <w:spacing w:before="20" w:after="20" w:line="240" w:lineRule="auto"/>
              <w:jc w:val="center"/>
              <w:rPr>
                <w:rFonts w:asciiTheme="minorHAnsi" w:hAnsiTheme="minorHAnsi"/>
                <w:b/>
                <w:bCs/>
                <w:sz w:val="18"/>
                <w:szCs w:val="18"/>
              </w:rPr>
            </w:pPr>
            <w:r w:rsidRPr="00B47695">
              <w:rPr>
                <w:rFonts w:asciiTheme="minorHAnsi" w:hAnsiTheme="minorHAnsi" w:cs="Arial"/>
                <w:bCs/>
                <w:sz w:val="18"/>
                <w:szCs w:val="18"/>
              </w:rPr>
              <w:t>30,785</w:t>
            </w:r>
          </w:p>
        </w:tc>
        <w:tc>
          <w:tcPr>
            <w:tcW w:w="2019" w:type="dxa"/>
            <w:shd w:val="clear" w:color="auto" w:fill="CCEAF9" w:themeFill="accent1" w:themeFillTint="33"/>
            <w:noWrap/>
          </w:tcPr>
          <w:p w:rsidR="00B47695" w:rsidRPr="00B47695" w:rsidRDefault="00B47695" w:rsidP="00B47695">
            <w:pPr>
              <w:keepNext/>
              <w:keepLines/>
              <w:spacing w:before="20" w:after="20" w:line="240" w:lineRule="auto"/>
              <w:jc w:val="center"/>
              <w:rPr>
                <w:rFonts w:asciiTheme="minorHAnsi" w:hAnsiTheme="minorHAnsi" w:cs="Arial"/>
                <w:bCs/>
                <w:sz w:val="18"/>
                <w:szCs w:val="18"/>
              </w:rPr>
            </w:pPr>
            <w:r w:rsidRPr="00B47695">
              <w:rPr>
                <w:rFonts w:asciiTheme="minorHAnsi" w:hAnsiTheme="minorHAnsi" w:cs="Arial"/>
                <w:bCs/>
                <w:sz w:val="18"/>
                <w:szCs w:val="18"/>
              </w:rPr>
              <w:t>35,700</w:t>
            </w:r>
          </w:p>
        </w:tc>
        <w:tc>
          <w:tcPr>
            <w:tcW w:w="2020" w:type="dxa"/>
            <w:shd w:val="clear" w:color="auto" w:fill="CCEAF9" w:themeFill="accent1" w:themeFillTint="33"/>
            <w:noWrap/>
          </w:tcPr>
          <w:p w:rsidR="00B47695" w:rsidRPr="00B47695" w:rsidRDefault="00B47695" w:rsidP="00B47695">
            <w:pPr>
              <w:keepNext/>
              <w:keepLines/>
              <w:spacing w:before="20" w:after="20" w:line="240" w:lineRule="auto"/>
              <w:jc w:val="center"/>
              <w:rPr>
                <w:rFonts w:asciiTheme="minorHAnsi" w:hAnsiTheme="minorHAnsi" w:cs="Arial"/>
                <w:bCs/>
                <w:sz w:val="18"/>
                <w:szCs w:val="18"/>
              </w:rPr>
            </w:pPr>
            <w:r w:rsidRPr="00B47695">
              <w:rPr>
                <w:rFonts w:asciiTheme="minorHAnsi" w:hAnsiTheme="minorHAnsi" w:cs="Arial"/>
                <w:bCs/>
                <w:sz w:val="18"/>
                <w:szCs w:val="18"/>
              </w:rPr>
              <w:t>15.9</w:t>
            </w:r>
          </w:p>
        </w:tc>
      </w:tr>
    </w:tbl>
    <w:p w:rsidR="00B47695" w:rsidRPr="00B47695" w:rsidRDefault="00B47695" w:rsidP="003D70FB">
      <w:pPr>
        <w:numPr>
          <w:ilvl w:val="0"/>
          <w:numId w:val="35"/>
        </w:numPr>
        <w:tabs>
          <w:tab w:val="num" w:pos="990"/>
        </w:tabs>
        <w:autoSpaceDE w:val="0"/>
        <w:autoSpaceDN w:val="0"/>
        <w:adjustRightInd w:val="0"/>
        <w:spacing w:before="120" w:after="80" w:line="240" w:lineRule="auto"/>
        <w:ind w:left="994" w:right="720" w:hanging="274"/>
        <w:rPr>
          <w:rFonts w:asciiTheme="minorHAnsi" w:eastAsia="Times New Roman" w:hAnsiTheme="minorHAnsi" w:cs="Arial"/>
          <w:color w:val="000000"/>
          <w:sz w:val="16"/>
          <w:szCs w:val="16"/>
        </w:rPr>
      </w:pPr>
      <w:r w:rsidRPr="00B47695">
        <w:rPr>
          <w:rFonts w:asciiTheme="minorHAnsi" w:eastAsia="Times New Roman" w:hAnsiTheme="minorHAnsi" w:cs="Arial"/>
          <w:color w:val="000000"/>
          <w:sz w:val="16"/>
          <w:szCs w:val="16"/>
        </w:rPr>
        <w:t xml:space="preserve">The 2017 relevant CELT forecast 50/50 peak loads reflect the BTM load reductions from the PV forecast as described in </w:t>
      </w:r>
      <w:r w:rsidR="00B01489">
        <w:rPr>
          <w:rFonts w:asciiTheme="minorHAnsi" w:eastAsia="Times New Roman" w:hAnsiTheme="minorHAnsi" w:cs="Arial"/>
          <w:color w:val="000000"/>
          <w:sz w:val="16"/>
          <w:szCs w:val="16"/>
        </w:rPr>
        <w:fldChar w:fldCharType="begin"/>
      </w:r>
      <w:r w:rsidR="00B01489">
        <w:rPr>
          <w:rFonts w:asciiTheme="minorHAnsi" w:eastAsia="Times New Roman" w:hAnsiTheme="minorHAnsi" w:cs="Arial"/>
          <w:color w:val="000000"/>
          <w:sz w:val="16"/>
          <w:szCs w:val="16"/>
        </w:rPr>
        <w:instrText xml:space="preserve"> REF _Ref418357222 \r \h </w:instrText>
      </w:r>
      <w:r w:rsidR="00B01489">
        <w:rPr>
          <w:rFonts w:asciiTheme="minorHAnsi" w:eastAsia="Times New Roman" w:hAnsiTheme="minorHAnsi" w:cs="Arial"/>
          <w:color w:val="000000"/>
          <w:sz w:val="16"/>
          <w:szCs w:val="16"/>
        </w:rPr>
      </w:r>
      <w:r w:rsidR="00B01489">
        <w:rPr>
          <w:rFonts w:asciiTheme="minorHAnsi" w:eastAsia="Times New Roman" w:hAnsiTheme="minorHAnsi" w:cs="Arial"/>
          <w:color w:val="000000"/>
          <w:sz w:val="16"/>
          <w:szCs w:val="16"/>
        </w:rPr>
        <w:fldChar w:fldCharType="separate"/>
      </w:r>
      <w:r w:rsidR="00314781">
        <w:rPr>
          <w:rFonts w:asciiTheme="minorHAnsi" w:eastAsia="Times New Roman" w:hAnsiTheme="minorHAnsi" w:cs="Arial"/>
          <w:color w:val="000000"/>
          <w:sz w:val="16"/>
          <w:szCs w:val="16"/>
        </w:rPr>
        <w:t>Section 3</w:t>
      </w:r>
      <w:r w:rsidR="00B01489">
        <w:rPr>
          <w:rFonts w:asciiTheme="minorHAnsi" w:eastAsia="Times New Roman" w:hAnsiTheme="minorHAnsi" w:cs="Arial"/>
          <w:color w:val="000000"/>
          <w:sz w:val="16"/>
          <w:szCs w:val="16"/>
        </w:rPr>
        <w:fldChar w:fldCharType="end"/>
      </w:r>
      <w:r w:rsidRPr="00B47695">
        <w:rPr>
          <w:rFonts w:asciiTheme="minorHAnsi" w:eastAsia="Times New Roman" w:hAnsiTheme="minorHAnsi" w:cs="Arial"/>
          <w:color w:val="000000"/>
          <w:sz w:val="16"/>
          <w:szCs w:val="16"/>
        </w:rPr>
        <w:t xml:space="preserve">. </w:t>
      </w:r>
    </w:p>
    <w:p w:rsidR="00B47695" w:rsidRPr="00B47695" w:rsidRDefault="00B47695" w:rsidP="003D70FB">
      <w:pPr>
        <w:keepNext/>
        <w:keepLines/>
        <w:numPr>
          <w:ilvl w:val="0"/>
          <w:numId w:val="35"/>
        </w:numPr>
        <w:tabs>
          <w:tab w:val="num" w:pos="990"/>
        </w:tabs>
        <w:autoSpaceDE w:val="0"/>
        <w:autoSpaceDN w:val="0"/>
        <w:adjustRightInd w:val="0"/>
        <w:spacing w:after="80" w:line="240" w:lineRule="auto"/>
        <w:ind w:left="994" w:right="720" w:hanging="274"/>
        <w:rPr>
          <w:rFonts w:asciiTheme="minorHAnsi" w:eastAsia="Times New Roman" w:hAnsiTheme="minorHAnsi" w:cs="Arial"/>
          <w:color w:val="000000"/>
          <w:sz w:val="16"/>
          <w:szCs w:val="16"/>
        </w:rPr>
      </w:pPr>
      <w:r w:rsidRPr="00B47695">
        <w:rPr>
          <w:rFonts w:asciiTheme="minorHAnsi" w:eastAsia="Times New Roman" w:hAnsiTheme="minorHAnsi" w:cs="Arial"/>
          <w:color w:val="000000"/>
          <w:sz w:val="16"/>
          <w:szCs w:val="16"/>
        </w:rPr>
        <w:t>Net ICR values for 2017/2018 to 2020/2021 are the latest values approved by FERC. These net ICR values were developed using 2016 CELT Report loads.</w:t>
      </w:r>
    </w:p>
    <w:p w:rsidR="00B47695" w:rsidRPr="00B47695" w:rsidRDefault="00B47695" w:rsidP="003D70FB">
      <w:pPr>
        <w:numPr>
          <w:ilvl w:val="0"/>
          <w:numId w:val="35"/>
        </w:numPr>
        <w:tabs>
          <w:tab w:val="num" w:pos="990"/>
        </w:tabs>
        <w:spacing w:after="80" w:line="240" w:lineRule="auto"/>
        <w:ind w:left="990" w:hanging="270"/>
        <w:rPr>
          <w:rFonts w:asciiTheme="minorHAnsi" w:eastAsia="Times New Roman" w:hAnsiTheme="minorHAnsi" w:cs="Arial"/>
          <w:color w:val="000000"/>
          <w:sz w:val="16"/>
          <w:szCs w:val="16"/>
        </w:rPr>
      </w:pPr>
      <w:r w:rsidRPr="00B47695">
        <w:rPr>
          <w:rFonts w:asciiTheme="minorHAnsi" w:eastAsia="Times New Roman" w:hAnsiTheme="minorHAnsi" w:cs="Arial"/>
          <w:color w:val="000000"/>
          <w:sz w:val="16"/>
          <w:szCs w:val="16"/>
        </w:rPr>
        <w:t xml:space="preserve">The resulting reserves percentage is calculated using the 2017 CELT Report loads. The resulting reserves percentage for 2017/2018 to 2020/2021, when calculated using their respective 2016 CELT Report loads, ranged from 15.0% to 15.1% (These values are not shown in the above table). </w:t>
      </w:r>
    </w:p>
    <w:p w:rsidR="00B47695" w:rsidRPr="00B47695" w:rsidRDefault="00B47695" w:rsidP="00B47695">
      <w:pPr>
        <w:spacing w:line="240" w:lineRule="auto"/>
        <w:ind w:left="994" w:hanging="274"/>
      </w:pPr>
      <w:r w:rsidRPr="00B47695">
        <w:rPr>
          <w:rFonts w:asciiTheme="minorHAnsi" w:eastAsia="Times New Roman" w:hAnsiTheme="minorHAnsi" w:cs="Arial"/>
          <w:color w:val="000000"/>
          <w:sz w:val="16"/>
          <w:szCs w:val="16"/>
        </w:rPr>
        <w:t xml:space="preserve">(d) </w:t>
      </w:r>
      <w:r w:rsidRPr="00B47695">
        <w:rPr>
          <w:rFonts w:asciiTheme="minorHAnsi" w:eastAsia="Times New Roman" w:hAnsiTheme="minorHAnsi" w:cs="Arial"/>
          <w:color w:val="000000"/>
          <w:sz w:val="16"/>
          <w:szCs w:val="16"/>
        </w:rPr>
        <w:tab/>
        <w:t xml:space="preserve">As of the RSP17 publication date, the net ICR for 2021/2022 was under development and scheduled to be filed with FERC in November 2017. </w:t>
      </w:r>
    </w:p>
    <w:p w:rsidR="00B47695" w:rsidRPr="00B47695" w:rsidRDefault="00B47695" w:rsidP="00B47695">
      <w:r w:rsidRPr="00B47695">
        <w:t xml:space="preserve">As shown in </w:t>
      </w:r>
      <w:r w:rsidRPr="00B47695">
        <w:fldChar w:fldCharType="begin"/>
      </w:r>
      <w:r w:rsidRPr="00B47695">
        <w:instrText xml:space="preserve"> REF _Ref484975569 \h  \* MERGEFORMAT </w:instrText>
      </w:r>
      <w:r w:rsidRPr="00B47695">
        <w:fldChar w:fldCharType="separate"/>
      </w:r>
      <w:r w:rsidR="00314781" w:rsidRPr="008531AA">
        <w:rPr>
          <w:bCs/>
          <w:szCs w:val="18"/>
        </w:rPr>
        <w:t>Table 4</w:t>
      </w:r>
      <w:r w:rsidR="00314781" w:rsidRPr="008531AA">
        <w:rPr>
          <w:bCs/>
          <w:szCs w:val="18"/>
        </w:rPr>
        <w:noBreakHyphen/>
        <w:t>1</w:t>
      </w:r>
      <w:r w:rsidRPr="00B47695">
        <w:fldChar w:fldCharType="end"/>
      </w:r>
      <w:r w:rsidRPr="00B47695">
        <w:t xml:space="preserve">, the region’s net ICR is expected to grow from 33,138 MW in 2017 to a representative value of 35,700 MW by 2026. This represents an average growth of approximately 285 MW per year, which is equivalent to approximately an annual compound growth rate of 0.83% per </w:t>
      </w:r>
      <w:r w:rsidRPr="00843374">
        <w:t>year. The net ICR average annual compound growth rate is similar to the 0.74</w:t>
      </w:r>
      <w:r w:rsidR="00762B91" w:rsidRPr="00843374">
        <w:t>4</w:t>
      </w:r>
      <w:r w:rsidRPr="00843374">
        <w:t>% CAGR</w:t>
      </w:r>
      <w:r w:rsidR="008B7C6A" w:rsidRPr="00843374">
        <w:t xml:space="preserve"> </w:t>
      </w:r>
      <w:r w:rsidRPr="00843374">
        <w:t>of the net peak</w:t>
      </w:r>
      <w:r w:rsidRPr="00B47695">
        <w:t xml:space="preserve"> demand after reflecting the BTM PV. As shown in the table, the resulting reserves increase because the </w:t>
      </w:r>
      <w:r w:rsidRPr="00DB6C36">
        <w:t xml:space="preserve">contribution of capacity from FCM resources to meet the </w:t>
      </w:r>
      <w:r w:rsidR="00476449" w:rsidRPr="00DB6C36">
        <w:t>one-</w:t>
      </w:r>
      <w:r w:rsidR="00EF64F5" w:rsidRPr="00DB6C36">
        <w:t>day</w:t>
      </w:r>
      <w:r w:rsidR="00476449" w:rsidRPr="00DB6C36">
        <w:t xml:space="preserve">-in-10 year </w:t>
      </w:r>
      <w:r w:rsidRPr="00DB6C36">
        <w:t>loss-of-load</w:t>
      </w:r>
      <w:r w:rsidRPr="00B47695">
        <w:t xml:space="preserve"> expectation (LOLE) increases while the contribution of tie benefits from non-FCM resources to meet the LOLE requirement stays constant.</w:t>
      </w:r>
      <w:r w:rsidR="00476449">
        <w:rPr>
          <w:rStyle w:val="FootnoteReference"/>
        </w:rPr>
        <w:footnoteReference w:id="91"/>
      </w:r>
      <w:r w:rsidRPr="00B47695">
        <w:t xml:space="preserve"> </w:t>
      </w:r>
    </w:p>
    <w:p w:rsidR="00B47695" w:rsidRPr="00B47695" w:rsidRDefault="00B47695" w:rsidP="00B47695">
      <w:pPr>
        <w:pStyle w:val="Heading3"/>
        <w:rPr>
          <w:color w:val="FF0000"/>
        </w:rPr>
      </w:pPr>
      <w:bookmarkStart w:id="255" w:name="_Toc176244998"/>
      <w:bookmarkStart w:id="256" w:name="_Toc201669921"/>
      <w:bookmarkStart w:id="257" w:name="_Ref201985943"/>
      <w:bookmarkStart w:id="258" w:name="_Toc207531821"/>
      <w:bookmarkStart w:id="259" w:name="_Ref231194169"/>
      <w:bookmarkStart w:id="260" w:name="_Toc239157060"/>
      <w:bookmarkStart w:id="261" w:name="_Toc271632218"/>
      <w:bookmarkStart w:id="262" w:name="_Ref293769740"/>
      <w:bookmarkStart w:id="263" w:name="_Toc303086376"/>
      <w:bookmarkStart w:id="264" w:name="_Ref330138223"/>
      <w:bookmarkStart w:id="265" w:name="_Toc334601027"/>
      <w:bookmarkStart w:id="266" w:name="_Toc365440994"/>
      <w:bookmarkStart w:id="267" w:name="_Toc396807623"/>
      <w:bookmarkStart w:id="268" w:name="_Toc481053249"/>
      <w:bookmarkStart w:id="269" w:name="_Ref485807268"/>
      <w:bookmarkStart w:id="270" w:name="_Toc490323026"/>
      <w:r w:rsidRPr="00B47695">
        <w:t>Local Resource Requirements and Limits</w:t>
      </w:r>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r w:rsidRPr="00B47695">
        <w:t xml:space="preserve"> </w:t>
      </w:r>
    </w:p>
    <w:p w:rsidR="00B47695" w:rsidRPr="00B47695" w:rsidRDefault="00B47695" w:rsidP="00B47695">
      <w:r w:rsidRPr="00B47695">
        <w:t xml:space="preserve">While the ICR addresses New England’s total capacity requirement assuming the system overall has no transmission constraints, certain subareas are limited in their ability to import or export power. To address the impacts of these constraints on subarea reliability, before each FCM auction, the ISO determines the </w:t>
      </w:r>
      <w:r w:rsidRPr="00B47695">
        <w:rPr>
          <w:i/>
        </w:rPr>
        <w:t>local sourcing requirement</w:t>
      </w:r>
      <w:r w:rsidRPr="00B47695">
        <w:t xml:space="preserve"> (LSR) and </w:t>
      </w:r>
      <w:r w:rsidRPr="00B47695">
        <w:rPr>
          <w:i/>
        </w:rPr>
        <w:t>maximum capacity limit</w:t>
      </w:r>
      <w:r w:rsidRPr="00B47695">
        <w:t xml:space="preserve"> (MCL) for certain subareas within New England.</w:t>
      </w:r>
      <w:r w:rsidRPr="00B47695" w:rsidDel="00084843">
        <w:t xml:space="preserve"> </w:t>
      </w:r>
      <w:r w:rsidRPr="00B47695">
        <w:t xml:space="preserve">An LSR is the minimum amount of capacity that must be electrically located within an import-constrained </w:t>
      </w:r>
      <w:r w:rsidR="00A40BE1">
        <w:t>capacity</w:t>
      </w:r>
      <w:r w:rsidRPr="00B47695">
        <w:t xml:space="preserve"> zone to meet the net ICR. An MCL is the maximum amount of capacity that can be procured in an export-constrained </w:t>
      </w:r>
      <w:r w:rsidR="00A40BE1">
        <w:t>capacity</w:t>
      </w:r>
      <w:r w:rsidRPr="00B47695">
        <w:t xml:space="preserve"> zone to meet the total net ICR for the New </w:t>
      </w:r>
      <w:r w:rsidRPr="00B47695">
        <w:lastRenderedPageBreak/>
        <w:t>England region. Areas that meet certain objective criteria for capacity zone modeling are designated as capacity zones and either an LSR or an MCL are established for them for each FCM auction.</w:t>
      </w:r>
      <w:r w:rsidRPr="00B47695">
        <w:rPr>
          <w:vertAlign w:val="superscript"/>
        </w:rPr>
        <w:footnoteReference w:id="92"/>
      </w:r>
      <w:r w:rsidRPr="00B47695">
        <w:t xml:space="preserve"> These designations help ensure that the appropriate amount of capacity is procured within these capacity zones and contribute effectively to total system reliability. (See Section 4.2 for further discussion of capacity zones.)</w:t>
      </w:r>
    </w:p>
    <w:p w:rsidR="00B47695" w:rsidRPr="00B47695" w:rsidRDefault="00B47695" w:rsidP="00B47695">
      <w:pPr>
        <w:autoSpaceDE w:val="0"/>
        <w:autoSpaceDN w:val="0"/>
        <w:adjustRightInd w:val="0"/>
      </w:pPr>
      <w:r w:rsidRPr="00B47695">
        <w:t>The LSR and MCL values, associated with the respective capacity commitment period’s FCA, are included in</w:t>
      </w:r>
      <w:r w:rsidR="00B1771D">
        <w:t xml:space="preserve"> </w:t>
      </w:r>
      <w:r w:rsidR="00B1771D" w:rsidRPr="00B1771D">
        <w:fldChar w:fldCharType="begin"/>
      </w:r>
      <w:r w:rsidR="00B1771D" w:rsidRPr="00B1771D">
        <w:instrText xml:space="preserve"> REF _Ref485804869 \h  \* MERGEFORMAT </w:instrText>
      </w:r>
      <w:r w:rsidR="00B1771D" w:rsidRPr="00B1771D">
        <w:fldChar w:fldCharType="separate"/>
      </w:r>
      <w:r w:rsidR="00314781" w:rsidRPr="008531AA">
        <w:rPr>
          <w:bCs/>
          <w:szCs w:val="18"/>
        </w:rPr>
        <w:t xml:space="preserve">Table </w:t>
      </w:r>
      <w:r w:rsidR="00314781" w:rsidRPr="008531AA">
        <w:rPr>
          <w:bCs/>
          <w:noProof/>
          <w:szCs w:val="18"/>
        </w:rPr>
        <w:t>4</w:t>
      </w:r>
      <w:r w:rsidR="00314781" w:rsidRPr="008531AA">
        <w:rPr>
          <w:bCs/>
          <w:noProof/>
          <w:szCs w:val="18"/>
        </w:rPr>
        <w:noBreakHyphen/>
        <w:t>2</w:t>
      </w:r>
      <w:r w:rsidR="00B1771D" w:rsidRPr="00B1771D">
        <w:fldChar w:fldCharType="end"/>
      </w:r>
      <w:r w:rsidR="00B1771D">
        <w:t xml:space="preserve"> </w:t>
      </w:r>
      <w:r w:rsidRPr="00B47695">
        <w:t>for the 2017/2018 through the 2020/2021 capacity commitment periods.</w:t>
      </w:r>
      <w:bookmarkStart w:id="271" w:name="_Toc176244999"/>
      <w:r w:rsidRPr="00B47695">
        <w:rPr>
          <w:vertAlign w:val="superscript"/>
        </w:rPr>
        <w:footnoteReference w:id="93"/>
      </w:r>
      <w:r w:rsidRPr="00B47695">
        <w:t xml:space="preserve"> Like the net ICR, the LSR and MCL for capacity zones and values for FCA #12 were under development at the time of the RSP17 publication and will be filed with FERC in November 2017. In May 2017, the ISO presented to the PAC the representative NICR and associated values, such as LSR and MCL, for 2022/2023 through 2026/2027 using the same probabilistic calculation techniques and assumptions (except for the load forecast, which is based on the 2017 CELT loads) used for determining the  2020/2021 net ICR values presented in Table 4-1.</w:t>
      </w:r>
    </w:p>
    <w:p w:rsidR="00B47695" w:rsidRPr="00B47695" w:rsidRDefault="00B47695" w:rsidP="00B47695">
      <w:pPr>
        <w:keepNext/>
        <w:keepLines/>
        <w:spacing w:after="120" w:line="240" w:lineRule="auto"/>
        <w:ind w:left="547" w:right="547"/>
        <w:jc w:val="center"/>
        <w:rPr>
          <w:rFonts w:asciiTheme="minorHAnsi" w:hAnsiTheme="minorHAnsi" w:cs="Arial"/>
          <w:sz w:val="16"/>
          <w:szCs w:val="16"/>
        </w:rPr>
      </w:pPr>
      <w:bookmarkStart w:id="272" w:name="_Ref485804869"/>
      <w:bookmarkStart w:id="273" w:name="_Toc491244006"/>
      <w:r w:rsidRPr="00850662">
        <w:rPr>
          <w:rFonts w:ascii="Calibri" w:hAnsi="Calibri"/>
          <w:b/>
          <w:bCs/>
          <w:szCs w:val="18"/>
        </w:rPr>
        <w:t xml:space="preserve">Table </w:t>
      </w:r>
      <w:r w:rsidR="00D95957">
        <w:rPr>
          <w:rFonts w:ascii="Calibri" w:hAnsi="Calibri"/>
          <w:b/>
          <w:bCs/>
          <w:szCs w:val="18"/>
        </w:rPr>
        <w:fldChar w:fldCharType="begin"/>
      </w:r>
      <w:r w:rsidR="00D95957">
        <w:rPr>
          <w:rFonts w:ascii="Calibri" w:hAnsi="Calibri"/>
          <w:b/>
          <w:bCs/>
          <w:szCs w:val="18"/>
        </w:rPr>
        <w:instrText xml:space="preserve"> STYLEREF 1 \s </w:instrText>
      </w:r>
      <w:r w:rsidR="00D95957">
        <w:rPr>
          <w:rFonts w:ascii="Calibri" w:hAnsi="Calibri"/>
          <w:b/>
          <w:bCs/>
          <w:szCs w:val="18"/>
        </w:rPr>
        <w:fldChar w:fldCharType="separate"/>
      </w:r>
      <w:r w:rsidR="00D95957">
        <w:rPr>
          <w:rFonts w:ascii="Calibri" w:hAnsi="Calibri"/>
          <w:b/>
          <w:bCs/>
          <w:noProof/>
          <w:szCs w:val="18"/>
        </w:rPr>
        <w:t>4</w:t>
      </w:r>
      <w:r w:rsidR="00D95957">
        <w:rPr>
          <w:rFonts w:ascii="Calibri" w:hAnsi="Calibri"/>
          <w:b/>
          <w:bCs/>
          <w:szCs w:val="18"/>
        </w:rPr>
        <w:fldChar w:fldCharType="end"/>
      </w:r>
      <w:r w:rsidR="00D95957">
        <w:rPr>
          <w:rFonts w:ascii="Calibri" w:hAnsi="Calibri"/>
          <w:b/>
          <w:bCs/>
          <w:szCs w:val="18"/>
        </w:rPr>
        <w:noBreakHyphen/>
      </w:r>
      <w:r w:rsidR="00D95957">
        <w:rPr>
          <w:rFonts w:ascii="Calibri" w:hAnsi="Calibri"/>
          <w:b/>
          <w:bCs/>
          <w:szCs w:val="18"/>
        </w:rPr>
        <w:fldChar w:fldCharType="begin"/>
      </w:r>
      <w:r w:rsidR="00D95957">
        <w:rPr>
          <w:rFonts w:ascii="Calibri" w:hAnsi="Calibri"/>
          <w:b/>
          <w:bCs/>
          <w:szCs w:val="18"/>
        </w:rPr>
        <w:instrText xml:space="preserve"> SEQ Table \* ARABIC \s 1 </w:instrText>
      </w:r>
      <w:r w:rsidR="00D95957">
        <w:rPr>
          <w:rFonts w:ascii="Calibri" w:hAnsi="Calibri"/>
          <w:b/>
          <w:bCs/>
          <w:szCs w:val="18"/>
        </w:rPr>
        <w:fldChar w:fldCharType="separate"/>
      </w:r>
      <w:r w:rsidR="00D95957">
        <w:rPr>
          <w:rFonts w:ascii="Calibri" w:hAnsi="Calibri"/>
          <w:b/>
          <w:bCs/>
          <w:noProof/>
          <w:szCs w:val="18"/>
        </w:rPr>
        <w:t>2</w:t>
      </w:r>
      <w:r w:rsidR="00D95957">
        <w:rPr>
          <w:rFonts w:ascii="Calibri" w:hAnsi="Calibri"/>
          <w:b/>
          <w:bCs/>
          <w:szCs w:val="18"/>
        </w:rPr>
        <w:fldChar w:fldCharType="end"/>
      </w:r>
      <w:bookmarkEnd w:id="272"/>
      <w:r w:rsidRPr="00850662">
        <w:rPr>
          <w:rFonts w:ascii="Calibri" w:hAnsi="Calibri"/>
          <w:b/>
          <w:bCs/>
          <w:szCs w:val="18"/>
        </w:rPr>
        <w:br/>
        <w:t>Actual and Representative LSRs and MCLs (MW)</w:t>
      </w:r>
      <w:r w:rsidRPr="00850662">
        <w:rPr>
          <w:rFonts w:ascii="Calibri" w:hAnsi="Calibri"/>
          <w:b/>
          <w:bCs/>
          <w:szCs w:val="18"/>
          <w:vertAlign w:val="superscript"/>
        </w:rPr>
        <w:t>(a</w:t>
      </w:r>
      <w:r w:rsidR="00644AAE" w:rsidRPr="00850662">
        <w:rPr>
          <w:rFonts w:ascii="Calibri" w:hAnsi="Calibri"/>
          <w:b/>
          <w:bCs/>
          <w:szCs w:val="18"/>
          <w:vertAlign w:val="superscript"/>
        </w:rPr>
        <w:t xml:space="preserve">, </w:t>
      </w:r>
      <w:r w:rsidRPr="00850662">
        <w:rPr>
          <w:rFonts w:ascii="Calibri" w:hAnsi="Calibri"/>
          <w:b/>
          <w:bCs/>
          <w:szCs w:val="18"/>
          <w:vertAlign w:val="superscript"/>
        </w:rPr>
        <w:t>b)</w:t>
      </w:r>
      <w:bookmarkEnd w:id="273"/>
    </w:p>
    <w:tbl>
      <w:tblPr>
        <w:tblW w:w="7680" w:type="dxa"/>
        <w:jc w:val="center"/>
        <w:tblInd w:w="93" w:type="dxa"/>
        <w:tblLook w:val="04A0" w:firstRow="1" w:lastRow="0" w:firstColumn="1" w:lastColumn="0" w:noHBand="0" w:noVBand="1"/>
      </w:tblPr>
      <w:tblGrid>
        <w:gridCol w:w="1024"/>
        <w:gridCol w:w="944"/>
        <w:gridCol w:w="949"/>
        <w:gridCol w:w="954"/>
        <w:gridCol w:w="957"/>
        <w:gridCol w:w="952"/>
        <w:gridCol w:w="951"/>
        <w:gridCol w:w="949"/>
      </w:tblGrid>
      <w:tr w:rsidR="00B47695" w:rsidRPr="00B47695" w:rsidTr="00A42B16">
        <w:trPr>
          <w:trHeight w:val="300"/>
          <w:jc w:val="center"/>
        </w:trPr>
        <w:tc>
          <w:tcPr>
            <w:tcW w:w="1920" w:type="dxa"/>
            <w:gridSpan w:val="2"/>
            <w:vMerge w:val="restart"/>
            <w:tcBorders>
              <w:top w:val="single" w:sz="4" w:space="0" w:color="auto"/>
              <w:left w:val="single" w:sz="4" w:space="0" w:color="auto"/>
              <w:bottom w:val="single" w:sz="4" w:space="0" w:color="auto"/>
              <w:right w:val="single" w:sz="4" w:space="0" w:color="auto"/>
            </w:tcBorders>
            <w:shd w:val="clear" w:color="auto" w:fill="1795D2" w:themeFill="accent1"/>
            <w:vAlign w:val="center"/>
            <w:hideMark/>
          </w:tcPr>
          <w:p w:rsidR="00B47695" w:rsidRPr="00B47695" w:rsidRDefault="00B47695" w:rsidP="00B47695">
            <w:pPr>
              <w:spacing w:after="0" w:line="240" w:lineRule="auto"/>
              <w:jc w:val="center"/>
              <w:rPr>
                <w:rFonts w:ascii="Calibri" w:eastAsia="Times New Roman" w:hAnsi="Calibri"/>
                <w:b/>
                <w:bCs/>
                <w:color w:val="FFFFFF"/>
                <w:sz w:val="18"/>
                <w:szCs w:val="18"/>
              </w:rPr>
            </w:pPr>
            <w:r w:rsidRPr="00B47695">
              <w:rPr>
                <w:rFonts w:ascii="Calibri" w:eastAsia="Times New Roman" w:hAnsi="Calibri"/>
                <w:b/>
                <w:bCs/>
                <w:color w:val="FFFFFF"/>
                <w:sz w:val="18"/>
                <w:szCs w:val="18"/>
              </w:rPr>
              <w:t>Commitment Period</w:t>
            </w:r>
          </w:p>
        </w:tc>
        <w:tc>
          <w:tcPr>
            <w:tcW w:w="3840" w:type="dxa"/>
            <w:gridSpan w:val="4"/>
            <w:tcBorders>
              <w:top w:val="single" w:sz="4" w:space="0" w:color="auto"/>
              <w:left w:val="nil"/>
              <w:bottom w:val="single" w:sz="4" w:space="0" w:color="auto"/>
              <w:right w:val="single" w:sz="4" w:space="0" w:color="auto"/>
            </w:tcBorders>
            <w:shd w:val="clear" w:color="auto" w:fill="1795D2" w:themeFill="accent1"/>
            <w:vAlign w:val="center"/>
            <w:hideMark/>
          </w:tcPr>
          <w:p w:rsidR="00B47695" w:rsidRPr="00B47695" w:rsidRDefault="00B47695" w:rsidP="00B47695">
            <w:pPr>
              <w:spacing w:after="0" w:line="240" w:lineRule="auto"/>
              <w:jc w:val="center"/>
              <w:rPr>
                <w:rFonts w:ascii="Calibri" w:eastAsia="Times New Roman" w:hAnsi="Calibri"/>
                <w:b/>
                <w:bCs/>
                <w:color w:val="FFFFFF"/>
                <w:sz w:val="18"/>
                <w:szCs w:val="18"/>
              </w:rPr>
            </w:pPr>
            <w:r w:rsidRPr="00B47695">
              <w:rPr>
                <w:rFonts w:ascii="Calibri" w:eastAsia="Times New Roman" w:hAnsi="Calibri"/>
                <w:b/>
                <w:bCs/>
                <w:color w:val="FFFFFF"/>
                <w:sz w:val="18"/>
                <w:szCs w:val="18"/>
              </w:rPr>
              <w:t>LSR (MW)</w:t>
            </w:r>
            <w:r w:rsidR="003158A3" w:rsidRPr="000D73CE">
              <w:rPr>
                <w:rFonts w:ascii="Calibri" w:eastAsia="Times New Roman" w:hAnsi="Calibri"/>
                <w:b/>
                <w:bCs/>
                <w:color w:val="FFFFFF"/>
                <w:sz w:val="18"/>
                <w:szCs w:val="18"/>
                <w:vertAlign w:val="superscript"/>
              </w:rPr>
              <w:t>(c)</w:t>
            </w:r>
          </w:p>
        </w:tc>
        <w:tc>
          <w:tcPr>
            <w:tcW w:w="1920" w:type="dxa"/>
            <w:gridSpan w:val="2"/>
            <w:tcBorders>
              <w:top w:val="single" w:sz="4" w:space="0" w:color="auto"/>
              <w:left w:val="nil"/>
              <w:bottom w:val="single" w:sz="4" w:space="0" w:color="auto"/>
              <w:right w:val="single" w:sz="4" w:space="0" w:color="auto"/>
            </w:tcBorders>
            <w:shd w:val="clear" w:color="auto" w:fill="1795D2" w:themeFill="accent1"/>
            <w:vAlign w:val="center"/>
            <w:hideMark/>
          </w:tcPr>
          <w:p w:rsidR="00B47695" w:rsidRPr="00B47695" w:rsidRDefault="00B47695" w:rsidP="00B47695">
            <w:pPr>
              <w:spacing w:after="0" w:line="240" w:lineRule="auto"/>
              <w:jc w:val="center"/>
              <w:rPr>
                <w:rFonts w:ascii="Calibri" w:eastAsia="Times New Roman" w:hAnsi="Calibri"/>
                <w:b/>
                <w:bCs/>
                <w:color w:val="FFFFFF"/>
                <w:sz w:val="18"/>
                <w:szCs w:val="18"/>
              </w:rPr>
            </w:pPr>
            <w:r w:rsidRPr="00B47695">
              <w:rPr>
                <w:rFonts w:ascii="Calibri" w:eastAsia="Times New Roman" w:hAnsi="Calibri"/>
                <w:b/>
                <w:bCs/>
                <w:color w:val="FFFFFF"/>
                <w:sz w:val="18"/>
                <w:szCs w:val="18"/>
              </w:rPr>
              <w:t>MCL (MW)</w:t>
            </w:r>
            <w:r w:rsidR="003158A3" w:rsidRPr="000D73CE">
              <w:rPr>
                <w:rFonts w:ascii="Calibri" w:eastAsia="Times New Roman" w:hAnsi="Calibri"/>
                <w:b/>
                <w:bCs/>
                <w:color w:val="FFFFFF"/>
                <w:sz w:val="18"/>
                <w:szCs w:val="18"/>
                <w:vertAlign w:val="superscript"/>
              </w:rPr>
              <w:t>(c)</w:t>
            </w:r>
          </w:p>
        </w:tc>
      </w:tr>
      <w:tr w:rsidR="00B47695" w:rsidRPr="00B47695" w:rsidTr="00A42B16">
        <w:trPr>
          <w:trHeight w:val="480"/>
          <w:jc w:val="center"/>
        </w:trPr>
        <w:tc>
          <w:tcPr>
            <w:tcW w:w="1920" w:type="dxa"/>
            <w:gridSpan w:val="2"/>
            <w:vMerge/>
            <w:tcBorders>
              <w:top w:val="single" w:sz="4" w:space="0" w:color="auto"/>
              <w:left w:val="single" w:sz="4" w:space="0" w:color="auto"/>
              <w:bottom w:val="single" w:sz="4" w:space="0" w:color="auto"/>
              <w:right w:val="single" w:sz="4" w:space="0" w:color="auto"/>
            </w:tcBorders>
            <w:shd w:val="clear" w:color="auto" w:fill="1795D2" w:themeFill="accent1"/>
            <w:vAlign w:val="center"/>
            <w:hideMark/>
          </w:tcPr>
          <w:p w:rsidR="00B47695" w:rsidRPr="00B47695" w:rsidRDefault="00B47695" w:rsidP="00B47695">
            <w:pPr>
              <w:spacing w:after="0" w:line="240" w:lineRule="auto"/>
              <w:rPr>
                <w:rFonts w:ascii="Calibri" w:eastAsia="Times New Roman" w:hAnsi="Calibri"/>
                <w:b/>
                <w:bCs/>
                <w:color w:val="FFFFFF"/>
                <w:sz w:val="18"/>
                <w:szCs w:val="18"/>
              </w:rPr>
            </w:pPr>
          </w:p>
        </w:tc>
        <w:tc>
          <w:tcPr>
            <w:tcW w:w="960" w:type="dxa"/>
            <w:tcBorders>
              <w:top w:val="nil"/>
              <w:left w:val="nil"/>
              <w:bottom w:val="single" w:sz="4" w:space="0" w:color="auto"/>
              <w:right w:val="single" w:sz="4" w:space="0" w:color="auto"/>
            </w:tcBorders>
            <w:shd w:val="clear" w:color="auto" w:fill="1795D2" w:themeFill="accent1"/>
            <w:vAlign w:val="center"/>
            <w:hideMark/>
          </w:tcPr>
          <w:p w:rsidR="00B47695" w:rsidRPr="00644AAE" w:rsidRDefault="00B47695" w:rsidP="00644AAE">
            <w:pPr>
              <w:spacing w:after="0" w:line="240" w:lineRule="auto"/>
              <w:jc w:val="center"/>
              <w:rPr>
                <w:rFonts w:ascii="Calibri" w:eastAsia="Times New Roman" w:hAnsi="Calibri"/>
                <w:b/>
                <w:bCs/>
                <w:color w:val="FFFFFF"/>
                <w:sz w:val="18"/>
                <w:szCs w:val="18"/>
              </w:rPr>
            </w:pPr>
            <w:r w:rsidRPr="00644AAE">
              <w:rPr>
                <w:rFonts w:ascii="Calibri" w:eastAsia="Times New Roman" w:hAnsi="Calibri"/>
                <w:b/>
                <w:bCs/>
                <w:color w:val="FFFFFF"/>
                <w:sz w:val="18"/>
                <w:szCs w:val="18"/>
              </w:rPr>
              <w:t>CT</w:t>
            </w:r>
            <w:r w:rsidRPr="00644AAE">
              <w:rPr>
                <w:rFonts w:ascii="Calibri" w:hAnsi="Calibri"/>
                <w:b/>
                <w:bCs/>
                <w:szCs w:val="18"/>
                <w:vertAlign w:val="superscript"/>
              </w:rPr>
              <w:t xml:space="preserve"> </w:t>
            </w:r>
          </w:p>
        </w:tc>
        <w:tc>
          <w:tcPr>
            <w:tcW w:w="960" w:type="dxa"/>
            <w:tcBorders>
              <w:top w:val="nil"/>
              <w:left w:val="nil"/>
              <w:bottom w:val="single" w:sz="4" w:space="0" w:color="auto"/>
              <w:right w:val="single" w:sz="4" w:space="0" w:color="auto"/>
            </w:tcBorders>
            <w:shd w:val="clear" w:color="auto" w:fill="1795D2" w:themeFill="accent1"/>
            <w:vAlign w:val="center"/>
            <w:hideMark/>
          </w:tcPr>
          <w:p w:rsidR="00B47695" w:rsidRPr="00644AAE" w:rsidRDefault="00B47695" w:rsidP="00644AAE">
            <w:pPr>
              <w:spacing w:after="0" w:line="240" w:lineRule="auto"/>
              <w:jc w:val="center"/>
              <w:rPr>
                <w:rFonts w:ascii="Calibri" w:eastAsia="Times New Roman" w:hAnsi="Calibri"/>
                <w:b/>
                <w:bCs/>
                <w:color w:val="FFFFFF"/>
                <w:sz w:val="18"/>
                <w:szCs w:val="18"/>
              </w:rPr>
            </w:pPr>
            <w:r w:rsidRPr="00644AAE">
              <w:rPr>
                <w:rFonts w:ascii="Calibri" w:eastAsia="Times New Roman" w:hAnsi="Calibri"/>
                <w:b/>
                <w:bCs/>
                <w:color w:val="FFFFFF"/>
                <w:sz w:val="18"/>
                <w:szCs w:val="18"/>
              </w:rPr>
              <w:t>NEMA/ Boston</w:t>
            </w:r>
          </w:p>
        </w:tc>
        <w:tc>
          <w:tcPr>
            <w:tcW w:w="960" w:type="dxa"/>
            <w:tcBorders>
              <w:top w:val="nil"/>
              <w:left w:val="nil"/>
              <w:bottom w:val="single" w:sz="4" w:space="0" w:color="auto"/>
              <w:right w:val="single" w:sz="4" w:space="0" w:color="auto"/>
            </w:tcBorders>
            <w:shd w:val="clear" w:color="auto" w:fill="1795D2" w:themeFill="accent1"/>
            <w:vAlign w:val="center"/>
            <w:hideMark/>
          </w:tcPr>
          <w:p w:rsidR="00B47695" w:rsidRPr="00644AAE" w:rsidRDefault="00B47695" w:rsidP="00644AAE">
            <w:pPr>
              <w:spacing w:after="0" w:line="240" w:lineRule="auto"/>
              <w:jc w:val="center"/>
              <w:rPr>
                <w:rFonts w:ascii="Calibri" w:eastAsia="Times New Roman" w:hAnsi="Calibri"/>
                <w:b/>
                <w:bCs/>
                <w:color w:val="FFFFFF"/>
                <w:sz w:val="18"/>
                <w:szCs w:val="18"/>
              </w:rPr>
            </w:pPr>
            <w:r w:rsidRPr="00644AAE">
              <w:rPr>
                <w:rFonts w:ascii="Calibri" w:eastAsia="Times New Roman" w:hAnsi="Calibri"/>
                <w:b/>
                <w:bCs/>
                <w:color w:val="FFFFFF"/>
                <w:sz w:val="18"/>
                <w:szCs w:val="18"/>
              </w:rPr>
              <w:t>SEMA/RI</w:t>
            </w:r>
          </w:p>
        </w:tc>
        <w:tc>
          <w:tcPr>
            <w:tcW w:w="960" w:type="dxa"/>
            <w:tcBorders>
              <w:top w:val="nil"/>
              <w:left w:val="nil"/>
              <w:bottom w:val="single" w:sz="4" w:space="0" w:color="auto"/>
              <w:right w:val="single" w:sz="4" w:space="0" w:color="auto"/>
            </w:tcBorders>
            <w:shd w:val="clear" w:color="auto" w:fill="1795D2" w:themeFill="accent1"/>
            <w:vAlign w:val="center"/>
            <w:hideMark/>
          </w:tcPr>
          <w:p w:rsidR="00B47695" w:rsidRPr="00644AAE" w:rsidRDefault="00B47695" w:rsidP="00644AAE">
            <w:pPr>
              <w:spacing w:after="0" w:line="240" w:lineRule="auto"/>
              <w:jc w:val="center"/>
              <w:rPr>
                <w:rFonts w:ascii="Calibri" w:eastAsia="Times New Roman" w:hAnsi="Calibri"/>
                <w:b/>
                <w:bCs/>
                <w:color w:val="FFFFFF"/>
                <w:sz w:val="18"/>
                <w:szCs w:val="18"/>
              </w:rPr>
            </w:pPr>
            <w:r w:rsidRPr="00644AAE">
              <w:rPr>
                <w:rFonts w:ascii="Calibri" w:eastAsia="Times New Roman" w:hAnsi="Calibri"/>
                <w:b/>
                <w:bCs/>
                <w:color w:val="FFFFFF"/>
                <w:sz w:val="18"/>
                <w:szCs w:val="18"/>
              </w:rPr>
              <w:t>SENE</w:t>
            </w:r>
          </w:p>
        </w:tc>
        <w:tc>
          <w:tcPr>
            <w:tcW w:w="960" w:type="dxa"/>
            <w:tcBorders>
              <w:top w:val="nil"/>
              <w:left w:val="nil"/>
              <w:bottom w:val="single" w:sz="4" w:space="0" w:color="auto"/>
              <w:right w:val="single" w:sz="4" w:space="0" w:color="auto"/>
            </w:tcBorders>
            <w:shd w:val="clear" w:color="auto" w:fill="1795D2" w:themeFill="accent1"/>
            <w:vAlign w:val="center"/>
            <w:hideMark/>
          </w:tcPr>
          <w:p w:rsidR="00B47695" w:rsidRPr="00644AAE" w:rsidRDefault="00B47695" w:rsidP="00644AAE">
            <w:pPr>
              <w:spacing w:after="0" w:line="240" w:lineRule="auto"/>
              <w:jc w:val="center"/>
              <w:rPr>
                <w:rFonts w:ascii="Calibri" w:eastAsia="Times New Roman" w:hAnsi="Calibri"/>
                <w:b/>
                <w:bCs/>
                <w:color w:val="FFFFFF"/>
                <w:sz w:val="18"/>
                <w:szCs w:val="18"/>
              </w:rPr>
            </w:pPr>
            <w:r w:rsidRPr="00644AAE">
              <w:rPr>
                <w:rFonts w:ascii="Calibri" w:eastAsia="Times New Roman" w:hAnsi="Calibri"/>
                <w:b/>
                <w:bCs/>
                <w:color w:val="FFFFFF"/>
                <w:sz w:val="18"/>
                <w:szCs w:val="18"/>
              </w:rPr>
              <w:t>Maine</w:t>
            </w:r>
          </w:p>
        </w:tc>
        <w:tc>
          <w:tcPr>
            <w:tcW w:w="960" w:type="dxa"/>
            <w:tcBorders>
              <w:top w:val="nil"/>
              <w:left w:val="nil"/>
              <w:bottom w:val="single" w:sz="4" w:space="0" w:color="auto"/>
              <w:right w:val="single" w:sz="4" w:space="0" w:color="auto"/>
            </w:tcBorders>
            <w:shd w:val="clear" w:color="auto" w:fill="1795D2" w:themeFill="accent1"/>
            <w:vAlign w:val="center"/>
            <w:hideMark/>
          </w:tcPr>
          <w:p w:rsidR="00B47695" w:rsidRPr="00644AAE" w:rsidRDefault="00B47695" w:rsidP="00644AAE">
            <w:pPr>
              <w:spacing w:after="0" w:line="240" w:lineRule="auto"/>
              <w:jc w:val="center"/>
              <w:rPr>
                <w:rFonts w:ascii="Calibri" w:eastAsia="Times New Roman" w:hAnsi="Calibri"/>
                <w:b/>
                <w:bCs/>
                <w:color w:val="FFFFFF"/>
                <w:sz w:val="18"/>
                <w:szCs w:val="18"/>
              </w:rPr>
            </w:pPr>
            <w:r w:rsidRPr="00644AAE">
              <w:rPr>
                <w:rFonts w:ascii="Calibri" w:eastAsia="Times New Roman" w:hAnsi="Calibri"/>
                <w:b/>
                <w:bCs/>
                <w:color w:val="FFFFFF"/>
                <w:sz w:val="18"/>
                <w:szCs w:val="18"/>
              </w:rPr>
              <w:t>NNE</w:t>
            </w:r>
          </w:p>
        </w:tc>
      </w:tr>
      <w:tr w:rsidR="00B47695" w:rsidRPr="00B47695" w:rsidTr="00B47695">
        <w:trPr>
          <w:trHeight w:val="300"/>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B47695" w:rsidRPr="00B47695" w:rsidRDefault="00B47695" w:rsidP="00B47695">
            <w:pPr>
              <w:spacing w:after="0" w:line="240" w:lineRule="auto"/>
              <w:jc w:val="center"/>
              <w:rPr>
                <w:rFonts w:ascii="Calibri" w:eastAsia="Times New Roman" w:hAnsi="Calibri"/>
                <w:b/>
                <w:bCs/>
                <w:sz w:val="18"/>
                <w:szCs w:val="18"/>
              </w:rPr>
            </w:pPr>
            <w:r w:rsidRPr="00B47695">
              <w:rPr>
                <w:rFonts w:ascii="Calibri" w:eastAsia="Times New Roman" w:hAnsi="Calibri"/>
                <w:b/>
                <w:bCs/>
                <w:sz w:val="18"/>
                <w:szCs w:val="18"/>
              </w:rPr>
              <w:t>2017/2018</w:t>
            </w:r>
          </w:p>
        </w:tc>
        <w:tc>
          <w:tcPr>
            <w:tcW w:w="960" w:type="dxa"/>
            <w:tcBorders>
              <w:top w:val="nil"/>
              <w:left w:val="nil"/>
              <w:bottom w:val="single" w:sz="4" w:space="0" w:color="auto"/>
              <w:right w:val="single" w:sz="4" w:space="0" w:color="auto"/>
            </w:tcBorders>
            <w:shd w:val="clear" w:color="auto" w:fill="auto"/>
            <w:vAlign w:val="center"/>
            <w:hideMark/>
          </w:tcPr>
          <w:p w:rsidR="00B47695" w:rsidRPr="00B47695" w:rsidRDefault="00B47695" w:rsidP="00B47695">
            <w:pPr>
              <w:spacing w:after="0" w:line="240" w:lineRule="auto"/>
              <w:jc w:val="center"/>
              <w:rPr>
                <w:rFonts w:ascii="Calibri" w:eastAsia="Times New Roman" w:hAnsi="Calibri"/>
                <w:sz w:val="18"/>
                <w:szCs w:val="18"/>
              </w:rPr>
            </w:pPr>
            <w:r w:rsidRPr="00B47695">
              <w:rPr>
                <w:rFonts w:ascii="Calibri" w:eastAsia="Times New Roman" w:hAnsi="Calibri"/>
                <w:sz w:val="18"/>
                <w:szCs w:val="18"/>
              </w:rPr>
              <w:t>FCA #8</w:t>
            </w:r>
          </w:p>
        </w:tc>
        <w:tc>
          <w:tcPr>
            <w:tcW w:w="960" w:type="dxa"/>
            <w:tcBorders>
              <w:top w:val="nil"/>
              <w:left w:val="nil"/>
              <w:bottom w:val="single" w:sz="4" w:space="0" w:color="auto"/>
              <w:right w:val="single" w:sz="4" w:space="0" w:color="auto"/>
            </w:tcBorders>
            <w:shd w:val="clear" w:color="auto" w:fill="auto"/>
            <w:vAlign w:val="center"/>
            <w:hideMark/>
          </w:tcPr>
          <w:p w:rsidR="00B47695" w:rsidRPr="00B47695" w:rsidRDefault="00B47695" w:rsidP="00B47695">
            <w:pPr>
              <w:spacing w:after="0" w:line="240" w:lineRule="auto"/>
              <w:ind w:firstLineChars="100" w:firstLine="180"/>
              <w:jc w:val="right"/>
              <w:rPr>
                <w:rFonts w:ascii="Calibri" w:eastAsia="Times New Roman" w:hAnsi="Calibri"/>
                <w:sz w:val="18"/>
                <w:szCs w:val="18"/>
              </w:rPr>
            </w:pPr>
            <w:r w:rsidRPr="00B47695">
              <w:rPr>
                <w:rFonts w:ascii="Calibri" w:eastAsia="Times New Roman" w:hAnsi="Calibri"/>
                <w:sz w:val="18"/>
                <w:szCs w:val="18"/>
              </w:rPr>
              <w:t>7,319</w:t>
            </w:r>
          </w:p>
        </w:tc>
        <w:tc>
          <w:tcPr>
            <w:tcW w:w="960" w:type="dxa"/>
            <w:tcBorders>
              <w:top w:val="nil"/>
              <w:left w:val="nil"/>
              <w:bottom w:val="single" w:sz="4" w:space="0" w:color="auto"/>
              <w:right w:val="single" w:sz="4" w:space="0" w:color="auto"/>
            </w:tcBorders>
            <w:shd w:val="clear" w:color="000000" w:fill="FFFFFF"/>
            <w:vAlign w:val="center"/>
            <w:hideMark/>
          </w:tcPr>
          <w:p w:rsidR="00B47695" w:rsidRPr="00B47695" w:rsidRDefault="00B47695" w:rsidP="00B47695">
            <w:pPr>
              <w:spacing w:after="0" w:line="240" w:lineRule="auto"/>
              <w:ind w:firstLineChars="100" w:firstLine="180"/>
              <w:jc w:val="right"/>
              <w:rPr>
                <w:rFonts w:ascii="Calibri" w:eastAsia="Times New Roman" w:hAnsi="Calibri"/>
                <w:sz w:val="18"/>
                <w:szCs w:val="18"/>
              </w:rPr>
            </w:pPr>
            <w:r w:rsidRPr="00B47695">
              <w:rPr>
                <w:rFonts w:ascii="Calibri" w:eastAsia="Times New Roman" w:hAnsi="Calibri"/>
                <w:sz w:val="18"/>
                <w:szCs w:val="18"/>
              </w:rPr>
              <w:t>3,428</w:t>
            </w:r>
          </w:p>
        </w:tc>
        <w:tc>
          <w:tcPr>
            <w:tcW w:w="960" w:type="dxa"/>
            <w:tcBorders>
              <w:top w:val="nil"/>
              <w:left w:val="nil"/>
              <w:bottom w:val="single" w:sz="4" w:space="0" w:color="auto"/>
              <w:right w:val="single" w:sz="4" w:space="0" w:color="auto"/>
            </w:tcBorders>
            <w:shd w:val="clear" w:color="000000" w:fill="FFFFFF"/>
            <w:vAlign w:val="center"/>
            <w:hideMark/>
          </w:tcPr>
          <w:p w:rsidR="00B47695" w:rsidRPr="00B47695" w:rsidRDefault="00B47695" w:rsidP="00B47695">
            <w:pPr>
              <w:spacing w:after="0" w:line="240" w:lineRule="auto"/>
              <w:ind w:firstLineChars="100" w:firstLine="180"/>
              <w:jc w:val="right"/>
              <w:rPr>
                <w:rFonts w:ascii="Calibri" w:eastAsia="Times New Roman" w:hAnsi="Calibri"/>
                <w:sz w:val="18"/>
                <w:szCs w:val="18"/>
              </w:rPr>
            </w:pPr>
            <w:r w:rsidRPr="00B47695">
              <w:rPr>
                <w:rFonts w:ascii="Calibri" w:eastAsia="Times New Roman" w:hAnsi="Calibri"/>
                <w:sz w:val="18"/>
                <w:szCs w:val="18"/>
              </w:rPr>
              <w:t>N/A</w:t>
            </w:r>
          </w:p>
        </w:tc>
        <w:tc>
          <w:tcPr>
            <w:tcW w:w="960" w:type="dxa"/>
            <w:tcBorders>
              <w:top w:val="nil"/>
              <w:left w:val="nil"/>
              <w:bottom w:val="single" w:sz="4" w:space="0" w:color="auto"/>
              <w:right w:val="single" w:sz="4" w:space="0" w:color="auto"/>
            </w:tcBorders>
            <w:shd w:val="clear" w:color="000000" w:fill="FFFFFF"/>
            <w:vAlign w:val="center"/>
            <w:hideMark/>
          </w:tcPr>
          <w:p w:rsidR="00B47695" w:rsidRPr="00B47695" w:rsidRDefault="00B47695" w:rsidP="00850662">
            <w:pPr>
              <w:spacing w:after="0" w:line="240" w:lineRule="auto"/>
              <w:ind w:firstLineChars="100" w:firstLine="180"/>
              <w:jc w:val="center"/>
              <w:rPr>
                <w:rFonts w:ascii="Calibri" w:eastAsia="Times New Roman" w:hAnsi="Calibri"/>
                <w:sz w:val="18"/>
                <w:szCs w:val="18"/>
              </w:rPr>
            </w:pPr>
            <w:r w:rsidRPr="00B47695">
              <w:rPr>
                <w:rFonts w:ascii="Calibri" w:eastAsia="Times New Roman" w:hAnsi="Calibri"/>
                <w:sz w:val="18"/>
                <w:szCs w:val="18"/>
              </w:rPr>
              <w:t>N/A</w:t>
            </w:r>
          </w:p>
        </w:tc>
        <w:tc>
          <w:tcPr>
            <w:tcW w:w="960" w:type="dxa"/>
            <w:tcBorders>
              <w:top w:val="nil"/>
              <w:left w:val="nil"/>
              <w:bottom w:val="single" w:sz="4" w:space="0" w:color="auto"/>
              <w:right w:val="single" w:sz="4" w:space="0" w:color="auto"/>
            </w:tcBorders>
            <w:shd w:val="clear" w:color="000000" w:fill="FFFFFF"/>
            <w:vAlign w:val="center"/>
            <w:hideMark/>
          </w:tcPr>
          <w:p w:rsidR="00B47695" w:rsidRPr="00B47695" w:rsidRDefault="00B47695" w:rsidP="00B47695">
            <w:pPr>
              <w:spacing w:after="0" w:line="240" w:lineRule="auto"/>
              <w:ind w:firstLineChars="100" w:firstLine="180"/>
              <w:jc w:val="right"/>
              <w:rPr>
                <w:rFonts w:ascii="Calibri" w:eastAsia="Times New Roman" w:hAnsi="Calibri"/>
                <w:sz w:val="18"/>
                <w:szCs w:val="18"/>
              </w:rPr>
            </w:pPr>
            <w:r w:rsidRPr="00B47695">
              <w:rPr>
                <w:rFonts w:ascii="Calibri" w:eastAsia="Times New Roman" w:hAnsi="Calibri"/>
                <w:sz w:val="18"/>
                <w:szCs w:val="18"/>
              </w:rPr>
              <w:t>3,960</w:t>
            </w:r>
          </w:p>
        </w:tc>
        <w:tc>
          <w:tcPr>
            <w:tcW w:w="960" w:type="dxa"/>
            <w:tcBorders>
              <w:top w:val="nil"/>
              <w:left w:val="nil"/>
              <w:bottom w:val="single" w:sz="4" w:space="0" w:color="auto"/>
              <w:right w:val="single" w:sz="4" w:space="0" w:color="auto"/>
            </w:tcBorders>
            <w:shd w:val="clear" w:color="000000" w:fill="FFFFFF"/>
            <w:vAlign w:val="center"/>
            <w:hideMark/>
          </w:tcPr>
          <w:p w:rsidR="00B47695" w:rsidRPr="00B47695" w:rsidRDefault="00B47695" w:rsidP="00850662">
            <w:pPr>
              <w:spacing w:after="0" w:line="240" w:lineRule="auto"/>
              <w:ind w:firstLineChars="100" w:firstLine="180"/>
              <w:jc w:val="center"/>
              <w:rPr>
                <w:rFonts w:ascii="Calibri" w:eastAsia="Times New Roman" w:hAnsi="Calibri"/>
                <w:sz w:val="18"/>
                <w:szCs w:val="18"/>
              </w:rPr>
            </w:pPr>
            <w:r w:rsidRPr="00B47695">
              <w:rPr>
                <w:rFonts w:ascii="Calibri" w:eastAsia="Times New Roman" w:hAnsi="Calibri"/>
                <w:sz w:val="18"/>
                <w:szCs w:val="18"/>
              </w:rPr>
              <w:t>N/A</w:t>
            </w:r>
          </w:p>
        </w:tc>
      </w:tr>
      <w:tr w:rsidR="00B47695" w:rsidRPr="00B47695" w:rsidTr="00A42B16">
        <w:trPr>
          <w:trHeight w:val="300"/>
          <w:jc w:val="center"/>
        </w:trPr>
        <w:tc>
          <w:tcPr>
            <w:tcW w:w="960" w:type="dxa"/>
            <w:tcBorders>
              <w:top w:val="nil"/>
              <w:left w:val="single" w:sz="4" w:space="0" w:color="auto"/>
              <w:bottom w:val="single" w:sz="4" w:space="0" w:color="auto"/>
              <w:right w:val="single" w:sz="4" w:space="0" w:color="auto"/>
            </w:tcBorders>
            <w:shd w:val="clear" w:color="auto" w:fill="CCEAF9" w:themeFill="accent1" w:themeFillTint="33"/>
            <w:vAlign w:val="center"/>
            <w:hideMark/>
          </w:tcPr>
          <w:p w:rsidR="00B47695" w:rsidRPr="00B47695" w:rsidRDefault="00B47695" w:rsidP="00B47695">
            <w:pPr>
              <w:spacing w:after="0" w:line="240" w:lineRule="auto"/>
              <w:jc w:val="center"/>
              <w:rPr>
                <w:rFonts w:ascii="Calibri" w:eastAsia="Times New Roman" w:hAnsi="Calibri"/>
                <w:b/>
                <w:bCs/>
                <w:sz w:val="18"/>
                <w:szCs w:val="18"/>
              </w:rPr>
            </w:pPr>
            <w:r w:rsidRPr="00B47695">
              <w:rPr>
                <w:rFonts w:ascii="Calibri" w:eastAsia="Times New Roman" w:hAnsi="Calibri"/>
                <w:b/>
                <w:bCs/>
                <w:sz w:val="18"/>
                <w:szCs w:val="18"/>
              </w:rPr>
              <w:t>2018/2019</w:t>
            </w:r>
          </w:p>
        </w:tc>
        <w:tc>
          <w:tcPr>
            <w:tcW w:w="960" w:type="dxa"/>
            <w:tcBorders>
              <w:top w:val="nil"/>
              <w:left w:val="nil"/>
              <w:bottom w:val="single" w:sz="4" w:space="0" w:color="auto"/>
              <w:right w:val="single" w:sz="4" w:space="0" w:color="auto"/>
            </w:tcBorders>
            <w:shd w:val="clear" w:color="auto" w:fill="CCEAF9" w:themeFill="accent1" w:themeFillTint="33"/>
            <w:vAlign w:val="center"/>
            <w:hideMark/>
          </w:tcPr>
          <w:p w:rsidR="00B47695" w:rsidRPr="00B47695" w:rsidRDefault="00B47695" w:rsidP="00B47695">
            <w:pPr>
              <w:spacing w:after="0" w:line="240" w:lineRule="auto"/>
              <w:jc w:val="center"/>
              <w:rPr>
                <w:rFonts w:ascii="Calibri" w:eastAsia="Times New Roman" w:hAnsi="Calibri"/>
                <w:sz w:val="18"/>
                <w:szCs w:val="18"/>
              </w:rPr>
            </w:pPr>
            <w:r w:rsidRPr="00B47695">
              <w:rPr>
                <w:rFonts w:ascii="Calibri" w:eastAsia="Times New Roman" w:hAnsi="Calibri"/>
                <w:sz w:val="18"/>
                <w:szCs w:val="18"/>
              </w:rPr>
              <w:t>FCA #9</w:t>
            </w:r>
          </w:p>
        </w:tc>
        <w:tc>
          <w:tcPr>
            <w:tcW w:w="960" w:type="dxa"/>
            <w:tcBorders>
              <w:top w:val="nil"/>
              <w:left w:val="nil"/>
              <w:bottom w:val="single" w:sz="4" w:space="0" w:color="auto"/>
              <w:right w:val="single" w:sz="4" w:space="0" w:color="auto"/>
            </w:tcBorders>
            <w:shd w:val="clear" w:color="auto" w:fill="CCEAF9" w:themeFill="accent1" w:themeFillTint="33"/>
            <w:vAlign w:val="center"/>
            <w:hideMark/>
          </w:tcPr>
          <w:p w:rsidR="00B47695" w:rsidRPr="00B47695" w:rsidRDefault="00B47695" w:rsidP="00B47695">
            <w:pPr>
              <w:spacing w:after="0" w:line="240" w:lineRule="auto"/>
              <w:ind w:firstLineChars="100" w:firstLine="180"/>
              <w:jc w:val="right"/>
              <w:rPr>
                <w:rFonts w:ascii="Calibri" w:eastAsia="Times New Roman" w:hAnsi="Calibri"/>
                <w:sz w:val="18"/>
                <w:szCs w:val="18"/>
              </w:rPr>
            </w:pPr>
            <w:r w:rsidRPr="00B47695">
              <w:rPr>
                <w:rFonts w:ascii="Calibri" w:eastAsia="Times New Roman" w:hAnsi="Calibri"/>
                <w:sz w:val="18"/>
                <w:szCs w:val="18"/>
              </w:rPr>
              <w:t>7,331</w:t>
            </w:r>
          </w:p>
        </w:tc>
        <w:tc>
          <w:tcPr>
            <w:tcW w:w="960" w:type="dxa"/>
            <w:tcBorders>
              <w:top w:val="nil"/>
              <w:left w:val="nil"/>
              <w:bottom w:val="single" w:sz="4" w:space="0" w:color="auto"/>
              <w:right w:val="single" w:sz="4" w:space="0" w:color="auto"/>
            </w:tcBorders>
            <w:shd w:val="clear" w:color="auto" w:fill="CCEAF9" w:themeFill="accent1" w:themeFillTint="33"/>
            <w:vAlign w:val="center"/>
            <w:hideMark/>
          </w:tcPr>
          <w:p w:rsidR="00B47695" w:rsidRPr="00B47695" w:rsidRDefault="00B47695" w:rsidP="00B47695">
            <w:pPr>
              <w:spacing w:after="0" w:line="240" w:lineRule="auto"/>
              <w:ind w:firstLineChars="100" w:firstLine="180"/>
              <w:jc w:val="right"/>
              <w:rPr>
                <w:rFonts w:ascii="Calibri" w:eastAsia="Times New Roman" w:hAnsi="Calibri"/>
                <w:sz w:val="18"/>
                <w:szCs w:val="18"/>
              </w:rPr>
            </w:pPr>
            <w:r w:rsidRPr="00B47695">
              <w:rPr>
                <w:rFonts w:ascii="Calibri" w:eastAsia="Times New Roman" w:hAnsi="Calibri"/>
                <w:sz w:val="18"/>
                <w:szCs w:val="18"/>
              </w:rPr>
              <w:t>3,572</w:t>
            </w:r>
          </w:p>
        </w:tc>
        <w:tc>
          <w:tcPr>
            <w:tcW w:w="960" w:type="dxa"/>
            <w:tcBorders>
              <w:top w:val="nil"/>
              <w:left w:val="nil"/>
              <w:bottom w:val="single" w:sz="4" w:space="0" w:color="auto"/>
              <w:right w:val="single" w:sz="4" w:space="0" w:color="auto"/>
            </w:tcBorders>
            <w:shd w:val="clear" w:color="auto" w:fill="CCEAF9" w:themeFill="accent1" w:themeFillTint="33"/>
            <w:vAlign w:val="center"/>
            <w:hideMark/>
          </w:tcPr>
          <w:p w:rsidR="00B47695" w:rsidRPr="00B47695" w:rsidRDefault="00B47695" w:rsidP="00B47695">
            <w:pPr>
              <w:spacing w:after="0" w:line="240" w:lineRule="auto"/>
              <w:ind w:firstLineChars="100" w:firstLine="180"/>
              <w:jc w:val="right"/>
              <w:rPr>
                <w:rFonts w:ascii="Calibri" w:eastAsia="Times New Roman" w:hAnsi="Calibri"/>
                <w:sz w:val="18"/>
                <w:szCs w:val="18"/>
              </w:rPr>
            </w:pPr>
            <w:r w:rsidRPr="00B47695">
              <w:rPr>
                <w:rFonts w:ascii="Calibri" w:eastAsia="Times New Roman" w:hAnsi="Calibri"/>
                <w:sz w:val="18"/>
                <w:szCs w:val="18"/>
              </w:rPr>
              <w:t>7,479</w:t>
            </w:r>
          </w:p>
        </w:tc>
        <w:tc>
          <w:tcPr>
            <w:tcW w:w="960" w:type="dxa"/>
            <w:tcBorders>
              <w:top w:val="nil"/>
              <w:left w:val="nil"/>
              <w:bottom w:val="single" w:sz="4" w:space="0" w:color="auto"/>
              <w:right w:val="single" w:sz="4" w:space="0" w:color="auto"/>
            </w:tcBorders>
            <w:shd w:val="clear" w:color="auto" w:fill="CCEAF9" w:themeFill="accent1" w:themeFillTint="33"/>
            <w:vAlign w:val="center"/>
            <w:hideMark/>
          </w:tcPr>
          <w:p w:rsidR="00B47695" w:rsidRPr="00B47695" w:rsidRDefault="00B47695" w:rsidP="00850662">
            <w:pPr>
              <w:spacing w:after="0" w:line="240" w:lineRule="auto"/>
              <w:ind w:firstLineChars="100" w:firstLine="180"/>
              <w:jc w:val="center"/>
              <w:rPr>
                <w:rFonts w:ascii="Calibri" w:eastAsia="Times New Roman" w:hAnsi="Calibri"/>
                <w:sz w:val="18"/>
                <w:szCs w:val="18"/>
              </w:rPr>
            </w:pPr>
            <w:r w:rsidRPr="00B47695">
              <w:rPr>
                <w:rFonts w:ascii="Calibri" w:eastAsia="Times New Roman" w:hAnsi="Calibri"/>
                <w:sz w:val="18"/>
                <w:szCs w:val="18"/>
              </w:rPr>
              <w:t>N/A</w:t>
            </w:r>
          </w:p>
        </w:tc>
        <w:tc>
          <w:tcPr>
            <w:tcW w:w="960" w:type="dxa"/>
            <w:tcBorders>
              <w:top w:val="nil"/>
              <w:left w:val="nil"/>
              <w:bottom w:val="single" w:sz="4" w:space="0" w:color="auto"/>
              <w:right w:val="single" w:sz="4" w:space="0" w:color="auto"/>
            </w:tcBorders>
            <w:shd w:val="clear" w:color="auto" w:fill="CCEAF9" w:themeFill="accent1" w:themeFillTint="33"/>
            <w:vAlign w:val="center"/>
            <w:hideMark/>
          </w:tcPr>
          <w:p w:rsidR="00B47695" w:rsidRPr="00B47695" w:rsidRDefault="00B47695" w:rsidP="00850662">
            <w:pPr>
              <w:spacing w:after="0" w:line="240" w:lineRule="auto"/>
              <w:ind w:firstLineChars="100" w:firstLine="180"/>
              <w:jc w:val="center"/>
              <w:rPr>
                <w:rFonts w:ascii="Calibri" w:eastAsia="Times New Roman" w:hAnsi="Calibri"/>
                <w:sz w:val="18"/>
                <w:szCs w:val="18"/>
              </w:rPr>
            </w:pPr>
            <w:r w:rsidRPr="00B47695">
              <w:rPr>
                <w:rFonts w:ascii="Calibri" w:eastAsia="Times New Roman" w:hAnsi="Calibri"/>
                <w:sz w:val="18"/>
                <w:szCs w:val="18"/>
              </w:rPr>
              <w:t>N/A</w:t>
            </w:r>
          </w:p>
        </w:tc>
        <w:tc>
          <w:tcPr>
            <w:tcW w:w="960" w:type="dxa"/>
            <w:tcBorders>
              <w:top w:val="nil"/>
              <w:left w:val="nil"/>
              <w:bottom w:val="single" w:sz="4" w:space="0" w:color="auto"/>
              <w:right w:val="single" w:sz="4" w:space="0" w:color="auto"/>
            </w:tcBorders>
            <w:shd w:val="clear" w:color="auto" w:fill="CCEAF9" w:themeFill="accent1" w:themeFillTint="33"/>
            <w:vAlign w:val="center"/>
            <w:hideMark/>
          </w:tcPr>
          <w:p w:rsidR="00B47695" w:rsidRPr="00B47695" w:rsidRDefault="00B47695" w:rsidP="00850662">
            <w:pPr>
              <w:spacing w:after="0" w:line="240" w:lineRule="auto"/>
              <w:ind w:firstLineChars="100" w:firstLine="180"/>
              <w:jc w:val="center"/>
              <w:rPr>
                <w:rFonts w:ascii="Calibri" w:eastAsia="Times New Roman" w:hAnsi="Calibri"/>
                <w:sz w:val="18"/>
                <w:szCs w:val="18"/>
              </w:rPr>
            </w:pPr>
            <w:r w:rsidRPr="00B47695">
              <w:rPr>
                <w:rFonts w:ascii="Calibri" w:eastAsia="Times New Roman" w:hAnsi="Calibri"/>
                <w:sz w:val="18"/>
                <w:szCs w:val="18"/>
              </w:rPr>
              <w:t>N/A</w:t>
            </w:r>
          </w:p>
        </w:tc>
      </w:tr>
      <w:tr w:rsidR="00B47695" w:rsidRPr="00B47695" w:rsidTr="00B47695">
        <w:trPr>
          <w:trHeight w:val="300"/>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B47695" w:rsidRPr="00B47695" w:rsidRDefault="00B47695" w:rsidP="00B47695">
            <w:pPr>
              <w:spacing w:after="0" w:line="240" w:lineRule="auto"/>
              <w:jc w:val="center"/>
              <w:rPr>
                <w:rFonts w:ascii="Calibri" w:eastAsia="Times New Roman" w:hAnsi="Calibri"/>
                <w:b/>
                <w:bCs/>
                <w:sz w:val="18"/>
                <w:szCs w:val="18"/>
              </w:rPr>
            </w:pPr>
            <w:r w:rsidRPr="00B47695">
              <w:rPr>
                <w:rFonts w:ascii="Calibri" w:eastAsia="Times New Roman" w:hAnsi="Calibri"/>
                <w:b/>
                <w:bCs/>
                <w:sz w:val="18"/>
                <w:szCs w:val="18"/>
              </w:rPr>
              <w:t>2019/2020</w:t>
            </w:r>
          </w:p>
        </w:tc>
        <w:tc>
          <w:tcPr>
            <w:tcW w:w="960" w:type="dxa"/>
            <w:tcBorders>
              <w:top w:val="nil"/>
              <w:left w:val="nil"/>
              <w:bottom w:val="single" w:sz="4" w:space="0" w:color="auto"/>
              <w:right w:val="single" w:sz="4" w:space="0" w:color="auto"/>
            </w:tcBorders>
            <w:shd w:val="clear" w:color="auto" w:fill="auto"/>
            <w:vAlign w:val="center"/>
            <w:hideMark/>
          </w:tcPr>
          <w:p w:rsidR="00B47695" w:rsidRPr="00B47695" w:rsidRDefault="00B47695" w:rsidP="00B47695">
            <w:pPr>
              <w:spacing w:after="0" w:line="240" w:lineRule="auto"/>
              <w:jc w:val="center"/>
              <w:rPr>
                <w:rFonts w:ascii="Calibri" w:eastAsia="Times New Roman" w:hAnsi="Calibri"/>
                <w:sz w:val="18"/>
                <w:szCs w:val="18"/>
              </w:rPr>
            </w:pPr>
            <w:r w:rsidRPr="00B47695">
              <w:rPr>
                <w:rFonts w:ascii="Calibri" w:eastAsia="Times New Roman" w:hAnsi="Calibri"/>
                <w:sz w:val="18"/>
                <w:szCs w:val="18"/>
              </w:rPr>
              <w:t>FCA #10</w:t>
            </w:r>
          </w:p>
        </w:tc>
        <w:tc>
          <w:tcPr>
            <w:tcW w:w="960" w:type="dxa"/>
            <w:tcBorders>
              <w:top w:val="nil"/>
              <w:left w:val="nil"/>
              <w:bottom w:val="single" w:sz="4" w:space="0" w:color="auto"/>
              <w:right w:val="single" w:sz="4" w:space="0" w:color="auto"/>
            </w:tcBorders>
            <w:shd w:val="clear" w:color="000000" w:fill="FFFFFF"/>
            <w:vAlign w:val="center"/>
            <w:hideMark/>
          </w:tcPr>
          <w:p w:rsidR="00B47695" w:rsidRPr="00B47695" w:rsidRDefault="00B47695" w:rsidP="00850662">
            <w:pPr>
              <w:spacing w:after="0" w:line="240" w:lineRule="auto"/>
              <w:ind w:firstLineChars="100" w:firstLine="180"/>
              <w:jc w:val="center"/>
              <w:rPr>
                <w:rFonts w:ascii="Calibri" w:eastAsia="Times New Roman" w:hAnsi="Calibri"/>
                <w:sz w:val="18"/>
                <w:szCs w:val="18"/>
              </w:rPr>
            </w:pPr>
            <w:r w:rsidRPr="00B47695">
              <w:rPr>
                <w:rFonts w:ascii="Calibri" w:eastAsia="Times New Roman" w:hAnsi="Calibri"/>
                <w:sz w:val="18"/>
                <w:szCs w:val="18"/>
              </w:rPr>
              <w:t>N/A</w:t>
            </w:r>
          </w:p>
        </w:tc>
        <w:tc>
          <w:tcPr>
            <w:tcW w:w="960" w:type="dxa"/>
            <w:tcBorders>
              <w:top w:val="nil"/>
              <w:left w:val="nil"/>
              <w:bottom w:val="single" w:sz="4" w:space="0" w:color="auto"/>
              <w:right w:val="single" w:sz="4" w:space="0" w:color="auto"/>
            </w:tcBorders>
            <w:shd w:val="clear" w:color="000000" w:fill="FFFFFF"/>
            <w:vAlign w:val="center"/>
            <w:hideMark/>
          </w:tcPr>
          <w:p w:rsidR="00B47695" w:rsidRPr="00B47695" w:rsidRDefault="00B47695" w:rsidP="00850662">
            <w:pPr>
              <w:spacing w:after="0" w:line="240" w:lineRule="auto"/>
              <w:ind w:firstLineChars="100" w:firstLine="180"/>
              <w:jc w:val="center"/>
              <w:rPr>
                <w:rFonts w:ascii="Calibri" w:eastAsia="Times New Roman" w:hAnsi="Calibri"/>
                <w:sz w:val="18"/>
                <w:szCs w:val="18"/>
              </w:rPr>
            </w:pPr>
            <w:r w:rsidRPr="00B47695">
              <w:rPr>
                <w:rFonts w:ascii="Calibri" w:eastAsia="Times New Roman" w:hAnsi="Calibri"/>
                <w:sz w:val="18"/>
                <w:szCs w:val="18"/>
              </w:rPr>
              <w:t>N/A</w:t>
            </w:r>
          </w:p>
        </w:tc>
        <w:tc>
          <w:tcPr>
            <w:tcW w:w="960" w:type="dxa"/>
            <w:tcBorders>
              <w:top w:val="nil"/>
              <w:left w:val="nil"/>
              <w:bottom w:val="single" w:sz="4" w:space="0" w:color="auto"/>
              <w:right w:val="single" w:sz="4" w:space="0" w:color="auto"/>
            </w:tcBorders>
            <w:shd w:val="clear" w:color="000000" w:fill="FFFFFF"/>
            <w:vAlign w:val="center"/>
            <w:hideMark/>
          </w:tcPr>
          <w:p w:rsidR="00B47695" w:rsidRPr="00B47695" w:rsidRDefault="00B47695" w:rsidP="00850662">
            <w:pPr>
              <w:spacing w:after="0" w:line="240" w:lineRule="auto"/>
              <w:ind w:firstLineChars="100" w:firstLine="180"/>
              <w:jc w:val="center"/>
              <w:rPr>
                <w:rFonts w:ascii="Calibri" w:eastAsia="Times New Roman" w:hAnsi="Calibri"/>
                <w:sz w:val="18"/>
                <w:szCs w:val="18"/>
              </w:rPr>
            </w:pPr>
            <w:r w:rsidRPr="00B47695">
              <w:rPr>
                <w:rFonts w:ascii="Calibri" w:eastAsia="Times New Roman" w:hAnsi="Calibri"/>
                <w:sz w:val="18"/>
                <w:szCs w:val="18"/>
              </w:rPr>
              <w:t>N/A</w:t>
            </w:r>
          </w:p>
        </w:tc>
        <w:tc>
          <w:tcPr>
            <w:tcW w:w="960" w:type="dxa"/>
            <w:tcBorders>
              <w:top w:val="nil"/>
              <w:left w:val="nil"/>
              <w:bottom w:val="single" w:sz="4" w:space="0" w:color="auto"/>
              <w:right w:val="single" w:sz="4" w:space="0" w:color="auto"/>
            </w:tcBorders>
            <w:shd w:val="clear" w:color="000000" w:fill="FFFFFF"/>
            <w:vAlign w:val="center"/>
            <w:hideMark/>
          </w:tcPr>
          <w:p w:rsidR="00B47695" w:rsidRPr="00B47695" w:rsidRDefault="00B47695" w:rsidP="00B47695">
            <w:pPr>
              <w:spacing w:after="0" w:line="240" w:lineRule="auto"/>
              <w:ind w:firstLineChars="100" w:firstLine="180"/>
              <w:jc w:val="right"/>
              <w:rPr>
                <w:rFonts w:ascii="Calibri" w:eastAsia="Times New Roman" w:hAnsi="Calibri"/>
                <w:sz w:val="18"/>
                <w:szCs w:val="18"/>
              </w:rPr>
            </w:pPr>
            <w:r w:rsidRPr="00B47695">
              <w:rPr>
                <w:rFonts w:ascii="Calibri" w:eastAsia="Times New Roman" w:hAnsi="Calibri"/>
                <w:sz w:val="18"/>
                <w:szCs w:val="18"/>
              </w:rPr>
              <w:t>10,028</w:t>
            </w:r>
          </w:p>
        </w:tc>
        <w:tc>
          <w:tcPr>
            <w:tcW w:w="960" w:type="dxa"/>
            <w:tcBorders>
              <w:top w:val="nil"/>
              <w:left w:val="nil"/>
              <w:bottom w:val="single" w:sz="4" w:space="0" w:color="auto"/>
              <w:right w:val="single" w:sz="4" w:space="0" w:color="auto"/>
            </w:tcBorders>
            <w:shd w:val="clear" w:color="000000" w:fill="FFFFFF"/>
            <w:vAlign w:val="center"/>
            <w:hideMark/>
          </w:tcPr>
          <w:p w:rsidR="00B47695" w:rsidRPr="00B47695" w:rsidRDefault="00B47695" w:rsidP="00850662">
            <w:pPr>
              <w:spacing w:after="0" w:line="240" w:lineRule="auto"/>
              <w:ind w:firstLineChars="100" w:firstLine="180"/>
              <w:jc w:val="center"/>
              <w:rPr>
                <w:rFonts w:ascii="Calibri" w:eastAsia="Times New Roman" w:hAnsi="Calibri"/>
                <w:sz w:val="18"/>
                <w:szCs w:val="18"/>
              </w:rPr>
            </w:pPr>
            <w:r w:rsidRPr="00B47695">
              <w:rPr>
                <w:rFonts w:ascii="Calibri" w:eastAsia="Times New Roman" w:hAnsi="Calibri"/>
                <w:sz w:val="18"/>
                <w:szCs w:val="18"/>
              </w:rPr>
              <w:t>N/A</w:t>
            </w:r>
          </w:p>
        </w:tc>
        <w:tc>
          <w:tcPr>
            <w:tcW w:w="960" w:type="dxa"/>
            <w:tcBorders>
              <w:top w:val="nil"/>
              <w:left w:val="nil"/>
              <w:bottom w:val="single" w:sz="4" w:space="0" w:color="auto"/>
              <w:right w:val="single" w:sz="4" w:space="0" w:color="auto"/>
            </w:tcBorders>
            <w:shd w:val="clear" w:color="000000" w:fill="FFFFFF"/>
            <w:vAlign w:val="center"/>
            <w:hideMark/>
          </w:tcPr>
          <w:p w:rsidR="00B47695" w:rsidRPr="00B47695" w:rsidRDefault="00B47695" w:rsidP="00850662">
            <w:pPr>
              <w:spacing w:after="0" w:line="240" w:lineRule="auto"/>
              <w:ind w:firstLineChars="100" w:firstLine="180"/>
              <w:jc w:val="center"/>
              <w:rPr>
                <w:rFonts w:ascii="Calibri" w:eastAsia="Times New Roman" w:hAnsi="Calibri"/>
                <w:sz w:val="18"/>
                <w:szCs w:val="18"/>
              </w:rPr>
            </w:pPr>
            <w:r w:rsidRPr="00B47695">
              <w:rPr>
                <w:rFonts w:ascii="Calibri" w:eastAsia="Times New Roman" w:hAnsi="Calibri"/>
                <w:sz w:val="18"/>
                <w:szCs w:val="18"/>
              </w:rPr>
              <w:t>N/A</w:t>
            </w:r>
          </w:p>
        </w:tc>
      </w:tr>
      <w:tr w:rsidR="00B47695" w:rsidRPr="00B47695" w:rsidTr="00A42B16">
        <w:trPr>
          <w:trHeight w:val="300"/>
          <w:jc w:val="center"/>
        </w:trPr>
        <w:tc>
          <w:tcPr>
            <w:tcW w:w="960" w:type="dxa"/>
            <w:tcBorders>
              <w:top w:val="nil"/>
              <w:left w:val="single" w:sz="4" w:space="0" w:color="auto"/>
              <w:bottom w:val="single" w:sz="4" w:space="0" w:color="auto"/>
              <w:right w:val="single" w:sz="4" w:space="0" w:color="auto"/>
            </w:tcBorders>
            <w:shd w:val="clear" w:color="auto" w:fill="CCEAF9" w:themeFill="accent1" w:themeFillTint="33"/>
            <w:vAlign w:val="center"/>
            <w:hideMark/>
          </w:tcPr>
          <w:p w:rsidR="00B47695" w:rsidRPr="00B47695" w:rsidRDefault="00B47695" w:rsidP="00B47695">
            <w:pPr>
              <w:spacing w:after="0" w:line="240" w:lineRule="auto"/>
              <w:jc w:val="center"/>
              <w:rPr>
                <w:rFonts w:ascii="Calibri" w:eastAsia="Times New Roman" w:hAnsi="Calibri"/>
                <w:b/>
                <w:bCs/>
                <w:sz w:val="18"/>
                <w:szCs w:val="18"/>
              </w:rPr>
            </w:pPr>
            <w:r w:rsidRPr="00B47695">
              <w:rPr>
                <w:rFonts w:ascii="Calibri" w:eastAsia="Times New Roman" w:hAnsi="Calibri"/>
                <w:b/>
                <w:bCs/>
                <w:sz w:val="18"/>
                <w:szCs w:val="18"/>
              </w:rPr>
              <w:t>2020/2021</w:t>
            </w:r>
          </w:p>
        </w:tc>
        <w:tc>
          <w:tcPr>
            <w:tcW w:w="960" w:type="dxa"/>
            <w:tcBorders>
              <w:top w:val="nil"/>
              <w:left w:val="nil"/>
              <w:bottom w:val="single" w:sz="4" w:space="0" w:color="auto"/>
              <w:right w:val="single" w:sz="4" w:space="0" w:color="auto"/>
            </w:tcBorders>
            <w:shd w:val="clear" w:color="auto" w:fill="CCEAF9" w:themeFill="accent1" w:themeFillTint="33"/>
            <w:vAlign w:val="center"/>
            <w:hideMark/>
          </w:tcPr>
          <w:p w:rsidR="00B47695" w:rsidRPr="00B47695" w:rsidRDefault="00B47695" w:rsidP="00B47695">
            <w:pPr>
              <w:spacing w:after="0" w:line="240" w:lineRule="auto"/>
              <w:jc w:val="center"/>
              <w:rPr>
                <w:rFonts w:ascii="Calibri" w:eastAsia="Times New Roman" w:hAnsi="Calibri"/>
                <w:sz w:val="18"/>
                <w:szCs w:val="18"/>
              </w:rPr>
            </w:pPr>
            <w:r w:rsidRPr="00B47695">
              <w:rPr>
                <w:rFonts w:ascii="Calibri" w:eastAsia="Times New Roman" w:hAnsi="Calibri"/>
                <w:sz w:val="18"/>
                <w:szCs w:val="18"/>
              </w:rPr>
              <w:t>FCA #11</w:t>
            </w:r>
          </w:p>
        </w:tc>
        <w:tc>
          <w:tcPr>
            <w:tcW w:w="960" w:type="dxa"/>
            <w:tcBorders>
              <w:top w:val="nil"/>
              <w:left w:val="nil"/>
              <w:bottom w:val="single" w:sz="4" w:space="0" w:color="auto"/>
              <w:right w:val="single" w:sz="4" w:space="0" w:color="auto"/>
            </w:tcBorders>
            <w:shd w:val="clear" w:color="auto" w:fill="CCEAF9" w:themeFill="accent1" w:themeFillTint="33"/>
            <w:vAlign w:val="center"/>
            <w:hideMark/>
          </w:tcPr>
          <w:p w:rsidR="00B47695" w:rsidRPr="00B47695" w:rsidRDefault="00B47695" w:rsidP="00850662">
            <w:pPr>
              <w:spacing w:after="0" w:line="240" w:lineRule="auto"/>
              <w:ind w:firstLineChars="100" w:firstLine="180"/>
              <w:jc w:val="center"/>
              <w:rPr>
                <w:rFonts w:ascii="Calibri" w:eastAsia="Times New Roman" w:hAnsi="Calibri"/>
                <w:sz w:val="18"/>
                <w:szCs w:val="18"/>
              </w:rPr>
            </w:pPr>
            <w:r w:rsidRPr="00B47695">
              <w:rPr>
                <w:rFonts w:ascii="Calibri" w:eastAsia="Times New Roman" w:hAnsi="Calibri"/>
                <w:sz w:val="18"/>
                <w:szCs w:val="18"/>
              </w:rPr>
              <w:t>N/A</w:t>
            </w:r>
          </w:p>
        </w:tc>
        <w:tc>
          <w:tcPr>
            <w:tcW w:w="960" w:type="dxa"/>
            <w:tcBorders>
              <w:top w:val="nil"/>
              <w:left w:val="nil"/>
              <w:bottom w:val="single" w:sz="4" w:space="0" w:color="auto"/>
              <w:right w:val="single" w:sz="4" w:space="0" w:color="auto"/>
            </w:tcBorders>
            <w:shd w:val="clear" w:color="auto" w:fill="CCEAF9" w:themeFill="accent1" w:themeFillTint="33"/>
            <w:vAlign w:val="center"/>
            <w:hideMark/>
          </w:tcPr>
          <w:p w:rsidR="00B47695" w:rsidRPr="00B47695" w:rsidRDefault="00B47695" w:rsidP="00850662">
            <w:pPr>
              <w:spacing w:after="0" w:line="240" w:lineRule="auto"/>
              <w:ind w:firstLineChars="100" w:firstLine="180"/>
              <w:jc w:val="center"/>
              <w:rPr>
                <w:rFonts w:ascii="Calibri" w:eastAsia="Times New Roman" w:hAnsi="Calibri"/>
                <w:sz w:val="18"/>
                <w:szCs w:val="18"/>
              </w:rPr>
            </w:pPr>
            <w:r w:rsidRPr="00B47695">
              <w:rPr>
                <w:rFonts w:ascii="Calibri" w:eastAsia="Times New Roman" w:hAnsi="Calibri"/>
                <w:sz w:val="18"/>
                <w:szCs w:val="18"/>
              </w:rPr>
              <w:t>N/A</w:t>
            </w:r>
          </w:p>
        </w:tc>
        <w:tc>
          <w:tcPr>
            <w:tcW w:w="960" w:type="dxa"/>
            <w:tcBorders>
              <w:top w:val="nil"/>
              <w:left w:val="nil"/>
              <w:bottom w:val="single" w:sz="4" w:space="0" w:color="auto"/>
              <w:right w:val="single" w:sz="4" w:space="0" w:color="auto"/>
            </w:tcBorders>
            <w:shd w:val="clear" w:color="auto" w:fill="CCEAF9" w:themeFill="accent1" w:themeFillTint="33"/>
            <w:vAlign w:val="center"/>
            <w:hideMark/>
          </w:tcPr>
          <w:p w:rsidR="00B47695" w:rsidRPr="00B47695" w:rsidRDefault="00B47695" w:rsidP="00850662">
            <w:pPr>
              <w:spacing w:after="0" w:line="240" w:lineRule="auto"/>
              <w:ind w:firstLineChars="100" w:firstLine="180"/>
              <w:jc w:val="center"/>
              <w:rPr>
                <w:rFonts w:ascii="Calibri" w:eastAsia="Times New Roman" w:hAnsi="Calibri"/>
                <w:sz w:val="18"/>
                <w:szCs w:val="18"/>
              </w:rPr>
            </w:pPr>
            <w:r w:rsidRPr="00B47695">
              <w:rPr>
                <w:rFonts w:ascii="Calibri" w:eastAsia="Times New Roman" w:hAnsi="Calibri"/>
                <w:sz w:val="18"/>
                <w:szCs w:val="18"/>
              </w:rPr>
              <w:t>N/A</w:t>
            </w:r>
          </w:p>
        </w:tc>
        <w:tc>
          <w:tcPr>
            <w:tcW w:w="960" w:type="dxa"/>
            <w:tcBorders>
              <w:top w:val="nil"/>
              <w:left w:val="nil"/>
              <w:bottom w:val="single" w:sz="4" w:space="0" w:color="auto"/>
              <w:right w:val="single" w:sz="4" w:space="0" w:color="auto"/>
            </w:tcBorders>
            <w:shd w:val="clear" w:color="auto" w:fill="CCEAF9" w:themeFill="accent1" w:themeFillTint="33"/>
            <w:vAlign w:val="center"/>
            <w:hideMark/>
          </w:tcPr>
          <w:p w:rsidR="00B47695" w:rsidRPr="00B47695" w:rsidRDefault="00B47695" w:rsidP="00B47695">
            <w:pPr>
              <w:spacing w:after="0" w:line="240" w:lineRule="auto"/>
              <w:ind w:firstLineChars="100" w:firstLine="180"/>
              <w:jc w:val="right"/>
              <w:rPr>
                <w:rFonts w:ascii="Calibri" w:eastAsia="Times New Roman" w:hAnsi="Calibri"/>
                <w:sz w:val="18"/>
                <w:szCs w:val="18"/>
              </w:rPr>
            </w:pPr>
            <w:r w:rsidRPr="00B47695">
              <w:rPr>
                <w:rFonts w:ascii="Calibri" w:eastAsia="Times New Roman" w:hAnsi="Calibri"/>
                <w:sz w:val="18"/>
                <w:szCs w:val="18"/>
              </w:rPr>
              <w:t>9,810</w:t>
            </w:r>
          </w:p>
        </w:tc>
        <w:tc>
          <w:tcPr>
            <w:tcW w:w="960" w:type="dxa"/>
            <w:tcBorders>
              <w:top w:val="nil"/>
              <w:left w:val="nil"/>
              <w:bottom w:val="single" w:sz="4" w:space="0" w:color="auto"/>
              <w:right w:val="single" w:sz="4" w:space="0" w:color="auto"/>
            </w:tcBorders>
            <w:shd w:val="clear" w:color="auto" w:fill="CCEAF9" w:themeFill="accent1" w:themeFillTint="33"/>
            <w:vAlign w:val="center"/>
            <w:hideMark/>
          </w:tcPr>
          <w:p w:rsidR="00B47695" w:rsidRPr="00B47695" w:rsidRDefault="00B47695" w:rsidP="00850662">
            <w:pPr>
              <w:spacing w:after="0" w:line="240" w:lineRule="auto"/>
              <w:ind w:firstLineChars="100" w:firstLine="180"/>
              <w:jc w:val="center"/>
              <w:rPr>
                <w:rFonts w:ascii="Calibri" w:eastAsia="Times New Roman" w:hAnsi="Calibri"/>
                <w:sz w:val="18"/>
                <w:szCs w:val="18"/>
              </w:rPr>
            </w:pPr>
            <w:r w:rsidRPr="00B47695">
              <w:rPr>
                <w:rFonts w:ascii="Calibri" w:eastAsia="Times New Roman" w:hAnsi="Calibri"/>
                <w:sz w:val="18"/>
                <w:szCs w:val="18"/>
              </w:rPr>
              <w:t>N/A</w:t>
            </w:r>
          </w:p>
        </w:tc>
        <w:tc>
          <w:tcPr>
            <w:tcW w:w="960" w:type="dxa"/>
            <w:tcBorders>
              <w:top w:val="nil"/>
              <w:left w:val="nil"/>
              <w:bottom w:val="single" w:sz="4" w:space="0" w:color="auto"/>
              <w:right w:val="single" w:sz="4" w:space="0" w:color="auto"/>
            </w:tcBorders>
            <w:shd w:val="clear" w:color="auto" w:fill="CCEAF9" w:themeFill="accent1" w:themeFillTint="33"/>
            <w:vAlign w:val="center"/>
            <w:hideMark/>
          </w:tcPr>
          <w:p w:rsidR="00B47695" w:rsidRPr="00B47695" w:rsidRDefault="00B47695" w:rsidP="00B47695">
            <w:pPr>
              <w:spacing w:after="0" w:line="240" w:lineRule="auto"/>
              <w:ind w:firstLineChars="100" w:firstLine="180"/>
              <w:jc w:val="right"/>
              <w:rPr>
                <w:rFonts w:ascii="Calibri" w:eastAsia="Times New Roman" w:hAnsi="Calibri"/>
                <w:sz w:val="18"/>
                <w:szCs w:val="18"/>
              </w:rPr>
            </w:pPr>
            <w:r w:rsidRPr="00B47695">
              <w:rPr>
                <w:rFonts w:ascii="Calibri" w:eastAsia="Times New Roman" w:hAnsi="Calibri"/>
                <w:sz w:val="18"/>
                <w:szCs w:val="18"/>
              </w:rPr>
              <w:t>8,980</w:t>
            </w:r>
          </w:p>
        </w:tc>
      </w:tr>
      <w:tr w:rsidR="00B47695" w:rsidRPr="00B47695" w:rsidTr="00B47695">
        <w:trPr>
          <w:trHeight w:val="300"/>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B47695" w:rsidRPr="00B47695" w:rsidRDefault="00B47695" w:rsidP="00B47695">
            <w:pPr>
              <w:spacing w:after="0" w:line="240" w:lineRule="auto"/>
              <w:jc w:val="center"/>
              <w:rPr>
                <w:rFonts w:ascii="Calibri" w:eastAsia="Times New Roman" w:hAnsi="Calibri"/>
                <w:b/>
                <w:bCs/>
                <w:sz w:val="18"/>
                <w:szCs w:val="18"/>
              </w:rPr>
            </w:pPr>
            <w:r w:rsidRPr="00B47695">
              <w:rPr>
                <w:rFonts w:ascii="Calibri" w:eastAsia="Times New Roman" w:hAnsi="Calibri"/>
                <w:b/>
                <w:bCs/>
                <w:sz w:val="18"/>
                <w:szCs w:val="18"/>
              </w:rPr>
              <w:t>2021/2022</w:t>
            </w:r>
          </w:p>
        </w:tc>
        <w:tc>
          <w:tcPr>
            <w:tcW w:w="960" w:type="dxa"/>
            <w:tcBorders>
              <w:top w:val="nil"/>
              <w:left w:val="nil"/>
              <w:bottom w:val="single" w:sz="4" w:space="0" w:color="auto"/>
              <w:right w:val="single" w:sz="4" w:space="0" w:color="auto"/>
            </w:tcBorders>
            <w:shd w:val="clear" w:color="auto" w:fill="auto"/>
            <w:vAlign w:val="center"/>
            <w:hideMark/>
          </w:tcPr>
          <w:p w:rsidR="00B47695" w:rsidRPr="00B47695" w:rsidRDefault="00B47695" w:rsidP="00B47695">
            <w:pPr>
              <w:spacing w:after="0" w:line="240" w:lineRule="auto"/>
              <w:jc w:val="center"/>
              <w:rPr>
                <w:rFonts w:ascii="Calibri" w:eastAsia="Times New Roman" w:hAnsi="Calibri"/>
                <w:sz w:val="18"/>
                <w:szCs w:val="18"/>
              </w:rPr>
            </w:pPr>
            <w:r w:rsidRPr="00B47695">
              <w:rPr>
                <w:rFonts w:ascii="Calibri" w:eastAsia="Times New Roman" w:hAnsi="Calibri"/>
                <w:sz w:val="18"/>
                <w:szCs w:val="18"/>
              </w:rPr>
              <w:t>FCA #12</w:t>
            </w:r>
          </w:p>
        </w:tc>
        <w:tc>
          <w:tcPr>
            <w:tcW w:w="960" w:type="dxa"/>
            <w:tcBorders>
              <w:top w:val="nil"/>
              <w:left w:val="nil"/>
              <w:bottom w:val="single" w:sz="4" w:space="0" w:color="auto"/>
              <w:right w:val="single" w:sz="4" w:space="0" w:color="auto"/>
            </w:tcBorders>
            <w:shd w:val="clear" w:color="000000" w:fill="FFFFFF"/>
            <w:vAlign w:val="center"/>
            <w:hideMark/>
          </w:tcPr>
          <w:p w:rsidR="00B47695" w:rsidRPr="00B47695" w:rsidRDefault="00B47695" w:rsidP="00850662">
            <w:pPr>
              <w:spacing w:after="0" w:line="240" w:lineRule="auto"/>
              <w:ind w:firstLineChars="100" w:firstLine="180"/>
              <w:jc w:val="center"/>
              <w:rPr>
                <w:rFonts w:ascii="Calibri" w:eastAsia="Times New Roman" w:hAnsi="Calibri"/>
                <w:sz w:val="18"/>
                <w:szCs w:val="18"/>
              </w:rPr>
            </w:pPr>
            <w:r w:rsidRPr="00B47695">
              <w:rPr>
                <w:rFonts w:ascii="Calibri" w:eastAsia="Times New Roman" w:hAnsi="Calibri"/>
                <w:sz w:val="18"/>
                <w:szCs w:val="18"/>
              </w:rPr>
              <w:t>N/A</w:t>
            </w:r>
          </w:p>
        </w:tc>
        <w:tc>
          <w:tcPr>
            <w:tcW w:w="960" w:type="dxa"/>
            <w:tcBorders>
              <w:top w:val="nil"/>
              <w:left w:val="nil"/>
              <w:bottom w:val="single" w:sz="4" w:space="0" w:color="auto"/>
              <w:right w:val="single" w:sz="4" w:space="0" w:color="auto"/>
            </w:tcBorders>
            <w:shd w:val="clear" w:color="000000" w:fill="FFFFFF"/>
            <w:vAlign w:val="center"/>
            <w:hideMark/>
          </w:tcPr>
          <w:p w:rsidR="00B47695" w:rsidRPr="00B47695" w:rsidRDefault="00B47695" w:rsidP="00850662">
            <w:pPr>
              <w:spacing w:after="0" w:line="240" w:lineRule="auto"/>
              <w:ind w:firstLineChars="100" w:firstLine="180"/>
              <w:jc w:val="center"/>
              <w:rPr>
                <w:rFonts w:ascii="Calibri" w:eastAsia="Times New Roman" w:hAnsi="Calibri"/>
                <w:sz w:val="18"/>
                <w:szCs w:val="18"/>
              </w:rPr>
            </w:pPr>
            <w:r w:rsidRPr="00B47695">
              <w:rPr>
                <w:rFonts w:ascii="Calibri" w:eastAsia="Times New Roman" w:hAnsi="Calibri"/>
                <w:sz w:val="18"/>
                <w:szCs w:val="18"/>
              </w:rPr>
              <w:t>N/A</w:t>
            </w:r>
          </w:p>
        </w:tc>
        <w:tc>
          <w:tcPr>
            <w:tcW w:w="960" w:type="dxa"/>
            <w:tcBorders>
              <w:top w:val="nil"/>
              <w:left w:val="nil"/>
              <w:bottom w:val="single" w:sz="4" w:space="0" w:color="auto"/>
              <w:right w:val="single" w:sz="4" w:space="0" w:color="auto"/>
            </w:tcBorders>
            <w:shd w:val="clear" w:color="000000" w:fill="FFFFFF"/>
            <w:vAlign w:val="center"/>
            <w:hideMark/>
          </w:tcPr>
          <w:p w:rsidR="00B47695" w:rsidRPr="00B47695" w:rsidRDefault="00B47695" w:rsidP="00850662">
            <w:pPr>
              <w:spacing w:after="0" w:line="240" w:lineRule="auto"/>
              <w:ind w:firstLineChars="100" w:firstLine="180"/>
              <w:jc w:val="center"/>
              <w:rPr>
                <w:rFonts w:ascii="Calibri" w:eastAsia="Times New Roman" w:hAnsi="Calibri"/>
                <w:sz w:val="18"/>
                <w:szCs w:val="18"/>
              </w:rPr>
            </w:pPr>
            <w:r w:rsidRPr="00B47695">
              <w:rPr>
                <w:rFonts w:ascii="Calibri" w:eastAsia="Times New Roman" w:hAnsi="Calibri"/>
                <w:sz w:val="18"/>
                <w:szCs w:val="18"/>
              </w:rPr>
              <w:t>N/A</w:t>
            </w:r>
          </w:p>
        </w:tc>
        <w:tc>
          <w:tcPr>
            <w:tcW w:w="960" w:type="dxa"/>
            <w:tcBorders>
              <w:top w:val="nil"/>
              <w:left w:val="nil"/>
              <w:bottom w:val="single" w:sz="4" w:space="0" w:color="auto"/>
              <w:right w:val="single" w:sz="4" w:space="0" w:color="auto"/>
            </w:tcBorders>
            <w:shd w:val="clear" w:color="000000" w:fill="FFFFFF"/>
            <w:vAlign w:val="center"/>
            <w:hideMark/>
          </w:tcPr>
          <w:p w:rsidR="00B47695" w:rsidRPr="00B47695" w:rsidRDefault="00B47695" w:rsidP="00B47695">
            <w:pPr>
              <w:spacing w:after="0" w:line="240" w:lineRule="auto"/>
              <w:jc w:val="center"/>
              <w:rPr>
                <w:rFonts w:ascii="Calibri" w:eastAsia="Times New Roman" w:hAnsi="Calibri"/>
                <w:sz w:val="18"/>
                <w:szCs w:val="18"/>
              </w:rPr>
            </w:pPr>
            <w:r w:rsidRPr="00B47695">
              <w:rPr>
                <w:rFonts w:ascii="Calibri" w:eastAsia="Times New Roman" w:hAnsi="Calibri"/>
                <w:sz w:val="18"/>
                <w:szCs w:val="18"/>
              </w:rPr>
              <w:t>TBD</w:t>
            </w:r>
          </w:p>
        </w:tc>
        <w:tc>
          <w:tcPr>
            <w:tcW w:w="960" w:type="dxa"/>
            <w:tcBorders>
              <w:top w:val="nil"/>
              <w:left w:val="nil"/>
              <w:bottom w:val="single" w:sz="4" w:space="0" w:color="auto"/>
              <w:right w:val="single" w:sz="4" w:space="0" w:color="auto"/>
            </w:tcBorders>
            <w:shd w:val="clear" w:color="000000" w:fill="FFFFFF"/>
            <w:vAlign w:val="center"/>
            <w:hideMark/>
          </w:tcPr>
          <w:p w:rsidR="00B47695" w:rsidRPr="00B47695" w:rsidRDefault="00B47695" w:rsidP="00850662">
            <w:pPr>
              <w:spacing w:after="0" w:line="240" w:lineRule="auto"/>
              <w:ind w:firstLineChars="100" w:firstLine="180"/>
              <w:jc w:val="center"/>
              <w:rPr>
                <w:rFonts w:ascii="Calibri" w:eastAsia="Times New Roman" w:hAnsi="Calibri"/>
                <w:sz w:val="18"/>
                <w:szCs w:val="18"/>
              </w:rPr>
            </w:pPr>
            <w:r w:rsidRPr="00B47695">
              <w:rPr>
                <w:rFonts w:ascii="Calibri" w:eastAsia="Times New Roman" w:hAnsi="Calibri"/>
                <w:sz w:val="18"/>
                <w:szCs w:val="18"/>
              </w:rPr>
              <w:t>N/A</w:t>
            </w:r>
          </w:p>
        </w:tc>
        <w:tc>
          <w:tcPr>
            <w:tcW w:w="960" w:type="dxa"/>
            <w:tcBorders>
              <w:top w:val="nil"/>
              <w:left w:val="nil"/>
              <w:bottom w:val="single" w:sz="4" w:space="0" w:color="auto"/>
              <w:right w:val="single" w:sz="4" w:space="0" w:color="auto"/>
            </w:tcBorders>
            <w:shd w:val="clear" w:color="auto" w:fill="auto"/>
            <w:vAlign w:val="center"/>
            <w:hideMark/>
          </w:tcPr>
          <w:p w:rsidR="00B47695" w:rsidRPr="00B47695" w:rsidRDefault="00B47695" w:rsidP="00B47695">
            <w:pPr>
              <w:spacing w:after="0" w:line="240" w:lineRule="auto"/>
              <w:jc w:val="center"/>
              <w:rPr>
                <w:rFonts w:ascii="Calibri" w:eastAsia="Times New Roman" w:hAnsi="Calibri"/>
                <w:sz w:val="18"/>
                <w:szCs w:val="18"/>
              </w:rPr>
            </w:pPr>
            <w:r w:rsidRPr="00B47695">
              <w:rPr>
                <w:rFonts w:ascii="Calibri" w:eastAsia="Times New Roman" w:hAnsi="Calibri"/>
                <w:sz w:val="18"/>
                <w:szCs w:val="18"/>
              </w:rPr>
              <w:t>TBD</w:t>
            </w:r>
          </w:p>
        </w:tc>
      </w:tr>
      <w:tr w:rsidR="00B47695" w:rsidRPr="00B47695" w:rsidTr="00A42B16">
        <w:trPr>
          <w:trHeight w:val="300"/>
          <w:jc w:val="center"/>
        </w:trPr>
        <w:tc>
          <w:tcPr>
            <w:tcW w:w="960" w:type="dxa"/>
            <w:tcBorders>
              <w:top w:val="nil"/>
              <w:left w:val="single" w:sz="4" w:space="0" w:color="auto"/>
              <w:bottom w:val="single" w:sz="4" w:space="0" w:color="auto"/>
              <w:right w:val="single" w:sz="4" w:space="0" w:color="auto"/>
            </w:tcBorders>
            <w:shd w:val="clear" w:color="auto" w:fill="CCEAF9" w:themeFill="accent1" w:themeFillTint="33"/>
            <w:vAlign w:val="center"/>
            <w:hideMark/>
          </w:tcPr>
          <w:p w:rsidR="00B47695" w:rsidRPr="00B47695" w:rsidRDefault="00B47695" w:rsidP="00B47695">
            <w:pPr>
              <w:spacing w:after="0" w:line="240" w:lineRule="auto"/>
              <w:jc w:val="center"/>
              <w:rPr>
                <w:rFonts w:ascii="Calibri" w:eastAsia="Times New Roman" w:hAnsi="Calibri"/>
                <w:b/>
                <w:bCs/>
                <w:sz w:val="18"/>
                <w:szCs w:val="18"/>
              </w:rPr>
            </w:pPr>
            <w:r w:rsidRPr="00B47695">
              <w:rPr>
                <w:rFonts w:ascii="Calibri" w:eastAsia="Times New Roman" w:hAnsi="Calibri"/>
                <w:b/>
                <w:bCs/>
                <w:sz w:val="18"/>
                <w:szCs w:val="18"/>
              </w:rPr>
              <w:t>2022/2023</w:t>
            </w:r>
          </w:p>
        </w:tc>
        <w:tc>
          <w:tcPr>
            <w:tcW w:w="960" w:type="dxa"/>
            <w:tcBorders>
              <w:top w:val="nil"/>
              <w:left w:val="nil"/>
              <w:bottom w:val="single" w:sz="4" w:space="0" w:color="auto"/>
              <w:right w:val="single" w:sz="4" w:space="0" w:color="auto"/>
            </w:tcBorders>
            <w:shd w:val="clear" w:color="auto" w:fill="CCEAF9" w:themeFill="accent1" w:themeFillTint="33"/>
            <w:vAlign w:val="center"/>
            <w:hideMark/>
          </w:tcPr>
          <w:p w:rsidR="00B47695" w:rsidRPr="00B47695" w:rsidRDefault="00B47695" w:rsidP="00B47695">
            <w:pPr>
              <w:spacing w:after="0" w:line="240" w:lineRule="auto"/>
              <w:jc w:val="center"/>
              <w:rPr>
                <w:rFonts w:ascii="Calibri" w:eastAsia="Times New Roman" w:hAnsi="Calibri"/>
                <w:sz w:val="18"/>
                <w:szCs w:val="18"/>
              </w:rPr>
            </w:pPr>
            <w:r w:rsidRPr="00B47695">
              <w:rPr>
                <w:rFonts w:ascii="Calibri" w:eastAsia="Times New Roman" w:hAnsi="Calibri"/>
                <w:sz w:val="18"/>
                <w:szCs w:val="18"/>
              </w:rPr>
              <w:t>FCA #13</w:t>
            </w:r>
          </w:p>
        </w:tc>
        <w:tc>
          <w:tcPr>
            <w:tcW w:w="960" w:type="dxa"/>
            <w:tcBorders>
              <w:top w:val="nil"/>
              <w:left w:val="nil"/>
              <w:bottom w:val="single" w:sz="4" w:space="0" w:color="auto"/>
              <w:right w:val="single" w:sz="4" w:space="0" w:color="auto"/>
            </w:tcBorders>
            <w:shd w:val="clear" w:color="auto" w:fill="CCEAF9" w:themeFill="accent1" w:themeFillTint="33"/>
            <w:vAlign w:val="center"/>
            <w:hideMark/>
          </w:tcPr>
          <w:p w:rsidR="00B47695" w:rsidRPr="00B47695" w:rsidRDefault="00B47695" w:rsidP="00850662">
            <w:pPr>
              <w:spacing w:after="0" w:line="240" w:lineRule="auto"/>
              <w:ind w:firstLineChars="100" w:firstLine="180"/>
              <w:jc w:val="center"/>
              <w:rPr>
                <w:rFonts w:ascii="Calibri" w:eastAsia="Times New Roman" w:hAnsi="Calibri"/>
                <w:sz w:val="18"/>
                <w:szCs w:val="18"/>
              </w:rPr>
            </w:pPr>
            <w:r w:rsidRPr="00B47695">
              <w:rPr>
                <w:rFonts w:ascii="Calibri" w:eastAsia="Times New Roman" w:hAnsi="Calibri"/>
                <w:sz w:val="18"/>
                <w:szCs w:val="18"/>
              </w:rPr>
              <w:t>N/A</w:t>
            </w:r>
          </w:p>
        </w:tc>
        <w:tc>
          <w:tcPr>
            <w:tcW w:w="960" w:type="dxa"/>
            <w:tcBorders>
              <w:top w:val="nil"/>
              <w:left w:val="nil"/>
              <w:bottom w:val="single" w:sz="4" w:space="0" w:color="auto"/>
              <w:right w:val="single" w:sz="4" w:space="0" w:color="auto"/>
            </w:tcBorders>
            <w:shd w:val="clear" w:color="auto" w:fill="CCEAF9" w:themeFill="accent1" w:themeFillTint="33"/>
            <w:vAlign w:val="center"/>
            <w:hideMark/>
          </w:tcPr>
          <w:p w:rsidR="00B47695" w:rsidRPr="00B47695" w:rsidRDefault="00B47695" w:rsidP="00850662">
            <w:pPr>
              <w:spacing w:after="0" w:line="240" w:lineRule="auto"/>
              <w:ind w:firstLineChars="100" w:firstLine="180"/>
              <w:jc w:val="center"/>
              <w:rPr>
                <w:rFonts w:ascii="Calibri" w:eastAsia="Times New Roman" w:hAnsi="Calibri"/>
                <w:sz w:val="18"/>
                <w:szCs w:val="18"/>
              </w:rPr>
            </w:pPr>
            <w:r w:rsidRPr="00B47695">
              <w:rPr>
                <w:rFonts w:ascii="Calibri" w:eastAsia="Times New Roman" w:hAnsi="Calibri"/>
                <w:sz w:val="18"/>
                <w:szCs w:val="18"/>
              </w:rPr>
              <w:t>N/A</w:t>
            </w:r>
          </w:p>
        </w:tc>
        <w:tc>
          <w:tcPr>
            <w:tcW w:w="960" w:type="dxa"/>
            <w:tcBorders>
              <w:top w:val="nil"/>
              <w:left w:val="nil"/>
              <w:bottom w:val="single" w:sz="4" w:space="0" w:color="auto"/>
              <w:right w:val="single" w:sz="4" w:space="0" w:color="auto"/>
            </w:tcBorders>
            <w:shd w:val="clear" w:color="auto" w:fill="CCEAF9" w:themeFill="accent1" w:themeFillTint="33"/>
            <w:vAlign w:val="center"/>
            <w:hideMark/>
          </w:tcPr>
          <w:p w:rsidR="00B47695" w:rsidRPr="00B47695" w:rsidRDefault="00B47695" w:rsidP="00850662">
            <w:pPr>
              <w:spacing w:after="0" w:line="240" w:lineRule="auto"/>
              <w:ind w:firstLineChars="100" w:firstLine="180"/>
              <w:jc w:val="center"/>
              <w:rPr>
                <w:rFonts w:ascii="Calibri" w:eastAsia="Times New Roman" w:hAnsi="Calibri"/>
                <w:sz w:val="18"/>
                <w:szCs w:val="18"/>
              </w:rPr>
            </w:pPr>
            <w:r w:rsidRPr="00B47695">
              <w:rPr>
                <w:rFonts w:ascii="Calibri" w:eastAsia="Times New Roman" w:hAnsi="Calibri"/>
                <w:sz w:val="18"/>
                <w:szCs w:val="18"/>
              </w:rPr>
              <w:t>N/A</w:t>
            </w:r>
          </w:p>
        </w:tc>
        <w:tc>
          <w:tcPr>
            <w:tcW w:w="960" w:type="dxa"/>
            <w:tcBorders>
              <w:top w:val="nil"/>
              <w:left w:val="nil"/>
              <w:bottom w:val="single" w:sz="4" w:space="0" w:color="auto"/>
              <w:right w:val="single" w:sz="4" w:space="0" w:color="auto"/>
            </w:tcBorders>
            <w:shd w:val="clear" w:color="auto" w:fill="CCEAF9" w:themeFill="accent1" w:themeFillTint="33"/>
            <w:vAlign w:val="center"/>
            <w:hideMark/>
          </w:tcPr>
          <w:p w:rsidR="00B47695" w:rsidRPr="00B47695" w:rsidRDefault="00B47695" w:rsidP="00B47695">
            <w:pPr>
              <w:spacing w:after="0" w:line="240" w:lineRule="auto"/>
              <w:ind w:firstLineChars="100" w:firstLine="180"/>
              <w:jc w:val="right"/>
              <w:rPr>
                <w:rFonts w:ascii="Calibri" w:eastAsia="Times New Roman" w:hAnsi="Calibri"/>
                <w:sz w:val="18"/>
                <w:szCs w:val="18"/>
              </w:rPr>
            </w:pPr>
            <w:r w:rsidRPr="00B47695">
              <w:rPr>
                <w:rFonts w:ascii="Calibri" w:eastAsia="Times New Roman" w:hAnsi="Calibri"/>
                <w:sz w:val="18"/>
                <w:szCs w:val="18"/>
              </w:rPr>
              <w:t>10,200</w:t>
            </w:r>
          </w:p>
        </w:tc>
        <w:tc>
          <w:tcPr>
            <w:tcW w:w="960" w:type="dxa"/>
            <w:tcBorders>
              <w:top w:val="nil"/>
              <w:left w:val="nil"/>
              <w:bottom w:val="single" w:sz="4" w:space="0" w:color="auto"/>
              <w:right w:val="single" w:sz="4" w:space="0" w:color="auto"/>
            </w:tcBorders>
            <w:shd w:val="clear" w:color="auto" w:fill="CCEAF9" w:themeFill="accent1" w:themeFillTint="33"/>
            <w:vAlign w:val="center"/>
            <w:hideMark/>
          </w:tcPr>
          <w:p w:rsidR="00B47695" w:rsidRPr="00B47695" w:rsidRDefault="00B47695" w:rsidP="00850662">
            <w:pPr>
              <w:spacing w:after="0" w:line="240" w:lineRule="auto"/>
              <w:ind w:firstLineChars="100" w:firstLine="180"/>
              <w:jc w:val="center"/>
              <w:rPr>
                <w:rFonts w:ascii="Calibri" w:eastAsia="Times New Roman" w:hAnsi="Calibri"/>
                <w:sz w:val="18"/>
                <w:szCs w:val="18"/>
              </w:rPr>
            </w:pPr>
            <w:r w:rsidRPr="00B47695">
              <w:rPr>
                <w:rFonts w:ascii="Calibri" w:eastAsia="Times New Roman" w:hAnsi="Calibri"/>
                <w:sz w:val="18"/>
                <w:szCs w:val="18"/>
              </w:rPr>
              <w:t>N/A</w:t>
            </w:r>
          </w:p>
        </w:tc>
        <w:tc>
          <w:tcPr>
            <w:tcW w:w="960" w:type="dxa"/>
            <w:tcBorders>
              <w:top w:val="nil"/>
              <w:left w:val="nil"/>
              <w:bottom w:val="single" w:sz="4" w:space="0" w:color="auto"/>
              <w:right w:val="single" w:sz="4" w:space="0" w:color="auto"/>
            </w:tcBorders>
            <w:shd w:val="clear" w:color="auto" w:fill="CCEAF9" w:themeFill="accent1" w:themeFillTint="33"/>
            <w:vAlign w:val="center"/>
            <w:hideMark/>
          </w:tcPr>
          <w:p w:rsidR="00B47695" w:rsidRPr="00B47695" w:rsidRDefault="00B47695" w:rsidP="00B47695">
            <w:pPr>
              <w:spacing w:after="0" w:line="240" w:lineRule="auto"/>
              <w:ind w:firstLineChars="100" w:firstLine="180"/>
              <w:jc w:val="right"/>
              <w:rPr>
                <w:rFonts w:ascii="Calibri" w:eastAsia="Times New Roman" w:hAnsi="Calibri"/>
                <w:sz w:val="18"/>
                <w:szCs w:val="18"/>
              </w:rPr>
            </w:pPr>
            <w:r w:rsidRPr="00B47695">
              <w:rPr>
                <w:rFonts w:ascii="Calibri" w:eastAsia="Times New Roman" w:hAnsi="Calibri"/>
                <w:sz w:val="18"/>
                <w:szCs w:val="18"/>
              </w:rPr>
              <w:t>8,950</w:t>
            </w:r>
          </w:p>
        </w:tc>
      </w:tr>
      <w:tr w:rsidR="00B47695" w:rsidRPr="00B47695" w:rsidTr="00B47695">
        <w:trPr>
          <w:trHeight w:val="300"/>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B47695" w:rsidRPr="00B47695" w:rsidRDefault="00B47695" w:rsidP="00B47695">
            <w:pPr>
              <w:spacing w:after="0" w:line="240" w:lineRule="auto"/>
              <w:jc w:val="center"/>
              <w:rPr>
                <w:rFonts w:ascii="Calibri" w:eastAsia="Times New Roman" w:hAnsi="Calibri"/>
                <w:b/>
                <w:bCs/>
                <w:sz w:val="18"/>
                <w:szCs w:val="18"/>
              </w:rPr>
            </w:pPr>
            <w:r w:rsidRPr="00B47695">
              <w:rPr>
                <w:rFonts w:ascii="Calibri" w:eastAsia="Times New Roman" w:hAnsi="Calibri"/>
                <w:b/>
                <w:bCs/>
                <w:sz w:val="18"/>
                <w:szCs w:val="18"/>
              </w:rPr>
              <w:t>2023/2024</w:t>
            </w:r>
          </w:p>
        </w:tc>
        <w:tc>
          <w:tcPr>
            <w:tcW w:w="960" w:type="dxa"/>
            <w:tcBorders>
              <w:top w:val="nil"/>
              <w:left w:val="nil"/>
              <w:bottom w:val="single" w:sz="4" w:space="0" w:color="auto"/>
              <w:right w:val="single" w:sz="4" w:space="0" w:color="auto"/>
            </w:tcBorders>
            <w:shd w:val="clear" w:color="auto" w:fill="auto"/>
            <w:vAlign w:val="center"/>
            <w:hideMark/>
          </w:tcPr>
          <w:p w:rsidR="00B47695" w:rsidRPr="00B47695" w:rsidRDefault="00B47695" w:rsidP="00B47695">
            <w:pPr>
              <w:spacing w:after="0" w:line="240" w:lineRule="auto"/>
              <w:jc w:val="center"/>
              <w:rPr>
                <w:rFonts w:ascii="Calibri" w:eastAsia="Times New Roman" w:hAnsi="Calibri"/>
                <w:sz w:val="18"/>
                <w:szCs w:val="18"/>
              </w:rPr>
            </w:pPr>
            <w:r w:rsidRPr="00B47695">
              <w:rPr>
                <w:rFonts w:ascii="Calibri" w:eastAsia="Times New Roman" w:hAnsi="Calibri"/>
                <w:sz w:val="18"/>
                <w:szCs w:val="18"/>
              </w:rPr>
              <w:t>FCA #14</w:t>
            </w:r>
          </w:p>
        </w:tc>
        <w:tc>
          <w:tcPr>
            <w:tcW w:w="960" w:type="dxa"/>
            <w:tcBorders>
              <w:top w:val="nil"/>
              <w:left w:val="nil"/>
              <w:bottom w:val="single" w:sz="4" w:space="0" w:color="auto"/>
              <w:right w:val="single" w:sz="4" w:space="0" w:color="auto"/>
            </w:tcBorders>
            <w:shd w:val="clear" w:color="000000" w:fill="FFFFFF"/>
            <w:vAlign w:val="center"/>
            <w:hideMark/>
          </w:tcPr>
          <w:p w:rsidR="00B47695" w:rsidRPr="00B47695" w:rsidRDefault="00B47695" w:rsidP="00850662">
            <w:pPr>
              <w:spacing w:after="0" w:line="240" w:lineRule="auto"/>
              <w:ind w:firstLineChars="100" w:firstLine="180"/>
              <w:jc w:val="center"/>
              <w:rPr>
                <w:rFonts w:ascii="Calibri" w:eastAsia="Times New Roman" w:hAnsi="Calibri"/>
                <w:sz w:val="18"/>
                <w:szCs w:val="18"/>
              </w:rPr>
            </w:pPr>
            <w:r w:rsidRPr="00B47695">
              <w:rPr>
                <w:rFonts w:ascii="Calibri" w:eastAsia="Times New Roman" w:hAnsi="Calibri"/>
                <w:sz w:val="18"/>
                <w:szCs w:val="18"/>
              </w:rPr>
              <w:t>N/A</w:t>
            </w:r>
          </w:p>
        </w:tc>
        <w:tc>
          <w:tcPr>
            <w:tcW w:w="960" w:type="dxa"/>
            <w:tcBorders>
              <w:top w:val="nil"/>
              <w:left w:val="nil"/>
              <w:bottom w:val="single" w:sz="4" w:space="0" w:color="auto"/>
              <w:right w:val="single" w:sz="4" w:space="0" w:color="auto"/>
            </w:tcBorders>
            <w:shd w:val="clear" w:color="000000" w:fill="FFFFFF"/>
            <w:vAlign w:val="center"/>
            <w:hideMark/>
          </w:tcPr>
          <w:p w:rsidR="00B47695" w:rsidRPr="00B47695" w:rsidRDefault="00B47695" w:rsidP="00850662">
            <w:pPr>
              <w:spacing w:after="0" w:line="240" w:lineRule="auto"/>
              <w:ind w:firstLineChars="100" w:firstLine="180"/>
              <w:jc w:val="center"/>
              <w:rPr>
                <w:rFonts w:ascii="Calibri" w:eastAsia="Times New Roman" w:hAnsi="Calibri"/>
                <w:sz w:val="18"/>
                <w:szCs w:val="18"/>
              </w:rPr>
            </w:pPr>
            <w:r w:rsidRPr="00B47695">
              <w:rPr>
                <w:rFonts w:ascii="Calibri" w:eastAsia="Times New Roman" w:hAnsi="Calibri"/>
                <w:sz w:val="18"/>
                <w:szCs w:val="18"/>
              </w:rPr>
              <w:t>N/A</w:t>
            </w:r>
          </w:p>
        </w:tc>
        <w:tc>
          <w:tcPr>
            <w:tcW w:w="960" w:type="dxa"/>
            <w:tcBorders>
              <w:top w:val="nil"/>
              <w:left w:val="nil"/>
              <w:bottom w:val="single" w:sz="4" w:space="0" w:color="auto"/>
              <w:right w:val="single" w:sz="4" w:space="0" w:color="auto"/>
            </w:tcBorders>
            <w:shd w:val="clear" w:color="000000" w:fill="FFFFFF"/>
            <w:vAlign w:val="center"/>
            <w:hideMark/>
          </w:tcPr>
          <w:p w:rsidR="00B47695" w:rsidRPr="00B47695" w:rsidRDefault="00B47695" w:rsidP="00850662">
            <w:pPr>
              <w:spacing w:after="0" w:line="240" w:lineRule="auto"/>
              <w:ind w:firstLineChars="100" w:firstLine="180"/>
              <w:jc w:val="center"/>
              <w:rPr>
                <w:rFonts w:ascii="Calibri" w:eastAsia="Times New Roman" w:hAnsi="Calibri"/>
                <w:sz w:val="18"/>
                <w:szCs w:val="18"/>
              </w:rPr>
            </w:pPr>
            <w:r w:rsidRPr="00B47695">
              <w:rPr>
                <w:rFonts w:ascii="Calibri" w:eastAsia="Times New Roman" w:hAnsi="Calibri"/>
                <w:sz w:val="18"/>
                <w:szCs w:val="18"/>
              </w:rPr>
              <w:t>N/A</w:t>
            </w:r>
          </w:p>
        </w:tc>
        <w:tc>
          <w:tcPr>
            <w:tcW w:w="960" w:type="dxa"/>
            <w:tcBorders>
              <w:top w:val="nil"/>
              <w:left w:val="nil"/>
              <w:bottom w:val="single" w:sz="4" w:space="0" w:color="auto"/>
              <w:right w:val="single" w:sz="4" w:space="0" w:color="auto"/>
            </w:tcBorders>
            <w:shd w:val="clear" w:color="000000" w:fill="FFFFFF"/>
            <w:vAlign w:val="center"/>
            <w:hideMark/>
          </w:tcPr>
          <w:p w:rsidR="00B47695" w:rsidRPr="00B47695" w:rsidRDefault="00B47695" w:rsidP="00B47695">
            <w:pPr>
              <w:spacing w:after="0" w:line="240" w:lineRule="auto"/>
              <w:ind w:firstLineChars="100" w:firstLine="180"/>
              <w:jc w:val="right"/>
              <w:rPr>
                <w:rFonts w:ascii="Calibri" w:eastAsia="Times New Roman" w:hAnsi="Calibri"/>
                <w:sz w:val="18"/>
                <w:szCs w:val="18"/>
              </w:rPr>
            </w:pPr>
            <w:r w:rsidRPr="00B47695">
              <w:rPr>
                <w:rFonts w:ascii="Calibri" w:eastAsia="Times New Roman" w:hAnsi="Calibri"/>
                <w:sz w:val="18"/>
                <w:szCs w:val="18"/>
              </w:rPr>
              <w:t>10,400</w:t>
            </w:r>
          </w:p>
        </w:tc>
        <w:tc>
          <w:tcPr>
            <w:tcW w:w="960" w:type="dxa"/>
            <w:tcBorders>
              <w:top w:val="nil"/>
              <w:left w:val="nil"/>
              <w:bottom w:val="single" w:sz="4" w:space="0" w:color="auto"/>
              <w:right w:val="single" w:sz="4" w:space="0" w:color="auto"/>
            </w:tcBorders>
            <w:shd w:val="clear" w:color="000000" w:fill="FFFFFF"/>
            <w:vAlign w:val="center"/>
            <w:hideMark/>
          </w:tcPr>
          <w:p w:rsidR="00B47695" w:rsidRPr="00B47695" w:rsidRDefault="00B47695" w:rsidP="00850662">
            <w:pPr>
              <w:spacing w:after="0" w:line="240" w:lineRule="auto"/>
              <w:ind w:firstLineChars="100" w:firstLine="180"/>
              <w:jc w:val="center"/>
              <w:rPr>
                <w:rFonts w:ascii="Calibri" w:eastAsia="Times New Roman" w:hAnsi="Calibri"/>
                <w:sz w:val="18"/>
                <w:szCs w:val="18"/>
              </w:rPr>
            </w:pPr>
            <w:r w:rsidRPr="00B47695">
              <w:rPr>
                <w:rFonts w:ascii="Calibri" w:eastAsia="Times New Roman" w:hAnsi="Calibri"/>
                <w:sz w:val="18"/>
                <w:szCs w:val="18"/>
              </w:rPr>
              <w:t>N/A</w:t>
            </w:r>
          </w:p>
        </w:tc>
        <w:tc>
          <w:tcPr>
            <w:tcW w:w="960" w:type="dxa"/>
            <w:tcBorders>
              <w:top w:val="nil"/>
              <w:left w:val="nil"/>
              <w:bottom w:val="single" w:sz="4" w:space="0" w:color="auto"/>
              <w:right w:val="single" w:sz="4" w:space="0" w:color="auto"/>
            </w:tcBorders>
            <w:shd w:val="clear" w:color="000000" w:fill="FFFFFF"/>
            <w:vAlign w:val="center"/>
            <w:hideMark/>
          </w:tcPr>
          <w:p w:rsidR="00B47695" w:rsidRPr="00B47695" w:rsidRDefault="00B47695" w:rsidP="00B47695">
            <w:pPr>
              <w:spacing w:after="0" w:line="240" w:lineRule="auto"/>
              <w:ind w:firstLineChars="100" w:firstLine="180"/>
              <w:jc w:val="right"/>
              <w:rPr>
                <w:rFonts w:ascii="Calibri" w:eastAsia="Times New Roman" w:hAnsi="Calibri"/>
                <w:sz w:val="18"/>
                <w:szCs w:val="18"/>
              </w:rPr>
            </w:pPr>
            <w:r w:rsidRPr="00B47695">
              <w:rPr>
                <w:rFonts w:ascii="Calibri" w:eastAsia="Times New Roman" w:hAnsi="Calibri"/>
                <w:sz w:val="18"/>
                <w:szCs w:val="18"/>
              </w:rPr>
              <w:t>9,000</w:t>
            </w:r>
          </w:p>
        </w:tc>
      </w:tr>
      <w:tr w:rsidR="00B47695" w:rsidRPr="00B47695" w:rsidTr="00A42B16">
        <w:trPr>
          <w:trHeight w:val="300"/>
          <w:jc w:val="center"/>
        </w:trPr>
        <w:tc>
          <w:tcPr>
            <w:tcW w:w="960" w:type="dxa"/>
            <w:tcBorders>
              <w:top w:val="nil"/>
              <w:left w:val="single" w:sz="4" w:space="0" w:color="auto"/>
              <w:bottom w:val="single" w:sz="4" w:space="0" w:color="auto"/>
              <w:right w:val="single" w:sz="4" w:space="0" w:color="auto"/>
            </w:tcBorders>
            <w:shd w:val="clear" w:color="auto" w:fill="CCEAF9" w:themeFill="accent1" w:themeFillTint="33"/>
            <w:vAlign w:val="center"/>
            <w:hideMark/>
          </w:tcPr>
          <w:p w:rsidR="00B47695" w:rsidRPr="00B47695" w:rsidRDefault="00B47695" w:rsidP="00B47695">
            <w:pPr>
              <w:spacing w:after="0" w:line="240" w:lineRule="auto"/>
              <w:jc w:val="center"/>
              <w:rPr>
                <w:rFonts w:ascii="Calibri" w:eastAsia="Times New Roman" w:hAnsi="Calibri"/>
                <w:b/>
                <w:bCs/>
                <w:sz w:val="18"/>
                <w:szCs w:val="18"/>
              </w:rPr>
            </w:pPr>
            <w:r w:rsidRPr="00B47695">
              <w:rPr>
                <w:rFonts w:ascii="Calibri" w:eastAsia="Times New Roman" w:hAnsi="Calibri"/>
                <w:b/>
                <w:bCs/>
                <w:sz w:val="18"/>
                <w:szCs w:val="18"/>
              </w:rPr>
              <w:t>2024/2025</w:t>
            </w:r>
          </w:p>
        </w:tc>
        <w:tc>
          <w:tcPr>
            <w:tcW w:w="960" w:type="dxa"/>
            <w:tcBorders>
              <w:top w:val="nil"/>
              <w:left w:val="nil"/>
              <w:bottom w:val="single" w:sz="4" w:space="0" w:color="auto"/>
              <w:right w:val="single" w:sz="4" w:space="0" w:color="auto"/>
            </w:tcBorders>
            <w:shd w:val="clear" w:color="auto" w:fill="CCEAF9" w:themeFill="accent1" w:themeFillTint="33"/>
            <w:vAlign w:val="center"/>
            <w:hideMark/>
          </w:tcPr>
          <w:p w:rsidR="00B47695" w:rsidRPr="00B47695" w:rsidRDefault="00B47695" w:rsidP="00B47695">
            <w:pPr>
              <w:spacing w:after="0" w:line="240" w:lineRule="auto"/>
              <w:jc w:val="center"/>
              <w:rPr>
                <w:rFonts w:ascii="Calibri" w:eastAsia="Times New Roman" w:hAnsi="Calibri"/>
                <w:sz w:val="18"/>
                <w:szCs w:val="18"/>
              </w:rPr>
            </w:pPr>
            <w:r w:rsidRPr="00B47695">
              <w:rPr>
                <w:rFonts w:ascii="Calibri" w:eastAsia="Times New Roman" w:hAnsi="Calibri"/>
                <w:sz w:val="18"/>
                <w:szCs w:val="18"/>
              </w:rPr>
              <w:t>FCA #15</w:t>
            </w:r>
          </w:p>
        </w:tc>
        <w:tc>
          <w:tcPr>
            <w:tcW w:w="960" w:type="dxa"/>
            <w:tcBorders>
              <w:top w:val="nil"/>
              <w:left w:val="nil"/>
              <w:bottom w:val="single" w:sz="4" w:space="0" w:color="auto"/>
              <w:right w:val="single" w:sz="4" w:space="0" w:color="auto"/>
            </w:tcBorders>
            <w:shd w:val="clear" w:color="auto" w:fill="CCEAF9" w:themeFill="accent1" w:themeFillTint="33"/>
            <w:vAlign w:val="center"/>
            <w:hideMark/>
          </w:tcPr>
          <w:p w:rsidR="00B47695" w:rsidRPr="00B47695" w:rsidRDefault="00B47695" w:rsidP="00850662">
            <w:pPr>
              <w:spacing w:after="0" w:line="240" w:lineRule="auto"/>
              <w:ind w:firstLineChars="100" w:firstLine="180"/>
              <w:jc w:val="center"/>
              <w:rPr>
                <w:rFonts w:ascii="Calibri" w:eastAsia="Times New Roman" w:hAnsi="Calibri"/>
                <w:sz w:val="18"/>
                <w:szCs w:val="18"/>
              </w:rPr>
            </w:pPr>
            <w:r w:rsidRPr="00B47695">
              <w:rPr>
                <w:rFonts w:ascii="Calibri" w:eastAsia="Times New Roman" w:hAnsi="Calibri"/>
                <w:sz w:val="18"/>
                <w:szCs w:val="18"/>
              </w:rPr>
              <w:t>N/A</w:t>
            </w:r>
          </w:p>
        </w:tc>
        <w:tc>
          <w:tcPr>
            <w:tcW w:w="960" w:type="dxa"/>
            <w:tcBorders>
              <w:top w:val="nil"/>
              <w:left w:val="nil"/>
              <w:bottom w:val="single" w:sz="4" w:space="0" w:color="auto"/>
              <w:right w:val="single" w:sz="4" w:space="0" w:color="auto"/>
            </w:tcBorders>
            <w:shd w:val="clear" w:color="auto" w:fill="CCEAF9" w:themeFill="accent1" w:themeFillTint="33"/>
            <w:vAlign w:val="center"/>
            <w:hideMark/>
          </w:tcPr>
          <w:p w:rsidR="00B47695" w:rsidRPr="00B47695" w:rsidRDefault="00B47695" w:rsidP="00850662">
            <w:pPr>
              <w:spacing w:after="0" w:line="240" w:lineRule="auto"/>
              <w:ind w:firstLineChars="100" w:firstLine="180"/>
              <w:jc w:val="center"/>
              <w:rPr>
                <w:rFonts w:ascii="Calibri" w:eastAsia="Times New Roman" w:hAnsi="Calibri"/>
                <w:sz w:val="18"/>
                <w:szCs w:val="18"/>
              </w:rPr>
            </w:pPr>
            <w:r w:rsidRPr="00B47695">
              <w:rPr>
                <w:rFonts w:ascii="Calibri" w:eastAsia="Times New Roman" w:hAnsi="Calibri"/>
                <w:sz w:val="18"/>
                <w:szCs w:val="18"/>
              </w:rPr>
              <w:t>N/A</w:t>
            </w:r>
          </w:p>
        </w:tc>
        <w:tc>
          <w:tcPr>
            <w:tcW w:w="960" w:type="dxa"/>
            <w:tcBorders>
              <w:top w:val="nil"/>
              <w:left w:val="nil"/>
              <w:bottom w:val="single" w:sz="4" w:space="0" w:color="auto"/>
              <w:right w:val="single" w:sz="4" w:space="0" w:color="auto"/>
            </w:tcBorders>
            <w:shd w:val="clear" w:color="auto" w:fill="CCEAF9" w:themeFill="accent1" w:themeFillTint="33"/>
            <w:vAlign w:val="center"/>
            <w:hideMark/>
          </w:tcPr>
          <w:p w:rsidR="00B47695" w:rsidRPr="00B47695" w:rsidRDefault="00B47695" w:rsidP="00850662">
            <w:pPr>
              <w:spacing w:after="0" w:line="240" w:lineRule="auto"/>
              <w:ind w:firstLineChars="100" w:firstLine="180"/>
              <w:jc w:val="center"/>
              <w:rPr>
                <w:rFonts w:ascii="Calibri" w:eastAsia="Times New Roman" w:hAnsi="Calibri"/>
                <w:sz w:val="18"/>
                <w:szCs w:val="18"/>
              </w:rPr>
            </w:pPr>
            <w:r w:rsidRPr="00B47695">
              <w:rPr>
                <w:rFonts w:ascii="Calibri" w:eastAsia="Times New Roman" w:hAnsi="Calibri"/>
                <w:sz w:val="18"/>
                <w:szCs w:val="18"/>
              </w:rPr>
              <w:t>N/A</w:t>
            </w:r>
          </w:p>
        </w:tc>
        <w:tc>
          <w:tcPr>
            <w:tcW w:w="960" w:type="dxa"/>
            <w:tcBorders>
              <w:top w:val="nil"/>
              <w:left w:val="nil"/>
              <w:bottom w:val="single" w:sz="4" w:space="0" w:color="auto"/>
              <w:right w:val="single" w:sz="4" w:space="0" w:color="auto"/>
            </w:tcBorders>
            <w:shd w:val="clear" w:color="auto" w:fill="CCEAF9" w:themeFill="accent1" w:themeFillTint="33"/>
            <w:vAlign w:val="center"/>
            <w:hideMark/>
          </w:tcPr>
          <w:p w:rsidR="00B47695" w:rsidRPr="00B47695" w:rsidRDefault="00B47695" w:rsidP="00B47695">
            <w:pPr>
              <w:spacing w:after="0" w:line="240" w:lineRule="auto"/>
              <w:ind w:firstLineChars="100" w:firstLine="180"/>
              <w:jc w:val="right"/>
              <w:rPr>
                <w:rFonts w:ascii="Calibri" w:eastAsia="Times New Roman" w:hAnsi="Calibri"/>
                <w:sz w:val="18"/>
                <w:szCs w:val="18"/>
              </w:rPr>
            </w:pPr>
            <w:r w:rsidRPr="00B47695">
              <w:rPr>
                <w:rFonts w:ascii="Calibri" w:eastAsia="Times New Roman" w:hAnsi="Calibri"/>
                <w:sz w:val="18"/>
                <w:szCs w:val="18"/>
              </w:rPr>
              <w:t>10,550</w:t>
            </w:r>
          </w:p>
        </w:tc>
        <w:tc>
          <w:tcPr>
            <w:tcW w:w="960" w:type="dxa"/>
            <w:tcBorders>
              <w:top w:val="nil"/>
              <w:left w:val="nil"/>
              <w:bottom w:val="single" w:sz="4" w:space="0" w:color="auto"/>
              <w:right w:val="single" w:sz="4" w:space="0" w:color="auto"/>
            </w:tcBorders>
            <w:shd w:val="clear" w:color="auto" w:fill="CCEAF9" w:themeFill="accent1" w:themeFillTint="33"/>
            <w:vAlign w:val="center"/>
            <w:hideMark/>
          </w:tcPr>
          <w:p w:rsidR="00B47695" w:rsidRPr="00B47695" w:rsidRDefault="00B47695" w:rsidP="00850662">
            <w:pPr>
              <w:spacing w:after="0" w:line="240" w:lineRule="auto"/>
              <w:ind w:firstLineChars="100" w:firstLine="180"/>
              <w:jc w:val="center"/>
              <w:rPr>
                <w:rFonts w:ascii="Calibri" w:eastAsia="Times New Roman" w:hAnsi="Calibri"/>
                <w:sz w:val="18"/>
                <w:szCs w:val="18"/>
              </w:rPr>
            </w:pPr>
            <w:r w:rsidRPr="00B47695">
              <w:rPr>
                <w:rFonts w:ascii="Calibri" w:eastAsia="Times New Roman" w:hAnsi="Calibri"/>
                <w:sz w:val="18"/>
                <w:szCs w:val="18"/>
              </w:rPr>
              <w:t>N/A</w:t>
            </w:r>
          </w:p>
        </w:tc>
        <w:tc>
          <w:tcPr>
            <w:tcW w:w="960" w:type="dxa"/>
            <w:tcBorders>
              <w:top w:val="nil"/>
              <w:left w:val="nil"/>
              <w:bottom w:val="single" w:sz="4" w:space="0" w:color="auto"/>
              <w:right w:val="single" w:sz="4" w:space="0" w:color="auto"/>
            </w:tcBorders>
            <w:shd w:val="clear" w:color="auto" w:fill="CCEAF9" w:themeFill="accent1" w:themeFillTint="33"/>
            <w:vAlign w:val="center"/>
            <w:hideMark/>
          </w:tcPr>
          <w:p w:rsidR="00B47695" w:rsidRPr="00B47695" w:rsidRDefault="00B47695" w:rsidP="00B47695">
            <w:pPr>
              <w:spacing w:after="0" w:line="240" w:lineRule="auto"/>
              <w:ind w:firstLineChars="100" w:firstLine="180"/>
              <w:jc w:val="right"/>
              <w:rPr>
                <w:rFonts w:ascii="Calibri" w:eastAsia="Times New Roman" w:hAnsi="Calibri"/>
                <w:sz w:val="18"/>
                <w:szCs w:val="18"/>
              </w:rPr>
            </w:pPr>
            <w:r w:rsidRPr="00B47695">
              <w:rPr>
                <w:rFonts w:ascii="Calibri" w:eastAsia="Times New Roman" w:hAnsi="Calibri"/>
                <w:sz w:val="18"/>
                <w:szCs w:val="18"/>
              </w:rPr>
              <w:t>9,050</w:t>
            </w:r>
          </w:p>
        </w:tc>
      </w:tr>
      <w:tr w:rsidR="00B47695" w:rsidRPr="00B47695" w:rsidTr="00B47695">
        <w:trPr>
          <w:trHeight w:val="300"/>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B47695" w:rsidRPr="00B47695" w:rsidRDefault="00B47695" w:rsidP="00B47695">
            <w:pPr>
              <w:spacing w:after="0" w:line="240" w:lineRule="auto"/>
              <w:jc w:val="center"/>
              <w:rPr>
                <w:rFonts w:ascii="Calibri" w:eastAsia="Times New Roman" w:hAnsi="Calibri"/>
                <w:b/>
                <w:bCs/>
                <w:sz w:val="18"/>
                <w:szCs w:val="18"/>
              </w:rPr>
            </w:pPr>
            <w:r w:rsidRPr="00B47695">
              <w:rPr>
                <w:rFonts w:ascii="Calibri" w:eastAsia="Times New Roman" w:hAnsi="Calibri"/>
                <w:b/>
                <w:bCs/>
                <w:sz w:val="18"/>
                <w:szCs w:val="18"/>
              </w:rPr>
              <w:t>2025/2026</w:t>
            </w:r>
          </w:p>
        </w:tc>
        <w:tc>
          <w:tcPr>
            <w:tcW w:w="960" w:type="dxa"/>
            <w:tcBorders>
              <w:top w:val="nil"/>
              <w:left w:val="nil"/>
              <w:bottom w:val="single" w:sz="4" w:space="0" w:color="auto"/>
              <w:right w:val="single" w:sz="4" w:space="0" w:color="auto"/>
            </w:tcBorders>
            <w:shd w:val="clear" w:color="auto" w:fill="auto"/>
            <w:vAlign w:val="center"/>
            <w:hideMark/>
          </w:tcPr>
          <w:p w:rsidR="00B47695" w:rsidRPr="00B47695" w:rsidRDefault="00B47695" w:rsidP="00B47695">
            <w:pPr>
              <w:spacing w:after="0" w:line="240" w:lineRule="auto"/>
              <w:jc w:val="center"/>
              <w:rPr>
                <w:rFonts w:ascii="Calibri" w:eastAsia="Times New Roman" w:hAnsi="Calibri"/>
                <w:sz w:val="18"/>
                <w:szCs w:val="18"/>
              </w:rPr>
            </w:pPr>
            <w:r w:rsidRPr="00B47695">
              <w:rPr>
                <w:rFonts w:ascii="Calibri" w:eastAsia="Times New Roman" w:hAnsi="Calibri"/>
                <w:sz w:val="18"/>
                <w:szCs w:val="18"/>
              </w:rPr>
              <w:t>FCA #16</w:t>
            </w:r>
          </w:p>
        </w:tc>
        <w:tc>
          <w:tcPr>
            <w:tcW w:w="960" w:type="dxa"/>
            <w:tcBorders>
              <w:top w:val="nil"/>
              <w:left w:val="nil"/>
              <w:bottom w:val="single" w:sz="4" w:space="0" w:color="auto"/>
              <w:right w:val="single" w:sz="4" w:space="0" w:color="auto"/>
            </w:tcBorders>
            <w:shd w:val="clear" w:color="000000" w:fill="FFFFFF"/>
            <w:vAlign w:val="center"/>
            <w:hideMark/>
          </w:tcPr>
          <w:p w:rsidR="00B47695" w:rsidRPr="00B47695" w:rsidRDefault="00B47695" w:rsidP="00850662">
            <w:pPr>
              <w:spacing w:after="0" w:line="240" w:lineRule="auto"/>
              <w:ind w:firstLineChars="100" w:firstLine="180"/>
              <w:jc w:val="center"/>
              <w:rPr>
                <w:rFonts w:ascii="Calibri" w:eastAsia="Times New Roman" w:hAnsi="Calibri"/>
                <w:sz w:val="18"/>
                <w:szCs w:val="18"/>
              </w:rPr>
            </w:pPr>
            <w:r w:rsidRPr="00B47695">
              <w:rPr>
                <w:rFonts w:ascii="Calibri" w:eastAsia="Times New Roman" w:hAnsi="Calibri"/>
                <w:sz w:val="18"/>
                <w:szCs w:val="18"/>
              </w:rPr>
              <w:t>N/A</w:t>
            </w:r>
          </w:p>
        </w:tc>
        <w:tc>
          <w:tcPr>
            <w:tcW w:w="960" w:type="dxa"/>
            <w:tcBorders>
              <w:top w:val="nil"/>
              <w:left w:val="nil"/>
              <w:bottom w:val="single" w:sz="4" w:space="0" w:color="auto"/>
              <w:right w:val="single" w:sz="4" w:space="0" w:color="auto"/>
            </w:tcBorders>
            <w:shd w:val="clear" w:color="000000" w:fill="FFFFFF"/>
            <w:vAlign w:val="center"/>
            <w:hideMark/>
          </w:tcPr>
          <w:p w:rsidR="00B47695" w:rsidRPr="00B47695" w:rsidRDefault="00B47695" w:rsidP="00850662">
            <w:pPr>
              <w:spacing w:after="0" w:line="240" w:lineRule="auto"/>
              <w:ind w:firstLineChars="100" w:firstLine="180"/>
              <w:jc w:val="center"/>
              <w:rPr>
                <w:rFonts w:ascii="Calibri" w:eastAsia="Times New Roman" w:hAnsi="Calibri"/>
                <w:sz w:val="18"/>
                <w:szCs w:val="18"/>
              </w:rPr>
            </w:pPr>
            <w:r w:rsidRPr="00B47695">
              <w:rPr>
                <w:rFonts w:ascii="Calibri" w:eastAsia="Times New Roman" w:hAnsi="Calibri"/>
                <w:sz w:val="18"/>
                <w:szCs w:val="18"/>
              </w:rPr>
              <w:t>N/A</w:t>
            </w:r>
          </w:p>
        </w:tc>
        <w:tc>
          <w:tcPr>
            <w:tcW w:w="960" w:type="dxa"/>
            <w:tcBorders>
              <w:top w:val="nil"/>
              <w:left w:val="nil"/>
              <w:bottom w:val="single" w:sz="4" w:space="0" w:color="auto"/>
              <w:right w:val="single" w:sz="4" w:space="0" w:color="auto"/>
            </w:tcBorders>
            <w:shd w:val="clear" w:color="000000" w:fill="FFFFFF"/>
            <w:vAlign w:val="center"/>
            <w:hideMark/>
          </w:tcPr>
          <w:p w:rsidR="00B47695" w:rsidRPr="00B47695" w:rsidRDefault="00B47695" w:rsidP="00850662">
            <w:pPr>
              <w:spacing w:after="0" w:line="240" w:lineRule="auto"/>
              <w:ind w:firstLineChars="100" w:firstLine="180"/>
              <w:jc w:val="center"/>
              <w:rPr>
                <w:rFonts w:ascii="Calibri" w:eastAsia="Times New Roman" w:hAnsi="Calibri"/>
                <w:sz w:val="18"/>
                <w:szCs w:val="18"/>
              </w:rPr>
            </w:pPr>
            <w:r w:rsidRPr="00B47695">
              <w:rPr>
                <w:rFonts w:ascii="Calibri" w:eastAsia="Times New Roman" w:hAnsi="Calibri"/>
                <w:sz w:val="18"/>
                <w:szCs w:val="18"/>
              </w:rPr>
              <w:t>N/A</w:t>
            </w:r>
          </w:p>
        </w:tc>
        <w:tc>
          <w:tcPr>
            <w:tcW w:w="960" w:type="dxa"/>
            <w:tcBorders>
              <w:top w:val="nil"/>
              <w:left w:val="nil"/>
              <w:bottom w:val="single" w:sz="4" w:space="0" w:color="auto"/>
              <w:right w:val="single" w:sz="4" w:space="0" w:color="auto"/>
            </w:tcBorders>
            <w:shd w:val="clear" w:color="000000" w:fill="FFFFFF"/>
            <w:vAlign w:val="center"/>
            <w:hideMark/>
          </w:tcPr>
          <w:p w:rsidR="00B47695" w:rsidRPr="00B47695" w:rsidRDefault="00B47695" w:rsidP="00B47695">
            <w:pPr>
              <w:spacing w:after="0" w:line="240" w:lineRule="auto"/>
              <w:ind w:firstLineChars="100" w:firstLine="180"/>
              <w:jc w:val="right"/>
              <w:rPr>
                <w:rFonts w:ascii="Calibri" w:eastAsia="Times New Roman" w:hAnsi="Calibri"/>
                <w:sz w:val="18"/>
                <w:szCs w:val="18"/>
              </w:rPr>
            </w:pPr>
            <w:r w:rsidRPr="00B47695">
              <w:rPr>
                <w:rFonts w:ascii="Calibri" w:eastAsia="Times New Roman" w:hAnsi="Calibri"/>
                <w:sz w:val="18"/>
                <w:szCs w:val="18"/>
              </w:rPr>
              <w:t>10,750</w:t>
            </w:r>
          </w:p>
        </w:tc>
        <w:tc>
          <w:tcPr>
            <w:tcW w:w="960" w:type="dxa"/>
            <w:tcBorders>
              <w:top w:val="nil"/>
              <w:left w:val="nil"/>
              <w:bottom w:val="single" w:sz="4" w:space="0" w:color="auto"/>
              <w:right w:val="single" w:sz="4" w:space="0" w:color="auto"/>
            </w:tcBorders>
            <w:shd w:val="clear" w:color="000000" w:fill="FFFFFF"/>
            <w:vAlign w:val="center"/>
            <w:hideMark/>
          </w:tcPr>
          <w:p w:rsidR="00B47695" w:rsidRPr="00B47695" w:rsidRDefault="00B47695" w:rsidP="00850662">
            <w:pPr>
              <w:spacing w:after="0" w:line="240" w:lineRule="auto"/>
              <w:ind w:firstLineChars="100" w:firstLine="180"/>
              <w:jc w:val="center"/>
              <w:rPr>
                <w:rFonts w:ascii="Calibri" w:eastAsia="Times New Roman" w:hAnsi="Calibri"/>
                <w:sz w:val="18"/>
                <w:szCs w:val="18"/>
              </w:rPr>
            </w:pPr>
            <w:r w:rsidRPr="00B47695">
              <w:rPr>
                <w:rFonts w:ascii="Calibri" w:eastAsia="Times New Roman" w:hAnsi="Calibri"/>
                <w:sz w:val="18"/>
                <w:szCs w:val="18"/>
              </w:rPr>
              <w:t>N/A</w:t>
            </w:r>
          </w:p>
        </w:tc>
        <w:tc>
          <w:tcPr>
            <w:tcW w:w="960" w:type="dxa"/>
            <w:tcBorders>
              <w:top w:val="nil"/>
              <w:left w:val="nil"/>
              <w:bottom w:val="single" w:sz="4" w:space="0" w:color="auto"/>
              <w:right w:val="single" w:sz="4" w:space="0" w:color="auto"/>
            </w:tcBorders>
            <w:shd w:val="clear" w:color="000000" w:fill="FFFFFF"/>
            <w:vAlign w:val="center"/>
            <w:hideMark/>
          </w:tcPr>
          <w:p w:rsidR="00B47695" w:rsidRPr="00B47695" w:rsidRDefault="00B47695" w:rsidP="00B47695">
            <w:pPr>
              <w:spacing w:after="0" w:line="240" w:lineRule="auto"/>
              <w:ind w:firstLineChars="100" w:firstLine="180"/>
              <w:jc w:val="right"/>
              <w:rPr>
                <w:rFonts w:ascii="Calibri" w:eastAsia="Times New Roman" w:hAnsi="Calibri"/>
                <w:sz w:val="18"/>
                <w:szCs w:val="18"/>
              </w:rPr>
            </w:pPr>
            <w:r w:rsidRPr="00B47695">
              <w:rPr>
                <w:rFonts w:ascii="Calibri" w:eastAsia="Times New Roman" w:hAnsi="Calibri"/>
                <w:sz w:val="18"/>
                <w:szCs w:val="18"/>
              </w:rPr>
              <w:t>9,150</w:t>
            </w:r>
          </w:p>
        </w:tc>
      </w:tr>
      <w:tr w:rsidR="00B47695" w:rsidRPr="00B47695" w:rsidTr="00A42B16">
        <w:trPr>
          <w:trHeight w:val="300"/>
          <w:jc w:val="center"/>
        </w:trPr>
        <w:tc>
          <w:tcPr>
            <w:tcW w:w="960" w:type="dxa"/>
            <w:tcBorders>
              <w:top w:val="nil"/>
              <w:left w:val="single" w:sz="4" w:space="0" w:color="auto"/>
              <w:bottom w:val="single" w:sz="4" w:space="0" w:color="auto"/>
              <w:right w:val="single" w:sz="4" w:space="0" w:color="auto"/>
            </w:tcBorders>
            <w:shd w:val="clear" w:color="auto" w:fill="CCEAF9" w:themeFill="accent1" w:themeFillTint="33"/>
            <w:vAlign w:val="center"/>
            <w:hideMark/>
          </w:tcPr>
          <w:p w:rsidR="00B47695" w:rsidRPr="00B47695" w:rsidRDefault="00B47695" w:rsidP="00B47695">
            <w:pPr>
              <w:spacing w:after="0" w:line="240" w:lineRule="auto"/>
              <w:jc w:val="center"/>
              <w:rPr>
                <w:rFonts w:ascii="Calibri" w:eastAsia="Times New Roman" w:hAnsi="Calibri"/>
                <w:b/>
                <w:bCs/>
                <w:sz w:val="18"/>
                <w:szCs w:val="18"/>
              </w:rPr>
            </w:pPr>
            <w:r w:rsidRPr="00B47695">
              <w:rPr>
                <w:rFonts w:ascii="Calibri" w:eastAsia="Times New Roman" w:hAnsi="Calibri"/>
                <w:b/>
                <w:bCs/>
                <w:sz w:val="18"/>
                <w:szCs w:val="18"/>
              </w:rPr>
              <w:t>2026/2027</w:t>
            </w:r>
          </w:p>
        </w:tc>
        <w:tc>
          <w:tcPr>
            <w:tcW w:w="960" w:type="dxa"/>
            <w:tcBorders>
              <w:top w:val="nil"/>
              <w:left w:val="nil"/>
              <w:bottom w:val="single" w:sz="4" w:space="0" w:color="auto"/>
              <w:right w:val="single" w:sz="4" w:space="0" w:color="auto"/>
            </w:tcBorders>
            <w:shd w:val="clear" w:color="auto" w:fill="CCEAF9" w:themeFill="accent1" w:themeFillTint="33"/>
            <w:vAlign w:val="center"/>
            <w:hideMark/>
          </w:tcPr>
          <w:p w:rsidR="00B47695" w:rsidRPr="00B47695" w:rsidRDefault="00B47695" w:rsidP="00B47695">
            <w:pPr>
              <w:spacing w:after="0" w:line="240" w:lineRule="auto"/>
              <w:jc w:val="center"/>
              <w:rPr>
                <w:rFonts w:ascii="Calibri" w:eastAsia="Times New Roman" w:hAnsi="Calibri"/>
                <w:sz w:val="18"/>
                <w:szCs w:val="18"/>
              </w:rPr>
            </w:pPr>
            <w:r w:rsidRPr="00B47695">
              <w:rPr>
                <w:rFonts w:ascii="Calibri" w:eastAsia="Times New Roman" w:hAnsi="Calibri"/>
                <w:sz w:val="18"/>
                <w:szCs w:val="18"/>
              </w:rPr>
              <w:t>FCA #17</w:t>
            </w:r>
          </w:p>
        </w:tc>
        <w:tc>
          <w:tcPr>
            <w:tcW w:w="960" w:type="dxa"/>
            <w:tcBorders>
              <w:top w:val="nil"/>
              <w:left w:val="nil"/>
              <w:bottom w:val="single" w:sz="4" w:space="0" w:color="auto"/>
              <w:right w:val="single" w:sz="4" w:space="0" w:color="auto"/>
            </w:tcBorders>
            <w:shd w:val="clear" w:color="auto" w:fill="CCEAF9" w:themeFill="accent1" w:themeFillTint="33"/>
            <w:vAlign w:val="center"/>
            <w:hideMark/>
          </w:tcPr>
          <w:p w:rsidR="00B47695" w:rsidRPr="00B47695" w:rsidRDefault="00B47695" w:rsidP="00850662">
            <w:pPr>
              <w:spacing w:after="0" w:line="240" w:lineRule="auto"/>
              <w:ind w:firstLineChars="100" w:firstLine="180"/>
              <w:jc w:val="center"/>
              <w:rPr>
                <w:rFonts w:ascii="Calibri" w:eastAsia="Times New Roman" w:hAnsi="Calibri"/>
                <w:sz w:val="18"/>
                <w:szCs w:val="18"/>
              </w:rPr>
            </w:pPr>
            <w:r w:rsidRPr="00B47695">
              <w:rPr>
                <w:rFonts w:ascii="Calibri" w:eastAsia="Times New Roman" w:hAnsi="Calibri"/>
                <w:sz w:val="18"/>
                <w:szCs w:val="18"/>
              </w:rPr>
              <w:t>N/A</w:t>
            </w:r>
          </w:p>
        </w:tc>
        <w:tc>
          <w:tcPr>
            <w:tcW w:w="960" w:type="dxa"/>
            <w:tcBorders>
              <w:top w:val="nil"/>
              <w:left w:val="nil"/>
              <w:bottom w:val="single" w:sz="4" w:space="0" w:color="auto"/>
              <w:right w:val="single" w:sz="4" w:space="0" w:color="auto"/>
            </w:tcBorders>
            <w:shd w:val="clear" w:color="auto" w:fill="CCEAF9" w:themeFill="accent1" w:themeFillTint="33"/>
            <w:vAlign w:val="center"/>
            <w:hideMark/>
          </w:tcPr>
          <w:p w:rsidR="00B47695" w:rsidRPr="00B47695" w:rsidRDefault="00B47695" w:rsidP="00850662">
            <w:pPr>
              <w:spacing w:after="0" w:line="240" w:lineRule="auto"/>
              <w:ind w:firstLineChars="100" w:firstLine="180"/>
              <w:jc w:val="center"/>
              <w:rPr>
                <w:rFonts w:ascii="Calibri" w:eastAsia="Times New Roman" w:hAnsi="Calibri"/>
                <w:sz w:val="18"/>
                <w:szCs w:val="18"/>
              </w:rPr>
            </w:pPr>
            <w:r w:rsidRPr="00B47695">
              <w:rPr>
                <w:rFonts w:ascii="Calibri" w:eastAsia="Times New Roman" w:hAnsi="Calibri"/>
                <w:sz w:val="18"/>
                <w:szCs w:val="18"/>
              </w:rPr>
              <w:t>N/A</w:t>
            </w:r>
          </w:p>
        </w:tc>
        <w:tc>
          <w:tcPr>
            <w:tcW w:w="960" w:type="dxa"/>
            <w:tcBorders>
              <w:top w:val="nil"/>
              <w:left w:val="nil"/>
              <w:bottom w:val="single" w:sz="4" w:space="0" w:color="auto"/>
              <w:right w:val="single" w:sz="4" w:space="0" w:color="auto"/>
            </w:tcBorders>
            <w:shd w:val="clear" w:color="auto" w:fill="CCEAF9" w:themeFill="accent1" w:themeFillTint="33"/>
            <w:vAlign w:val="center"/>
            <w:hideMark/>
          </w:tcPr>
          <w:p w:rsidR="00B47695" w:rsidRPr="00B47695" w:rsidRDefault="00B47695" w:rsidP="00850662">
            <w:pPr>
              <w:spacing w:after="0" w:line="240" w:lineRule="auto"/>
              <w:ind w:firstLineChars="100" w:firstLine="180"/>
              <w:jc w:val="center"/>
              <w:rPr>
                <w:rFonts w:ascii="Calibri" w:eastAsia="Times New Roman" w:hAnsi="Calibri"/>
                <w:sz w:val="18"/>
                <w:szCs w:val="18"/>
              </w:rPr>
            </w:pPr>
            <w:r w:rsidRPr="00B47695">
              <w:rPr>
                <w:rFonts w:ascii="Calibri" w:eastAsia="Times New Roman" w:hAnsi="Calibri"/>
                <w:sz w:val="18"/>
                <w:szCs w:val="18"/>
              </w:rPr>
              <w:t>N/A</w:t>
            </w:r>
          </w:p>
        </w:tc>
        <w:tc>
          <w:tcPr>
            <w:tcW w:w="960" w:type="dxa"/>
            <w:tcBorders>
              <w:top w:val="nil"/>
              <w:left w:val="nil"/>
              <w:bottom w:val="single" w:sz="4" w:space="0" w:color="auto"/>
              <w:right w:val="single" w:sz="4" w:space="0" w:color="auto"/>
            </w:tcBorders>
            <w:shd w:val="clear" w:color="auto" w:fill="CCEAF9" w:themeFill="accent1" w:themeFillTint="33"/>
            <w:vAlign w:val="center"/>
            <w:hideMark/>
          </w:tcPr>
          <w:p w:rsidR="00B47695" w:rsidRPr="00B47695" w:rsidRDefault="00B47695" w:rsidP="00B47695">
            <w:pPr>
              <w:spacing w:after="0" w:line="240" w:lineRule="auto"/>
              <w:ind w:firstLineChars="100" w:firstLine="180"/>
              <w:jc w:val="right"/>
              <w:rPr>
                <w:rFonts w:ascii="Calibri" w:eastAsia="Times New Roman" w:hAnsi="Calibri"/>
                <w:sz w:val="18"/>
                <w:szCs w:val="18"/>
              </w:rPr>
            </w:pPr>
            <w:r w:rsidRPr="00B47695">
              <w:rPr>
                <w:rFonts w:ascii="Calibri" w:eastAsia="Times New Roman" w:hAnsi="Calibri"/>
                <w:sz w:val="18"/>
                <w:szCs w:val="18"/>
              </w:rPr>
              <w:t>10,900</w:t>
            </w:r>
          </w:p>
        </w:tc>
        <w:tc>
          <w:tcPr>
            <w:tcW w:w="960" w:type="dxa"/>
            <w:tcBorders>
              <w:top w:val="nil"/>
              <w:left w:val="nil"/>
              <w:bottom w:val="single" w:sz="4" w:space="0" w:color="auto"/>
              <w:right w:val="single" w:sz="4" w:space="0" w:color="auto"/>
            </w:tcBorders>
            <w:shd w:val="clear" w:color="auto" w:fill="CCEAF9" w:themeFill="accent1" w:themeFillTint="33"/>
            <w:vAlign w:val="center"/>
            <w:hideMark/>
          </w:tcPr>
          <w:p w:rsidR="00B47695" w:rsidRPr="00B47695" w:rsidRDefault="00B47695" w:rsidP="00850662">
            <w:pPr>
              <w:spacing w:after="0" w:line="240" w:lineRule="auto"/>
              <w:ind w:firstLineChars="100" w:firstLine="180"/>
              <w:jc w:val="center"/>
              <w:rPr>
                <w:rFonts w:ascii="Calibri" w:eastAsia="Times New Roman" w:hAnsi="Calibri"/>
                <w:sz w:val="18"/>
                <w:szCs w:val="18"/>
              </w:rPr>
            </w:pPr>
            <w:r w:rsidRPr="00B47695">
              <w:rPr>
                <w:rFonts w:ascii="Calibri" w:eastAsia="Times New Roman" w:hAnsi="Calibri"/>
                <w:sz w:val="18"/>
                <w:szCs w:val="18"/>
              </w:rPr>
              <w:t>N/A</w:t>
            </w:r>
          </w:p>
        </w:tc>
        <w:tc>
          <w:tcPr>
            <w:tcW w:w="960" w:type="dxa"/>
            <w:tcBorders>
              <w:top w:val="nil"/>
              <w:left w:val="nil"/>
              <w:bottom w:val="single" w:sz="4" w:space="0" w:color="auto"/>
              <w:right w:val="single" w:sz="4" w:space="0" w:color="auto"/>
            </w:tcBorders>
            <w:shd w:val="clear" w:color="auto" w:fill="CCEAF9" w:themeFill="accent1" w:themeFillTint="33"/>
            <w:vAlign w:val="center"/>
            <w:hideMark/>
          </w:tcPr>
          <w:p w:rsidR="00B47695" w:rsidRPr="00B47695" w:rsidRDefault="00B47695" w:rsidP="00B47695">
            <w:pPr>
              <w:spacing w:after="0" w:line="240" w:lineRule="auto"/>
              <w:ind w:firstLineChars="100" w:firstLine="180"/>
              <w:jc w:val="right"/>
              <w:rPr>
                <w:rFonts w:ascii="Calibri" w:eastAsia="Times New Roman" w:hAnsi="Calibri"/>
                <w:sz w:val="18"/>
                <w:szCs w:val="18"/>
              </w:rPr>
            </w:pPr>
            <w:r w:rsidRPr="00B47695">
              <w:rPr>
                <w:rFonts w:ascii="Calibri" w:eastAsia="Times New Roman" w:hAnsi="Calibri"/>
                <w:sz w:val="18"/>
                <w:szCs w:val="18"/>
              </w:rPr>
              <w:t>9,250</w:t>
            </w:r>
          </w:p>
        </w:tc>
      </w:tr>
    </w:tbl>
    <w:p w:rsidR="00B47695" w:rsidRPr="00644AAE" w:rsidRDefault="00644AAE" w:rsidP="00644AAE">
      <w:pPr>
        <w:keepLines/>
        <w:tabs>
          <w:tab w:val="left" w:pos="8010"/>
          <w:tab w:val="left" w:pos="9090"/>
          <w:tab w:val="left" w:pos="9810"/>
        </w:tabs>
        <w:autoSpaceDE w:val="0"/>
        <w:autoSpaceDN w:val="0"/>
        <w:adjustRightInd w:val="0"/>
        <w:spacing w:before="120" w:after="80" w:line="240" w:lineRule="auto"/>
        <w:ind w:left="990" w:right="630" w:hanging="270"/>
        <w:rPr>
          <w:rFonts w:asciiTheme="minorHAnsi" w:eastAsia="Times New Roman" w:hAnsiTheme="minorHAnsi" w:cs="Arial"/>
          <w:sz w:val="16"/>
          <w:szCs w:val="16"/>
        </w:rPr>
      </w:pPr>
      <w:r w:rsidRPr="000D73CE">
        <w:rPr>
          <w:rFonts w:asciiTheme="minorHAnsi" w:eastAsia="Times New Roman" w:hAnsiTheme="minorHAnsi" w:cs="Arial"/>
          <w:sz w:val="16"/>
          <w:szCs w:val="16"/>
        </w:rPr>
        <w:t xml:space="preserve">(a) </w:t>
      </w:r>
      <w:r w:rsidRPr="000D73CE">
        <w:rPr>
          <w:rFonts w:asciiTheme="minorHAnsi" w:eastAsia="Times New Roman" w:hAnsiTheme="minorHAnsi" w:cs="Arial"/>
          <w:sz w:val="16"/>
          <w:szCs w:val="16"/>
        </w:rPr>
        <w:tab/>
      </w:r>
      <w:r w:rsidR="00B47695" w:rsidRPr="00644AAE">
        <w:rPr>
          <w:rFonts w:asciiTheme="minorHAnsi" w:eastAsia="Times New Roman" w:hAnsiTheme="minorHAnsi" w:cs="Arial"/>
          <w:b/>
          <w:sz w:val="16"/>
          <w:szCs w:val="16"/>
        </w:rPr>
        <w:t>Source:</w:t>
      </w:r>
      <w:r w:rsidR="00B47695" w:rsidRPr="00644AAE">
        <w:rPr>
          <w:rFonts w:asciiTheme="minorHAnsi" w:eastAsia="Times New Roman" w:hAnsiTheme="minorHAnsi" w:cs="Arial"/>
          <w:sz w:val="16"/>
          <w:szCs w:val="16"/>
        </w:rPr>
        <w:t xml:space="preserve"> “Summary of ICR, LSR, and MCL for FCM and the Transition Period,” table, in </w:t>
      </w:r>
      <w:r w:rsidR="00B47695" w:rsidRPr="00644AAE">
        <w:rPr>
          <w:rFonts w:asciiTheme="minorHAnsi" w:eastAsia="Times New Roman" w:hAnsiTheme="minorHAnsi" w:cs="Arial"/>
          <w:i/>
          <w:sz w:val="16"/>
          <w:szCs w:val="16"/>
        </w:rPr>
        <w:t>Summary of Historical ICR Values</w:t>
      </w:r>
      <w:r w:rsidR="00B47695" w:rsidRPr="00644AAE">
        <w:rPr>
          <w:rFonts w:asciiTheme="minorHAnsi" w:eastAsia="Times New Roman" w:hAnsiTheme="minorHAnsi" w:cs="Arial"/>
          <w:sz w:val="16"/>
          <w:szCs w:val="16"/>
        </w:rPr>
        <w:t xml:space="preserve"> spreadsheet (December 13, 2016), </w:t>
      </w:r>
      <w:hyperlink r:id="rId40" w:history="1">
        <w:r w:rsidR="00B47695" w:rsidRPr="00644AAE">
          <w:rPr>
            <w:rFonts w:asciiTheme="minorHAnsi" w:eastAsia="Times New Roman" w:hAnsiTheme="minorHAnsi"/>
            <w:color w:val="000000"/>
            <w:sz w:val="16"/>
            <w:szCs w:val="16"/>
          </w:rPr>
          <w:t>https://www.iso-ne.com/static-assets/documents/2016/12/summary_of_historical_icr_values.xlsx</w:t>
        </w:r>
      </w:hyperlink>
      <w:r w:rsidR="00B47695" w:rsidRPr="00644AAE">
        <w:rPr>
          <w:rFonts w:asciiTheme="minorHAnsi" w:eastAsia="Times New Roman" w:hAnsiTheme="minorHAnsi"/>
          <w:sz w:val="16"/>
          <w:szCs w:val="16"/>
        </w:rPr>
        <w:t xml:space="preserve">. </w:t>
      </w:r>
      <w:r w:rsidR="00B47695" w:rsidRPr="00644AAE">
        <w:rPr>
          <w:rFonts w:asciiTheme="minorHAnsi" w:eastAsia="Times New Roman" w:hAnsiTheme="minorHAnsi" w:cs="Arial"/>
          <w:sz w:val="16"/>
          <w:szCs w:val="16"/>
        </w:rPr>
        <w:t>These are the latest values filed with FERC.</w:t>
      </w:r>
    </w:p>
    <w:p w:rsidR="00B47695" w:rsidRDefault="00644AAE" w:rsidP="000D73CE">
      <w:pPr>
        <w:keepLines/>
        <w:tabs>
          <w:tab w:val="left" w:pos="8010"/>
          <w:tab w:val="left" w:pos="9090"/>
          <w:tab w:val="left" w:pos="9810"/>
        </w:tabs>
        <w:autoSpaceDE w:val="0"/>
        <w:autoSpaceDN w:val="0"/>
        <w:adjustRightInd w:val="0"/>
        <w:spacing w:after="80" w:line="240" w:lineRule="auto"/>
        <w:ind w:left="994" w:right="634" w:hanging="274"/>
        <w:rPr>
          <w:rFonts w:asciiTheme="minorHAnsi" w:eastAsia="Times New Roman" w:hAnsiTheme="minorHAnsi" w:cs="Arial"/>
          <w:sz w:val="16"/>
          <w:szCs w:val="16"/>
        </w:rPr>
      </w:pPr>
      <w:r w:rsidRPr="00644AAE">
        <w:rPr>
          <w:rFonts w:asciiTheme="minorHAnsi" w:eastAsia="Times New Roman" w:hAnsiTheme="minorHAnsi" w:cs="Arial"/>
          <w:sz w:val="16"/>
          <w:szCs w:val="16"/>
        </w:rPr>
        <w:t xml:space="preserve">(b) </w:t>
      </w:r>
      <w:r w:rsidRPr="00644AAE">
        <w:rPr>
          <w:rFonts w:asciiTheme="minorHAnsi" w:eastAsia="Times New Roman" w:hAnsiTheme="minorHAnsi" w:cs="Arial"/>
          <w:sz w:val="16"/>
          <w:szCs w:val="16"/>
        </w:rPr>
        <w:tab/>
      </w:r>
      <w:r w:rsidR="00B47695" w:rsidRPr="00644AAE">
        <w:rPr>
          <w:rFonts w:asciiTheme="minorHAnsi" w:eastAsia="Times New Roman" w:hAnsiTheme="minorHAnsi" w:cs="Arial"/>
          <w:sz w:val="16"/>
          <w:szCs w:val="16"/>
        </w:rPr>
        <w:t xml:space="preserve">LSR and MCL values were calculated only for capacity zones triggered to be modeled (see Section </w:t>
      </w:r>
      <w:r w:rsidRPr="00644AAE">
        <w:rPr>
          <w:rFonts w:asciiTheme="minorHAnsi" w:eastAsia="Times New Roman" w:hAnsiTheme="minorHAnsi" w:cs="Arial"/>
          <w:sz w:val="16"/>
          <w:szCs w:val="16"/>
        </w:rPr>
        <w:fldChar w:fldCharType="begin"/>
      </w:r>
      <w:r w:rsidRPr="00644AAE">
        <w:rPr>
          <w:rFonts w:asciiTheme="minorHAnsi" w:eastAsia="Times New Roman" w:hAnsiTheme="minorHAnsi" w:cs="Arial"/>
          <w:sz w:val="16"/>
          <w:szCs w:val="16"/>
        </w:rPr>
        <w:instrText xml:space="preserve"> REF _Ref418883537 \r \h  \* MERGEFORMAT </w:instrText>
      </w:r>
      <w:r w:rsidRPr="00644AAE">
        <w:rPr>
          <w:rFonts w:asciiTheme="minorHAnsi" w:eastAsia="Times New Roman" w:hAnsiTheme="minorHAnsi" w:cs="Arial"/>
          <w:sz w:val="16"/>
          <w:szCs w:val="16"/>
        </w:rPr>
      </w:r>
      <w:r w:rsidRPr="00644AAE">
        <w:rPr>
          <w:rFonts w:asciiTheme="minorHAnsi" w:eastAsia="Times New Roman" w:hAnsiTheme="minorHAnsi" w:cs="Arial"/>
          <w:sz w:val="16"/>
          <w:szCs w:val="16"/>
        </w:rPr>
        <w:fldChar w:fldCharType="separate"/>
      </w:r>
      <w:r w:rsidR="00314781">
        <w:rPr>
          <w:rFonts w:asciiTheme="minorHAnsi" w:eastAsia="Times New Roman" w:hAnsiTheme="minorHAnsi" w:cs="Arial"/>
          <w:sz w:val="16"/>
          <w:szCs w:val="16"/>
        </w:rPr>
        <w:t>4.2</w:t>
      </w:r>
      <w:r w:rsidRPr="00644AAE">
        <w:rPr>
          <w:rFonts w:asciiTheme="minorHAnsi" w:eastAsia="Times New Roman" w:hAnsiTheme="minorHAnsi" w:cs="Arial"/>
          <w:sz w:val="16"/>
          <w:szCs w:val="16"/>
        </w:rPr>
        <w:fldChar w:fldCharType="end"/>
      </w:r>
      <w:r w:rsidR="00B47695" w:rsidRPr="00644AAE">
        <w:rPr>
          <w:rFonts w:asciiTheme="minorHAnsi" w:eastAsia="Times New Roman" w:hAnsiTheme="minorHAnsi" w:cs="Arial"/>
          <w:sz w:val="16"/>
          <w:szCs w:val="16"/>
        </w:rPr>
        <w:t>) in that capacity commitment period.</w:t>
      </w:r>
    </w:p>
    <w:p w:rsidR="000D73CE" w:rsidRPr="000D73CE" w:rsidRDefault="003158A3" w:rsidP="000D73CE">
      <w:pPr>
        <w:keepLines/>
        <w:tabs>
          <w:tab w:val="left" w:pos="8010"/>
          <w:tab w:val="left" w:pos="9090"/>
          <w:tab w:val="left" w:pos="9810"/>
        </w:tabs>
        <w:autoSpaceDE w:val="0"/>
        <w:autoSpaceDN w:val="0"/>
        <w:adjustRightInd w:val="0"/>
        <w:spacing w:line="240" w:lineRule="auto"/>
        <w:ind w:left="994" w:right="634" w:hanging="274"/>
        <w:rPr>
          <w:rFonts w:asciiTheme="minorHAnsi" w:eastAsia="Times New Roman" w:hAnsiTheme="minorHAnsi" w:cs="Arial"/>
          <w:sz w:val="16"/>
          <w:szCs w:val="16"/>
        </w:rPr>
      </w:pPr>
      <w:r>
        <w:rPr>
          <w:rFonts w:asciiTheme="minorHAnsi" w:eastAsia="Times New Roman" w:hAnsiTheme="minorHAnsi" w:cs="Arial"/>
          <w:sz w:val="16"/>
          <w:szCs w:val="16"/>
        </w:rPr>
        <w:t xml:space="preserve">(c) </w:t>
      </w:r>
      <w:r w:rsidR="000D73CE">
        <w:rPr>
          <w:rFonts w:asciiTheme="minorHAnsi" w:eastAsia="Times New Roman" w:hAnsiTheme="minorHAnsi" w:cs="Arial"/>
          <w:sz w:val="16"/>
          <w:szCs w:val="16"/>
        </w:rPr>
        <w:tab/>
      </w:r>
      <w:r>
        <w:rPr>
          <w:rFonts w:asciiTheme="minorHAnsi" w:eastAsia="Times New Roman" w:hAnsiTheme="minorHAnsi" w:cs="Arial"/>
          <w:sz w:val="16"/>
          <w:szCs w:val="16"/>
        </w:rPr>
        <w:t>See Section</w:t>
      </w:r>
      <w:r w:rsidR="000D73CE">
        <w:rPr>
          <w:rFonts w:asciiTheme="minorHAnsi" w:eastAsia="Times New Roman" w:hAnsiTheme="minorHAnsi" w:cs="Arial"/>
          <w:sz w:val="16"/>
          <w:szCs w:val="16"/>
        </w:rPr>
        <w:t xml:space="preserve"> </w:t>
      </w:r>
      <w:r w:rsidR="000D73CE">
        <w:rPr>
          <w:rFonts w:asciiTheme="minorHAnsi" w:eastAsia="Times New Roman" w:hAnsiTheme="minorHAnsi" w:cs="Arial"/>
          <w:sz w:val="16"/>
          <w:szCs w:val="16"/>
        </w:rPr>
        <w:fldChar w:fldCharType="begin"/>
      </w:r>
      <w:r w:rsidR="000D73CE">
        <w:rPr>
          <w:rFonts w:asciiTheme="minorHAnsi" w:eastAsia="Times New Roman" w:hAnsiTheme="minorHAnsi" w:cs="Arial"/>
          <w:sz w:val="16"/>
          <w:szCs w:val="16"/>
        </w:rPr>
        <w:instrText xml:space="preserve"> REF _Ref356659320 \r \h  \* MERGEFORMAT </w:instrText>
      </w:r>
      <w:r w:rsidR="000D73CE">
        <w:rPr>
          <w:rFonts w:asciiTheme="minorHAnsi" w:eastAsia="Times New Roman" w:hAnsiTheme="minorHAnsi" w:cs="Arial"/>
          <w:sz w:val="16"/>
          <w:szCs w:val="16"/>
        </w:rPr>
      </w:r>
      <w:r w:rsidR="000D73CE">
        <w:rPr>
          <w:rFonts w:asciiTheme="minorHAnsi" w:eastAsia="Times New Roman" w:hAnsiTheme="minorHAnsi" w:cs="Arial"/>
          <w:sz w:val="16"/>
          <w:szCs w:val="16"/>
        </w:rPr>
        <w:fldChar w:fldCharType="separate"/>
      </w:r>
      <w:r w:rsidR="00314781">
        <w:rPr>
          <w:rFonts w:asciiTheme="minorHAnsi" w:eastAsia="Times New Roman" w:hAnsiTheme="minorHAnsi" w:cs="Arial"/>
          <w:sz w:val="16"/>
          <w:szCs w:val="16"/>
        </w:rPr>
        <w:t>2.4</w:t>
      </w:r>
      <w:r w:rsidR="000D73CE">
        <w:rPr>
          <w:rFonts w:asciiTheme="minorHAnsi" w:eastAsia="Times New Roman" w:hAnsiTheme="minorHAnsi" w:cs="Arial"/>
          <w:sz w:val="16"/>
          <w:szCs w:val="16"/>
        </w:rPr>
        <w:fldChar w:fldCharType="end"/>
      </w:r>
      <w:r w:rsidR="000D73CE">
        <w:rPr>
          <w:rFonts w:asciiTheme="minorHAnsi" w:eastAsia="Times New Roman" w:hAnsiTheme="minorHAnsi" w:cs="Arial"/>
          <w:sz w:val="16"/>
          <w:szCs w:val="16"/>
        </w:rPr>
        <w:t xml:space="preserve"> </w:t>
      </w:r>
      <w:r>
        <w:rPr>
          <w:rFonts w:asciiTheme="minorHAnsi" w:eastAsia="Times New Roman" w:hAnsiTheme="minorHAnsi" w:cs="Arial"/>
          <w:sz w:val="16"/>
          <w:szCs w:val="16"/>
        </w:rPr>
        <w:t xml:space="preserve"> for definitions of these capacity zones</w:t>
      </w:r>
      <w:r w:rsidR="000D73CE" w:rsidRPr="000D73CE">
        <w:rPr>
          <w:rFonts w:asciiTheme="minorHAnsi" w:eastAsia="Times New Roman" w:hAnsiTheme="minorHAnsi" w:cs="Arial"/>
          <w:sz w:val="16"/>
          <w:szCs w:val="16"/>
        </w:rPr>
        <w:t>.</w:t>
      </w:r>
      <w:bookmarkStart w:id="274" w:name="_Toc481053250"/>
      <w:bookmarkStart w:id="275" w:name="_Ref173230243"/>
      <w:bookmarkStart w:id="276" w:name="_Toc176245001"/>
      <w:bookmarkStart w:id="277" w:name="_Toc201669924"/>
      <w:bookmarkStart w:id="278" w:name="_Ref201977716"/>
      <w:bookmarkStart w:id="279" w:name="_Ref201977766"/>
      <w:bookmarkStart w:id="280" w:name="_Ref202091737"/>
      <w:bookmarkStart w:id="281" w:name="_Ref204270095"/>
      <w:bookmarkStart w:id="282" w:name="_Toc207531824"/>
      <w:bookmarkStart w:id="283" w:name="_Ref231035150"/>
      <w:bookmarkStart w:id="284" w:name="_Ref231139658"/>
      <w:bookmarkStart w:id="285" w:name="_Ref231186544"/>
      <w:bookmarkStart w:id="286" w:name="_Toc239157061"/>
      <w:bookmarkStart w:id="287" w:name="_Ref266110745"/>
      <w:bookmarkStart w:id="288" w:name="_Ref266616294"/>
      <w:bookmarkStart w:id="289" w:name="_Ref266712567"/>
      <w:bookmarkStart w:id="290" w:name="_Toc271632219"/>
      <w:bookmarkStart w:id="291" w:name="_Ref293762973"/>
      <w:bookmarkStart w:id="292" w:name="_Ref296343987"/>
      <w:bookmarkStart w:id="293" w:name="_Ref296345985"/>
      <w:bookmarkStart w:id="294" w:name="_Ref296346661"/>
      <w:bookmarkStart w:id="295" w:name="_Ref297196157"/>
      <w:bookmarkStart w:id="296" w:name="_Ref297214066"/>
      <w:bookmarkStart w:id="297" w:name="_Ref297231757"/>
      <w:bookmarkStart w:id="298" w:name="_Ref298081054"/>
      <w:bookmarkStart w:id="299" w:name="_Toc303086377"/>
      <w:bookmarkStart w:id="300" w:name="_Toc334601028"/>
      <w:bookmarkStart w:id="301" w:name="_Toc365440995"/>
      <w:bookmarkStart w:id="302" w:name="_Ref354577349"/>
      <w:bookmarkStart w:id="303" w:name="_Ref388452282"/>
      <w:bookmarkStart w:id="304" w:name="_Ref388801529"/>
      <w:bookmarkStart w:id="305" w:name="_Ref388869264"/>
      <w:bookmarkStart w:id="306" w:name="_Toc396807624"/>
      <w:bookmarkStart w:id="307" w:name="_Toc481053251"/>
      <w:bookmarkEnd w:id="271"/>
      <w:bookmarkEnd w:id="274"/>
    </w:p>
    <w:p w:rsidR="00B47695" w:rsidRPr="00F87553" w:rsidRDefault="00B47695" w:rsidP="00F87553">
      <w:pPr>
        <w:pStyle w:val="Heading3"/>
      </w:pPr>
      <w:bookmarkStart w:id="308" w:name="_Toc490323027"/>
      <w:bookmarkStart w:id="309" w:name="_Ref490324272"/>
      <w:bookmarkStart w:id="310" w:name="_Ref490324949"/>
      <w:bookmarkStart w:id="311" w:name="_Ref490324988"/>
      <w:bookmarkStart w:id="312" w:name="_Ref491174411"/>
      <w:bookmarkStart w:id="313" w:name="_Ref491174539"/>
      <w:r w:rsidRPr="00F87553">
        <w:lastRenderedPageBreak/>
        <w:t>Capacity Supply Obligations</w:t>
      </w:r>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r w:rsidRPr="00F87553">
        <w:t xml:space="preserve"> </w:t>
      </w:r>
      <w:bookmarkEnd w:id="302"/>
      <w:r w:rsidRPr="00F87553">
        <w:t>from the Forward Capacity Auctions</w:t>
      </w:r>
      <w:bookmarkEnd w:id="303"/>
      <w:bookmarkEnd w:id="304"/>
      <w:bookmarkEnd w:id="305"/>
      <w:bookmarkEnd w:id="306"/>
      <w:bookmarkEnd w:id="307"/>
      <w:bookmarkEnd w:id="308"/>
      <w:bookmarkEnd w:id="309"/>
      <w:bookmarkEnd w:id="310"/>
      <w:bookmarkEnd w:id="311"/>
      <w:bookmarkEnd w:id="312"/>
      <w:bookmarkEnd w:id="313"/>
      <w:r w:rsidRPr="00F87553">
        <w:t xml:space="preserve"> </w:t>
      </w:r>
    </w:p>
    <w:p w:rsidR="00B47695" w:rsidRPr="00B47695" w:rsidRDefault="00B47695" w:rsidP="00B47695">
      <w:r w:rsidRPr="00644AAE">
        <w:t>This section presents the results of the first through eleventh Forward Capacity Auctions, including the amount of capacity that generation, import, and demand resources in the region will supply.</w:t>
      </w:r>
      <w:bookmarkStart w:id="314" w:name="_Toc201669927"/>
      <w:bookmarkStart w:id="315" w:name="_Ref202089312"/>
      <w:bookmarkStart w:id="316" w:name="_Toc207531827"/>
    </w:p>
    <w:p w:rsidR="00B47695" w:rsidRPr="00B47695" w:rsidRDefault="00B47695" w:rsidP="00B47695">
      <w:pPr>
        <w:pStyle w:val="Heading4"/>
      </w:pPr>
      <w:bookmarkStart w:id="317" w:name="_Ref327800904"/>
      <w:r w:rsidRPr="00B47695">
        <w:t>Capacity Supply Obligations for the First Eleven FCAs</w:t>
      </w:r>
      <w:bookmarkEnd w:id="317"/>
      <w:r w:rsidRPr="00B47695">
        <w:t xml:space="preserve"> </w:t>
      </w:r>
    </w:p>
    <w:bookmarkStart w:id="318" w:name="_Ref234901296"/>
    <w:bookmarkStart w:id="319" w:name="_Toc239157064"/>
    <w:p w:rsidR="00B47695" w:rsidRPr="00B47695" w:rsidRDefault="00B47695" w:rsidP="00B47695">
      <w:r w:rsidRPr="00B47695">
        <w:fldChar w:fldCharType="begin"/>
      </w:r>
      <w:r w:rsidRPr="00B47695">
        <w:instrText xml:space="preserve"> REF _Ref229902195 \h  \* MERGEFORMAT </w:instrText>
      </w:r>
      <w:r w:rsidRPr="00B47695">
        <w:fldChar w:fldCharType="separate"/>
      </w:r>
      <w:r w:rsidR="00314781" w:rsidRPr="008531AA">
        <w:rPr>
          <w:bCs/>
          <w:szCs w:val="18"/>
        </w:rPr>
        <w:t>Table 4</w:t>
      </w:r>
      <w:r w:rsidR="00314781" w:rsidRPr="008531AA">
        <w:rPr>
          <w:bCs/>
          <w:szCs w:val="18"/>
        </w:rPr>
        <w:noBreakHyphen/>
        <w:t>3</w:t>
      </w:r>
      <w:r w:rsidRPr="00B47695">
        <w:fldChar w:fldCharType="end"/>
      </w:r>
      <w:r w:rsidRPr="00B47695">
        <w:t xml:space="preserve"> shows the results of the eleven FCAs held to date for capacity commitment periods </w:t>
      </w:r>
      <w:r w:rsidR="00C37EF7">
        <w:t>(CCP</w:t>
      </w:r>
      <w:r w:rsidR="007F075E">
        <w:t>s</w:t>
      </w:r>
      <w:r w:rsidR="00C37EF7">
        <w:t xml:space="preserve">) </w:t>
      </w:r>
      <w:r w:rsidRPr="00B47695">
        <w:t xml:space="preserve">2010/2011 (FCA #1) through </w:t>
      </w:r>
      <w:bookmarkEnd w:id="314"/>
      <w:bookmarkEnd w:id="315"/>
      <w:bookmarkEnd w:id="316"/>
      <w:bookmarkEnd w:id="318"/>
      <w:bookmarkEnd w:id="319"/>
      <w:r w:rsidRPr="00B47695">
        <w:t xml:space="preserve">2020/2021 (FCA #11) and provides the capacity supply obligation totals at the conclusion of each auction. This table also includes some details on the types of CSOs procured, including self-supply obligation values that reflect bilateral capacity arrangements as well as import CSOs from </w:t>
      </w:r>
      <w:r w:rsidRPr="0072211C">
        <w:t xml:space="preserve">neighboring </w:t>
      </w:r>
      <w:r w:rsidRPr="000D73CE">
        <w:t>balancing authority areas</w:t>
      </w:r>
      <w:r w:rsidRPr="0072211C">
        <w:t>.</w:t>
      </w:r>
    </w:p>
    <w:p w:rsidR="00B47695" w:rsidRPr="00B47695" w:rsidRDefault="00B47695" w:rsidP="00B47695">
      <w:pPr>
        <w:keepNext/>
        <w:keepLines/>
        <w:spacing w:after="120" w:line="240" w:lineRule="auto"/>
        <w:ind w:left="547" w:right="547"/>
        <w:jc w:val="center"/>
        <w:rPr>
          <w:rFonts w:ascii="Calibri" w:hAnsi="Calibri"/>
          <w:b/>
          <w:bCs/>
          <w:szCs w:val="18"/>
        </w:rPr>
      </w:pPr>
      <w:bookmarkStart w:id="320" w:name="_Ref229902195"/>
      <w:bookmarkStart w:id="321" w:name="_Toc200440151"/>
      <w:bookmarkStart w:id="322" w:name="_Toc207531972"/>
      <w:bookmarkStart w:id="323" w:name="_Toc239157218"/>
      <w:bookmarkStart w:id="324" w:name="_Toc271552405"/>
      <w:bookmarkStart w:id="325" w:name="_Toc303086934"/>
      <w:bookmarkStart w:id="326" w:name="_Toc330401256"/>
      <w:bookmarkStart w:id="327" w:name="_Toc334541929"/>
      <w:bookmarkStart w:id="328" w:name="_Toc334541966"/>
      <w:bookmarkStart w:id="329" w:name="_Toc365440705"/>
      <w:bookmarkStart w:id="330" w:name="_Toc391985605"/>
      <w:bookmarkStart w:id="331" w:name="_Toc481053562"/>
      <w:bookmarkStart w:id="332" w:name="_Toc491244007"/>
      <w:r w:rsidRPr="00B47695">
        <w:rPr>
          <w:rFonts w:ascii="Calibri" w:hAnsi="Calibri"/>
          <w:b/>
          <w:bCs/>
          <w:szCs w:val="18"/>
        </w:rPr>
        <w:t>Table </w:t>
      </w:r>
      <w:r w:rsidR="00D95957">
        <w:rPr>
          <w:rFonts w:ascii="Calibri" w:hAnsi="Calibri"/>
          <w:b/>
          <w:bCs/>
          <w:szCs w:val="18"/>
        </w:rPr>
        <w:fldChar w:fldCharType="begin"/>
      </w:r>
      <w:r w:rsidR="00D95957">
        <w:rPr>
          <w:rFonts w:ascii="Calibri" w:hAnsi="Calibri"/>
          <w:b/>
          <w:bCs/>
          <w:szCs w:val="18"/>
        </w:rPr>
        <w:instrText xml:space="preserve"> STYLEREF 1 \s </w:instrText>
      </w:r>
      <w:r w:rsidR="00D95957">
        <w:rPr>
          <w:rFonts w:ascii="Calibri" w:hAnsi="Calibri"/>
          <w:b/>
          <w:bCs/>
          <w:szCs w:val="18"/>
        </w:rPr>
        <w:fldChar w:fldCharType="separate"/>
      </w:r>
      <w:r w:rsidR="00D95957">
        <w:rPr>
          <w:rFonts w:ascii="Calibri" w:hAnsi="Calibri"/>
          <w:b/>
          <w:bCs/>
          <w:noProof/>
          <w:szCs w:val="18"/>
        </w:rPr>
        <w:t>4</w:t>
      </w:r>
      <w:r w:rsidR="00D95957">
        <w:rPr>
          <w:rFonts w:ascii="Calibri" w:hAnsi="Calibri"/>
          <w:b/>
          <w:bCs/>
          <w:szCs w:val="18"/>
        </w:rPr>
        <w:fldChar w:fldCharType="end"/>
      </w:r>
      <w:r w:rsidR="00D95957">
        <w:rPr>
          <w:rFonts w:ascii="Calibri" w:hAnsi="Calibri"/>
          <w:b/>
          <w:bCs/>
          <w:szCs w:val="18"/>
        </w:rPr>
        <w:noBreakHyphen/>
      </w:r>
      <w:r w:rsidR="00D95957">
        <w:rPr>
          <w:rFonts w:ascii="Calibri" w:hAnsi="Calibri"/>
          <w:b/>
          <w:bCs/>
          <w:szCs w:val="18"/>
        </w:rPr>
        <w:fldChar w:fldCharType="begin"/>
      </w:r>
      <w:r w:rsidR="00D95957">
        <w:rPr>
          <w:rFonts w:ascii="Calibri" w:hAnsi="Calibri"/>
          <w:b/>
          <w:bCs/>
          <w:szCs w:val="18"/>
        </w:rPr>
        <w:instrText xml:space="preserve"> SEQ Table \* ARABIC \s 1 </w:instrText>
      </w:r>
      <w:r w:rsidR="00D95957">
        <w:rPr>
          <w:rFonts w:ascii="Calibri" w:hAnsi="Calibri"/>
          <w:b/>
          <w:bCs/>
          <w:szCs w:val="18"/>
        </w:rPr>
        <w:fldChar w:fldCharType="separate"/>
      </w:r>
      <w:r w:rsidR="00D95957">
        <w:rPr>
          <w:rFonts w:ascii="Calibri" w:hAnsi="Calibri"/>
          <w:b/>
          <w:bCs/>
          <w:noProof/>
          <w:szCs w:val="18"/>
        </w:rPr>
        <w:t>3</w:t>
      </w:r>
      <w:r w:rsidR="00D95957">
        <w:rPr>
          <w:rFonts w:ascii="Calibri" w:hAnsi="Calibri"/>
          <w:b/>
          <w:bCs/>
          <w:szCs w:val="18"/>
        </w:rPr>
        <w:fldChar w:fldCharType="end"/>
      </w:r>
      <w:bookmarkEnd w:id="320"/>
      <w:r w:rsidRPr="00B47695">
        <w:rPr>
          <w:rFonts w:ascii="Calibri" w:hAnsi="Calibri"/>
          <w:b/>
          <w:bCs/>
          <w:szCs w:val="18"/>
        </w:rPr>
        <w:br/>
      </w:r>
      <w:r w:rsidRPr="00B47695">
        <w:rPr>
          <w:rFonts w:ascii="Calibri" w:hAnsi="Calibri" w:cs="Arial"/>
          <w:b/>
          <w:bCs/>
          <w:szCs w:val="18"/>
        </w:rPr>
        <w:t>Summary of the FCA Obligations at the Conclusion of Each Auction (MW)</w:t>
      </w:r>
      <w:r w:rsidRPr="00B47695">
        <w:rPr>
          <w:rFonts w:ascii="Calibri" w:hAnsi="Calibri" w:cs="Arial"/>
          <w:b/>
          <w:bCs/>
          <w:szCs w:val="18"/>
          <w:vertAlign w:val="superscript"/>
        </w:rPr>
        <w:t>(a)</w:t>
      </w:r>
      <w:bookmarkEnd w:id="321"/>
      <w:bookmarkEnd w:id="322"/>
      <w:bookmarkEnd w:id="323"/>
      <w:bookmarkEnd w:id="324"/>
      <w:bookmarkEnd w:id="325"/>
      <w:bookmarkEnd w:id="326"/>
      <w:bookmarkEnd w:id="327"/>
      <w:bookmarkEnd w:id="328"/>
      <w:bookmarkEnd w:id="329"/>
      <w:bookmarkEnd w:id="330"/>
      <w:bookmarkEnd w:id="331"/>
      <w:bookmarkEnd w:id="332"/>
    </w:p>
    <w:tbl>
      <w:tblPr>
        <w:tblW w:w="6862" w:type="dxa"/>
        <w:jc w:val="center"/>
        <w:tblInd w:w="-18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58" w:type="dxa"/>
          <w:right w:w="58" w:type="dxa"/>
        </w:tblCellMar>
        <w:tblLook w:val="04A0" w:firstRow="1" w:lastRow="0" w:firstColumn="1" w:lastColumn="0" w:noHBand="0" w:noVBand="1"/>
      </w:tblPr>
      <w:tblGrid>
        <w:gridCol w:w="1258"/>
        <w:gridCol w:w="944"/>
        <w:gridCol w:w="872"/>
        <w:gridCol w:w="953"/>
        <w:gridCol w:w="953"/>
        <w:gridCol w:w="953"/>
        <w:gridCol w:w="929"/>
      </w:tblGrid>
      <w:tr w:rsidR="00B47695" w:rsidRPr="00B47695" w:rsidTr="00A42B16">
        <w:trPr>
          <w:cantSplit/>
          <w:trHeight w:val="694"/>
          <w:tblHeader/>
          <w:jc w:val="center"/>
        </w:trPr>
        <w:tc>
          <w:tcPr>
            <w:tcW w:w="1258" w:type="dxa"/>
            <w:shd w:val="clear" w:color="auto" w:fill="1795D2" w:themeFill="accent1"/>
            <w:tcMar>
              <w:top w:w="0" w:type="dxa"/>
              <w:bottom w:w="0" w:type="dxa"/>
            </w:tcMar>
            <w:vAlign w:val="center"/>
          </w:tcPr>
          <w:p w:rsidR="00B47695" w:rsidRPr="00B47695" w:rsidRDefault="00B47695" w:rsidP="00B47695">
            <w:pPr>
              <w:keepNext/>
              <w:keepLines/>
              <w:spacing w:before="20" w:after="20" w:line="240" w:lineRule="auto"/>
              <w:jc w:val="center"/>
              <w:rPr>
                <w:rFonts w:asciiTheme="minorHAnsi" w:hAnsiTheme="minorHAnsi" w:cs="Arial"/>
                <w:b/>
                <w:bCs/>
                <w:color w:val="FFFFFF" w:themeColor="background1"/>
                <w:sz w:val="18"/>
                <w:szCs w:val="18"/>
              </w:rPr>
            </w:pPr>
            <w:r w:rsidRPr="00B47695">
              <w:rPr>
                <w:rFonts w:asciiTheme="minorHAnsi" w:hAnsiTheme="minorHAnsi" w:cs="Arial"/>
                <w:b/>
                <w:color w:val="FFFFFF" w:themeColor="background1"/>
                <w:sz w:val="18"/>
                <w:szCs w:val="18"/>
              </w:rPr>
              <w:t>Commitment Period</w:t>
            </w:r>
          </w:p>
        </w:tc>
        <w:tc>
          <w:tcPr>
            <w:tcW w:w="944" w:type="dxa"/>
            <w:shd w:val="clear" w:color="auto" w:fill="1795D2" w:themeFill="accent1"/>
            <w:tcMar>
              <w:top w:w="0" w:type="dxa"/>
              <w:bottom w:w="0" w:type="dxa"/>
            </w:tcMar>
            <w:vAlign w:val="center"/>
          </w:tcPr>
          <w:p w:rsidR="00B47695" w:rsidRPr="00B47695" w:rsidRDefault="00B47695" w:rsidP="00B47695">
            <w:pPr>
              <w:keepNext/>
              <w:keepLines/>
              <w:spacing w:before="20" w:after="20" w:line="240" w:lineRule="auto"/>
              <w:jc w:val="center"/>
              <w:rPr>
                <w:rFonts w:asciiTheme="minorHAnsi" w:hAnsiTheme="minorHAnsi" w:cs="Arial"/>
                <w:b/>
                <w:bCs/>
                <w:color w:val="FFFFFF" w:themeColor="background1"/>
                <w:sz w:val="18"/>
                <w:szCs w:val="18"/>
              </w:rPr>
            </w:pPr>
            <w:r w:rsidRPr="00B47695">
              <w:rPr>
                <w:rFonts w:asciiTheme="minorHAnsi" w:hAnsiTheme="minorHAnsi" w:cs="Arial"/>
                <w:b/>
                <w:color w:val="FFFFFF" w:themeColor="background1"/>
                <w:sz w:val="18"/>
                <w:szCs w:val="18"/>
              </w:rPr>
              <w:t>ICR</w:t>
            </w:r>
          </w:p>
        </w:tc>
        <w:tc>
          <w:tcPr>
            <w:tcW w:w="872" w:type="dxa"/>
            <w:shd w:val="clear" w:color="auto" w:fill="1795D2" w:themeFill="accent1"/>
            <w:tcMar>
              <w:top w:w="0" w:type="dxa"/>
              <w:bottom w:w="0" w:type="dxa"/>
            </w:tcMar>
            <w:vAlign w:val="center"/>
          </w:tcPr>
          <w:p w:rsidR="00B47695" w:rsidRPr="00B47695" w:rsidRDefault="00B47695" w:rsidP="00B47695">
            <w:pPr>
              <w:keepNext/>
              <w:keepLines/>
              <w:spacing w:before="20" w:after="20" w:line="240" w:lineRule="auto"/>
              <w:jc w:val="center"/>
              <w:rPr>
                <w:rFonts w:asciiTheme="minorHAnsi" w:hAnsiTheme="minorHAnsi" w:cs="Arial"/>
                <w:b/>
                <w:bCs/>
                <w:color w:val="FFFFFF" w:themeColor="background1"/>
                <w:sz w:val="18"/>
                <w:szCs w:val="18"/>
              </w:rPr>
            </w:pPr>
            <w:r w:rsidRPr="00B47695">
              <w:rPr>
                <w:rFonts w:asciiTheme="minorHAnsi" w:hAnsiTheme="minorHAnsi" w:cs="Arial"/>
                <w:b/>
                <w:color w:val="FFFFFF" w:themeColor="background1"/>
                <w:sz w:val="18"/>
                <w:szCs w:val="18"/>
              </w:rPr>
              <w:t>HQICC</w:t>
            </w:r>
          </w:p>
        </w:tc>
        <w:tc>
          <w:tcPr>
            <w:tcW w:w="953" w:type="dxa"/>
            <w:shd w:val="clear" w:color="auto" w:fill="1795D2" w:themeFill="accent1"/>
            <w:tcMar>
              <w:top w:w="0" w:type="dxa"/>
              <w:bottom w:w="0" w:type="dxa"/>
            </w:tcMar>
            <w:vAlign w:val="center"/>
          </w:tcPr>
          <w:p w:rsidR="00B47695" w:rsidRPr="00B47695" w:rsidRDefault="00B47695" w:rsidP="00B47695">
            <w:pPr>
              <w:keepNext/>
              <w:keepLines/>
              <w:spacing w:before="20" w:after="20" w:line="240" w:lineRule="auto"/>
              <w:jc w:val="center"/>
              <w:rPr>
                <w:rFonts w:asciiTheme="minorHAnsi" w:hAnsiTheme="minorHAnsi" w:cs="Arial"/>
                <w:b/>
                <w:bCs/>
                <w:color w:val="FFFFFF" w:themeColor="background1"/>
                <w:sz w:val="18"/>
                <w:szCs w:val="18"/>
              </w:rPr>
            </w:pPr>
            <w:r w:rsidRPr="00B47695">
              <w:rPr>
                <w:rFonts w:asciiTheme="minorHAnsi" w:hAnsiTheme="minorHAnsi" w:cs="Arial"/>
                <w:b/>
                <w:color w:val="FFFFFF" w:themeColor="background1"/>
                <w:sz w:val="18"/>
                <w:szCs w:val="18"/>
              </w:rPr>
              <w:t>Net ICR</w:t>
            </w:r>
            <w:r w:rsidRPr="00B47695">
              <w:rPr>
                <w:rFonts w:asciiTheme="minorHAnsi" w:hAnsiTheme="minorHAnsi" w:cs="Arial"/>
                <w:b/>
                <w:color w:val="FFFFFF" w:themeColor="background1"/>
                <w:sz w:val="18"/>
                <w:szCs w:val="18"/>
                <w:vertAlign w:val="superscript"/>
              </w:rPr>
              <w:t>(b)</w:t>
            </w:r>
          </w:p>
        </w:tc>
        <w:tc>
          <w:tcPr>
            <w:tcW w:w="953" w:type="dxa"/>
            <w:shd w:val="clear" w:color="auto" w:fill="1795D2" w:themeFill="accent1"/>
            <w:tcMar>
              <w:top w:w="0" w:type="dxa"/>
              <w:bottom w:w="0" w:type="dxa"/>
            </w:tcMar>
            <w:vAlign w:val="center"/>
          </w:tcPr>
          <w:p w:rsidR="00B47695" w:rsidRPr="00B47695" w:rsidRDefault="00B47695" w:rsidP="00B47695">
            <w:pPr>
              <w:keepNext/>
              <w:keepLines/>
              <w:spacing w:before="20" w:after="20" w:line="240" w:lineRule="auto"/>
              <w:jc w:val="center"/>
              <w:rPr>
                <w:rFonts w:asciiTheme="minorHAnsi" w:hAnsiTheme="minorHAnsi" w:cs="Arial"/>
                <w:b/>
                <w:bCs/>
                <w:color w:val="FFFFFF" w:themeColor="background1"/>
                <w:sz w:val="18"/>
                <w:szCs w:val="18"/>
              </w:rPr>
            </w:pPr>
            <w:r w:rsidRPr="00B47695">
              <w:rPr>
                <w:rFonts w:asciiTheme="minorHAnsi" w:hAnsiTheme="minorHAnsi" w:cs="Arial"/>
                <w:b/>
                <w:color w:val="FFFFFF" w:themeColor="background1"/>
                <w:sz w:val="18"/>
                <w:szCs w:val="18"/>
              </w:rPr>
              <w:t>Capacity Supply Obligation</w:t>
            </w:r>
          </w:p>
        </w:tc>
        <w:tc>
          <w:tcPr>
            <w:tcW w:w="953" w:type="dxa"/>
            <w:shd w:val="clear" w:color="auto" w:fill="1795D2" w:themeFill="accent1"/>
            <w:tcMar>
              <w:top w:w="0" w:type="dxa"/>
              <w:bottom w:w="0" w:type="dxa"/>
            </w:tcMar>
            <w:vAlign w:val="center"/>
          </w:tcPr>
          <w:p w:rsidR="00B47695" w:rsidRPr="00B47695" w:rsidRDefault="00B47695" w:rsidP="00B47695">
            <w:pPr>
              <w:keepNext/>
              <w:keepLines/>
              <w:spacing w:before="20" w:after="20" w:line="240" w:lineRule="auto"/>
              <w:jc w:val="center"/>
              <w:rPr>
                <w:rFonts w:asciiTheme="minorHAnsi" w:hAnsiTheme="minorHAnsi" w:cs="Arial"/>
                <w:b/>
                <w:bCs/>
                <w:color w:val="FFFFFF" w:themeColor="background1"/>
                <w:sz w:val="18"/>
                <w:szCs w:val="18"/>
              </w:rPr>
            </w:pPr>
            <w:r w:rsidRPr="00B47695">
              <w:rPr>
                <w:rFonts w:asciiTheme="minorHAnsi" w:hAnsiTheme="minorHAnsi" w:cs="Arial"/>
                <w:b/>
                <w:color w:val="FFFFFF" w:themeColor="background1"/>
                <w:sz w:val="18"/>
                <w:szCs w:val="18"/>
              </w:rPr>
              <w:t>Self-Supply Obligation</w:t>
            </w:r>
          </w:p>
        </w:tc>
        <w:tc>
          <w:tcPr>
            <w:tcW w:w="929" w:type="dxa"/>
            <w:shd w:val="clear" w:color="auto" w:fill="1795D2" w:themeFill="accent1"/>
            <w:tcMar>
              <w:top w:w="0" w:type="dxa"/>
              <w:bottom w:w="0" w:type="dxa"/>
            </w:tcMar>
            <w:vAlign w:val="center"/>
          </w:tcPr>
          <w:p w:rsidR="00B47695" w:rsidRPr="00B47695" w:rsidRDefault="00B47695" w:rsidP="00B47695">
            <w:pPr>
              <w:keepNext/>
              <w:keepLines/>
              <w:spacing w:before="20" w:after="20" w:line="240" w:lineRule="auto"/>
              <w:jc w:val="center"/>
              <w:rPr>
                <w:rFonts w:asciiTheme="minorHAnsi" w:hAnsiTheme="minorHAnsi" w:cs="Arial"/>
                <w:b/>
                <w:bCs/>
                <w:color w:val="FFFFFF" w:themeColor="background1"/>
                <w:sz w:val="18"/>
                <w:szCs w:val="18"/>
              </w:rPr>
            </w:pPr>
            <w:r w:rsidRPr="00B47695">
              <w:rPr>
                <w:rFonts w:asciiTheme="minorHAnsi" w:hAnsiTheme="minorHAnsi" w:cs="Arial"/>
                <w:b/>
                <w:color w:val="FFFFFF" w:themeColor="background1"/>
                <w:sz w:val="18"/>
                <w:szCs w:val="18"/>
              </w:rPr>
              <w:t>Import Capacity Supply Obligation</w:t>
            </w:r>
          </w:p>
        </w:tc>
      </w:tr>
      <w:tr w:rsidR="00B47695" w:rsidRPr="00B47695" w:rsidTr="00B47695">
        <w:trPr>
          <w:cantSplit/>
          <w:trHeight w:val="244"/>
          <w:jc w:val="center"/>
        </w:trPr>
        <w:tc>
          <w:tcPr>
            <w:tcW w:w="1258" w:type="dxa"/>
            <w:noWrap/>
            <w:tcMar>
              <w:top w:w="43" w:type="dxa"/>
              <w:bottom w:w="43" w:type="dxa"/>
            </w:tcMar>
            <w:vAlign w:val="center"/>
          </w:tcPr>
          <w:p w:rsidR="00B47695" w:rsidRPr="00B47695" w:rsidRDefault="00B47695" w:rsidP="00B47695">
            <w:pPr>
              <w:keepNext/>
              <w:keepLines/>
              <w:spacing w:before="20" w:after="20" w:line="240" w:lineRule="auto"/>
              <w:rPr>
                <w:rFonts w:asciiTheme="minorHAnsi" w:hAnsiTheme="minorHAnsi" w:cs="Arial"/>
                <w:b/>
                <w:bCs/>
                <w:sz w:val="18"/>
                <w:szCs w:val="18"/>
              </w:rPr>
            </w:pPr>
            <w:r w:rsidRPr="00B47695">
              <w:rPr>
                <w:rFonts w:asciiTheme="minorHAnsi" w:hAnsiTheme="minorHAnsi" w:cs="Arial"/>
                <w:b/>
                <w:bCs/>
                <w:sz w:val="18"/>
                <w:szCs w:val="18"/>
              </w:rPr>
              <w:t>2010/2011</w:t>
            </w:r>
          </w:p>
        </w:tc>
        <w:tc>
          <w:tcPr>
            <w:tcW w:w="944" w:type="dxa"/>
            <w:noWrap/>
            <w:tcMar>
              <w:top w:w="58" w:type="dxa"/>
              <w:bottom w:w="58" w:type="dxa"/>
            </w:tcMar>
            <w:vAlign w:val="center"/>
          </w:tcPr>
          <w:p w:rsidR="00B47695" w:rsidRPr="00B47695" w:rsidRDefault="00B47695" w:rsidP="00B47695">
            <w:pPr>
              <w:keepNext/>
              <w:keepLines/>
              <w:spacing w:before="20" w:after="20" w:line="240" w:lineRule="auto"/>
              <w:ind w:right="144"/>
              <w:jc w:val="right"/>
              <w:rPr>
                <w:rFonts w:asciiTheme="minorHAnsi" w:eastAsia="Times New Roman" w:hAnsiTheme="minorHAnsi" w:cs="Arial"/>
                <w:sz w:val="18"/>
                <w:szCs w:val="18"/>
              </w:rPr>
            </w:pPr>
            <w:r w:rsidRPr="00B47695">
              <w:rPr>
                <w:rFonts w:asciiTheme="minorHAnsi" w:hAnsiTheme="minorHAnsi" w:cs="Arial"/>
                <w:sz w:val="18"/>
                <w:szCs w:val="18"/>
              </w:rPr>
              <w:t>33,705</w:t>
            </w:r>
          </w:p>
        </w:tc>
        <w:tc>
          <w:tcPr>
            <w:tcW w:w="872" w:type="dxa"/>
            <w:noWrap/>
            <w:tcMar>
              <w:top w:w="43" w:type="dxa"/>
              <w:bottom w:w="43" w:type="dxa"/>
            </w:tcMar>
            <w:vAlign w:val="center"/>
          </w:tcPr>
          <w:p w:rsidR="00B47695" w:rsidRPr="00B47695" w:rsidRDefault="00B47695" w:rsidP="00B47695">
            <w:pPr>
              <w:keepNext/>
              <w:keepLines/>
              <w:spacing w:before="20" w:after="20" w:line="240" w:lineRule="auto"/>
              <w:ind w:right="144"/>
              <w:jc w:val="right"/>
              <w:rPr>
                <w:rFonts w:asciiTheme="minorHAnsi" w:eastAsia="Times New Roman" w:hAnsiTheme="minorHAnsi" w:cs="Arial"/>
                <w:sz w:val="18"/>
                <w:szCs w:val="18"/>
              </w:rPr>
            </w:pPr>
            <w:r w:rsidRPr="00B47695">
              <w:rPr>
                <w:rFonts w:asciiTheme="minorHAnsi" w:hAnsiTheme="minorHAnsi" w:cs="Arial"/>
                <w:sz w:val="18"/>
                <w:szCs w:val="18"/>
              </w:rPr>
              <w:t>1,400</w:t>
            </w:r>
          </w:p>
        </w:tc>
        <w:tc>
          <w:tcPr>
            <w:tcW w:w="953" w:type="dxa"/>
            <w:noWrap/>
            <w:tcMar>
              <w:top w:w="43" w:type="dxa"/>
              <w:bottom w:w="43" w:type="dxa"/>
            </w:tcMar>
            <w:vAlign w:val="center"/>
          </w:tcPr>
          <w:p w:rsidR="00B47695" w:rsidRPr="00B47695" w:rsidRDefault="00B47695" w:rsidP="00B47695">
            <w:pPr>
              <w:keepNext/>
              <w:keepLines/>
              <w:spacing w:before="20" w:after="20" w:line="240" w:lineRule="auto"/>
              <w:ind w:right="144"/>
              <w:jc w:val="right"/>
              <w:rPr>
                <w:rFonts w:asciiTheme="minorHAnsi" w:eastAsia="Times New Roman" w:hAnsiTheme="minorHAnsi" w:cs="Arial"/>
                <w:sz w:val="18"/>
                <w:szCs w:val="18"/>
              </w:rPr>
            </w:pPr>
            <w:r w:rsidRPr="00B47695">
              <w:rPr>
                <w:rFonts w:asciiTheme="minorHAnsi" w:hAnsiTheme="minorHAnsi" w:cs="Arial"/>
                <w:sz w:val="18"/>
                <w:szCs w:val="18"/>
              </w:rPr>
              <w:t>32,305</w:t>
            </w:r>
          </w:p>
        </w:tc>
        <w:tc>
          <w:tcPr>
            <w:tcW w:w="953" w:type="dxa"/>
            <w:noWrap/>
            <w:tcMar>
              <w:top w:w="43" w:type="dxa"/>
              <w:bottom w:w="43" w:type="dxa"/>
            </w:tcMar>
            <w:vAlign w:val="center"/>
          </w:tcPr>
          <w:p w:rsidR="00B47695" w:rsidRPr="00B47695" w:rsidRDefault="00B47695" w:rsidP="00B47695">
            <w:pPr>
              <w:keepNext/>
              <w:keepLines/>
              <w:spacing w:before="20" w:after="20" w:line="240" w:lineRule="auto"/>
              <w:ind w:right="144"/>
              <w:jc w:val="right"/>
              <w:rPr>
                <w:rFonts w:asciiTheme="minorHAnsi" w:eastAsia="Times New Roman" w:hAnsiTheme="minorHAnsi" w:cs="Arial"/>
                <w:sz w:val="18"/>
                <w:szCs w:val="18"/>
              </w:rPr>
            </w:pPr>
            <w:r w:rsidRPr="00B47695">
              <w:rPr>
                <w:rFonts w:asciiTheme="minorHAnsi" w:hAnsiTheme="minorHAnsi" w:cs="Arial"/>
                <w:sz w:val="18"/>
                <w:szCs w:val="18"/>
              </w:rPr>
              <w:t>34,077</w:t>
            </w:r>
          </w:p>
        </w:tc>
        <w:tc>
          <w:tcPr>
            <w:tcW w:w="953" w:type="dxa"/>
            <w:noWrap/>
            <w:tcMar>
              <w:top w:w="43" w:type="dxa"/>
              <w:bottom w:w="43" w:type="dxa"/>
            </w:tcMar>
            <w:vAlign w:val="center"/>
          </w:tcPr>
          <w:p w:rsidR="00B47695" w:rsidRPr="00B47695" w:rsidRDefault="00B47695" w:rsidP="00B47695">
            <w:pPr>
              <w:keepNext/>
              <w:keepLines/>
              <w:spacing w:before="20" w:after="20" w:line="240" w:lineRule="auto"/>
              <w:ind w:right="144"/>
              <w:jc w:val="right"/>
              <w:rPr>
                <w:rFonts w:asciiTheme="minorHAnsi" w:eastAsia="Times New Roman" w:hAnsiTheme="minorHAnsi" w:cs="Arial"/>
                <w:sz w:val="18"/>
                <w:szCs w:val="18"/>
              </w:rPr>
            </w:pPr>
            <w:r w:rsidRPr="00B47695">
              <w:rPr>
                <w:rFonts w:asciiTheme="minorHAnsi" w:hAnsiTheme="minorHAnsi" w:cs="Arial"/>
                <w:sz w:val="18"/>
                <w:szCs w:val="18"/>
              </w:rPr>
              <w:t>1,593</w:t>
            </w:r>
          </w:p>
        </w:tc>
        <w:tc>
          <w:tcPr>
            <w:tcW w:w="929" w:type="dxa"/>
            <w:noWrap/>
            <w:tcMar>
              <w:top w:w="43" w:type="dxa"/>
              <w:bottom w:w="43" w:type="dxa"/>
            </w:tcMar>
            <w:vAlign w:val="center"/>
          </w:tcPr>
          <w:p w:rsidR="00B47695" w:rsidRPr="00B47695" w:rsidRDefault="00B47695" w:rsidP="00B47695">
            <w:pPr>
              <w:keepNext/>
              <w:keepLines/>
              <w:spacing w:before="20" w:after="20" w:line="240" w:lineRule="auto"/>
              <w:ind w:right="144"/>
              <w:jc w:val="right"/>
              <w:rPr>
                <w:rFonts w:asciiTheme="minorHAnsi" w:eastAsia="Times New Roman" w:hAnsiTheme="minorHAnsi" w:cs="Arial"/>
                <w:sz w:val="18"/>
                <w:szCs w:val="18"/>
              </w:rPr>
            </w:pPr>
            <w:r w:rsidRPr="00B47695">
              <w:rPr>
                <w:rFonts w:asciiTheme="minorHAnsi" w:hAnsiTheme="minorHAnsi" w:cs="Arial"/>
                <w:sz w:val="18"/>
                <w:szCs w:val="18"/>
              </w:rPr>
              <w:t>934</w:t>
            </w:r>
          </w:p>
        </w:tc>
      </w:tr>
      <w:tr w:rsidR="00B47695" w:rsidRPr="00B47695" w:rsidTr="00A42B16">
        <w:trPr>
          <w:cantSplit/>
          <w:trHeight w:val="244"/>
          <w:jc w:val="center"/>
        </w:trPr>
        <w:tc>
          <w:tcPr>
            <w:tcW w:w="1258" w:type="dxa"/>
            <w:shd w:val="clear" w:color="auto" w:fill="CCEAF9" w:themeFill="accent1" w:themeFillTint="33"/>
            <w:noWrap/>
            <w:tcMar>
              <w:top w:w="43" w:type="dxa"/>
              <w:bottom w:w="43" w:type="dxa"/>
            </w:tcMar>
            <w:vAlign w:val="center"/>
          </w:tcPr>
          <w:p w:rsidR="00B47695" w:rsidRPr="00B47695" w:rsidRDefault="00B47695" w:rsidP="00B47695">
            <w:pPr>
              <w:keepNext/>
              <w:keepLines/>
              <w:spacing w:before="20" w:after="20" w:line="240" w:lineRule="auto"/>
              <w:rPr>
                <w:rFonts w:asciiTheme="minorHAnsi" w:hAnsiTheme="minorHAnsi" w:cs="Arial"/>
                <w:b/>
                <w:bCs/>
                <w:sz w:val="18"/>
                <w:szCs w:val="18"/>
              </w:rPr>
            </w:pPr>
            <w:r w:rsidRPr="00B47695">
              <w:rPr>
                <w:rFonts w:asciiTheme="minorHAnsi" w:hAnsiTheme="minorHAnsi" w:cs="Arial"/>
                <w:b/>
                <w:bCs/>
                <w:sz w:val="18"/>
                <w:szCs w:val="18"/>
              </w:rPr>
              <w:t>2011/2012</w:t>
            </w:r>
          </w:p>
        </w:tc>
        <w:tc>
          <w:tcPr>
            <w:tcW w:w="944" w:type="dxa"/>
            <w:shd w:val="clear" w:color="auto" w:fill="CCEAF9" w:themeFill="accent1" w:themeFillTint="33"/>
            <w:noWrap/>
            <w:tcMar>
              <w:top w:w="58" w:type="dxa"/>
              <w:bottom w:w="58" w:type="dxa"/>
            </w:tcMar>
            <w:vAlign w:val="center"/>
          </w:tcPr>
          <w:p w:rsidR="00B47695" w:rsidRPr="00B47695" w:rsidRDefault="00B47695" w:rsidP="00B47695">
            <w:pPr>
              <w:keepNext/>
              <w:keepLines/>
              <w:spacing w:before="20" w:after="20" w:line="240" w:lineRule="auto"/>
              <w:ind w:right="144"/>
              <w:jc w:val="right"/>
              <w:rPr>
                <w:rFonts w:asciiTheme="minorHAnsi" w:eastAsia="Times New Roman" w:hAnsiTheme="minorHAnsi" w:cs="Arial"/>
                <w:sz w:val="18"/>
                <w:szCs w:val="18"/>
                <w:vertAlign w:val="superscript"/>
              </w:rPr>
            </w:pPr>
            <w:r w:rsidRPr="00B47695">
              <w:rPr>
                <w:rFonts w:asciiTheme="minorHAnsi" w:hAnsiTheme="minorHAnsi" w:cs="Arial"/>
                <w:sz w:val="18"/>
                <w:szCs w:val="18"/>
              </w:rPr>
              <w:t>33,439</w:t>
            </w:r>
          </w:p>
        </w:tc>
        <w:tc>
          <w:tcPr>
            <w:tcW w:w="872" w:type="dxa"/>
            <w:shd w:val="clear" w:color="auto" w:fill="CCEAF9" w:themeFill="accent1" w:themeFillTint="33"/>
            <w:noWrap/>
            <w:tcMar>
              <w:top w:w="43" w:type="dxa"/>
              <w:bottom w:w="43" w:type="dxa"/>
            </w:tcMar>
            <w:vAlign w:val="center"/>
          </w:tcPr>
          <w:p w:rsidR="00B47695" w:rsidRPr="00B47695" w:rsidRDefault="00B47695" w:rsidP="00B47695">
            <w:pPr>
              <w:keepNext/>
              <w:keepLines/>
              <w:spacing w:before="20" w:after="20" w:line="240" w:lineRule="auto"/>
              <w:ind w:right="144"/>
              <w:jc w:val="right"/>
              <w:rPr>
                <w:rFonts w:asciiTheme="minorHAnsi" w:eastAsia="Times New Roman" w:hAnsiTheme="minorHAnsi" w:cs="Arial"/>
                <w:sz w:val="18"/>
                <w:szCs w:val="18"/>
              </w:rPr>
            </w:pPr>
            <w:r w:rsidRPr="00B47695">
              <w:rPr>
                <w:rFonts w:asciiTheme="minorHAnsi" w:hAnsiTheme="minorHAnsi" w:cs="Arial"/>
                <w:sz w:val="18"/>
                <w:szCs w:val="18"/>
              </w:rPr>
              <w:t>911</w:t>
            </w:r>
          </w:p>
        </w:tc>
        <w:tc>
          <w:tcPr>
            <w:tcW w:w="953" w:type="dxa"/>
            <w:shd w:val="clear" w:color="auto" w:fill="CCEAF9" w:themeFill="accent1" w:themeFillTint="33"/>
            <w:noWrap/>
            <w:tcMar>
              <w:top w:w="43" w:type="dxa"/>
              <w:bottom w:w="43" w:type="dxa"/>
            </w:tcMar>
            <w:vAlign w:val="center"/>
          </w:tcPr>
          <w:p w:rsidR="00B47695" w:rsidRPr="00B47695" w:rsidRDefault="00B47695" w:rsidP="00B47695">
            <w:pPr>
              <w:keepNext/>
              <w:keepLines/>
              <w:spacing w:before="20" w:after="20" w:line="240" w:lineRule="auto"/>
              <w:ind w:right="144"/>
              <w:jc w:val="right"/>
              <w:rPr>
                <w:rFonts w:asciiTheme="minorHAnsi" w:eastAsia="Times New Roman" w:hAnsiTheme="minorHAnsi" w:cs="Arial"/>
                <w:sz w:val="18"/>
                <w:szCs w:val="18"/>
              </w:rPr>
            </w:pPr>
            <w:r w:rsidRPr="00B47695">
              <w:rPr>
                <w:rFonts w:asciiTheme="minorHAnsi" w:hAnsiTheme="minorHAnsi" w:cs="Arial"/>
                <w:sz w:val="18"/>
                <w:szCs w:val="18"/>
              </w:rPr>
              <w:t>32,528</w:t>
            </w:r>
          </w:p>
        </w:tc>
        <w:tc>
          <w:tcPr>
            <w:tcW w:w="953" w:type="dxa"/>
            <w:shd w:val="clear" w:color="auto" w:fill="CCEAF9" w:themeFill="accent1" w:themeFillTint="33"/>
            <w:noWrap/>
            <w:tcMar>
              <w:top w:w="43" w:type="dxa"/>
              <w:bottom w:w="43" w:type="dxa"/>
            </w:tcMar>
            <w:vAlign w:val="center"/>
          </w:tcPr>
          <w:p w:rsidR="00B47695" w:rsidRPr="00B47695" w:rsidRDefault="00B47695" w:rsidP="00B47695">
            <w:pPr>
              <w:keepNext/>
              <w:keepLines/>
              <w:spacing w:before="20" w:after="20" w:line="240" w:lineRule="auto"/>
              <w:ind w:right="144"/>
              <w:jc w:val="right"/>
              <w:rPr>
                <w:rFonts w:asciiTheme="minorHAnsi" w:eastAsia="Times New Roman" w:hAnsiTheme="minorHAnsi" w:cs="Arial"/>
                <w:sz w:val="18"/>
                <w:szCs w:val="18"/>
              </w:rPr>
            </w:pPr>
            <w:r w:rsidRPr="00B47695">
              <w:rPr>
                <w:rFonts w:asciiTheme="minorHAnsi" w:hAnsiTheme="minorHAnsi" w:cs="Arial"/>
                <w:sz w:val="18"/>
                <w:szCs w:val="18"/>
              </w:rPr>
              <w:t>37,283</w:t>
            </w:r>
          </w:p>
        </w:tc>
        <w:tc>
          <w:tcPr>
            <w:tcW w:w="953" w:type="dxa"/>
            <w:shd w:val="clear" w:color="auto" w:fill="CCEAF9" w:themeFill="accent1" w:themeFillTint="33"/>
            <w:noWrap/>
            <w:tcMar>
              <w:top w:w="43" w:type="dxa"/>
              <w:bottom w:w="43" w:type="dxa"/>
            </w:tcMar>
            <w:vAlign w:val="center"/>
          </w:tcPr>
          <w:p w:rsidR="00B47695" w:rsidRPr="00B47695" w:rsidRDefault="00B47695" w:rsidP="00B47695">
            <w:pPr>
              <w:keepNext/>
              <w:keepLines/>
              <w:spacing w:before="20" w:after="20" w:line="240" w:lineRule="auto"/>
              <w:ind w:right="144"/>
              <w:jc w:val="right"/>
              <w:rPr>
                <w:rFonts w:asciiTheme="minorHAnsi" w:eastAsia="Times New Roman" w:hAnsiTheme="minorHAnsi" w:cs="Arial"/>
                <w:sz w:val="18"/>
                <w:szCs w:val="18"/>
              </w:rPr>
            </w:pPr>
            <w:r w:rsidRPr="00B47695">
              <w:rPr>
                <w:rFonts w:asciiTheme="minorHAnsi" w:hAnsiTheme="minorHAnsi" w:cs="Arial"/>
                <w:sz w:val="18"/>
                <w:szCs w:val="18"/>
              </w:rPr>
              <w:t>1,696</w:t>
            </w:r>
          </w:p>
        </w:tc>
        <w:tc>
          <w:tcPr>
            <w:tcW w:w="929" w:type="dxa"/>
            <w:shd w:val="clear" w:color="auto" w:fill="CCEAF9" w:themeFill="accent1" w:themeFillTint="33"/>
            <w:noWrap/>
            <w:tcMar>
              <w:top w:w="43" w:type="dxa"/>
              <w:bottom w:w="43" w:type="dxa"/>
            </w:tcMar>
            <w:vAlign w:val="center"/>
          </w:tcPr>
          <w:p w:rsidR="00B47695" w:rsidRPr="00B47695" w:rsidRDefault="00B47695" w:rsidP="00B47695">
            <w:pPr>
              <w:keepNext/>
              <w:keepLines/>
              <w:spacing w:before="20" w:after="20" w:line="240" w:lineRule="auto"/>
              <w:ind w:right="144"/>
              <w:jc w:val="right"/>
              <w:rPr>
                <w:rFonts w:asciiTheme="minorHAnsi" w:eastAsia="Times New Roman" w:hAnsiTheme="minorHAnsi" w:cs="Arial"/>
                <w:sz w:val="18"/>
                <w:szCs w:val="18"/>
              </w:rPr>
            </w:pPr>
            <w:r w:rsidRPr="00B47695">
              <w:rPr>
                <w:rFonts w:asciiTheme="minorHAnsi" w:hAnsiTheme="minorHAnsi" w:cs="Arial"/>
                <w:sz w:val="18"/>
                <w:szCs w:val="18"/>
              </w:rPr>
              <w:t>2,298</w:t>
            </w:r>
          </w:p>
        </w:tc>
      </w:tr>
      <w:tr w:rsidR="00B47695" w:rsidRPr="00B47695" w:rsidTr="00B47695">
        <w:trPr>
          <w:cantSplit/>
          <w:trHeight w:val="244"/>
          <w:jc w:val="center"/>
        </w:trPr>
        <w:tc>
          <w:tcPr>
            <w:tcW w:w="1258" w:type="dxa"/>
            <w:noWrap/>
            <w:tcMar>
              <w:top w:w="43" w:type="dxa"/>
              <w:bottom w:w="43" w:type="dxa"/>
            </w:tcMar>
            <w:vAlign w:val="center"/>
          </w:tcPr>
          <w:p w:rsidR="00B47695" w:rsidRPr="00B47695" w:rsidRDefault="00B47695" w:rsidP="00B47695">
            <w:pPr>
              <w:keepNext/>
              <w:keepLines/>
              <w:spacing w:before="20" w:after="20" w:line="240" w:lineRule="auto"/>
              <w:rPr>
                <w:rFonts w:asciiTheme="minorHAnsi" w:hAnsiTheme="minorHAnsi" w:cs="Arial"/>
                <w:b/>
                <w:bCs/>
                <w:sz w:val="18"/>
                <w:szCs w:val="18"/>
              </w:rPr>
            </w:pPr>
            <w:r w:rsidRPr="00B47695">
              <w:rPr>
                <w:rFonts w:asciiTheme="minorHAnsi" w:hAnsiTheme="minorHAnsi" w:cs="Arial"/>
                <w:b/>
                <w:bCs/>
                <w:sz w:val="18"/>
                <w:szCs w:val="18"/>
              </w:rPr>
              <w:t>2012/2013</w:t>
            </w:r>
          </w:p>
        </w:tc>
        <w:tc>
          <w:tcPr>
            <w:tcW w:w="944" w:type="dxa"/>
            <w:noWrap/>
            <w:tcMar>
              <w:top w:w="58" w:type="dxa"/>
              <w:bottom w:w="58" w:type="dxa"/>
            </w:tcMar>
            <w:vAlign w:val="center"/>
          </w:tcPr>
          <w:p w:rsidR="00B47695" w:rsidRPr="00B47695" w:rsidRDefault="00B47695" w:rsidP="00B47695">
            <w:pPr>
              <w:keepNext/>
              <w:keepLines/>
              <w:spacing w:before="20" w:after="20" w:line="240" w:lineRule="auto"/>
              <w:ind w:right="144"/>
              <w:jc w:val="right"/>
              <w:rPr>
                <w:rFonts w:asciiTheme="minorHAnsi" w:eastAsia="Times New Roman" w:hAnsiTheme="minorHAnsi" w:cs="Arial"/>
                <w:sz w:val="18"/>
                <w:szCs w:val="18"/>
              </w:rPr>
            </w:pPr>
            <w:r w:rsidRPr="00B47695">
              <w:rPr>
                <w:rFonts w:asciiTheme="minorHAnsi" w:hAnsiTheme="minorHAnsi" w:cs="Arial"/>
                <w:sz w:val="18"/>
                <w:szCs w:val="18"/>
              </w:rPr>
              <w:t>32,879</w:t>
            </w:r>
          </w:p>
        </w:tc>
        <w:tc>
          <w:tcPr>
            <w:tcW w:w="872" w:type="dxa"/>
            <w:noWrap/>
            <w:tcMar>
              <w:top w:w="43" w:type="dxa"/>
              <w:bottom w:w="43" w:type="dxa"/>
            </w:tcMar>
            <w:vAlign w:val="center"/>
          </w:tcPr>
          <w:p w:rsidR="00B47695" w:rsidRPr="00B47695" w:rsidRDefault="00B47695" w:rsidP="00B47695">
            <w:pPr>
              <w:keepNext/>
              <w:keepLines/>
              <w:spacing w:before="20" w:after="20" w:line="240" w:lineRule="auto"/>
              <w:ind w:right="144"/>
              <w:jc w:val="right"/>
              <w:rPr>
                <w:rFonts w:asciiTheme="minorHAnsi" w:eastAsia="Times New Roman" w:hAnsiTheme="minorHAnsi" w:cs="Arial"/>
                <w:sz w:val="18"/>
                <w:szCs w:val="18"/>
              </w:rPr>
            </w:pPr>
            <w:r w:rsidRPr="00B47695">
              <w:rPr>
                <w:rFonts w:asciiTheme="minorHAnsi" w:hAnsiTheme="minorHAnsi" w:cs="Arial"/>
                <w:sz w:val="18"/>
                <w:szCs w:val="18"/>
              </w:rPr>
              <w:t>914</w:t>
            </w:r>
          </w:p>
        </w:tc>
        <w:tc>
          <w:tcPr>
            <w:tcW w:w="953" w:type="dxa"/>
            <w:noWrap/>
            <w:tcMar>
              <w:top w:w="43" w:type="dxa"/>
              <w:bottom w:w="43" w:type="dxa"/>
            </w:tcMar>
            <w:vAlign w:val="center"/>
          </w:tcPr>
          <w:p w:rsidR="00B47695" w:rsidRPr="00B47695" w:rsidRDefault="00B47695" w:rsidP="00B47695">
            <w:pPr>
              <w:keepNext/>
              <w:keepLines/>
              <w:spacing w:before="20" w:after="20" w:line="240" w:lineRule="auto"/>
              <w:ind w:right="144"/>
              <w:jc w:val="right"/>
              <w:rPr>
                <w:rFonts w:asciiTheme="minorHAnsi" w:eastAsia="Times New Roman" w:hAnsiTheme="minorHAnsi" w:cs="Arial"/>
                <w:sz w:val="18"/>
                <w:szCs w:val="18"/>
              </w:rPr>
            </w:pPr>
            <w:r w:rsidRPr="00B47695">
              <w:rPr>
                <w:rFonts w:asciiTheme="minorHAnsi" w:hAnsiTheme="minorHAnsi" w:cs="Arial"/>
                <w:sz w:val="18"/>
                <w:szCs w:val="18"/>
              </w:rPr>
              <w:t>31,965</w:t>
            </w:r>
          </w:p>
        </w:tc>
        <w:tc>
          <w:tcPr>
            <w:tcW w:w="953" w:type="dxa"/>
            <w:noWrap/>
            <w:tcMar>
              <w:top w:w="43" w:type="dxa"/>
              <w:bottom w:w="43" w:type="dxa"/>
            </w:tcMar>
            <w:vAlign w:val="center"/>
          </w:tcPr>
          <w:p w:rsidR="00B47695" w:rsidRPr="00B47695" w:rsidRDefault="00B47695" w:rsidP="00B47695">
            <w:pPr>
              <w:keepNext/>
              <w:keepLines/>
              <w:spacing w:before="20" w:after="20" w:line="240" w:lineRule="auto"/>
              <w:ind w:right="144"/>
              <w:jc w:val="right"/>
              <w:rPr>
                <w:rFonts w:asciiTheme="minorHAnsi" w:eastAsia="Times New Roman" w:hAnsiTheme="minorHAnsi" w:cs="Arial"/>
                <w:sz w:val="18"/>
                <w:szCs w:val="18"/>
              </w:rPr>
            </w:pPr>
            <w:r w:rsidRPr="00B47695">
              <w:rPr>
                <w:rFonts w:asciiTheme="minorHAnsi" w:hAnsiTheme="minorHAnsi" w:cs="Arial"/>
                <w:sz w:val="18"/>
                <w:szCs w:val="18"/>
              </w:rPr>
              <w:t>36,996</w:t>
            </w:r>
          </w:p>
        </w:tc>
        <w:tc>
          <w:tcPr>
            <w:tcW w:w="953" w:type="dxa"/>
            <w:noWrap/>
            <w:tcMar>
              <w:top w:w="43" w:type="dxa"/>
              <w:bottom w:w="43" w:type="dxa"/>
            </w:tcMar>
            <w:vAlign w:val="center"/>
          </w:tcPr>
          <w:p w:rsidR="00B47695" w:rsidRPr="00B47695" w:rsidRDefault="00B47695" w:rsidP="00B47695">
            <w:pPr>
              <w:keepNext/>
              <w:keepLines/>
              <w:spacing w:before="20" w:after="20" w:line="240" w:lineRule="auto"/>
              <w:ind w:right="144"/>
              <w:jc w:val="right"/>
              <w:rPr>
                <w:rFonts w:asciiTheme="minorHAnsi" w:eastAsia="Times New Roman" w:hAnsiTheme="minorHAnsi" w:cs="Arial"/>
                <w:sz w:val="18"/>
                <w:szCs w:val="18"/>
              </w:rPr>
            </w:pPr>
            <w:r w:rsidRPr="00B47695">
              <w:rPr>
                <w:rFonts w:asciiTheme="minorHAnsi" w:hAnsiTheme="minorHAnsi" w:cs="Arial"/>
                <w:sz w:val="18"/>
                <w:szCs w:val="18"/>
              </w:rPr>
              <w:t>1,935</w:t>
            </w:r>
          </w:p>
        </w:tc>
        <w:tc>
          <w:tcPr>
            <w:tcW w:w="929" w:type="dxa"/>
            <w:noWrap/>
            <w:tcMar>
              <w:top w:w="43" w:type="dxa"/>
              <w:bottom w:w="43" w:type="dxa"/>
            </w:tcMar>
            <w:vAlign w:val="center"/>
          </w:tcPr>
          <w:p w:rsidR="00B47695" w:rsidRPr="00B47695" w:rsidRDefault="00B47695" w:rsidP="00B47695">
            <w:pPr>
              <w:keepNext/>
              <w:keepLines/>
              <w:spacing w:before="20" w:after="20" w:line="240" w:lineRule="auto"/>
              <w:ind w:right="144"/>
              <w:jc w:val="right"/>
              <w:rPr>
                <w:rFonts w:asciiTheme="minorHAnsi" w:eastAsia="Times New Roman" w:hAnsiTheme="minorHAnsi" w:cs="Arial"/>
                <w:sz w:val="18"/>
                <w:szCs w:val="18"/>
              </w:rPr>
            </w:pPr>
            <w:r w:rsidRPr="00B47695">
              <w:rPr>
                <w:rFonts w:asciiTheme="minorHAnsi" w:hAnsiTheme="minorHAnsi" w:cs="Arial"/>
                <w:sz w:val="18"/>
                <w:szCs w:val="18"/>
              </w:rPr>
              <w:t>1,900</w:t>
            </w:r>
          </w:p>
        </w:tc>
      </w:tr>
      <w:tr w:rsidR="00B47695" w:rsidRPr="00B47695" w:rsidTr="00A42B16">
        <w:trPr>
          <w:cantSplit/>
          <w:trHeight w:val="244"/>
          <w:jc w:val="center"/>
        </w:trPr>
        <w:tc>
          <w:tcPr>
            <w:tcW w:w="1258" w:type="dxa"/>
            <w:shd w:val="clear" w:color="auto" w:fill="CCEAF9" w:themeFill="accent1" w:themeFillTint="33"/>
            <w:noWrap/>
            <w:tcMar>
              <w:top w:w="43" w:type="dxa"/>
              <w:bottom w:w="43" w:type="dxa"/>
            </w:tcMar>
            <w:vAlign w:val="center"/>
          </w:tcPr>
          <w:p w:rsidR="00B47695" w:rsidRPr="00B47695" w:rsidRDefault="00B47695" w:rsidP="00B47695">
            <w:pPr>
              <w:keepNext/>
              <w:keepLines/>
              <w:spacing w:before="20" w:after="20" w:line="240" w:lineRule="auto"/>
              <w:rPr>
                <w:rFonts w:asciiTheme="minorHAnsi" w:hAnsiTheme="minorHAnsi" w:cs="Arial"/>
                <w:b/>
                <w:bCs/>
                <w:sz w:val="18"/>
                <w:szCs w:val="18"/>
              </w:rPr>
            </w:pPr>
            <w:r w:rsidRPr="00B47695">
              <w:rPr>
                <w:rFonts w:asciiTheme="minorHAnsi" w:hAnsiTheme="minorHAnsi" w:cs="Arial"/>
                <w:b/>
                <w:bCs/>
                <w:sz w:val="18"/>
                <w:szCs w:val="18"/>
              </w:rPr>
              <w:t>2013/2014</w:t>
            </w:r>
          </w:p>
        </w:tc>
        <w:tc>
          <w:tcPr>
            <w:tcW w:w="944" w:type="dxa"/>
            <w:shd w:val="clear" w:color="auto" w:fill="CCEAF9" w:themeFill="accent1" w:themeFillTint="33"/>
            <w:noWrap/>
            <w:tcMar>
              <w:top w:w="58" w:type="dxa"/>
              <w:bottom w:w="58" w:type="dxa"/>
            </w:tcMar>
            <w:vAlign w:val="center"/>
          </w:tcPr>
          <w:p w:rsidR="00B47695" w:rsidRPr="00B47695" w:rsidRDefault="00B47695" w:rsidP="00B47695">
            <w:pPr>
              <w:keepNext/>
              <w:keepLines/>
              <w:spacing w:before="20" w:after="20" w:line="240" w:lineRule="auto"/>
              <w:ind w:right="144"/>
              <w:jc w:val="right"/>
              <w:rPr>
                <w:rFonts w:asciiTheme="minorHAnsi" w:eastAsia="Times New Roman" w:hAnsiTheme="minorHAnsi" w:cs="Arial"/>
                <w:sz w:val="18"/>
                <w:szCs w:val="18"/>
              </w:rPr>
            </w:pPr>
            <w:r w:rsidRPr="00B47695">
              <w:rPr>
                <w:rFonts w:asciiTheme="minorHAnsi" w:hAnsiTheme="minorHAnsi" w:cs="Arial"/>
                <w:sz w:val="18"/>
                <w:szCs w:val="18"/>
              </w:rPr>
              <w:t>33,043</w:t>
            </w:r>
          </w:p>
        </w:tc>
        <w:tc>
          <w:tcPr>
            <w:tcW w:w="872" w:type="dxa"/>
            <w:shd w:val="clear" w:color="auto" w:fill="CCEAF9" w:themeFill="accent1" w:themeFillTint="33"/>
            <w:noWrap/>
            <w:tcMar>
              <w:top w:w="43" w:type="dxa"/>
              <w:bottom w:w="43" w:type="dxa"/>
            </w:tcMar>
            <w:vAlign w:val="center"/>
          </w:tcPr>
          <w:p w:rsidR="00B47695" w:rsidRPr="00B47695" w:rsidRDefault="00B47695" w:rsidP="00B47695">
            <w:pPr>
              <w:keepNext/>
              <w:keepLines/>
              <w:spacing w:before="20" w:after="20" w:line="240" w:lineRule="auto"/>
              <w:ind w:right="144"/>
              <w:jc w:val="right"/>
              <w:rPr>
                <w:rFonts w:asciiTheme="minorHAnsi" w:eastAsia="Times New Roman" w:hAnsiTheme="minorHAnsi" w:cs="Arial"/>
                <w:sz w:val="18"/>
                <w:szCs w:val="18"/>
              </w:rPr>
            </w:pPr>
            <w:r w:rsidRPr="00B47695">
              <w:rPr>
                <w:rFonts w:asciiTheme="minorHAnsi" w:hAnsiTheme="minorHAnsi" w:cs="Arial"/>
                <w:sz w:val="18"/>
                <w:szCs w:val="18"/>
              </w:rPr>
              <w:t>916</w:t>
            </w:r>
          </w:p>
        </w:tc>
        <w:tc>
          <w:tcPr>
            <w:tcW w:w="953" w:type="dxa"/>
            <w:shd w:val="clear" w:color="auto" w:fill="CCEAF9" w:themeFill="accent1" w:themeFillTint="33"/>
            <w:noWrap/>
            <w:tcMar>
              <w:top w:w="43" w:type="dxa"/>
              <w:bottom w:w="43" w:type="dxa"/>
            </w:tcMar>
            <w:vAlign w:val="center"/>
          </w:tcPr>
          <w:p w:rsidR="00B47695" w:rsidRPr="00B47695" w:rsidRDefault="00B47695" w:rsidP="00B47695">
            <w:pPr>
              <w:keepNext/>
              <w:keepLines/>
              <w:spacing w:before="20" w:after="20" w:line="240" w:lineRule="auto"/>
              <w:ind w:right="144"/>
              <w:jc w:val="right"/>
              <w:rPr>
                <w:rFonts w:asciiTheme="minorHAnsi" w:eastAsia="Times New Roman" w:hAnsiTheme="minorHAnsi" w:cs="Arial"/>
                <w:sz w:val="18"/>
                <w:szCs w:val="18"/>
              </w:rPr>
            </w:pPr>
            <w:r w:rsidRPr="00B47695">
              <w:rPr>
                <w:rFonts w:asciiTheme="minorHAnsi" w:hAnsiTheme="minorHAnsi" w:cs="Arial"/>
                <w:sz w:val="18"/>
                <w:szCs w:val="18"/>
              </w:rPr>
              <w:t>32,127</w:t>
            </w:r>
          </w:p>
        </w:tc>
        <w:tc>
          <w:tcPr>
            <w:tcW w:w="953" w:type="dxa"/>
            <w:shd w:val="clear" w:color="auto" w:fill="CCEAF9" w:themeFill="accent1" w:themeFillTint="33"/>
            <w:noWrap/>
            <w:tcMar>
              <w:top w:w="43" w:type="dxa"/>
              <w:bottom w:w="43" w:type="dxa"/>
            </w:tcMar>
            <w:vAlign w:val="center"/>
          </w:tcPr>
          <w:p w:rsidR="00B47695" w:rsidRPr="00B47695" w:rsidRDefault="00B47695" w:rsidP="00B47695">
            <w:pPr>
              <w:keepNext/>
              <w:keepLines/>
              <w:spacing w:before="20" w:after="20" w:line="240" w:lineRule="auto"/>
              <w:ind w:right="144"/>
              <w:jc w:val="right"/>
              <w:rPr>
                <w:rFonts w:asciiTheme="minorHAnsi" w:eastAsia="Times New Roman" w:hAnsiTheme="minorHAnsi" w:cs="Arial"/>
                <w:sz w:val="18"/>
                <w:szCs w:val="18"/>
              </w:rPr>
            </w:pPr>
            <w:r w:rsidRPr="00B47695">
              <w:rPr>
                <w:rFonts w:asciiTheme="minorHAnsi" w:hAnsiTheme="minorHAnsi" w:cs="Arial"/>
                <w:sz w:val="18"/>
                <w:szCs w:val="18"/>
              </w:rPr>
              <w:t>37,501</w:t>
            </w:r>
          </w:p>
        </w:tc>
        <w:tc>
          <w:tcPr>
            <w:tcW w:w="953" w:type="dxa"/>
            <w:shd w:val="clear" w:color="auto" w:fill="CCEAF9" w:themeFill="accent1" w:themeFillTint="33"/>
            <w:noWrap/>
            <w:tcMar>
              <w:top w:w="43" w:type="dxa"/>
              <w:bottom w:w="43" w:type="dxa"/>
            </w:tcMar>
            <w:vAlign w:val="center"/>
          </w:tcPr>
          <w:p w:rsidR="00B47695" w:rsidRPr="00B47695" w:rsidRDefault="00B47695" w:rsidP="00B47695">
            <w:pPr>
              <w:keepNext/>
              <w:keepLines/>
              <w:spacing w:before="20" w:after="20" w:line="240" w:lineRule="auto"/>
              <w:ind w:right="144"/>
              <w:jc w:val="right"/>
              <w:rPr>
                <w:rFonts w:asciiTheme="minorHAnsi" w:eastAsia="Times New Roman" w:hAnsiTheme="minorHAnsi" w:cs="Arial"/>
                <w:sz w:val="18"/>
                <w:szCs w:val="18"/>
              </w:rPr>
            </w:pPr>
            <w:r w:rsidRPr="00B47695">
              <w:rPr>
                <w:rFonts w:asciiTheme="minorHAnsi" w:hAnsiTheme="minorHAnsi" w:cs="Arial"/>
                <w:sz w:val="18"/>
                <w:szCs w:val="18"/>
              </w:rPr>
              <w:t>2.698</w:t>
            </w:r>
          </w:p>
        </w:tc>
        <w:tc>
          <w:tcPr>
            <w:tcW w:w="929" w:type="dxa"/>
            <w:shd w:val="clear" w:color="auto" w:fill="CCEAF9" w:themeFill="accent1" w:themeFillTint="33"/>
            <w:noWrap/>
            <w:tcMar>
              <w:top w:w="43" w:type="dxa"/>
              <w:bottom w:w="43" w:type="dxa"/>
            </w:tcMar>
            <w:vAlign w:val="center"/>
          </w:tcPr>
          <w:p w:rsidR="00B47695" w:rsidRPr="00B47695" w:rsidRDefault="00B47695" w:rsidP="00B47695">
            <w:pPr>
              <w:keepNext/>
              <w:keepLines/>
              <w:spacing w:before="20" w:after="20" w:line="240" w:lineRule="auto"/>
              <w:ind w:right="144"/>
              <w:jc w:val="right"/>
              <w:rPr>
                <w:rFonts w:asciiTheme="minorHAnsi" w:eastAsia="Times New Roman" w:hAnsiTheme="minorHAnsi" w:cs="Arial"/>
                <w:sz w:val="18"/>
                <w:szCs w:val="18"/>
              </w:rPr>
            </w:pPr>
            <w:r w:rsidRPr="00B47695">
              <w:rPr>
                <w:rFonts w:asciiTheme="minorHAnsi" w:hAnsiTheme="minorHAnsi" w:cs="Arial"/>
                <w:sz w:val="18"/>
                <w:szCs w:val="18"/>
              </w:rPr>
              <w:t>1,993</w:t>
            </w:r>
          </w:p>
        </w:tc>
      </w:tr>
      <w:tr w:rsidR="00B47695" w:rsidRPr="00B47695" w:rsidTr="00B47695">
        <w:trPr>
          <w:cantSplit/>
          <w:trHeight w:val="244"/>
          <w:jc w:val="center"/>
        </w:trPr>
        <w:tc>
          <w:tcPr>
            <w:tcW w:w="1258" w:type="dxa"/>
            <w:noWrap/>
            <w:tcMar>
              <w:top w:w="43" w:type="dxa"/>
              <w:bottom w:w="43" w:type="dxa"/>
            </w:tcMar>
            <w:vAlign w:val="center"/>
          </w:tcPr>
          <w:p w:rsidR="00B47695" w:rsidRPr="00B47695" w:rsidRDefault="00B47695" w:rsidP="00B47695">
            <w:pPr>
              <w:keepNext/>
              <w:keepLines/>
              <w:spacing w:before="20" w:after="20" w:line="240" w:lineRule="auto"/>
              <w:rPr>
                <w:rFonts w:asciiTheme="minorHAnsi" w:hAnsiTheme="minorHAnsi" w:cs="Arial"/>
                <w:b/>
                <w:bCs/>
                <w:sz w:val="18"/>
                <w:szCs w:val="18"/>
              </w:rPr>
            </w:pPr>
            <w:r w:rsidRPr="00B47695">
              <w:rPr>
                <w:rFonts w:asciiTheme="minorHAnsi" w:hAnsiTheme="minorHAnsi" w:cs="Arial"/>
                <w:b/>
                <w:bCs/>
                <w:sz w:val="18"/>
                <w:szCs w:val="18"/>
              </w:rPr>
              <w:t>2014/2015</w:t>
            </w:r>
          </w:p>
        </w:tc>
        <w:tc>
          <w:tcPr>
            <w:tcW w:w="944" w:type="dxa"/>
            <w:noWrap/>
            <w:tcMar>
              <w:top w:w="58" w:type="dxa"/>
              <w:bottom w:w="58" w:type="dxa"/>
            </w:tcMar>
            <w:vAlign w:val="center"/>
          </w:tcPr>
          <w:p w:rsidR="00B47695" w:rsidRPr="00B47695" w:rsidRDefault="00B47695" w:rsidP="00B47695">
            <w:pPr>
              <w:keepNext/>
              <w:keepLines/>
              <w:spacing w:before="20" w:after="20" w:line="240" w:lineRule="auto"/>
              <w:ind w:right="144"/>
              <w:jc w:val="right"/>
              <w:rPr>
                <w:rFonts w:asciiTheme="minorHAnsi" w:eastAsia="Times New Roman" w:hAnsiTheme="minorHAnsi" w:cs="Arial"/>
                <w:sz w:val="18"/>
                <w:szCs w:val="18"/>
              </w:rPr>
            </w:pPr>
            <w:r w:rsidRPr="00B47695">
              <w:rPr>
                <w:rFonts w:asciiTheme="minorHAnsi" w:hAnsiTheme="minorHAnsi" w:cs="Arial"/>
                <w:sz w:val="18"/>
                <w:szCs w:val="18"/>
              </w:rPr>
              <w:t>34,154</w:t>
            </w:r>
          </w:p>
        </w:tc>
        <w:tc>
          <w:tcPr>
            <w:tcW w:w="872" w:type="dxa"/>
            <w:noWrap/>
            <w:tcMar>
              <w:top w:w="43" w:type="dxa"/>
              <w:bottom w:w="43" w:type="dxa"/>
            </w:tcMar>
            <w:vAlign w:val="center"/>
          </w:tcPr>
          <w:p w:rsidR="00B47695" w:rsidRPr="00B47695" w:rsidRDefault="00B47695" w:rsidP="00B47695">
            <w:pPr>
              <w:keepNext/>
              <w:keepLines/>
              <w:spacing w:before="20" w:after="20" w:line="240" w:lineRule="auto"/>
              <w:ind w:right="144"/>
              <w:jc w:val="right"/>
              <w:rPr>
                <w:rFonts w:asciiTheme="minorHAnsi" w:eastAsia="Times New Roman" w:hAnsiTheme="minorHAnsi" w:cs="Arial"/>
                <w:sz w:val="18"/>
                <w:szCs w:val="18"/>
              </w:rPr>
            </w:pPr>
            <w:r w:rsidRPr="00B47695">
              <w:rPr>
                <w:rFonts w:asciiTheme="minorHAnsi" w:hAnsiTheme="minorHAnsi" w:cs="Arial"/>
                <w:sz w:val="18"/>
                <w:szCs w:val="18"/>
              </w:rPr>
              <w:t>954</w:t>
            </w:r>
          </w:p>
        </w:tc>
        <w:tc>
          <w:tcPr>
            <w:tcW w:w="953" w:type="dxa"/>
            <w:noWrap/>
            <w:tcMar>
              <w:top w:w="43" w:type="dxa"/>
              <w:bottom w:w="43" w:type="dxa"/>
            </w:tcMar>
            <w:vAlign w:val="center"/>
          </w:tcPr>
          <w:p w:rsidR="00B47695" w:rsidRPr="00B47695" w:rsidRDefault="00B47695" w:rsidP="00B47695">
            <w:pPr>
              <w:keepNext/>
              <w:keepLines/>
              <w:spacing w:before="20" w:after="20" w:line="240" w:lineRule="auto"/>
              <w:ind w:right="144"/>
              <w:jc w:val="right"/>
              <w:rPr>
                <w:rFonts w:asciiTheme="minorHAnsi" w:eastAsia="Times New Roman" w:hAnsiTheme="minorHAnsi" w:cs="Arial"/>
                <w:sz w:val="18"/>
                <w:szCs w:val="18"/>
              </w:rPr>
            </w:pPr>
            <w:r w:rsidRPr="00B47695">
              <w:rPr>
                <w:rFonts w:asciiTheme="minorHAnsi" w:hAnsiTheme="minorHAnsi" w:cs="Arial"/>
                <w:sz w:val="18"/>
                <w:szCs w:val="18"/>
              </w:rPr>
              <w:t>33,200</w:t>
            </w:r>
          </w:p>
        </w:tc>
        <w:tc>
          <w:tcPr>
            <w:tcW w:w="953" w:type="dxa"/>
            <w:noWrap/>
            <w:tcMar>
              <w:top w:w="43" w:type="dxa"/>
              <w:bottom w:w="43" w:type="dxa"/>
            </w:tcMar>
            <w:vAlign w:val="center"/>
          </w:tcPr>
          <w:p w:rsidR="00B47695" w:rsidRPr="00B47695" w:rsidRDefault="00B47695" w:rsidP="00B47695">
            <w:pPr>
              <w:keepNext/>
              <w:keepLines/>
              <w:spacing w:before="20" w:after="20" w:line="240" w:lineRule="auto"/>
              <w:ind w:right="144"/>
              <w:jc w:val="right"/>
              <w:rPr>
                <w:rFonts w:asciiTheme="minorHAnsi" w:eastAsia="Times New Roman" w:hAnsiTheme="minorHAnsi" w:cs="Arial"/>
                <w:sz w:val="18"/>
                <w:szCs w:val="18"/>
              </w:rPr>
            </w:pPr>
            <w:r w:rsidRPr="00B47695">
              <w:rPr>
                <w:rFonts w:asciiTheme="minorHAnsi" w:hAnsiTheme="minorHAnsi" w:cs="Arial"/>
                <w:sz w:val="18"/>
                <w:szCs w:val="18"/>
              </w:rPr>
              <w:t>36,918</w:t>
            </w:r>
          </w:p>
        </w:tc>
        <w:tc>
          <w:tcPr>
            <w:tcW w:w="953" w:type="dxa"/>
            <w:noWrap/>
            <w:tcMar>
              <w:top w:w="43" w:type="dxa"/>
              <w:bottom w:w="43" w:type="dxa"/>
            </w:tcMar>
            <w:vAlign w:val="center"/>
          </w:tcPr>
          <w:p w:rsidR="00B47695" w:rsidRPr="00B47695" w:rsidRDefault="00B47695" w:rsidP="00B47695">
            <w:pPr>
              <w:keepNext/>
              <w:keepLines/>
              <w:spacing w:before="20" w:after="20" w:line="240" w:lineRule="auto"/>
              <w:ind w:right="144"/>
              <w:jc w:val="right"/>
              <w:rPr>
                <w:rFonts w:asciiTheme="minorHAnsi" w:eastAsia="Times New Roman" w:hAnsiTheme="minorHAnsi" w:cs="Arial"/>
                <w:sz w:val="18"/>
                <w:szCs w:val="18"/>
              </w:rPr>
            </w:pPr>
            <w:r w:rsidRPr="00B47695">
              <w:rPr>
                <w:rFonts w:asciiTheme="minorHAnsi" w:hAnsiTheme="minorHAnsi" w:cs="Arial"/>
                <w:sz w:val="18"/>
                <w:szCs w:val="18"/>
              </w:rPr>
              <w:t>3,176</w:t>
            </w:r>
          </w:p>
        </w:tc>
        <w:tc>
          <w:tcPr>
            <w:tcW w:w="929" w:type="dxa"/>
            <w:noWrap/>
            <w:tcMar>
              <w:top w:w="43" w:type="dxa"/>
              <w:bottom w:w="43" w:type="dxa"/>
            </w:tcMar>
            <w:vAlign w:val="center"/>
          </w:tcPr>
          <w:p w:rsidR="00B47695" w:rsidRPr="00B47695" w:rsidRDefault="00B47695" w:rsidP="00B47695">
            <w:pPr>
              <w:keepNext/>
              <w:keepLines/>
              <w:spacing w:before="20" w:after="20" w:line="240" w:lineRule="auto"/>
              <w:ind w:right="144"/>
              <w:jc w:val="right"/>
              <w:rPr>
                <w:rFonts w:asciiTheme="minorHAnsi" w:eastAsia="Times New Roman" w:hAnsiTheme="minorHAnsi" w:cs="Arial"/>
                <w:sz w:val="18"/>
                <w:szCs w:val="18"/>
              </w:rPr>
            </w:pPr>
            <w:r w:rsidRPr="00B47695">
              <w:rPr>
                <w:rFonts w:asciiTheme="minorHAnsi" w:hAnsiTheme="minorHAnsi" w:cs="Arial"/>
                <w:sz w:val="18"/>
                <w:szCs w:val="18"/>
              </w:rPr>
              <w:t>2,011</w:t>
            </w:r>
          </w:p>
        </w:tc>
      </w:tr>
      <w:tr w:rsidR="00B47695" w:rsidRPr="00B47695" w:rsidTr="00A42B16">
        <w:trPr>
          <w:cantSplit/>
          <w:trHeight w:val="244"/>
          <w:jc w:val="center"/>
        </w:trPr>
        <w:tc>
          <w:tcPr>
            <w:tcW w:w="1258" w:type="dxa"/>
            <w:shd w:val="clear" w:color="auto" w:fill="CCEAF9" w:themeFill="accent1" w:themeFillTint="33"/>
            <w:noWrap/>
            <w:tcMar>
              <w:top w:w="43" w:type="dxa"/>
              <w:bottom w:w="43" w:type="dxa"/>
            </w:tcMar>
            <w:vAlign w:val="center"/>
          </w:tcPr>
          <w:p w:rsidR="00B47695" w:rsidRPr="00B47695" w:rsidRDefault="00B47695" w:rsidP="00B47695">
            <w:pPr>
              <w:keepNext/>
              <w:keepLines/>
              <w:spacing w:before="20" w:after="20" w:line="240" w:lineRule="auto"/>
              <w:rPr>
                <w:rFonts w:asciiTheme="minorHAnsi" w:hAnsiTheme="minorHAnsi" w:cs="Arial"/>
                <w:b/>
                <w:bCs/>
                <w:sz w:val="18"/>
                <w:szCs w:val="18"/>
              </w:rPr>
            </w:pPr>
            <w:r w:rsidRPr="00B47695">
              <w:rPr>
                <w:rFonts w:asciiTheme="minorHAnsi" w:hAnsiTheme="minorHAnsi" w:cs="Arial"/>
                <w:b/>
                <w:bCs/>
                <w:sz w:val="18"/>
                <w:szCs w:val="18"/>
              </w:rPr>
              <w:t>2015/2016</w:t>
            </w:r>
          </w:p>
        </w:tc>
        <w:tc>
          <w:tcPr>
            <w:tcW w:w="944" w:type="dxa"/>
            <w:shd w:val="clear" w:color="auto" w:fill="CCEAF9" w:themeFill="accent1" w:themeFillTint="33"/>
            <w:noWrap/>
            <w:tcMar>
              <w:top w:w="58" w:type="dxa"/>
              <w:bottom w:w="58" w:type="dxa"/>
            </w:tcMar>
            <w:vAlign w:val="center"/>
          </w:tcPr>
          <w:p w:rsidR="00B47695" w:rsidRPr="00B47695" w:rsidRDefault="00B47695" w:rsidP="00B47695">
            <w:pPr>
              <w:keepNext/>
              <w:keepLines/>
              <w:spacing w:before="20" w:after="20" w:line="240" w:lineRule="auto"/>
              <w:ind w:right="144"/>
              <w:jc w:val="right"/>
              <w:rPr>
                <w:rFonts w:asciiTheme="minorHAnsi" w:eastAsia="Times New Roman" w:hAnsiTheme="minorHAnsi" w:cs="Arial"/>
                <w:bCs/>
                <w:sz w:val="18"/>
                <w:szCs w:val="18"/>
              </w:rPr>
            </w:pPr>
            <w:r w:rsidRPr="00B47695">
              <w:rPr>
                <w:rFonts w:asciiTheme="minorHAnsi" w:hAnsiTheme="minorHAnsi" w:cs="Arial"/>
                <w:bCs/>
                <w:sz w:val="18"/>
                <w:szCs w:val="18"/>
              </w:rPr>
              <w:t>34,498</w:t>
            </w:r>
          </w:p>
        </w:tc>
        <w:tc>
          <w:tcPr>
            <w:tcW w:w="872" w:type="dxa"/>
            <w:shd w:val="clear" w:color="auto" w:fill="CCEAF9" w:themeFill="accent1" w:themeFillTint="33"/>
            <w:noWrap/>
            <w:tcMar>
              <w:top w:w="43" w:type="dxa"/>
              <w:bottom w:w="43" w:type="dxa"/>
            </w:tcMar>
            <w:vAlign w:val="center"/>
          </w:tcPr>
          <w:p w:rsidR="00B47695" w:rsidRPr="00B47695" w:rsidRDefault="00B47695" w:rsidP="00B47695">
            <w:pPr>
              <w:keepNext/>
              <w:keepLines/>
              <w:spacing w:before="20" w:after="20" w:line="240" w:lineRule="auto"/>
              <w:ind w:right="144"/>
              <w:jc w:val="right"/>
              <w:rPr>
                <w:rFonts w:asciiTheme="minorHAnsi" w:eastAsia="Times New Roman" w:hAnsiTheme="minorHAnsi" w:cs="Arial"/>
                <w:bCs/>
                <w:sz w:val="18"/>
                <w:szCs w:val="18"/>
              </w:rPr>
            </w:pPr>
            <w:r w:rsidRPr="00B47695">
              <w:rPr>
                <w:rFonts w:asciiTheme="minorHAnsi" w:hAnsiTheme="minorHAnsi" w:cs="Arial"/>
                <w:bCs/>
                <w:sz w:val="18"/>
                <w:szCs w:val="18"/>
              </w:rPr>
              <w:t>1,042</w:t>
            </w:r>
          </w:p>
        </w:tc>
        <w:tc>
          <w:tcPr>
            <w:tcW w:w="953" w:type="dxa"/>
            <w:shd w:val="clear" w:color="auto" w:fill="CCEAF9" w:themeFill="accent1" w:themeFillTint="33"/>
            <w:noWrap/>
            <w:tcMar>
              <w:top w:w="43" w:type="dxa"/>
              <w:bottom w:w="43" w:type="dxa"/>
            </w:tcMar>
            <w:vAlign w:val="center"/>
          </w:tcPr>
          <w:p w:rsidR="00B47695" w:rsidRPr="00B47695" w:rsidRDefault="00B47695" w:rsidP="00B47695">
            <w:pPr>
              <w:keepNext/>
              <w:keepLines/>
              <w:spacing w:before="20" w:after="20" w:line="240" w:lineRule="auto"/>
              <w:ind w:right="144"/>
              <w:jc w:val="right"/>
              <w:rPr>
                <w:rFonts w:asciiTheme="minorHAnsi" w:eastAsia="Times New Roman" w:hAnsiTheme="minorHAnsi" w:cs="Arial"/>
                <w:bCs/>
                <w:sz w:val="18"/>
                <w:szCs w:val="18"/>
              </w:rPr>
            </w:pPr>
            <w:r w:rsidRPr="00B47695">
              <w:rPr>
                <w:rFonts w:asciiTheme="minorHAnsi" w:hAnsiTheme="minorHAnsi" w:cs="Arial"/>
                <w:bCs/>
                <w:sz w:val="18"/>
                <w:szCs w:val="18"/>
              </w:rPr>
              <w:t>33,456</w:t>
            </w:r>
          </w:p>
        </w:tc>
        <w:tc>
          <w:tcPr>
            <w:tcW w:w="953" w:type="dxa"/>
            <w:shd w:val="clear" w:color="auto" w:fill="CCEAF9" w:themeFill="accent1" w:themeFillTint="33"/>
            <w:noWrap/>
            <w:tcMar>
              <w:top w:w="43" w:type="dxa"/>
              <w:bottom w:w="43" w:type="dxa"/>
            </w:tcMar>
            <w:vAlign w:val="center"/>
          </w:tcPr>
          <w:p w:rsidR="00B47695" w:rsidRPr="00B47695" w:rsidRDefault="00B47695" w:rsidP="00B47695">
            <w:pPr>
              <w:keepNext/>
              <w:keepLines/>
              <w:spacing w:before="20" w:after="20" w:line="240" w:lineRule="auto"/>
              <w:ind w:right="144"/>
              <w:jc w:val="right"/>
              <w:rPr>
                <w:rFonts w:asciiTheme="minorHAnsi" w:eastAsia="Times New Roman" w:hAnsiTheme="minorHAnsi" w:cs="Arial"/>
                <w:bCs/>
                <w:sz w:val="18"/>
                <w:szCs w:val="18"/>
              </w:rPr>
            </w:pPr>
            <w:r w:rsidRPr="00B47695">
              <w:rPr>
                <w:rFonts w:asciiTheme="minorHAnsi" w:hAnsiTheme="minorHAnsi" w:cs="Arial"/>
                <w:bCs/>
                <w:sz w:val="18"/>
                <w:szCs w:val="18"/>
              </w:rPr>
              <w:t>36,309</w:t>
            </w:r>
          </w:p>
        </w:tc>
        <w:tc>
          <w:tcPr>
            <w:tcW w:w="953" w:type="dxa"/>
            <w:shd w:val="clear" w:color="auto" w:fill="CCEAF9" w:themeFill="accent1" w:themeFillTint="33"/>
            <w:noWrap/>
            <w:tcMar>
              <w:top w:w="43" w:type="dxa"/>
              <w:bottom w:w="43" w:type="dxa"/>
            </w:tcMar>
            <w:vAlign w:val="center"/>
          </w:tcPr>
          <w:p w:rsidR="00B47695" w:rsidRPr="00B47695" w:rsidRDefault="00B47695" w:rsidP="00B47695">
            <w:pPr>
              <w:keepNext/>
              <w:keepLines/>
              <w:spacing w:before="20" w:after="20" w:line="240" w:lineRule="auto"/>
              <w:ind w:right="144"/>
              <w:jc w:val="right"/>
              <w:rPr>
                <w:rFonts w:asciiTheme="minorHAnsi" w:eastAsia="Times New Roman" w:hAnsiTheme="minorHAnsi" w:cs="Arial"/>
                <w:bCs/>
                <w:sz w:val="18"/>
                <w:szCs w:val="18"/>
              </w:rPr>
            </w:pPr>
            <w:r w:rsidRPr="00B47695">
              <w:rPr>
                <w:rFonts w:asciiTheme="minorHAnsi" w:hAnsiTheme="minorHAnsi" w:cs="Arial"/>
                <w:bCs/>
                <w:sz w:val="18"/>
                <w:szCs w:val="18"/>
              </w:rPr>
              <w:t>4,164</w:t>
            </w:r>
          </w:p>
        </w:tc>
        <w:tc>
          <w:tcPr>
            <w:tcW w:w="929" w:type="dxa"/>
            <w:shd w:val="clear" w:color="auto" w:fill="CCEAF9" w:themeFill="accent1" w:themeFillTint="33"/>
            <w:noWrap/>
            <w:tcMar>
              <w:top w:w="43" w:type="dxa"/>
              <w:bottom w:w="43" w:type="dxa"/>
            </w:tcMar>
            <w:vAlign w:val="center"/>
          </w:tcPr>
          <w:p w:rsidR="00B47695" w:rsidRPr="00B47695" w:rsidRDefault="00B47695" w:rsidP="00B47695">
            <w:pPr>
              <w:keepNext/>
              <w:keepLines/>
              <w:spacing w:before="20" w:after="20" w:line="240" w:lineRule="auto"/>
              <w:ind w:right="144"/>
              <w:jc w:val="right"/>
              <w:rPr>
                <w:rFonts w:asciiTheme="minorHAnsi" w:eastAsia="Times New Roman" w:hAnsiTheme="minorHAnsi" w:cs="Arial"/>
                <w:bCs/>
                <w:sz w:val="18"/>
                <w:szCs w:val="18"/>
              </w:rPr>
            </w:pPr>
            <w:r w:rsidRPr="00B47695">
              <w:rPr>
                <w:rFonts w:asciiTheme="minorHAnsi" w:hAnsiTheme="minorHAnsi" w:cs="Arial"/>
                <w:bCs/>
                <w:sz w:val="18"/>
                <w:szCs w:val="18"/>
              </w:rPr>
              <w:t>1,924</w:t>
            </w:r>
          </w:p>
        </w:tc>
      </w:tr>
      <w:tr w:rsidR="00B47695" w:rsidRPr="00B47695" w:rsidTr="00B47695">
        <w:trPr>
          <w:cantSplit/>
          <w:trHeight w:val="244"/>
          <w:jc w:val="center"/>
        </w:trPr>
        <w:tc>
          <w:tcPr>
            <w:tcW w:w="1258" w:type="dxa"/>
            <w:shd w:val="clear" w:color="auto" w:fill="auto"/>
            <w:noWrap/>
            <w:tcMar>
              <w:top w:w="43" w:type="dxa"/>
              <w:bottom w:w="43" w:type="dxa"/>
            </w:tcMar>
            <w:vAlign w:val="center"/>
          </w:tcPr>
          <w:p w:rsidR="00B47695" w:rsidRPr="00B47695" w:rsidRDefault="00B47695" w:rsidP="00B47695">
            <w:pPr>
              <w:keepNext/>
              <w:keepLines/>
              <w:spacing w:before="20" w:after="20" w:line="240" w:lineRule="auto"/>
              <w:rPr>
                <w:rFonts w:asciiTheme="minorHAnsi" w:hAnsiTheme="minorHAnsi" w:cs="Arial"/>
                <w:b/>
                <w:bCs/>
                <w:sz w:val="18"/>
                <w:szCs w:val="18"/>
              </w:rPr>
            </w:pPr>
            <w:r w:rsidRPr="00B47695">
              <w:rPr>
                <w:rFonts w:asciiTheme="minorHAnsi" w:hAnsiTheme="minorHAnsi" w:cs="Arial"/>
                <w:b/>
                <w:bCs/>
                <w:sz w:val="18"/>
                <w:szCs w:val="18"/>
              </w:rPr>
              <w:t>2016/2017</w:t>
            </w:r>
          </w:p>
        </w:tc>
        <w:tc>
          <w:tcPr>
            <w:tcW w:w="944" w:type="dxa"/>
            <w:shd w:val="clear" w:color="auto" w:fill="auto"/>
            <w:noWrap/>
            <w:tcMar>
              <w:top w:w="58" w:type="dxa"/>
              <w:bottom w:w="58" w:type="dxa"/>
            </w:tcMar>
            <w:vAlign w:val="center"/>
          </w:tcPr>
          <w:p w:rsidR="00B47695" w:rsidRPr="00B47695" w:rsidRDefault="00B47695" w:rsidP="00B47695">
            <w:pPr>
              <w:keepNext/>
              <w:keepLines/>
              <w:spacing w:before="20" w:after="20" w:line="240" w:lineRule="auto"/>
              <w:ind w:right="144"/>
              <w:jc w:val="right"/>
              <w:rPr>
                <w:rFonts w:asciiTheme="minorHAnsi" w:hAnsiTheme="minorHAnsi" w:cs="Arial"/>
                <w:bCs/>
                <w:sz w:val="18"/>
                <w:szCs w:val="18"/>
              </w:rPr>
            </w:pPr>
            <w:r w:rsidRPr="00B47695">
              <w:rPr>
                <w:rFonts w:asciiTheme="minorHAnsi" w:hAnsiTheme="minorHAnsi" w:cs="Arial"/>
                <w:bCs/>
                <w:sz w:val="18"/>
                <w:szCs w:val="18"/>
              </w:rPr>
              <w:t>34,023</w:t>
            </w:r>
          </w:p>
        </w:tc>
        <w:tc>
          <w:tcPr>
            <w:tcW w:w="872" w:type="dxa"/>
            <w:shd w:val="clear" w:color="auto" w:fill="auto"/>
            <w:noWrap/>
            <w:tcMar>
              <w:top w:w="43" w:type="dxa"/>
              <w:bottom w:w="43" w:type="dxa"/>
            </w:tcMar>
            <w:vAlign w:val="center"/>
          </w:tcPr>
          <w:p w:rsidR="00B47695" w:rsidRPr="00B47695" w:rsidRDefault="00B47695" w:rsidP="00B47695">
            <w:pPr>
              <w:keepNext/>
              <w:keepLines/>
              <w:spacing w:before="20" w:after="20" w:line="240" w:lineRule="auto"/>
              <w:ind w:right="144"/>
              <w:jc w:val="right"/>
              <w:rPr>
                <w:rFonts w:asciiTheme="minorHAnsi" w:hAnsiTheme="minorHAnsi" w:cs="Arial"/>
                <w:bCs/>
                <w:sz w:val="18"/>
                <w:szCs w:val="18"/>
              </w:rPr>
            </w:pPr>
            <w:r w:rsidRPr="00B47695">
              <w:rPr>
                <w:rFonts w:asciiTheme="minorHAnsi" w:hAnsiTheme="minorHAnsi" w:cs="Arial"/>
                <w:bCs/>
                <w:sz w:val="18"/>
                <w:szCs w:val="18"/>
              </w:rPr>
              <w:t>1,055</w:t>
            </w:r>
          </w:p>
        </w:tc>
        <w:tc>
          <w:tcPr>
            <w:tcW w:w="953" w:type="dxa"/>
            <w:shd w:val="clear" w:color="auto" w:fill="auto"/>
            <w:noWrap/>
            <w:tcMar>
              <w:top w:w="43" w:type="dxa"/>
              <w:bottom w:w="43" w:type="dxa"/>
            </w:tcMar>
            <w:vAlign w:val="center"/>
          </w:tcPr>
          <w:p w:rsidR="00B47695" w:rsidRPr="00B47695" w:rsidRDefault="00B47695" w:rsidP="00B47695">
            <w:pPr>
              <w:keepNext/>
              <w:keepLines/>
              <w:spacing w:before="20" w:after="20" w:line="240" w:lineRule="auto"/>
              <w:ind w:right="144"/>
              <w:jc w:val="right"/>
              <w:rPr>
                <w:rFonts w:asciiTheme="minorHAnsi" w:hAnsiTheme="minorHAnsi" w:cs="Arial"/>
                <w:bCs/>
                <w:sz w:val="18"/>
                <w:szCs w:val="18"/>
              </w:rPr>
            </w:pPr>
            <w:r w:rsidRPr="00B47695">
              <w:rPr>
                <w:rFonts w:asciiTheme="minorHAnsi" w:hAnsiTheme="minorHAnsi" w:cs="Arial"/>
                <w:bCs/>
                <w:sz w:val="18"/>
                <w:szCs w:val="18"/>
              </w:rPr>
              <w:t>32,968</w:t>
            </w:r>
          </w:p>
        </w:tc>
        <w:tc>
          <w:tcPr>
            <w:tcW w:w="953" w:type="dxa"/>
            <w:shd w:val="clear" w:color="auto" w:fill="auto"/>
            <w:noWrap/>
            <w:tcMar>
              <w:top w:w="43" w:type="dxa"/>
              <w:bottom w:w="43" w:type="dxa"/>
            </w:tcMar>
            <w:vAlign w:val="center"/>
          </w:tcPr>
          <w:p w:rsidR="00B47695" w:rsidRPr="00B47695" w:rsidRDefault="00B47695" w:rsidP="00B47695">
            <w:pPr>
              <w:keepNext/>
              <w:keepLines/>
              <w:spacing w:before="20" w:after="20" w:line="240" w:lineRule="auto"/>
              <w:ind w:right="144"/>
              <w:jc w:val="right"/>
              <w:rPr>
                <w:rFonts w:asciiTheme="minorHAnsi" w:hAnsiTheme="minorHAnsi" w:cs="Arial"/>
                <w:bCs/>
                <w:sz w:val="18"/>
                <w:szCs w:val="18"/>
              </w:rPr>
            </w:pPr>
            <w:r w:rsidRPr="00B47695">
              <w:rPr>
                <w:rFonts w:asciiTheme="minorHAnsi" w:hAnsiTheme="minorHAnsi" w:cs="Arial"/>
                <w:bCs/>
                <w:sz w:val="18"/>
                <w:szCs w:val="18"/>
              </w:rPr>
              <w:t>36,220</w:t>
            </w:r>
          </w:p>
        </w:tc>
        <w:tc>
          <w:tcPr>
            <w:tcW w:w="953" w:type="dxa"/>
            <w:shd w:val="clear" w:color="auto" w:fill="auto"/>
            <w:noWrap/>
            <w:tcMar>
              <w:top w:w="43" w:type="dxa"/>
              <w:bottom w:w="43" w:type="dxa"/>
            </w:tcMar>
            <w:vAlign w:val="center"/>
          </w:tcPr>
          <w:p w:rsidR="00B47695" w:rsidRPr="00B47695" w:rsidRDefault="00B47695" w:rsidP="00B47695">
            <w:pPr>
              <w:keepNext/>
              <w:keepLines/>
              <w:spacing w:before="20" w:after="20" w:line="240" w:lineRule="auto"/>
              <w:ind w:right="144"/>
              <w:jc w:val="right"/>
              <w:rPr>
                <w:rFonts w:asciiTheme="minorHAnsi" w:hAnsiTheme="minorHAnsi" w:cs="Arial"/>
                <w:bCs/>
                <w:sz w:val="18"/>
                <w:szCs w:val="18"/>
              </w:rPr>
            </w:pPr>
            <w:r w:rsidRPr="00B47695">
              <w:rPr>
                <w:rFonts w:asciiTheme="minorHAnsi" w:hAnsiTheme="minorHAnsi" w:cs="Arial"/>
                <w:bCs/>
                <w:sz w:val="18"/>
                <w:szCs w:val="18"/>
              </w:rPr>
              <w:t>4,662</w:t>
            </w:r>
          </w:p>
        </w:tc>
        <w:tc>
          <w:tcPr>
            <w:tcW w:w="929" w:type="dxa"/>
            <w:shd w:val="clear" w:color="auto" w:fill="auto"/>
            <w:noWrap/>
            <w:tcMar>
              <w:top w:w="43" w:type="dxa"/>
              <w:bottom w:w="43" w:type="dxa"/>
            </w:tcMar>
            <w:vAlign w:val="center"/>
          </w:tcPr>
          <w:p w:rsidR="00B47695" w:rsidRPr="00B47695" w:rsidRDefault="00B47695" w:rsidP="00B47695">
            <w:pPr>
              <w:keepNext/>
              <w:keepLines/>
              <w:spacing w:before="20" w:after="20" w:line="240" w:lineRule="auto"/>
              <w:ind w:right="144"/>
              <w:jc w:val="right"/>
              <w:rPr>
                <w:rFonts w:asciiTheme="minorHAnsi" w:hAnsiTheme="minorHAnsi" w:cs="Arial"/>
                <w:bCs/>
                <w:sz w:val="18"/>
                <w:szCs w:val="18"/>
              </w:rPr>
            </w:pPr>
            <w:r w:rsidRPr="00B47695">
              <w:rPr>
                <w:rFonts w:asciiTheme="minorHAnsi" w:hAnsiTheme="minorHAnsi" w:cs="Arial"/>
                <w:bCs/>
                <w:sz w:val="18"/>
                <w:szCs w:val="18"/>
              </w:rPr>
              <w:t>1,830</w:t>
            </w:r>
          </w:p>
        </w:tc>
      </w:tr>
      <w:tr w:rsidR="00B47695" w:rsidRPr="00B47695" w:rsidTr="00A42B16">
        <w:trPr>
          <w:cantSplit/>
          <w:trHeight w:val="244"/>
          <w:jc w:val="center"/>
        </w:trPr>
        <w:tc>
          <w:tcPr>
            <w:tcW w:w="1258" w:type="dxa"/>
            <w:shd w:val="clear" w:color="auto" w:fill="CCEAF9" w:themeFill="accent1" w:themeFillTint="33"/>
            <w:noWrap/>
            <w:tcMar>
              <w:top w:w="43" w:type="dxa"/>
              <w:bottom w:w="43" w:type="dxa"/>
            </w:tcMar>
            <w:vAlign w:val="center"/>
          </w:tcPr>
          <w:p w:rsidR="00B47695" w:rsidRPr="00B47695" w:rsidRDefault="00B47695" w:rsidP="00B47695">
            <w:pPr>
              <w:keepNext/>
              <w:keepLines/>
              <w:spacing w:before="20" w:after="20" w:line="240" w:lineRule="auto"/>
              <w:rPr>
                <w:rFonts w:asciiTheme="minorHAnsi" w:hAnsiTheme="minorHAnsi" w:cs="Arial"/>
                <w:b/>
                <w:bCs/>
                <w:sz w:val="18"/>
                <w:szCs w:val="18"/>
              </w:rPr>
            </w:pPr>
            <w:r w:rsidRPr="00B47695">
              <w:rPr>
                <w:rFonts w:asciiTheme="minorHAnsi" w:hAnsiTheme="minorHAnsi" w:cs="Arial"/>
                <w:b/>
                <w:bCs/>
                <w:sz w:val="18"/>
                <w:szCs w:val="18"/>
              </w:rPr>
              <w:t>2017/2018</w:t>
            </w:r>
          </w:p>
        </w:tc>
        <w:tc>
          <w:tcPr>
            <w:tcW w:w="944" w:type="dxa"/>
            <w:shd w:val="clear" w:color="auto" w:fill="CCEAF9" w:themeFill="accent1" w:themeFillTint="33"/>
            <w:noWrap/>
            <w:tcMar>
              <w:top w:w="58" w:type="dxa"/>
              <w:bottom w:w="58" w:type="dxa"/>
            </w:tcMar>
            <w:vAlign w:val="center"/>
          </w:tcPr>
          <w:p w:rsidR="00B47695" w:rsidRPr="00B47695" w:rsidRDefault="00B47695" w:rsidP="00B47695">
            <w:pPr>
              <w:keepNext/>
              <w:keepLines/>
              <w:spacing w:before="20" w:after="20" w:line="240" w:lineRule="auto"/>
              <w:ind w:right="144"/>
              <w:jc w:val="right"/>
              <w:rPr>
                <w:rFonts w:asciiTheme="minorHAnsi" w:hAnsiTheme="minorHAnsi" w:cs="Arial"/>
                <w:bCs/>
                <w:sz w:val="18"/>
                <w:szCs w:val="18"/>
              </w:rPr>
            </w:pPr>
            <w:r w:rsidRPr="00B47695">
              <w:rPr>
                <w:rFonts w:asciiTheme="minorHAnsi" w:hAnsiTheme="minorHAnsi" w:cs="Arial"/>
                <w:bCs/>
                <w:sz w:val="18"/>
                <w:szCs w:val="18"/>
              </w:rPr>
              <w:t>34,923</w:t>
            </w:r>
          </w:p>
        </w:tc>
        <w:tc>
          <w:tcPr>
            <w:tcW w:w="872" w:type="dxa"/>
            <w:shd w:val="clear" w:color="auto" w:fill="CCEAF9" w:themeFill="accent1" w:themeFillTint="33"/>
            <w:noWrap/>
            <w:tcMar>
              <w:top w:w="43" w:type="dxa"/>
              <w:bottom w:w="43" w:type="dxa"/>
            </w:tcMar>
            <w:vAlign w:val="center"/>
          </w:tcPr>
          <w:p w:rsidR="00B47695" w:rsidRPr="00B47695" w:rsidRDefault="00B47695" w:rsidP="00B47695">
            <w:pPr>
              <w:keepNext/>
              <w:keepLines/>
              <w:spacing w:before="20" w:after="20" w:line="240" w:lineRule="auto"/>
              <w:ind w:right="144"/>
              <w:jc w:val="right"/>
              <w:rPr>
                <w:rFonts w:asciiTheme="minorHAnsi" w:hAnsiTheme="minorHAnsi" w:cs="Arial"/>
                <w:bCs/>
                <w:sz w:val="18"/>
                <w:szCs w:val="18"/>
              </w:rPr>
            </w:pPr>
            <w:r w:rsidRPr="00B47695">
              <w:rPr>
                <w:rFonts w:asciiTheme="minorHAnsi" w:hAnsiTheme="minorHAnsi" w:cs="Arial"/>
                <w:bCs/>
                <w:sz w:val="18"/>
                <w:szCs w:val="18"/>
              </w:rPr>
              <w:t>1,068</w:t>
            </w:r>
          </w:p>
        </w:tc>
        <w:tc>
          <w:tcPr>
            <w:tcW w:w="953" w:type="dxa"/>
            <w:shd w:val="clear" w:color="auto" w:fill="CCEAF9" w:themeFill="accent1" w:themeFillTint="33"/>
            <w:noWrap/>
            <w:tcMar>
              <w:top w:w="43" w:type="dxa"/>
              <w:bottom w:w="43" w:type="dxa"/>
            </w:tcMar>
            <w:vAlign w:val="center"/>
          </w:tcPr>
          <w:p w:rsidR="00B47695" w:rsidRPr="00B47695" w:rsidRDefault="00B47695" w:rsidP="00B47695">
            <w:pPr>
              <w:keepNext/>
              <w:keepLines/>
              <w:spacing w:before="20" w:after="20" w:line="240" w:lineRule="auto"/>
              <w:ind w:right="144"/>
              <w:jc w:val="right"/>
              <w:rPr>
                <w:rFonts w:asciiTheme="minorHAnsi" w:hAnsiTheme="minorHAnsi" w:cs="Arial"/>
                <w:bCs/>
                <w:sz w:val="18"/>
                <w:szCs w:val="18"/>
              </w:rPr>
            </w:pPr>
            <w:r w:rsidRPr="00B47695">
              <w:rPr>
                <w:rFonts w:asciiTheme="minorHAnsi" w:hAnsiTheme="minorHAnsi" w:cs="Arial"/>
                <w:bCs/>
                <w:sz w:val="18"/>
                <w:szCs w:val="18"/>
              </w:rPr>
              <w:t>33,855</w:t>
            </w:r>
          </w:p>
        </w:tc>
        <w:tc>
          <w:tcPr>
            <w:tcW w:w="953" w:type="dxa"/>
            <w:shd w:val="clear" w:color="auto" w:fill="CCEAF9" w:themeFill="accent1" w:themeFillTint="33"/>
            <w:noWrap/>
            <w:tcMar>
              <w:top w:w="43" w:type="dxa"/>
              <w:bottom w:w="43" w:type="dxa"/>
            </w:tcMar>
            <w:vAlign w:val="center"/>
          </w:tcPr>
          <w:p w:rsidR="00B47695" w:rsidRPr="00B47695" w:rsidRDefault="00B47695" w:rsidP="00B47695">
            <w:pPr>
              <w:keepNext/>
              <w:keepLines/>
              <w:spacing w:before="20" w:after="20" w:line="240" w:lineRule="auto"/>
              <w:ind w:right="144"/>
              <w:jc w:val="right"/>
              <w:rPr>
                <w:rFonts w:asciiTheme="minorHAnsi" w:hAnsiTheme="minorHAnsi" w:cs="Arial"/>
                <w:bCs/>
                <w:sz w:val="18"/>
                <w:szCs w:val="18"/>
              </w:rPr>
            </w:pPr>
            <w:r w:rsidRPr="00B47695">
              <w:rPr>
                <w:rFonts w:asciiTheme="minorHAnsi" w:hAnsiTheme="minorHAnsi" w:cs="Arial"/>
                <w:bCs/>
                <w:sz w:val="18"/>
                <w:szCs w:val="18"/>
              </w:rPr>
              <w:t xml:space="preserve">33,702 </w:t>
            </w:r>
          </w:p>
        </w:tc>
        <w:tc>
          <w:tcPr>
            <w:tcW w:w="953" w:type="dxa"/>
            <w:shd w:val="clear" w:color="auto" w:fill="CCEAF9" w:themeFill="accent1" w:themeFillTint="33"/>
            <w:noWrap/>
            <w:tcMar>
              <w:top w:w="43" w:type="dxa"/>
              <w:bottom w:w="43" w:type="dxa"/>
            </w:tcMar>
            <w:vAlign w:val="center"/>
          </w:tcPr>
          <w:p w:rsidR="00B47695" w:rsidRPr="00B47695" w:rsidRDefault="00B47695" w:rsidP="00B47695">
            <w:pPr>
              <w:keepNext/>
              <w:keepLines/>
              <w:spacing w:before="20" w:after="20" w:line="240" w:lineRule="auto"/>
              <w:ind w:right="144"/>
              <w:jc w:val="right"/>
              <w:rPr>
                <w:rFonts w:asciiTheme="minorHAnsi" w:hAnsiTheme="minorHAnsi" w:cs="Arial"/>
                <w:bCs/>
                <w:sz w:val="18"/>
                <w:szCs w:val="18"/>
              </w:rPr>
            </w:pPr>
            <w:r w:rsidRPr="00B47695">
              <w:rPr>
                <w:rFonts w:asciiTheme="minorHAnsi" w:hAnsiTheme="minorHAnsi" w:cs="Arial"/>
                <w:bCs/>
                <w:sz w:val="18"/>
                <w:szCs w:val="18"/>
              </w:rPr>
              <w:t>3,330</w:t>
            </w:r>
          </w:p>
        </w:tc>
        <w:tc>
          <w:tcPr>
            <w:tcW w:w="929" w:type="dxa"/>
            <w:shd w:val="clear" w:color="auto" w:fill="CCEAF9" w:themeFill="accent1" w:themeFillTint="33"/>
            <w:noWrap/>
            <w:tcMar>
              <w:top w:w="43" w:type="dxa"/>
              <w:bottom w:w="43" w:type="dxa"/>
            </w:tcMar>
            <w:vAlign w:val="center"/>
          </w:tcPr>
          <w:p w:rsidR="00B47695" w:rsidRPr="00B47695" w:rsidRDefault="00B47695" w:rsidP="00B47695">
            <w:pPr>
              <w:keepNext/>
              <w:keepLines/>
              <w:spacing w:before="20" w:after="20" w:line="240" w:lineRule="auto"/>
              <w:ind w:right="144"/>
              <w:jc w:val="right"/>
              <w:rPr>
                <w:rFonts w:asciiTheme="minorHAnsi" w:hAnsiTheme="minorHAnsi" w:cs="Arial"/>
                <w:bCs/>
                <w:sz w:val="18"/>
                <w:szCs w:val="18"/>
              </w:rPr>
            </w:pPr>
            <w:r w:rsidRPr="00B47695">
              <w:rPr>
                <w:rFonts w:asciiTheme="minorHAnsi" w:hAnsiTheme="minorHAnsi" w:cs="Arial"/>
                <w:bCs/>
                <w:sz w:val="18"/>
                <w:szCs w:val="18"/>
              </w:rPr>
              <w:t>1,237</w:t>
            </w:r>
          </w:p>
        </w:tc>
      </w:tr>
      <w:tr w:rsidR="00B47695" w:rsidRPr="00B47695" w:rsidTr="00B47695">
        <w:trPr>
          <w:cantSplit/>
          <w:trHeight w:val="306"/>
          <w:jc w:val="center"/>
        </w:trPr>
        <w:tc>
          <w:tcPr>
            <w:tcW w:w="1258" w:type="dxa"/>
            <w:shd w:val="clear" w:color="auto" w:fill="auto"/>
            <w:noWrap/>
            <w:tcMar>
              <w:top w:w="43" w:type="dxa"/>
              <w:bottom w:w="43" w:type="dxa"/>
            </w:tcMar>
            <w:vAlign w:val="center"/>
          </w:tcPr>
          <w:p w:rsidR="00B47695" w:rsidRPr="00B47695" w:rsidRDefault="00B47695" w:rsidP="00B47695">
            <w:pPr>
              <w:keepNext/>
              <w:keepLines/>
              <w:spacing w:before="20" w:after="20" w:line="240" w:lineRule="auto"/>
              <w:rPr>
                <w:rFonts w:asciiTheme="minorHAnsi" w:hAnsiTheme="minorHAnsi" w:cs="Arial"/>
                <w:b/>
                <w:bCs/>
                <w:sz w:val="18"/>
                <w:szCs w:val="18"/>
              </w:rPr>
            </w:pPr>
            <w:r w:rsidRPr="00B47695">
              <w:rPr>
                <w:rFonts w:asciiTheme="minorHAnsi" w:hAnsiTheme="minorHAnsi" w:cs="Arial"/>
                <w:b/>
                <w:bCs/>
                <w:sz w:val="18"/>
                <w:szCs w:val="18"/>
              </w:rPr>
              <w:t>2018/2019</w:t>
            </w:r>
          </w:p>
        </w:tc>
        <w:tc>
          <w:tcPr>
            <w:tcW w:w="944" w:type="dxa"/>
            <w:shd w:val="clear" w:color="auto" w:fill="auto"/>
            <w:noWrap/>
            <w:tcMar>
              <w:top w:w="58" w:type="dxa"/>
              <w:bottom w:w="58" w:type="dxa"/>
            </w:tcMar>
            <w:vAlign w:val="center"/>
          </w:tcPr>
          <w:p w:rsidR="00B47695" w:rsidRPr="00B47695" w:rsidRDefault="00B47695" w:rsidP="00B47695">
            <w:pPr>
              <w:keepNext/>
              <w:keepLines/>
              <w:spacing w:before="20" w:after="20" w:line="240" w:lineRule="auto"/>
              <w:ind w:right="144"/>
              <w:jc w:val="right"/>
              <w:rPr>
                <w:rFonts w:asciiTheme="minorHAnsi" w:hAnsiTheme="minorHAnsi" w:cs="Arial"/>
                <w:bCs/>
                <w:sz w:val="18"/>
                <w:szCs w:val="18"/>
              </w:rPr>
            </w:pPr>
            <w:r w:rsidRPr="00B47695">
              <w:rPr>
                <w:rFonts w:asciiTheme="minorHAnsi" w:hAnsiTheme="minorHAnsi" w:cs="Arial"/>
                <w:bCs/>
                <w:sz w:val="18"/>
                <w:szCs w:val="18"/>
              </w:rPr>
              <w:t>35,142</w:t>
            </w:r>
          </w:p>
        </w:tc>
        <w:tc>
          <w:tcPr>
            <w:tcW w:w="872" w:type="dxa"/>
            <w:shd w:val="clear" w:color="auto" w:fill="auto"/>
            <w:noWrap/>
            <w:tcMar>
              <w:top w:w="43" w:type="dxa"/>
              <w:bottom w:w="43" w:type="dxa"/>
            </w:tcMar>
            <w:vAlign w:val="center"/>
          </w:tcPr>
          <w:p w:rsidR="00B47695" w:rsidRPr="00B47695" w:rsidRDefault="00B47695" w:rsidP="00B47695">
            <w:pPr>
              <w:keepNext/>
              <w:keepLines/>
              <w:spacing w:before="20" w:after="20" w:line="240" w:lineRule="auto"/>
              <w:ind w:right="144"/>
              <w:jc w:val="right"/>
              <w:rPr>
                <w:rFonts w:asciiTheme="minorHAnsi" w:hAnsiTheme="minorHAnsi" w:cs="Arial"/>
                <w:bCs/>
                <w:sz w:val="18"/>
                <w:szCs w:val="18"/>
              </w:rPr>
            </w:pPr>
            <w:r w:rsidRPr="00B47695">
              <w:rPr>
                <w:rFonts w:asciiTheme="minorHAnsi" w:hAnsiTheme="minorHAnsi" w:cs="Arial"/>
                <w:bCs/>
                <w:sz w:val="18"/>
                <w:szCs w:val="18"/>
              </w:rPr>
              <w:t>953</w:t>
            </w:r>
          </w:p>
        </w:tc>
        <w:tc>
          <w:tcPr>
            <w:tcW w:w="953" w:type="dxa"/>
            <w:shd w:val="clear" w:color="auto" w:fill="auto"/>
            <w:noWrap/>
            <w:tcMar>
              <w:top w:w="43" w:type="dxa"/>
              <w:bottom w:w="43" w:type="dxa"/>
            </w:tcMar>
            <w:vAlign w:val="center"/>
          </w:tcPr>
          <w:p w:rsidR="00B47695" w:rsidRPr="00B47695" w:rsidRDefault="00B47695" w:rsidP="00B47695">
            <w:pPr>
              <w:keepNext/>
              <w:keepLines/>
              <w:spacing w:before="20" w:after="20" w:line="240" w:lineRule="auto"/>
              <w:ind w:right="144"/>
              <w:jc w:val="right"/>
              <w:rPr>
                <w:rFonts w:asciiTheme="minorHAnsi" w:hAnsiTheme="minorHAnsi" w:cs="Arial"/>
                <w:bCs/>
                <w:sz w:val="18"/>
                <w:szCs w:val="18"/>
              </w:rPr>
            </w:pPr>
            <w:r w:rsidRPr="00B47695">
              <w:rPr>
                <w:rFonts w:asciiTheme="minorHAnsi" w:hAnsiTheme="minorHAnsi" w:cs="Arial"/>
                <w:bCs/>
                <w:sz w:val="18"/>
                <w:szCs w:val="18"/>
              </w:rPr>
              <w:t>34,189</w:t>
            </w:r>
          </w:p>
        </w:tc>
        <w:tc>
          <w:tcPr>
            <w:tcW w:w="953" w:type="dxa"/>
            <w:shd w:val="clear" w:color="auto" w:fill="auto"/>
            <w:noWrap/>
            <w:tcMar>
              <w:top w:w="43" w:type="dxa"/>
              <w:bottom w:w="43" w:type="dxa"/>
            </w:tcMar>
            <w:vAlign w:val="center"/>
          </w:tcPr>
          <w:p w:rsidR="00B47695" w:rsidRPr="00B47695" w:rsidRDefault="00B47695" w:rsidP="00B47695">
            <w:pPr>
              <w:keepNext/>
              <w:keepLines/>
              <w:spacing w:before="20" w:after="20" w:line="240" w:lineRule="auto"/>
              <w:ind w:right="144"/>
              <w:jc w:val="right"/>
              <w:rPr>
                <w:rFonts w:asciiTheme="minorHAnsi" w:hAnsiTheme="minorHAnsi" w:cs="Arial"/>
                <w:bCs/>
                <w:sz w:val="18"/>
                <w:szCs w:val="18"/>
              </w:rPr>
            </w:pPr>
            <w:r w:rsidRPr="00B47695">
              <w:rPr>
                <w:rFonts w:asciiTheme="minorHAnsi" w:hAnsiTheme="minorHAnsi" w:cs="Arial"/>
                <w:bCs/>
                <w:sz w:val="18"/>
                <w:szCs w:val="18"/>
              </w:rPr>
              <w:t>34,695</w:t>
            </w:r>
          </w:p>
        </w:tc>
        <w:tc>
          <w:tcPr>
            <w:tcW w:w="953" w:type="dxa"/>
            <w:shd w:val="clear" w:color="auto" w:fill="auto"/>
            <w:noWrap/>
            <w:tcMar>
              <w:top w:w="43" w:type="dxa"/>
              <w:bottom w:w="43" w:type="dxa"/>
            </w:tcMar>
            <w:vAlign w:val="center"/>
          </w:tcPr>
          <w:p w:rsidR="00B47695" w:rsidRPr="00B47695" w:rsidRDefault="00B47695" w:rsidP="00B47695">
            <w:pPr>
              <w:keepNext/>
              <w:keepLines/>
              <w:spacing w:before="20" w:after="20" w:line="240" w:lineRule="auto"/>
              <w:ind w:right="144"/>
              <w:jc w:val="right"/>
              <w:rPr>
                <w:rFonts w:asciiTheme="minorHAnsi" w:hAnsiTheme="minorHAnsi" w:cs="Arial"/>
                <w:bCs/>
                <w:sz w:val="18"/>
                <w:szCs w:val="18"/>
              </w:rPr>
            </w:pPr>
            <w:r w:rsidRPr="00B47695">
              <w:rPr>
                <w:rFonts w:asciiTheme="minorHAnsi" w:hAnsiTheme="minorHAnsi" w:cs="Arial"/>
                <w:bCs/>
                <w:sz w:val="18"/>
                <w:szCs w:val="18"/>
              </w:rPr>
              <w:t>1,287</w:t>
            </w:r>
          </w:p>
        </w:tc>
        <w:tc>
          <w:tcPr>
            <w:tcW w:w="929" w:type="dxa"/>
            <w:shd w:val="clear" w:color="auto" w:fill="auto"/>
            <w:noWrap/>
            <w:tcMar>
              <w:top w:w="43" w:type="dxa"/>
              <w:bottom w:w="43" w:type="dxa"/>
            </w:tcMar>
            <w:vAlign w:val="center"/>
          </w:tcPr>
          <w:p w:rsidR="00B47695" w:rsidRPr="00B47695" w:rsidRDefault="00B47695" w:rsidP="00B47695">
            <w:pPr>
              <w:keepNext/>
              <w:keepLines/>
              <w:spacing w:before="20" w:after="20" w:line="240" w:lineRule="auto"/>
              <w:ind w:right="144"/>
              <w:jc w:val="right"/>
              <w:rPr>
                <w:rFonts w:asciiTheme="minorHAnsi" w:hAnsiTheme="minorHAnsi" w:cs="Arial"/>
                <w:bCs/>
                <w:sz w:val="18"/>
                <w:szCs w:val="18"/>
              </w:rPr>
            </w:pPr>
            <w:r w:rsidRPr="00B47695">
              <w:rPr>
                <w:rFonts w:asciiTheme="minorHAnsi" w:hAnsiTheme="minorHAnsi" w:cs="Arial"/>
                <w:bCs/>
                <w:sz w:val="18"/>
                <w:szCs w:val="18"/>
              </w:rPr>
              <w:t>1,449</w:t>
            </w:r>
          </w:p>
        </w:tc>
      </w:tr>
      <w:tr w:rsidR="00B47695" w:rsidRPr="00B47695" w:rsidTr="00A42B16">
        <w:trPr>
          <w:cantSplit/>
          <w:trHeight w:val="306"/>
          <w:jc w:val="center"/>
        </w:trPr>
        <w:tc>
          <w:tcPr>
            <w:tcW w:w="1258" w:type="dxa"/>
            <w:shd w:val="clear" w:color="auto" w:fill="CCEAF9" w:themeFill="accent1" w:themeFillTint="33"/>
            <w:noWrap/>
            <w:tcMar>
              <w:top w:w="43" w:type="dxa"/>
              <w:bottom w:w="43" w:type="dxa"/>
            </w:tcMar>
            <w:vAlign w:val="center"/>
          </w:tcPr>
          <w:p w:rsidR="00B47695" w:rsidRPr="00B47695" w:rsidRDefault="00B47695" w:rsidP="00B47695">
            <w:pPr>
              <w:keepNext/>
              <w:keepLines/>
              <w:spacing w:before="20" w:after="20" w:line="240" w:lineRule="auto"/>
              <w:rPr>
                <w:rFonts w:asciiTheme="minorHAnsi" w:hAnsiTheme="minorHAnsi" w:cs="Arial"/>
                <w:b/>
                <w:bCs/>
                <w:sz w:val="18"/>
                <w:szCs w:val="18"/>
              </w:rPr>
            </w:pPr>
            <w:r w:rsidRPr="00B47695">
              <w:rPr>
                <w:rFonts w:asciiTheme="minorHAnsi" w:hAnsiTheme="minorHAnsi" w:cs="Arial"/>
                <w:b/>
                <w:bCs/>
                <w:sz w:val="18"/>
                <w:szCs w:val="18"/>
              </w:rPr>
              <w:t>2019/2020</w:t>
            </w:r>
          </w:p>
        </w:tc>
        <w:tc>
          <w:tcPr>
            <w:tcW w:w="944" w:type="dxa"/>
            <w:shd w:val="clear" w:color="auto" w:fill="CCEAF9" w:themeFill="accent1" w:themeFillTint="33"/>
            <w:noWrap/>
            <w:tcMar>
              <w:top w:w="58" w:type="dxa"/>
              <w:bottom w:w="58" w:type="dxa"/>
            </w:tcMar>
            <w:vAlign w:val="center"/>
          </w:tcPr>
          <w:p w:rsidR="00B47695" w:rsidRPr="00B47695" w:rsidRDefault="00B47695" w:rsidP="00B47695">
            <w:pPr>
              <w:keepNext/>
              <w:keepLines/>
              <w:spacing w:before="20" w:after="20" w:line="240" w:lineRule="auto"/>
              <w:ind w:right="144"/>
              <w:jc w:val="right"/>
              <w:rPr>
                <w:rFonts w:asciiTheme="minorHAnsi" w:hAnsiTheme="minorHAnsi" w:cs="Arial"/>
                <w:bCs/>
                <w:sz w:val="18"/>
                <w:szCs w:val="18"/>
              </w:rPr>
            </w:pPr>
            <w:r w:rsidRPr="00B47695">
              <w:rPr>
                <w:rFonts w:asciiTheme="minorHAnsi" w:hAnsiTheme="minorHAnsi" w:cs="Arial"/>
                <w:bCs/>
                <w:sz w:val="18"/>
                <w:szCs w:val="18"/>
              </w:rPr>
              <w:t>35,126</w:t>
            </w:r>
          </w:p>
        </w:tc>
        <w:tc>
          <w:tcPr>
            <w:tcW w:w="872" w:type="dxa"/>
            <w:shd w:val="clear" w:color="auto" w:fill="CCEAF9" w:themeFill="accent1" w:themeFillTint="33"/>
            <w:noWrap/>
            <w:tcMar>
              <w:top w:w="43" w:type="dxa"/>
              <w:bottom w:w="43" w:type="dxa"/>
            </w:tcMar>
            <w:vAlign w:val="center"/>
          </w:tcPr>
          <w:p w:rsidR="00B47695" w:rsidRPr="00B47695" w:rsidRDefault="00B47695" w:rsidP="00B47695">
            <w:pPr>
              <w:keepNext/>
              <w:keepLines/>
              <w:spacing w:before="20" w:after="20" w:line="240" w:lineRule="auto"/>
              <w:ind w:right="144"/>
              <w:jc w:val="right"/>
              <w:rPr>
                <w:rFonts w:asciiTheme="minorHAnsi" w:hAnsiTheme="minorHAnsi" w:cs="Arial"/>
                <w:bCs/>
                <w:sz w:val="18"/>
                <w:szCs w:val="18"/>
              </w:rPr>
            </w:pPr>
            <w:r w:rsidRPr="00B47695">
              <w:rPr>
                <w:rFonts w:asciiTheme="minorHAnsi" w:hAnsiTheme="minorHAnsi" w:cs="Arial"/>
                <w:bCs/>
                <w:sz w:val="18"/>
                <w:szCs w:val="18"/>
              </w:rPr>
              <w:t>975</w:t>
            </w:r>
          </w:p>
        </w:tc>
        <w:tc>
          <w:tcPr>
            <w:tcW w:w="953" w:type="dxa"/>
            <w:shd w:val="clear" w:color="auto" w:fill="CCEAF9" w:themeFill="accent1" w:themeFillTint="33"/>
            <w:noWrap/>
            <w:tcMar>
              <w:top w:w="43" w:type="dxa"/>
              <w:bottom w:w="43" w:type="dxa"/>
            </w:tcMar>
            <w:vAlign w:val="center"/>
          </w:tcPr>
          <w:p w:rsidR="00B47695" w:rsidRPr="00B47695" w:rsidRDefault="00B47695" w:rsidP="00B47695">
            <w:pPr>
              <w:keepNext/>
              <w:keepLines/>
              <w:spacing w:before="20" w:after="20" w:line="240" w:lineRule="auto"/>
              <w:ind w:right="144"/>
              <w:jc w:val="right"/>
              <w:rPr>
                <w:rFonts w:asciiTheme="minorHAnsi" w:hAnsiTheme="minorHAnsi" w:cs="Arial"/>
                <w:bCs/>
                <w:sz w:val="18"/>
                <w:szCs w:val="18"/>
              </w:rPr>
            </w:pPr>
            <w:r w:rsidRPr="00B47695">
              <w:rPr>
                <w:rFonts w:asciiTheme="minorHAnsi" w:hAnsiTheme="minorHAnsi" w:cs="Arial"/>
                <w:bCs/>
                <w:sz w:val="18"/>
                <w:szCs w:val="18"/>
              </w:rPr>
              <w:t>34,151</w:t>
            </w:r>
          </w:p>
        </w:tc>
        <w:tc>
          <w:tcPr>
            <w:tcW w:w="953" w:type="dxa"/>
            <w:shd w:val="clear" w:color="auto" w:fill="CCEAF9" w:themeFill="accent1" w:themeFillTint="33"/>
            <w:noWrap/>
            <w:tcMar>
              <w:top w:w="43" w:type="dxa"/>
              <w:bottom w:w="43" w:type="dxa"/>
            </w:tcMar>
            <w:vAlign w:val="center"/>
          </w:tcPr>
          <w:p w:rsidR="00B47695" w:rsidRPr="00B47695" w:rsidRDefault="00B47695" w:rsidP="00B47695">
            <w:pPr>
              <w:keepNext/>
              <w:keepLines/>
              <w:spacing w:before="20" w:after="20" w:line="240" w:lineRule="auto"/>
              <w:ind w:right="144"/>
              <w:jc w:val="right"/>
              <w:rPr>
                <w:rFonts w:asciiTheme="minorHAnsi" w:hAnsiTheme="minorHAnsi" w:cs="Arial"/>
                <w:bCs/>
                <w:sz w:val="18"/>
                <w:szCs w:val="18"/>
              </w:rPr>
            </w:pPr>
            <w:r w:rsidRPr="00B47695">
              <w:rPr>
                <w:rFonts w:asciiTheme="minorHAnsi" w:hAnsiTheme="minorHAnsi" w:cs="Arial"/>
                <w:bCs/>
                <w:sz w:val="18"/>
                <w:szCs w:val="18"/>
              </w:rPr>
              <w:t>35,567</w:t>
            </w:r>
          </w:p>
        </w:tc>
        <w:tc>
          <w:tcPr>
            <w:tcW w:w="953" w:type="dxa"/>
            <w:shd w:val="clear" w:color="auto" w:fill="CCEAF9" w:themeFill="accent1" w:themeFillTint="33"/>
            <w:noWrap/>
            <w:tcMar>
              <w:top w:w="43" w:type="dxa"/>
              <w:bottom w:w="43" w:type="dxa"/>
            </w:tcMar>
            <w:vAlign w:val="center"/>
          </w:tcPr>
          <w:p w:rsidR="00B47695" w:rsidRPr="00B47695" w:rsidRDefault="00B47695" w:rsidP="00B47695">
            <w:pPr>
              <w:keepNext/>
              <w:keepLines/>
              <w:spacing w:before="20" w:after="20" w:line="240" w:lineRule="auto"/>
              <w:ind w:right="144"/>
              <w:jc w:val="right"/>
              <w:rPr>
                <w:rFonts w:asciiTheme="minorHAnsi" w:hAnsiTheme="minorHAnsi" w:cs="Arial"/>
                <w:bCs/>
                <w:sz w:val="18"/>
                <w:szCs w:val="18"/>
              </w:rPr>
            </w:pPr>
            <w:r w:rsidRPr="00B47695">
              <w:rPr>
                <w:rFonts w:asciiTheme="minorHAnsi" w:hAnsiTheme="minorHAnsi" w:cs="Arial"/>
                <w:bCs/>
                <w:sz w:val="18"/>
                <w:szCs w:val="18"/>
              </w:rPr>
              <w:t>1,586</w:t>
            </w:r>
          </w:p>
        </w:tc>
        <w:tc>
          <w:tcPr>
            <w:tcW w:w="929" w:type="dxa"/>
            <w:shd w:val="clear" w:color="auto" w:fill="CCEAF9" w:themeFill="accent1" w:themeFillTint="33"/>
            <w:noWrap/>
            <w:tcMar>
              <w:top w:w="43" w:type="dxa"/>
              <w:bottom w:w="43" w:type="dxa"/>
            </w:tcMar>
            <w:vAlign w:val="center"/>
          </w:tcPr>
          <w:p w:rsidR="00B47695" w:rsidRPr="00B47695" w:rsidRDefault="00B47695" w:rsidP="00B47695">
            <w:pPr>
              <w:keepNext/>
              <w:keepLines/>
              <w:spacing w:before="20" w:after="20" w:line="240" w:lineRule="auto"/>
              <w:ind w:right="144"/>
              <w:jc w:val="right"/>
              <w:rPr>
                <w:rFonts w:asciiTheme="minorHAnsi" w:hAnsiTheme="minorHAnsi" w:cs="Arial"/>
                <w:bCs/>
                <w:sz w:val="18"/>
                <w:szCs w:val="18"/>
              </w:rPr>
            </w:pPr>
            <w:r w:rsidRPr="00B47695">
              <w:rPr>
                <w:rFonts w:asciiTheme="minorHAnsi" w:hAnsiTheme="minorHAnsi" w:cs="Arial"/>
                <w:bCs/>
                <w:sz w:val="18"/>
                <w:szCs w:val="18"/>
              </w:rPr>
              <w:t>1,450</w:t>
            </w:r>
          </w:p>
        </w:tc>
      </w:tr>
      <w:tr w:rsidR="00B47695" w:rsidRPr="00B47695" w:rsidTr="00B47695">
        <w:trPr>
          <w:cantSplit/>
          <w:trHeight w:val="306"/>
          <w:jc w:val="center"/>
        </w:trPr>
        <w:tc>
          <w:tcPr>
            <w:tcW w:w="1258" w:type="dxa"/>
            <w:shd w:val="clear" w:color="auto" w:fill="auto"/>
            <w:noWrap/>
            <w:tcMar>
              <w:top w:w="43" w:type="dxa"/>
              <w:bottom w:w="43" w:type="dxa"/>
            </w:tcMar>
            <w:vAlign w:val="center"/>
          </w:tcPr>
          <w:p w:rsidR="00B47695" w:rsidRPr="00B47695" w:rsidRDefault="00B47695" w:rsidP="00B47695">
            <w:pPr>
              <w:keepNext/>
              <w:keepLines/>
              <w:spacing w:before="20" w:after="20" w:line="240" w:lineRule="auto"/>
              <w:rPr>
                <w:rFonts w:asciiTheme="minorHAnsi" w:hAnsiTheme="minorHAnsi" w:cs="Arial"/>
                <w:b/>
                <w:bCs/>
                <w:sz w:val="18"/>
                <w:szCs w:val="18"/>
              </w:rPr>
            </w:pPr>
            <w:r w:rsidRPr="00B47695">
              <w:rPr>
                <w:rFonts w:asciiTheme="minorHAnsi" w:hAnsiTheme="minorHAnsi" w:cs="Arial"/>
                <w:b/>
                <w:bCs/>
                <w:sz w:val="18"/>
                <w:szCs w:val="18"/>
              </w:rPr>
              <w:t>2020/2021</w:t>
            </w:r>
          </w:p>
        </w:tc>
        <w:tc>
          <w:tcPr>
            <w:tcW w:w="944" w:type="dxa"/>
            <w:shd w:val="clear" w:color="auto" w:fill="auto"/>
            <w:noWrap/>
            <w:tcMar>
              <w:top w:w="58" w:type="dxa"/>
              <w:bottom w:w="58" w:type="dxa"/>
            </w:tcMar>
            <w:vAlign w:val="center"/>
          </w:tcPr>
          <w:p w:rsidR="00B47695" w:rsidRPr="00B47695" w:rsidRDefault="00B47695" w:rsidP="00B47695">
            <w:pPr>
              <w:keepNext/>
              <w:keepLines/>
              <w:spacing w:before="20" w:after="20" w:line="240" w:lineRule="auto"/>
              <w:ind w:right="144"/>
              <w:jc w:val="right"/>
              <w:rPr>
                <w:rFonts w:asciiTheme="minorHAnsi" w:hAnsiTheme="minorHAnsi" w:cs="Arial"/>
                <w:bCs/>
                <w:sz w:val="18"/>
                <w:szCs w:val="18"/>
              </w:rPr>
            </w:pPr>
            <w:r w:rsidRPr="00B47695">
              <w:rPr>
                <w:rFonts w:asciiTheme="minorHAnsi" w:hAnsiTheme="minorHAnsi" w:cs="Arial"/>
                <w:bCs/>
                <w:sz w:val="18"/>
                <w:szCs w:val="18"/>
              </w:rPr>
              <w:t>35,034</w:t>
            </w:r>
          </w:p>
        </w:tc>
        <w:tc>
          <w:tcPr>
            <w:tcW w:w="872" w:type="dxa"/>
            <w:shd w:val="clear" w:color="auto" w:fill="auto"/>
            <w:noWrap/>
            <w:tcMar>
              <w:top w:w="43" w:type="dxa"/>
              <w:bottom w:w="43" w:type="dxa"/>
            </w:tcMar>
            <w:vAlign w:val="center"/>
          </w:tcPr>
          <w:p w:rsidR="00B47695" w:rsidRPr="00B47695" w:rsidRDefault="00B47695" w:rsidP="00B47695">
            <w:pPr>
              <w:keepNext/>
              <w:keepLines/>
              <w:spacing w:before="20" w:after="20" w:line="240" w:lineRule="auto"/>
              <w:ind w:right="144"/>
              <w:jc w:val="right"/>
              <w:rPr>
                <w:rFonts w:asciiTheme="minorHAnsi" w:hAnsiTheme="minorHAnsi" w:cs="Arial"/>
                <w:bCs/>
                <w:sz w:val="18"/>
                <w:szCs w:val="18"/>
              </w:rPr>
            </w:pPr>
            <w:r w:rsidRPr="00B47695">
              <w:rPr>
                <w:rFonts w:asciiTheme="minorHAnsi" w:hAnsiTheme="minorHAnsi" w:cs="Arial"/>
                <w:bCs/>
                <w:sz w:val="18"/>
                <w:szCs w:val="18"/>
              </w:rPr>
              <w:t>959</w:t>
            </w:r>
          </w:p>
        </w:tc>
        <w:tc>
          <w:tcPr>
            <w:tcW w:w="953" w:type="dxa"/>
            <w:shd w:val="clear" w:color="auto" w:fill="auto"/>
            <w:noWrap/>
            <w:tcMar>
              <w:top w:w="43" w:type="dxa"/>
              <w:bottom w:w="43" w:type="dxa"/>
            </w:tcMar>
            <w:vAlign w:val="center"/>
          </w:tcPr>
          <w:p w:rsidR="00B47695" w:rsidRPr="00B47695" w:rsidRDefault="00B47695" w:rsidP="00B47695">
            <w:pPr>
              <w:keepNext/>
              <w:keepLines/>
              <w:spacing w:before="20" w:after="20" w:line="240" w:lineRule="auto"/>
              <w:ind w:right="144"/>
              <w:jc w:val="right"/>
              <w:rPr>
                <w:rFonts w:asciiTheme="minorHAnsi" w:hAnsiTheme="minorHAnsi" w:cs="Arial"/>
                <w:b/>
                <w:bCs/>
                <w:sz w:val="18"/>
                <w:szCs w:val="18"/>
              </w:rPr>
            </w:pPr>
            <w:r w:rsidRPr="00B47695">
              <w:rPr>
                <w:rFonts w:asciiTheme="minorHAnsi" w:hAnsiTheme="minorHAnsi" w:cs="Arial"/>
                <w:bCs/>
                <w:sz w:val="18"/>
                <w:szCs w:val="18"/>
              </w:rPr>
              <w:t>34,075</w:t>
            </w:r>
          </w:p>
        </w:tc>
        <w:tc>
          <w:tcPr>
            <w:tcW w:w="953" w:type="dxa"/>
            <w:shd w:val="clear" w:color="auto" w:fill="auto"/>
            <w:noWrap/>
            <w:tcMar>
              <w:top w:w="43" w:type="dxa"/>
              <w:bottom w:w="43" w:type="dxa"/>
            </w:tcMar>
            <w:vAlign w:val="center"/>
          </w:tcPr>
          <w:p w:rsidR="00B47695" w:rsidRPr="00B47695" w:rsidRDefault="00B47695" w:rsidP="00B47695">
            <w:pPr>
              <w:keepNext/>
              <w:keepLines/>
              <w:spacing w:before="20" w:after="20" w:line="240" w:lineRule="auto"/>
              <w:ind w:right="144"/>
              <w:jc w:val="right"/>
              <w:rPr>
                <w:rFonts w:asciiTheme="minorHAnsi" w:hAnsiTheme="minorHAnsi" w:cs="Arial"/>
                <w:bCs/>
                <w:sz w:val="18"/>
                <w:szCs w:val="18"/>
              </w:rPr>
            </w:pPr>
            <w:r w:rsidRPr="00B47695">
              <w:rPr>
                <w:rFonts w:asciiTheme="minorHAnsi" w:hAnsiTheme="minorHAnsi" w:cs="Arial"/>
                <w:bCs/>
                <w:sz w:val="18"/>
                <w:szCs w:val="18"/>
              </w:rPr>
              <w:t>35,835</w:t>
            </w:r>
          </w:p>
        </w:tc>
        <w:tc>
          <w:tcPr>
            <w:tcW w:w="953" w:type="dxa"/>
            <w:shd w:val="clear" w:color="auto" w:fill="auto"/>
            <w:noWrap/>
            <w:tcMar>
              <w:top w:w="43" w:type="dxa"/>
              <w:bottom w:w="43" w:type="dxa"/>
            </w:tcMar>
            <w:vAlign w:val="center"/>
          </w:tcPr>
          <w:p w:rsidR="00B47695" w:rsidRPr="00B47695" w:rsidRDefault="00B47695" w:rsidP="00B47695">
            <w:pPr>
              <w:keepNext/>
              <w:keepLines/>
              <w:spacing w:before="20" w:after="20" w:line="240" w:lineRule="auto"/>
              <w:ind w:right="144"/>
              <w:jc w:val="right"/>
              <w:rPr>
                <w:rFonts w:asciiTheme="minorHAnsi" w:hAnsiTheme="minorHAnsi" w:cs="Arial"/>
                <w:bCs/>
                <w:sz w:val="18"/>
                <w:szCs w:val="18"/>
              </w:rPr>
            </w:pPr>
            <w:r w:rsidRPr="00B47695">
              <w:rPr>
                <w:rFonts w:asciiTheme="minorHAnsi" w:hAnsiTheme="minorHAnsi" w:cs="Arial"/>
                <w:bCs/>
                <w:sz w:val="18"/>
                <w:szCs w:val="18"/>
              </w:rPr>
              <w:t>1,550</w:t>
            </w:r>
          </w:p>
        </w:tc>
        <w:tc>
          <w:tcPr>
            <w:tcW w:w="929" w:type="dxa"/>
            <w:shd w:val="clear" w:color="auto" w:fill="auto"/>
            <w:noWrap/>
            <w:tcMar>
              <w:top w:w="43" w:type="dxa"/>
              <w:bottom w:w="43" w:type="dxa"/>
            </w:tcMar>
            <w:vAlign w:val="center"/>
          </w:tcPr>
          <w:p w:rsidR="00B47695" w:rsidRPr="00B47695" w:rsidRDefault="00B47695" w:rsidP="00B47695">
            <w:pPr>
              <w:keepNext/>
              <w:keepLines/>
              <w:spacing w:before="20" w:after="20" w:line="240" w:lineRule="auto"/>
              <w:ind w:right="144"/>
              <w:jc w:val="right"/>
              <w:rPr>
                <w:rFonts w:asciiTheme="minorHAnsi" w:hAnsiTheme="minorHAnsi" w:cs="Arial"/>
                <w:bCs/>
                <w:sz w:val="18"/>
                <w:szCs w:val="18"/>
              </w:rPr>
            </w:pPr>
            <w:r w:rsidRPr="00B47695">
              <w:rPr>
                <w:rFonts w:asciiTheme="minorHAnsi" w:hAnsiTheme="minorHAnsi" w:cs="Arial"/>
                <w:bCs/>
                <w:sz w:val="18"/>
                <w:szCs w:val="18"/>
              </w:rPr>
              <w:t>1,235</w:t>
            </w:r>
          </w:p>
        </w:tc>
      </w:tr>
    </w:tbl>
    <w:p w:rsidR="00B47695" w:rsidRPr="00B47695" w:rsidRDefault="00B47695" w:rsidP="00B01489">
      <w:pPr>
        <w:keepNext/>
        <w:keepLines/>
        <w:numPr>
          <w:ilvl w:val="1"/>
          <w:numId w:val="34"/>
        </w:numPr>
        <w:tabs>
          <w:tab w:val="left" w:pos="90"/>
        </w:tabs>
        <w:spacing w:before="120" w:after="80" w:line="240" w:lineRule="auto"/>
        <w:ind w:left="1350" w:right="1080" w:hanging="270"/>
        <w:rPr>
          <w:rFonts w:asciiTheme="minorHAnsi" w:hAnsiTheme="minorHAnsi" w:cs="Arial"/>
          <w:bCs/>
          <w:color w:val="000000"/>
          <w:sz w:val="16"/>
          <w:szCs w:val="16"/>
        </w:rPr>
      </w:pPr>
      <w:r w:rsidRPr="00B47695">
        <w:rPr>
          <w:rFonts w:asciiTheme="minorHAnsi" w:hAnsiTheme="minorHAnsi" w:cs="Arial"/>
          <w:sz w:val="16"/>
          <w:szCs w:val="16"/>
        </w:rPr>
        <w:t xml:space="preserve">Information regarding the results of annual reconfiguration auctions is available </w:t>
      </w:r>
      <w:r w:rsidRPr="00B47695">
        <w:rPr>
          <w:rFonts w:asciiTheme="minorHAnsi" w:hAnsiTheme="minorHAnsi" w:cs="Arial"/>
          <w:color w:val="000000"/>
          <w:sz w:val="16"/>
          <w:szCs w:val="16"/>
        </w:rPr>
        <w:t>at</w:t>
      </w:r>
      <w:r w:rsidRPr="00B47695">
        <w:rPr>
          <w:rFonts w:asciiTheme="minorHAnsi" w:hAnsiTheme="minorHAnsi" w:cs="Arial"/>
          <w:sz w:val="16"/>
          <w:szCs w:val="16"/>
        </w:rPr>
        <w:t xml:space="preserve"> </w:t>
      </w:r>
      <w:hyperlink r:id="rId41" w:history="1">
        <w:r w:rsidRPr="00B47695">
          <w:rPr>
            <w:rFonts w:asciiTheme="minorHAnsi" w:hAnsiTheme="minorHAnsi" w:cs="Arial"/>
            <w:sz w:val="16"/>
            <w:szCs w:val="16"/>
          </w:rPr>
          <w:t>http://www.iso-ne.com/markets/othrmkts_data/fcm/cal_results/index.html</w:t>
        </w:r>
      </w:hyperlink>
      <w:r w:rsidRPr="00B47695">
        <w:rPr>
          <w:rFonts w:asciiTheme="minorHAnsi" w:hAnsiTheme="minorHAnsi" w:cs="Arial"/>
          <w:sz w:val="16"/>
          <w:szCs w:val="16"/>
        </w:rPr>
        <w:t xml:space="preserve">. </w:t>
      </w:r>
    </w:p>
    <w:p w:rsidR="00B47695" w:rsidRPr="00B47695" w:rsidRDefault="00B47695" w:rsidP="00B01489">
      <w:pPr>
        <w:numPr>
          <w:ilvl w:val="1"/>
          <w:numId w:val="34"/>
        </w:numPr>
        <w:tabs>
          <w:tab w:val="left" w:pos="90"/>
        </w:tabs>
        <w:spacing w:line="240" w:lineRule="auto"/>
        <w:ind w:left="1350" w:right="1080" w:hanging="270"/>
        <w:rPr>
          <w:rFonts w:asciiTheme="minorHAnsi" w:hAnsiTheme="minorHAnsi" w:cs="Arial"/>
          <w:bCs/>
          <w:sz w:val="16"/>
          <w:szCs w:val="16"/>
        </w:rPr>
      </w:pPr>
      <w:r w:rsidRPr="00B47695">
        <w:rPr>
          <w:rFonts w:asciiTheme="minorHAnsi" w:hAnsiTheme="minorHAnsi" w:cs="Arial"/>
          <w:bCs/>
          <w:sz w:val="16"/>
          <w:szCs w:val="16"/>
        </w:rPr>
        <w:t>The net ICR equals the ICR minus the Hydro-Québec Interconnection Capability Credits</w:t>
      </w:r>
      <w:bookmarkStart w:id="333" w:name="_Ref200276509"/>
      <w:r w:rsidRPr="00B47695">
        <w:rPr>
          <w:rFonts w:asciiTheme="minorHAnsi" w:hAnsiTheme="minorHAnsi" w:cs="Arial"/>
          <w:bCs/>
          <w:sz w:val="16"/>
          <w:szCs w:val="16"/>
        </w:rPr>
        <w:t>. The ICR applies to the FCA, not the reconfiguration auction.</w:t>
      </w:r>
    </w:p>
    <w:bookmarkEnd w:id="333"/>
    <w:p w:rsidR="00B47695" w:rsidRPr="00B47695" w:rsidRDefault="00B47695" w:rsidP="00B47695">
      <w:pPr>
        <w:autoSpaceDE w:val="0"/>
        <w:autoSpaceDN w:val="0"/>
        <w:adjustRightInd w:val="0"/>
      </w:pPr>
      <w:r w:rsidRPr="00B47695">
        <w:rPr>
          <w:rFonts w:ascii="Calibri" w:hAnsi="Calibri"/>
          <w:b/>
          <w:bCs/>
          <w:szCs w:val="18"/>
        </w:rPr>
        <w:fldChar w:fldCharType="begin"/>
      </w:r>
      <w:r w:rsidRPr="00B47695">
        <w:instrText xml:space="preserve"> REF _Ref417471654 \h </w:instrText>
      </w:r>
      <w:r w:rsidRPr="00B47695">
        <w:rPr>
          <w:rFonts w:ascii="Calibri" w:hAnsi="Calibri"/>
          <w:b/>
          <w:bCs/>
          <w:szCs w:val="18"/>
        </w:rPr>
        <w:instrText xml:space="preserve"> \* MERGEFORMAT </w:instrText>
      </w:r>
      <w:r w:rsidRPr="00B47695">
        <w:rPr>
          <w:rFonts w:ascii="Calibri" w:hAnsi="Calibri"/>
          <w:b/>
          <w:bCs/>
          <w:szCs w:val="18"/>
        </w:rPr>
      </w:r>
      <w:r w:rsidRPr="00B47695">
        <w:rPr>
          <w:rFonts w:ascii="Calibri" w:hAnsi="Calibri"/>
          <w:b/>
          <w:bCs/>
          <w:szCs w:val="18"/>
        </w:rPr>
        <w:fldChar w:fldCharType="separate"/>
      </w:r>
      <w:r w:rsidR="00314781" w:rsidRPr="008531AA">
        <w:rPr>
          <w:bCs/>
          <w:szCs w:val="18"/>
        </w:rPr>
        <w:t>Table 4</w:t>
      </w:r>
      <w:r w:rsidR="00314781" w:rsidRPr="008531AA">
        <w:rPr>
          <w:bCs/>
          <w:szCs w:val="18"/>
        </w:rPr>
        <w:noBreakHyphen/>
        <w:t>4</w:t>
      </w:r>
      <w:r w:rsidRPr="00B47695">
        <w:rPr>
          <w:rFonts w:ascii="Calibri" w:hAnsi="Calibri"/>
          <w:b/>
          <w:bCs/>
          <w:szCs w:val="18"/>
        </w:rPr>
        <w:fldChar w:fldCharType="end"/>
      </w:r>
      <w:r w:rsidRPr="00B47695">
        <w:rPr>
          <w:rFonts w:ascii="Calibri" w:hAnsi="Calibri"/>
          <w:b/>
          <w:bCs/>
          <w:szCs w:val="18"/>
        </w:rPr>
        <w:t xml:space="preserve"> </w:t>
      </w:r>
      <w:r w:rsidRPr="00B47695">
        <w:t>illustrates, by resource type, the amounts of new capacity procured during all the FCAs conducted to date</w:t>
      </w:r>
      <w:r w:rsidR="005B146A">
        <w:t xml:space="preserve">. </w:t>
      </w:r>
      <w:r w:rsidRPr="00B47695">
        <w:t xml:space="preserve">Since RSP15, two FCM auctions were conducted, FCA #10 for capacity commitment period 2019/2020, and FCA #11 for CCP 2020/2021. </w:t>
      </w:r>
    </w:p>
    <w:p w:rsidR="00B47695" w:rsidRPr="00B47695" w:rsidRDefault="00B47695" w:rsidP="00B47695">
      <w:pPr>
        <w:autoSpaceDE w:val="0"/>
        <w:autoSpaceDN w:val="0"/>
        <w:adjustRightInd w:val="0"/>
      </w:pPr>
      <w:r w:rsidRPr="00B47695">
        <w:t xml:space="preserve">FCA #10 attracted significant competition among resources to provide reliability services in New England, with sufficient resources to meet demand in 2019/2020, at a lower price, and with more than 1,400 megawatts (MW) of new generating capacity. This new capacity will help replace the 1,525 MW of recently retired coal and oil units and the pending retirement of </w:t>
      </w:r>
      <w:r w:rsidRPr="008B7C6A">
        <w:t>the 6</w:t>
      </w:r>
      <w:r w:rsidR="00EE4205" w:rsidRPr="008B7C6A">
        <w:t>7</w:t>
      </w:r>
      <w:r w:rsidR="00B30D2D" w:rsidRPr="00DE7F07">
        <w:t>7</w:t>
      </w:r>
      <w:r w:rsidRPr="008B7C6A">
        <w:t xml:space="preserve"> MW</w:t>
      </w:r>
      <w:r w:rsidRPr="00B47695">
        <w:t xml:space="preserve"> Pilgrim Nuclear Power Station that submitted a retirement request in FCA #10. To meet expected load, three large, new, dual-fuel power plants totaling 1,302 MW cleared the auction as well as offshore wind (27 MW) and solar </w:t>
      </w:r>
      <w:r w:rsidRPr="00B47695">
        <w:lastRenderedPageBreak/>
        <w:t>projects (44 MW).</w:t>
      </w:r>
      <w:r w:rsidRPr="00B47695">
        <w:rPr>
          <w:vertAlign w:val="superscript"/>
        </w:rPr>
        <w:footnoteReference w:id="94"/>
      </w:r>
      <w:r w:rsidRPr="00B47695">
        <w:rPr>
          <w:vertAlign w:val="superscript"/>
        </w:rPr>
        <w:t xml:space="preserve"> </w:t>
      </w:r>
      <w:r w:rsidRPr="00B47695">
        <w:t xml:space="preserve">In addition, 371 MW of demand-side resources, primarily state sponsored energy efficiency (330 MW), cleared in FCA #10. </w:t>
      </w:r>
    </w:p>
    <w:p w:rsidR="00B47695" w:rsidRPr="00B47695" w:rsidRDefault="00B47695" w:rsidP="00B47695">
      <w:pPr>
        <w:autoSpaceDE w:val="0"/>
        <w:autoSpaceDN w:val="0"/>
        <w:adjustRightInd w:val="0"/>
      </w:pPr>
      <w:r w:rsidRPr="00B47695">
        <w:t>Unlike FCA #10, few new resources cleared in FCA #11, but existing resources were still sufficient to meet expected demand for 2020/2021. Specifically, no major generators retired and no new large generators cleared the auction. Approximately 264 MW of new generating capacity, including 137 MW of wind and 66 MW of solar, and 640 MW of demand-side resources, including 515 MW of energy efficiency, cleared in FCA #11.</w:t>
      </w:r>
      <w:bookmarkStart w:id="334" w:name="_Ref297975965"/>
      <w:bookmarkStart w:id="335" w:name="_Toc303086936"/>
      <w:bookmarkStart w:id="336" w:name="_Toc330401258"/>
      <w:bookmarkStart w:id="337" w:name="_Toc334541931"/>
      <w:bookmarkStart w:id="338" w:name="_Toc334541968"/>
      <w:bookmarkStart w:id="339" w:name="_Toc365440707"/>
      <w:bookmarkStart w:id="340" w:name="_Toc391985607"/>
      <w:r w:rsidRPr="00B47695">
        <w:rPr>
          <w:vertAlign w:val="superscript"/>
        </w:rPr>
        <w:footnoteReference w:id="95"/>
      </w:r>
    </w:p>
    <w:p w:rsidR="00B47695" w:rsidRPr="00B47695" w:rsidRDefault="00B47695" w:rsidP="00B47695">
      <w:pPr>
        <w:keepNext/>
        <w:keepLines/>
        <w:spacing w:after="120" w:line="240" w:lineRule="auto"/>
        <w:ind w:left="547" w:right="547"/>
        <w:jc w:val="center"/>
        <w:rPr>
          <w:rFonts w:ascii="Calibri" w:hAnsi="Calibri"/>
          <w:b/>
          <w:bCs/>
          <w:szCs w:val="18"/>
        </w:rPr>
      </w:pPr>
      <w:bookmarkStart w:id="341" w:name="_Ref417471654"/>
      <w:bookmarkStart w:id="342" w:name="_Toc481053563"/>
      <w:bookmarkStart w:id="343" w:name="_Toc491244008"/>
      <w:r w:rsidRPr="00B47695">
        <w:rPr>
          <w:rFonts w:ascii="Calibri" w:hAnsi="Calibri"/>
          <w:b/>
          <w:bCs/>
          <w:szCs w:val="18"/>
        </w:rPr>
        <w:t>Table </w:t>
      </w:r>
      <w:r w:rsidR="00D95957">
        <w:rPr>
          <w:rFonts w:ascii="Calibri" w:hAnsi="Calibri"/>
          <w:b/>
          <w:bCs/>
          <w:szCs w:val="18"/>
        </w:rPr>
        <w:fldChar w:fldCharType="begin"/>
      </w:r>
      <w:r w:rsidR="00D95957">
        <w:rPr>
          <w:rFonts w:ascii="Calibri" w:hAnsi="Calibri"/>
          <w:b/>
          <w:bCs/>
          <w:szCs w:val="18"/>
        </w:rPr>
        <w:instrText xml:space="preserve"> STYLEREF 1 \s </w:instrText>
      </w:r>
      <w:r w:rsidR="00D95957">
        <w:rPr>
          <w:rFonts w:ascii="Calibri" w:hAnsi="Calibri"/>
          <w:b/>
          <w:bCs/>
          <w:szCs w:val="18"/>
        </w:rPr>
        <w:fldChar w:fldCharType="separate"/>
      </w:r>
      <w:r w:rsidR="00D95957">
        <w:rPr>
          <w:rFonts w:ascii="Calibri" w:hAnsi="Calibri"/>
          <w:b/>
          <w:bCs/>
          <w:noProof/>
          <w:szCs w:val="18"/>
        </w:rPr>
        <w:t>4</w:t>
      </w:r>
      <w:r w:rsidR="00D95957">
        <w:rPr>
          <w:rFonts w:ascii="Calibri" w:hAnsi="Calibri"/>
          <w:b/>
          <w:bCs/>
          <w:szCs w:val="18"/>
        </w:rPr>
        <w:fldChar w:fldCharType="end"/>
      </w:r>
      <w:r w:rsidR="00D95957">
        <w:rPr>
          <w:rFonts w:ascii="Calibri" w:hAnsi="Calibri"/>
          <w:b/>
          <w:bCs/>
          <w:szCs w:val="18"/>
        </w:rPr>
        <w:noBreakHyphen/>
      </w:r>
      <w:r w:rsidR="00D95957">
        <w:rPr>
          <w:rFonts w:ascii="Calibri" w:hAnsi="Calibri"/>
          <w:b/>
          <w:bCs/>
          <w:szCs w:val="18"/>
        </w:rPr>
        <w:fldChar w:fldCharType="begin"/>
      </w:r>
      <w:r w:rsidR="00D95957">
        <w:rPr>
          <w:rFonts w:ascii="Calibri" w:hAnsi="Calibri"/>
          <w:b/>
          <w:bCs/>
          <w:szCs w:val="18"/>
        </w:rPr>
        <w:instrText xml:space="preserve"> SEQ Table \* ARABIC \s 1 </w:instrText>
      </w:r>
      <w:r w:rsidR="00D95957">
        <w:rPr>
          <w:rFonts w:ascii="Calibri" w:hAnsi="Calibri"/>
          <w:b/>
          <w:bCs/>
          <w:szCs w:val="18"/>
        </w:rPr>
        <w:fldChar w:fldCharType="separate"/>
      </w:r>
      <w:r w:rsidR="00D95957">
        <w:rPr>
          <w:rFonts w:ascii="Calibri" w:hAnsi="Calibri"/>
          <w:b/>
          <w:bCs/>
          <w:noProof/>
          <w:szCs w:val="18"/>
        </w:rPr>
        <w:t>4</w:t>
      </w:r>
      <w:r w:rsidR="00D95957">
        <w:rPr>
          <w:rFonts w:ascii="Calibri" w:hAnsi="Calibri"/>
          <w:b/>
          <w:bCs/>
          <w:szCs w:val="18"/>
        </w:rPr>
        <w:fldChar w:fldCharType="end"/>
      </w:r>
      <w:bookmarkEnd w:id="334"/>
      <w:bookmarkEnd w:id="341"/>
      <w:r w:rsidRPr="00B47695">
        <w:rPr>
          <w:rFonts w:ascii="Calibri" w:hAnsi="Calibri"/>
          <w:szCs w:val="18"/>
        </w:rPr>
        <w:br/>
      </w:r>
      <w:r w:rsidRPr="00B47695">
        <w:rPr>
          <w:rFonts w:ascii="Calibri" w:hAnsi="Calibri" w:cs="Arial"/>
          <w:b/>
          <w:bCs/>
          <w:szCs w:val="18"/>
        </w:rPr>
        <w:t>Capacity Supply Obligation for New Capacity</w:t>
      </w:r>
      <w:r w:rsidRPr="00B47695">
        <w:rPr>
          <w:rFonts w:ascii="Calibri" w:hAnsi="Calibri" w:cs="Arial"/>
          <w:b/>
          <w:bCs/>
          <w:szCs w:val="18"/>
        </w:rPr>
        <w:br/>
        <w:t>Procured during the Forward Capacity Auctions (MW)</w:t>
      </w:r>
      <w:r w:rsidRPr="00B47695">
        <w:rPr>
          <w:rFonts w:ascii="Calibri" w:hAnsi="Calibri" w:cs="Arial"/>
          <w:b/>
          <w:bCs/>
          <w:szCs w:val="18"/>
          <w:vertAlign w:val="superscript"/>
        </w:rPr>
        <w:t>(a</w:t>
      </w:r>
      <w:r w:rsidR="009272ED">
        <w:rPr>
          <w:rFonts w:ascii="Calibri" w:hAnsi="Calibri" w:cs="Arial"/>
          <w:b/>
          <w:bCs/>
          <w:szCs w:val="18"/>
          <w:vertAlign w:val="superscript"/>
        </w:rPr>
        <w:t xml:space="preserve">, </w:t>
      </w:r>
      <w:bookmarkEnd w:id="335"/>
      <w:bookmarkEnd w:id="336"/>
      <w:bookmarkEnd w:id="337"/>
      <w:bookmarkEnd w:id="338"/>
      <w:bookmarkEnd w:id="339"/>
      <w:bookmarkEnd w:id="340"/>
      <w:r w:rsidRPr="00B47695">
        <w:rPr>
          <w:rFonts w:ascii="Calibri" w:hAnsi="Calibri" w:cs="Arial"/>
          <w:b/>
          <w:bCs/>
          <w:szCs w:val="18"/>
          <w:vertAlign w:val="superscript"/>
        </w:rPr>
        <w:t>b)</w:t>
      </w:r>
      <w:bookmarkEnd w:id="342"/>
      <w:bookmarkEnd w:id="343"/>
    </w:p>
    <w:tbl>
      <w:tblPr>
        <w:tblW w:w="1008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115" w:type="dxa"/>
          <w:right w:w="115" w:type="dxa"/>
        </w:tblCellMar>
        <w:tblLook w:val="04A0" w:firstRow="1" w:lastRow="0" w:firstColumn="1" w:lastColumn="0" w:noHBand="0" w:noVBand="1"/>
      </w:tblPr>
      <w:tblGrid>
        <w:gridCol w:w="2048"/>
        <w:gridCol w:w="731"/>
        <w:gridCol w:w="731"/>
        <w:gridCol w:w="730"/>
        <w:gridCol w:w="730"/>
        <w:gridCol w:w="730"/>
        <w:gridCol w:w="730"/>
        <w:gridCol w:w="730"/>
        <w:gridCol w:w="730"/>
        <w:gridCol w:w="730"/>
        <w:gridCol w:w="730"/>
        <w:gridCol w:w="730"/>
      </w:tblGrid>
      <w:tr w:rsidR="00B47695" w:rsidRPr="00B47695" w:rsidTr="00B01489">
        <w:trPr>
          <w:cantSplit/>
          <w:trHeight w:val="347"/>
          <w:jc w:val="center"/>
        </w:trPr>
        <w:tc>
          <w:tcPr>
            <w:tcW w:w="2018" w:type="dxa"/>
            <w:shd w:val="clear" w:color="auto" w:fill="1795D2" w:themeFill="accent1"/>
            <w:noWrap/>
            <w:vAlign w:val="center"/>
            <w:hideMark/>
          </w:tcPr>
          <w:p w:rsidR="00B47695" w:rsidRPr="00B47695" w:rsidRDefault="00B47695" w:rsidP="00AC4535">
            <w:pPr>
              <w:keepNext/>
              <w:keepLines/>
              <w:spacing w:before="40" w:after="40" w:line="240" w:lineRule="auto"/>
              <w:jc w:val="center"/>
              <w:rPr>
                <w:rFonts w:asciiTheme="minorHAnsi" w:hAnsiTheme="minorHAnsi" w:cs="Arial"/>
                <w:b/>
                <w:bCs/>
                <w:color w:val="FFFFFF" w:themeColor="background1"/>
                <w:sz w:val="18"/>
                <w:szCs w:val="18"/>
              </w:rPr>
            </w:pPr>
            <w:r w:rsidRPr="00B47695">
              <w:rPr>
                <w:rFonts w:asciiTheme="minorHAnsi" w:hAnsiTheme="minorHAnsi" w:cs="Arial"/>
                <w:b/>
                <w:bCs/>
                <w:color w:val="FFFFFF" w:themeColor="background1"/>
                <w:sz w:val="18"/>
                <w:szCs w:val="18"/>
              </w:rPr>
              <w:t>Capacity Resource</w:t>
            </w:r>
          </w:p>
        </w:tc>
        <w:tc>
          <w:tcPr>
            <w:tcW w:w="720" w:type="dxa"/>
            <w:shd w:val="clear" w:color="auto" w:fill="1795D2" w:themeFill="accent1"/>
            <w:noWrap/>
            <w:vAlign w:val="center"/>
            <w:hideMark/>
          </w:tcPr>
          <w:p w:rsidR="00B47695" w:rsidRPr="00B47695" w:rsidRDefault="00B47695" w:rsidP="00AC4535">
            <w:pPr>
              <w:keepNext/>
              <w:keepLines/>
              <w:spacing w:before="40" w:after="40" w:line="240" w:lineRule="auto"/>
              <w:jc w:val="center"/>
              <w:rPr>
                <w:rFonts w:asciiTheme="minorHAnsi" w:hAnsiTheme="minorHAnsi" w:cs="Arial"/>
                <w:b/>
                <w:bCs/>
                <w:color w:val="FFFFFF" w:themeColor="background1"/>
                <w:sz w:val="18"/>
                <w:szCs w:val="18"/>
              </w:rPr>
            </w:pPr>
            <w:r w:rsidRPr="00B47695">
              <w:rPr>
                <w:rFonts w:asciiTheme="minorHAnsi" w:hAnsiTheme="minorHAnsi" w:cs="Arial"/>
                <w:b/>
                <w:bCs/>
                <w:color w:val="FFFFFF" w:themeColor="background1"/>
                <w:sz w:val="18"/>
                <w:szCs w:val="18"/>
              </w:rPr>
              <w:t>FCA #1</w:t>
            </w:r>
          </w:p>
        </w:tc>
        <w:tc>
          <w:tcPr>
            <w:tcW w:w="720" w:type="dxa"/>
            <w:shd w:val="clear" w:color="auto" w:fill="1795D2" w:themeFill="accent1"/>
            <w:noWrap/>
            <w:vAlign w:val="center"/>
            <w:hideMark/>
          </w:tcPr>
          <w:p w:rsidR="00B47695" w:rsidRPr="00B47695" w:rsidRDefault="00B47695" w:rsidP="00AC4535">
            <w:pPr>
              <w:keepNext/>
              <w:keepLines/>
              <w:spacing w:before="40" w:after="40" w:line="240" w:lineRule="auto"/>
              <w:jc w:val="center"/>
              <w:rPr>
                <w:rFonts w:asciiTheme="minorHAnsi" w:hAnsiTheme="minorHAnsi" w:cs="Arial"/>
                <w:b/>
                <w:bCs/>
                <w:color w:val="FFFFFF" w:themeColor="background1"/>
                <w:sz w:val="18"/>
                <w:szCs w:val="18"/>
              </w:rPr>
            </w:pPr>
            <w:r w:rsidRPr="00B47695">
              <w:rPr>
                <w:rFonts w:asciiTheme="minorHAnsi" w:hAnsiTheme="minorHAnsi" w:cs="Arial"/>
                <w:b/>
                <w:bCs/>
                <w:color w:val="FFFFFF" w:themeColor="background1"/>
                <w:sz w:val="18"/>
                <w:szCs w:val="18"/>
              </w:rPr>
              <w:t>FCA #2</w:t>
            </w:r>
          </w:p>
        </w:tc>
        <w:tc>
          <w:tcPr>
            <w:tcW w:w="720" w:type="dxa"/>
            <w:shd w:val="clear" w:color="auto" w:fill="1795D2" w:themeFill="accent1"/>
            <w:noWrap/>
            <w:vAlign w:val="center"/>
            <w:hideMark/>
          </w:tcPr>
          <w:p w:rsidR="00B47695" w:rsidRPr="00B47695" w:rsidRDefault="00B47695" w:rsidP="00AC4535">
            <w:pPr>
              <w:keepNext/>
              <w:keepLines/>
              <w:spacing w:before="40" w:after="40" w:line="240" w:lineRule="auto"/>
              <w:jc w:val="center"/>
              <w:rPr>
                <w:rFonts w:asciiTheme="minorHAnsi" w:hAnsiTheme="minorHAnsi" w:cs="Arial"/>
                <w:b/>
                <w:bCs/>
                <w:color w:val="FFFFFF" w:themeColor="background1"/>
                <w:sz w:val="18"/>
                <w:szCs w:val="18"/>
              </w:rPr>
            </w:pPr>
            <w:r w:rsidRPr="00B47695">
              <w:rPr>
                <w:rFonts w:asciiTheme="minorHAnsi" w:hAnsiTheme="minorHAnsi" w:cs="Arial"/>
                <w:b/>
                <w:bCs/>
                <w:color w:val="FFFFFF" w:themeColor="background1"/>
                <w:sz w:val="18"/>
                <w:szCs w:val="18"/>
              </w:rPr>
              <w:t>FCA #3</w:t>
            </w:r>
          </w:p>
        </w:tc>
        <w:tc>
          <w:tcPr>
            <w:tcW w:w="720" w:type="dxa"/>
            <w:shd w:val="clear" w:color="auto" w:fill="1795D2" w:themeFill="accent1"/>
            <w:noWrap/>
            <w:vAlign w:val="center"/>
            <w:hideMark/>
          </w:tcPr>
          <w:p w:rsidR="00B47695" w:rsidRPr="00B47695" w:rsidRDefault="00B47695" w:rsidP="00AC4535">
            <w:pPr>
              <w:keepNext/>
              <w:keepLines/>
              <w:spacing w:before="40" w:after="40" w:line="240" w:lineRule="auto"/>
              <w:jc w:val="center"/>
              <w:rPr>
                <w:rFonts w:asciiTheme="minorHAnsi" w:hAnsiTheme="minorHAnsi" w:cs="Arial"/>
                <w:b/>
                <w:bCs/>
                <w:color w:val="FFFFFF" w:themeColor="background1"/>
                <w:sz w:val="18"/>
                <w:szCs w:val="18"/>
              </w:rPr>
            </w:pPr>
            <w:r w:rsidRPr="00B47695">
              <w:rPr>
                <w:rFonts w:asciiTheme="minorHAnsi" w:hAnsiTheme="minorHAnsi" w:cs="Arial"/>
                <w:b/>
                <w:bCs/>
                <w:color w:val="FFFFFF" w:themeColor="background1"/>
                <w:sz w:val="18"/>
                <w:szCs w:val="18"/>
              </w:rPr>
              <w:t>FCA #4</w:t>
            </w:r>
          </w:p>
        </w:tc>
        <w:tc>
          <w:tcPr>
            <w:tcW w:w="720" w:type="dxa"/>
            <w:shd w:val="clear" w:color="auto" w:fill="1795D2" w:themeFill="accent1"/>
            <w:vAlign w:val="center"/>
          </w:tcPr>
          <w:p w:rsidR="00B47695" w:rsidRPr="00B47695" w:rsidRDefault="00B47695" w:rsidP="00AC4535">
            <w:pPr>
              <w:keepNext/>
              <w:keepLines/>
              <w:spacing w:before="40" w:after="40" w:line="240" w:lineRule="auto"/>
              <w:jc w:val="center"/>
              <w:rPr>
                <w:rFonts w:asciiTheme="minorHAnsi" w:hAnsiTheme="minorHAnsi" w:cs="Arial"/>
                <w:b/>
                <w:bCs/>
                <w:color w:val="FFFFFF" w:themeColor="background1"/>
                <w:sz w:val="18"/>
                <w:szCs w:val="18"/>
              </w:rPr>
            </w:pPr>
            <w:r w:rsidRPr="00B47695">
              <w:rPr>
                <w:rFonts w:asciiTheme="minorHAnsi" w:hAnsiTheme="minorHAnsi" w:cs="Arial"/>
                <w:b/>
                <w:bCs/>
                <w:color w:val="FFFFFF" w:themeColor="background1"/>
                <w:sz w:val="18"/>
                <w:szCs w:val="18"/>
              </w:rPr>
              <w:t>FCA #5</w:t>
            </w:r>
          </w:p>
        </w:tc>
        <w:tc>
          <w:tcPr>
            <w:tcW w:w="720" w:type="dxa"/>
            <w:shd w:val="clear" w:color="auto" w:fill="1795D2" w:themeFill="accent1"/>
            <w:vAlign w:val="center"/>
          </w:tcPr>
          <w:p w:rsidR="00B47695" w:rsidRPr="00B47695" w:rsidRDefault="00B47695" w:rsidP="00AC4535">
            <w:pPr>
              <w:keepNext/>
              <w:keepLines/>
              <w:spacing w:before="40" w:after="40" w:line="240" w:lineRule="auto"/>
              <w:jc w:val="center"/>
              <w:rPr>
                <w:rFonts w:asciiTheme="minorHAnsi" w:hAnsiTheme="minorHAnsi" w:cs="Arial"/>
                <w:b/>
                <w:bCs/>
                <w:color w:val="FFFFFF" w:themeColor="background1"/>
                <w:sz w:val="18"/>
                <w:szCs w:val="18"/>
              </w:rPr>
            </w:pPr>
            <w:r w:rsidRPr="00B47695">
              <w:rPr>
                <w:rFonts w:asciiTheme="minorHAnsi" w:hAnsiTheme="minorHAnsi" w:cs="Arial"/>
                <w:b/>
                <w:bCs/>
                <w:color w:val="FFFFFF" w:themeColor="background1"/>
                <w:sz w:val="18"/>
                <w:szCs w:val="18"/>
              </w:rPr>
              <w:t>FCA #6</w:t>
            </w:r>
          </w:p>
        </w:tc>
        <w:tc>
          <w:tcPr>
            <w:tcW w:w="720" w:type="dxa"/>
            <w:shd w:val="clear" w:color="auto" w:fill="1795D2" w:themeFill="accent1"/>
            <w:vAlign w:val="center"/>
          </w:tcPr>
          <w:p w:rsidR="00B47695" w:rsidRPr="00B47695" w:rsidRDefault="00B47695" w:rsidP="00AC4535">
            <w:pPr>
              <w:keepNext/>
              <w:keepLines/>
              <w:spacing w:before="40" w:after="40" w:line="240" w:lineRule="auto"/>
              <w:jc w:val="center"/>
              <w:rPr>
                <w:rFonts w:asciiTheme="minorHAnsi" w:hAnsiTheme="minorHAnsi" w:cs="Arial"/>
                <w:b/>
                <w:bCs/>
                <w:color w:val="FFFFFF" w:themeColor="background1"/>
                <w:sz w:val="18"/>
                <w:szCs w:val="18"/>
              </w:rPr>
            </w:pPr>
            <w:r w:rsidRPr="00B47695">
              <w:rPr>
                <w:rFonts w:asciiTheme="minorHAnsi" w:hAnsiTheme="minorHAnsi" w:cs="Arial"/>
                <w:b/>
                <w:bCs/>
                <w:color w:val="FFFFFF" w:themeColor="background1"/>
                <w:sz w:val="18"/>
                <w:szCs w:val="18"/>
              </w:rPr>
              <w:t>FCA #7</w:t>
            </w:r>
          </w:p>
        </w:tc>
        <w:tc>
          <w:tcPr>
            <w:tcW w:w="720" w:type="dxa"/>
            <w:shd w:val="clear" w:color="auto" w:fill="1795D2" w:themeFill="accent1"/>
            <w:vAlign w:val="center"/>
          </w:tcPr>
          <w:p w:rsidR="00B47695" w:rsidRPr="00B47695" w:rsidRDefault="00B47695" w:rsidP="00AC4535">
            <w:pPr>
              <w:keepNext/>
              <w:keepLines/>
              <w:spacing w:before="40" w:after="40" w:line="240" w:lineRule="auto"/>
              <w:jc w:val="center"/>
              <w:rPr>
                <w:rFonts w:asciiTheme="minorHAnsi" w:hAnsiTheme="minorHAnsi" w:cs="Arial"/>
                <w:b/>
                <w:bCs/>
                <w:color w:val="FFFFFF" w:themeColor="background1"/>
                <w:sz w:val="18"/>
                <w:szCs w:val="18"/>
              </w:rPr>
            </w:pPr>
            <w:r w:rsidRPr="00B47695">
              <w:rPr>
                <w:rFonts w:asciiTheme="minorHAnsi" w:hAnsiTheme="minorHAnsi" w:cs="Arial"/>
                <w:b/>
                <w:bCs/>
                <w:color w:val="FFFFFF" w:themeColor="background1"/>
                <w:sz w:val="18"/>
                <w:szCs w:val="18"/>
              </w:rPr>
              <w:t>FCA #8</w:t>
            </w:r>
          </w:p>
        </w:tc>
        <w:tc>
          <w:tcPr>
            <w:tcW w:w="720" w:type="dxa"/>
            <w:shd w:val="clear" w:color="auto" w:fill="1795D2" w:themeFill="accent1"/>
            <w:vAlign w:val="center"/>
          </w:tcPr>
          <w:p w:rsidR="00B47695" w:rsidRPr="00B47695" w:rsidRDefault="00B47695" w:rsidP="00AC4535">
            <w:pPr>
              <w:keepNext/>
              <w:keepLines/>
              <w:spacing w:before="40" w:after="40" w:line="240" w:lineRule="auto"/>
              <w:jc w:val="center"/>
              <w:rPr>
                <w:rFonts w:asciiTheme="minorHAnsi" w:hAnsiTheme="minorHAnsi" w:cs="Arial"/>
                <w:b/>
                <w:bCs/>
                <w:color w:val="FFFFFF" w:themeColor="background1"/>
                <w:sz w:val="18"/>
                <w:szCs w:val="18"/>
              </w:rPr>
            </w:pPr>
            <w:r w:rsidRPr="00B47695">
              <w:rPr>
                <w:rFonts w:asciiTheme="minorHAnsi" w:hAnsiTheme="minorHAnsi" w:cs="Arial"/>
                <w:b/>
                <w:bCs/>
                <w:color w:val="FFFFFF" w:themeColor="background1"/>
                <w:sz w:val="18"/>
                <w:szCs w:val="18"/>
              </w:rPr>
              <w:t>FCA #9</w:t>
            </w:r>
          </w:p>
        </w:tc>
        <w:tc>
          <w:tcPr>
            <w:tcW w:w="720" w:type="dxa"/>
            <w:shd w:val="clear" w:color="auto" w:fill="1795D2" w:themeFill="accent1"/>
            <w:vAlign w:val="center"/>
          </w:tcPr>
          <w:p w:rsidR="00B47695" w:rsidRPr="00B47695" w:rsidRDefault="00B47695" w:rsidP="00AC4535">
            <w:pPr>
              <w:keepNext/>
              <w:keepLines/>
              <w:spacing w:before="40" w:after="40" w:line="240" w:lineRule="auto"/>
              <w:jc w:val="center"/>
              <w:rPr>
                <w:rFonts w:asciiTheme="minorHAnsi" w:hAnsiTheme="minorHAnsi" w:cs="Arial"/>
                <w:b/>
                <w:bCs/>
                <w:color w:val="FFFFFF" w:themeColor="background1"/>
                <w:sz w:val="18"/>
                <w:szCs w:val="18"/>
              </w:rPr>
            </w:pPr>
            <w:r w:rsidRPr="00B47695">
              <w:rPr>
                <w:rFonts w:asciiTheme="minorHAnsi" w:hAnsiTheme="minorHAnsi" w:cs="Arial"/>
                <w:b/>
                <w:bCs/>
                <w:color w:val="FFFFFF" w:themeColor="background1"/>
                <w:sz w:val="18"/>
                <w:szCs w:val="18"/>
              </w:rPr>
              <w:t>FCA #10</w:t>
            </w:r>
          </w:p>
        </w:tc>
        <w:tc>
          <w:tcPr>
            <w:tcW w:w="720" w:type="dxa"/>
            <w:shd w:val="clear" w:color="auto" w:fill="1795D2" w:themeFill="accent1"/>
            <w:vAlign w:val="center"/>
          </w:tcPr>
          <w:p w:rsidR="00B47695" w:rsidRPr="00B47695" w:rsidRDefault="00B47695" w:rsidP="00AC4535">
            <w:pPr>
              <w:keepNext/>
              <w:keepLines/>
              <w:spacing w:before="40" w:after="40" w:line="240" w:lineRule="auto"/>
              <w:jc w:val="center"/>
              <w:rPr>
                <w:rFonts w:asciiTheme="minorHAnsi" w:hAnsiTheme="minorHAnsi" w:cs="Arial"/>
                <w:b/>
                <w:bCs/>
                <w:color w:val="FFFFFF" w:themeColor="background1"/>
                <w:sz w:val="18"/>
                <w:szCs w:val="18"/>
              </w:rPr>
            </w:pPr>
            <w:r w:rsidRPr="00B47695">
              <w:rPr>
                <w:rFonts w:asciiTheme="minorHAnsi" w:hAnsiTheme="minorHAnsi" w:cs="Arial"/>
                <w:b/>
                <w:bCs/>
                <w:color w:val="FFFFFF" w:themeColor="background1"/>
                <w:sz w:val="18"/>
                <w:szCs w:val="18"/>
              </w:rPr>
              <w:t>FCA #11</w:t>
            </w:r>
          </w:p>
        </w:tc>
      </w:tr>
      <w:tr w:rsidR="00B47695" w:rsidRPr="00B47695" w:rsidTr="00B47695">
        <w:trPr>
          <w:cantSplit/>
          <w:trHeight w:val="347"/>
          <w:jc w:val="center"/>
        </w:trPr>
        <w:tc>
          <w:tcPr>
            <w:tcW w:w="2018" w:type="dxa"/>
            <w:shd w:val="clear" w:color="auto" w:fill="auto"/>
            <w:noWrap/>
            <w:vAlign w:val="center"/>
            <w:hideMark/>
          </w:tcPr>
          <w:p w:rsidR="00B47695" w:rsidRPr="00B47695" w:rsidRDefault="00B47695" w:rsidP="00AC4535">
            <w:pPr>
              <w:keepNext/>
              <w:keepLines/>
              <w:spacing w:before="40" w:after="40" w:line="240" w:lineRule="auto"/>
              <w:rPr>
                <w:rFonts w:asciiTheme="minorHAnsi" w:hAnsiTheme="minorHAnsi" w:cs="Arial"/>
                <w:b/>
                <w:bCs/>
                <w:color w:val="000000"/>
                <w:sz w:val="18"/>
                <w:szCs w:val="18"/>
              </w:rPr>
            </w:pPr>
            <w:r w:rsidRPr="00B47695">
              <w:rPr>
                <w:rFonts w:asciiTheme="minorHAnsi" w:hAnsiTheme="minorHAnsi" w:cs="Arial"/>
                <w:b/>
                <w:bCs/>
                <w:color w:val="000000"/>
                <w:sz w:val="18"/>
                <w:szCs w:val="18"/>
              </w:rPr>
              <w:t>Generation resources</w:t>
            </w:r>
          </w:p>
        </w:tc>
        <w:tc>
          <w:tcPr>
            <w:tcW w:w="720" w:type="dxa"/>
            <w:shd w:val="clear" w:color="auto" w:fill="auto"/>
            <w:noWrap/>
            <w:tcMar>
              <w:left w:w="0" w:type="dxa"/>
              <w:right w:w="115" w:type="dxa"/>
            </w:tcMar>
            <w:vAlign w:val="center"/>
            <w:hideMark/>
          </w:tcPr>
          <w:p w:rsidR="00B47695" w:rsidRPr="00B47695" w:rsidRDefault="00B47695" w:rsidP="00AC4535">
            <w:pPr>
              <w:keepNext/>
              <w:keepLines/>
              <w:spacing w:before="40" w:after="40" w:line="240" w:lineRule="auto"/>
              <w:jc w:val="right"/>
              <w:rPr>
                <w:rFonts w:asciiTheme="minorHAnsi" w:hAnsiTheme="minorHAnsi" w:cs="Arial"/>
                <w:bCs/>
                <w:color w:val="000000"/>
                <w:sz w:val="18"/>
                <w:szCs w:val="18"/>
              </w:rPr>
            </w:pPr>
            <w:r w:rsidRPr="00B47695">
              <w:rPr>
                <w:rFonts w:asciiTheme="minorHAnsi" w:hAnsiTheme="minorHAnsi" w:cs="Arial"/>
                <w:bCs/>
                <w:color w:val="000000"/>
                <w:sz w:val="18"/>
                <w:szCs w:val="18"/>
              </w:rPr>
              <w:t>40</w:t>
            </w:r>
          </w:p>
        </w:tc>
        <w:tc>
          <w:tcPr>
            <w:tcW w:w="720" w:type="dxa"/>
            <w:shd w:val="clear" w:color="auto" w:fill="auto"/>
            <w:noWrap/>
            <w:tcMar>
              <w:left w:w="0" w:type="dxa"/>
              <w:right w:w="115" w:type="dxa"/>
            </w:tcMar>
            <w:vAlign w:val="center"/>
            <w:hideMark/>
          </w:tcPr>
          <w:p w:rsidR="00B47695" w:rsidRPr="00B47695" w:rsidRDefault="00B47695" w:rsidP="00AC4535">
            <w:pPr>
              <w:keepNext/>
              <w:keepLines/>
              <w:spacing w:before="40" w:after="40" w:line="240" w:lineRule="auto"/>
              <w:jc w:val="right"/>
              <w:rPr>
                <w:rFonts w:asciiTheme="minorHAnsi" w:hAnsiTheme="minorHAnsi" w:cs="Arial"/>
                <w:bCs/>
                <w:color w:val="000000"/>
                <w:sz w:val="18"/>
                <w:szCs w:val="18"/>
              </w:rPr>
            </w:pPr>
            <w:r w:rsidRPr="00B47695">
              <w:rPr>
                <w:rFonts w:asciiTheme="minorHAnsi" w:hAnsiTheme="minorHAnsi" w:cs="Arial"/>
                <w:bCs/>
                <w:color w:val="000000"/>
                <w:sz w:val="18"/>
                <w:szCs w:val="18"/>
              </w:rPr>
              <w:t>1,157</w:t>
            </w:r>
          </w:p>
        </w:tc>
        <w:tc>
          <w:tcPr>
            <w:tcW w:w="720" w:type="dxa"/>
            <w:shd w:val="clear" w:color="auto" w:fill="auto"/>
            <w:noWrap/>
            <w:tcMar>
              <w:left w:w="0" w:type="dxa"/>
              <w:right w:w="115" w:type="dxa"/>
            </w:tcMar>
            <w:vAlign w:val="center"/>
            <w:hideMark/>
          </w:tcPr>
          <w:p w:rsidR="00B47695" w:rsidRPr="00B47695" w:rsidRDefault="00B47695" w:rsidP="00AC4535">
            <w:pPr>
              <w:keepNext/>
              <w:keepLines/>
              <w:spacing w:before="40" w:after="40" w:line="240" w:lineRule="auto"/>
              <w:jc w:val="right"/>
              <w:rPr>
                <w:rFonts w:asciiTheme="minorHAnsi" w:hAnsiTheme="minorHAnsi" w:cs="Arial"/>
                <w:bCs/>
                <w:color w:val="000000"/>
                <w:sz w:val="18"/>
                <w:szCs w:val="18"/>
              </w:rPr>
            </w:pPr>
            <w:r w:rsidRPr="00B47695">
              <w:rPr>
                <w:rFonts w:asciiTheme="minorHAnsi" w:hAnsiTheme="minorHAnsi" w:cs="Arial"/>
                <w:bCs/>
                <w:color w:val="000000"/>
                <w:sz w:val="18"/>
                <w:szCs w:val="18"/>
              </w:rPr>
              <w:t>199</w:t>
            </w:r>
          </w:p>
        </w:tc>
        <w:tc>
          <w:tcPr>
            <w:tcW w:w="720" w:type="dxa"/>
            <w:shd w:val="clear" w:color="auto" w:fill="auto"/>
            <w:noWrap/>
            <w:tcMar>
              <w:left w:w="0" w:type="dxa"/>
              <w:right w:w="115" w:type="dxa"/>
            </w:tcMar>
            <w:vAlign w:val="center"/>
            <w:hideMark/>
          </w:tcPr>
          <w:p w:rsidR="00B47695" w:rsidRPr="00B47695" w:rsidRDefault="00B47695" w:rsidP="00AC4535">
            <w:pPr>
              <w:keepNext/>
              <w:keepLines/>
              <w:spacing w:before="40" w:after="40" w:line="240" w:lineRule="auto"/>
              <w:jc w:val="right"/>
              <w:rPr>
                <w:rFonts w:asciiTheme="minorHAnsi" w:hAnsiTheme="minorHAnsi" w:cs="Arial"/>
                <w:bCs/>
                <w:color w:val="000000"/>
                <w:sz w:val="18"/>
                <w:szCs w:val="18"/>
              </w:rPr>
            </w:pPr>
            <w:r w:rsidRPr="00B47695">
              <w:rPr>
                <w:rFonts w:asciiTheme="minorHAnsi" w:hAnsiTheme="minorHAnsi" w:cs="Arial"/>
                <w:bCs/>
                <w:color w:val="000000"/>
                <w:sz w:val="18"/>
                <w:szCs w:val="18"/>
              </w:rPr>
              <w:t>114</w:t>
            </w:r>
          </w:p>
        </w:tc>
        <w:tc>
          <w:tcPr>
            <w:tcW w:w="720" w:type="dxa"/>
            <w:tcMar>
              <w:left w:w="0" w:type="dxa"/>
              <w:right w:w="115" w:type="dxa"/>
            </w:tcMar>
            <w:vAlign w:val="center"/>
          </w:tcPr>
          <w:p w:rsidR="00B47695" w:rsidRPr="00B47695" w:rsidRDefault="00B47695" w:rsidP="00AC4535">
            <w:pPr>
              <w:keepNext/>
              <w:keepLines/>
              <w:spacing w:before="40" w:after="40" w:line="240" w:lineRule="auto"/>
              <w:jc w:val="right"/>
              <w:rPr>
                <w:rFonts w:asciiTheme="minorHAnsi" w:eastAsia="Arial" w:hAnsiTheme="minorHAnsi" w:cs="Arial"/>
                <w:bCs/>
                <w:color w:val="000000"/>
                <w:sz w:val="18"/>
                <w:szCs w:val="18"/>
              </w:rPr>
            </w:pPr>
            <w:r w:rsidRPr="00B47695">
              <w:rPr>
                <w:rFonts w:asciiTheme="minorHAnsi" w:hAnsiTheme="minorHAnsi" w:cs="Arial"/>
                <w:bCs/>
                <w:color w:val="000000"/>
                <w:sz w:val="18"/>
                <w:szCs w:val="18"/>
              </w:rPr>
              <w:t>42</w:t>
            </w:r>
          </w:p>
        </w:tc>
        <w:tc>
          <w:tcPr>
            <w:tcW w:w="720" w:type="dxa"/>
            <w:tcMar>
              <w:right w:w="115" w:type="dxa"/>
            </w:tcMar>
            <w:vAlign w:val="center"/>
          </w:tcPr>
          <w:p w:rsidR="00B47695" w:rsidRPr="00B47695" w:rsidRDefault="00B47695" w:rsidP="00AC4535">
            <w:pPr>
              <w:keepNext/>
              <w:keepLines/>
              <w:spacing w:before="40" w:after="40" w:line="240" w:lineRule="auto"/>
              <w:jc w:val="right"/>
              <w:rPr>
                <w:rFonts w:asciiTheme="minorHAnsi" w:hAnsiTheme="minorHAnsi" w:cs="Arial"/>
                <w:bCs/>
                <w:color w:val="000000"/>
                <w:sz w:val="18"/>
                <w:szCs w:val="18"/>
              </w:rPr>
            </w:pPr>
            <w:r w:rsidRPr="00B47695">
              <w:rPr>
                <w:rFonts w:asciiTheme="minorHAnsi" w:hAnsiTheme="minorHAnsi" w:cs="Arial"/>
                <w:bCs/>
                <w:color w:val="000000"/>
                <w:sz w:val="18"/>
                <w:szCs w:val="18"/>
              </w:rPr>
              <w:t>79</w:t>
            </w:r>
          </w:p>
        </w:tc>
        <w:tc>
          <w:tcPr>
            <w:tcW w:w="720" w:type="dxa"/>
            <w:tcMar>
              <w:right w:w="115" w:type="dxa"/>
            </w:tcMar>
            <w:vAlign w:val="center"/>
          </w:tcPr>
          <w:p w:rsidR="00B47695" w:rsidRPr="00B47695" w:rsidRDefault="00B47695" w:rsidP="00AC4535">
            <w:pPr>
              <w:keepNext/>
              <w:keepLines/>
              <w:spacing w:before="40" w:after="40" w:line="240" w:lineRule="auto"/>
              <w:jc w:val="right"/>
              <w:rPr>
                <w:rFonts w:asciiTheme="minorHAnsi" w:hAnsiTheme="minorHAnsi" w:cs="Arial"/>
                <w:bCs/>
                <w:color w:val="000000"/>
                <w:sz w:val="18"/>
                <w:szCs w:val="18"/>
              </w:rPr>
            </w:pPr>
            <w:r w:rsidRPr="00B47695">
              <w:rPr>
                <w:rFonts w:asciiTheme="minorHAnsi" w:hAnsiTheme="minorHAnsi" w:cs="Arial"/>
                <w:bCs/>
                <w:color w:val="000000"/>
                <w:sz w:val="18"/>
                <w:szCs w:val="18"/>
              </w:rPr>
              <w:t>800</w:t>
            </w:r>
          </w:p>
        </w:tc>
        <w:tc>
          <w:tcPr>
            <w:tcW w:w="720" w:type="dxa"/>
            <w:tcMar>
              <w:right w:w="115" w:type="dxa"/>
            </w:tcMar>
            <w:vAlign w:val="center"/>
          </w:tcPr>
          <w:p w:rsidR="00B47695" w:rsidRPr="00B47695" w:rsidRDefault="00B47695" w:rsidP="00AC4535">
            <w:pPr>
              <w:keepNext/>
              <w:keepLines/>
              <w:spacing w:before="40" w:after="40" w:line="240" w:lineRule="auto"/>
              <w:jc w:val="right"/>
              <w:rPr>
                <w:rFonts w:asciiTheme="minorHAnsi" w:hAnsiTheme="minorHAnsi" w:cs="Arial"/>
                <w:bCs/>
                <w:color w:val="000000"/>
                <w:sz w:val="18"/>
                <w:szCs w:val="18"/>
              </w:rPr>
            </w:pPr>
            <w:r w:rsidRPr="00B47695">
              <w:rPr>
                <w:rFonts w:asciiTheme="minorHAnsi" w:hAnsiTheme="minorHAnsi" w:cs="Arial"/>
                <w:bCs/>
                <w:color w:val="000000"/>
                <w:sz w:val="18"/>
                <w:szCs w:val="18"/>
              </w:rPr>
              <w:t>27</w:t>
            </w:r>
          </w:p>
        </w:tc>
        <w:tc>
          <w:tcPr>
            <w:tcW w:w="720" w:type="dxa"/>
            <w:tcMar>
              <w:right w:w="115" w:type="dxa"/>
            </w:tcMar>
            <w:vAlign w:val="center"/>
          </w:tcPr>
          <w:p w:rsidR="00B47695" w:rsidRPr="00B47695" w:rsidRDefault="00B47695" w:rsidP="00AC4535">
            <w:pPr>
              <w:keepNext/>
              <w:keepLines/>
              <w:spacing w:before="40" w:after="40" w:line="240" w:lineRule="auto"/>
              <w:jc w:val="right"/>
              <w:rPr>
                <w:rFonts w:asciiTheme="minorHAnsi" w:hAnsiTheme="minorHAnsi" w:cs="Arial"/>
                <w:bCs/>
                <w:color w:val="000000"/>
                <w:sz w:val="18"/>
                <w:szCs w:val="18"/>
              </w:rPr>
            </w:pPr>
            <w:r w:rsidRPr="00B47695">
              <w:rPr>
                <w:rFonts w:asciiTheme="minorHAnsi" w:hAnsiTheme="minorHAnsi" w:cs="Arial"/>
                <w:bCs/>
                <w:color w:val="000000"/>
                <w:sz w:val="18"/>
                <w:szCs w:val="18"/>
              </w:rPr>
              <w:t>1,060</w:t>
            </w:r>
          </w:p>
        </w:tc>
        <w:tc>
          <w:tcPr>
            <w:tcW w:w="720" w:type="dxa"/>
            <w:vAlign w:val="center"/>
          </w:tcPr>
          <w:p w:rsidR="00B47695" w:rsidRPr="00B47695" w:rsidRDefault="00B47695" w:rsidP="00AC4535">
            <w:pPr>
              <w:keepNext/>
              <w:keepLines/>
              <w:spacing w:before="40" w:after="40" w:line="240" w:lineRule="auto"/>
              <w:jc w:val="right"/>
              <w:rPr>
                <w:rFonts w:asciiTheme="minorHAnsi" w:hAnsiTheme="minorHAnsi" w:cs="Arial"/>
                <w:bCs/>
                <w:color w:val="000000"/>
                <w:sz w:val="18"/>
                <w:szCs w:val="18"/>
              </w:rPr>
            </w:pPr>
            <w:r w:rsidRPr="00B47695">
              <w:rPr>
                <w:rFonts w:asciiTheme="minorHAnsi" w:hAnsiTheme="minorHAnsi" w:cs="Arial"/>
                <w:bCs/>
                <w:color w:val="000000"/>
                <w:sz w:val="18"/>
                <w:szCs w:val="18"/>
              </w:rPr>
              <w:t>1,459</w:t>
            </w:r>
          </w:p>
        </w:tc>
        <w:tc>
          <w:tcPr>
            <w:tcW w:w="720" w:type="dxa"/>
            <w:vAlign w:val="center"/>
          </w:tcPr>
          <w:p w:rsidR="00B47695" w:rsidRPr="00B47695" w:rsidRDefault="00B47695" w:rsidP="00AC4535">
            <w:pPr>
              <w:keepNext/>
              <w:keepLines/>
              <w:spacing w:before="40" w:after="40" w:line="240" w:lineRule="auto"/>
              <w:jc w:val="right"/>
              <w:rPr>
                <w:rFonts w:asciiTheme="minorHAnsi" w:hAnsiTheme="minorHAnsi" w:cs="Arial"/>
                <w:bCs/>
                <w:color w:val="000000"/>
                <w:sz w:val="18"/>
                <w:szCs w:val="18"/>
              </w:rPr>
            </w:pPr>
            <w:r w:rsidRPr="00B47695">
              <w:rPr>
                <w:rFonts w:asciiTheme="minorHAnsi" w:hAnsiTheme="minorHAnsi" w:cs="Arial"/>
                <w:bCs/>
                <w:color w:val="000000"/>
                <w:sz w:val="18"/>
                <w:szCs w:val="18"/>
              </w:rPr>
              <w:t>264</w:t>
            </w:r>
          </w:p>
        </w:tc>
      </w:tr>
      <w:tr w:rsidR="00B47695" w:rsidRPr="00B47695" w:rsidTr="00B47695">
        <w:trPr>
          <w:cantSplit/>
          <w:trHeight w:val="508"/>
          <w:jc w:val="center"/>
        </w:trPr>
        <w:tc>
          <w:tcPr>
            <w:tcW w:w="2018" w:type="dxa"/>
            <w:shd w:val="clear" w:color="auto" w:fill="C8E3F4" w:themeFill="text2" w:themeFillTint="33"/>
            <w:noWrap/>
            <w:vAlign w:val="center"/>
            <w:hideMark/>
          </w:tcPr>
          <w:p w:rsidR="00B47695" w:rsidRPr="00B47695" w:rsidRDefault="00B47695" w:rsidP="00AC4535">
            <w:pPr>
              <w:keepNext/>
              <w:keepLines/>
              <w:spacing w:before="40" w:after="40" w:line="240" w:lineRule="auto"/>
              <w:rPr>
                <w:rFonts w:asciiTheme="minorHAnsi" w:hAnsiTheme="minorHAnsi" w:cs="Arial"/>
                <w:b/>
                <w:bCs/>
                <w:color w:val="000000"/>
                <w:sz w:val="18"/>
                <w:szCs w:val="18"/>
              </w:rPr>
            </w:pPr>
            <w:r w:rsidRPr="00B47695">
              <w:rPr>
                <w:rFonts w:asciiTheme="minorHAnsi" w:hAnsiTheme="minorHAnsi" w:cs="Arial"/>
                <w:b/>
                <w:bCs/>
                <w:color w:val="000000"/>
                <w:sz w:val="18"/>
                <w:szCs w:val="18"/>
              </w:rPr>
              <w:t>Demand-resource total</w:t>
            </w:r>
          </w:p>
        </w:tc>
        <w:tc>
          <w:tcPr>
            <w:tcW w:w="720" w:type="dxa"/>
            <w:shd w:val="clear" w:color="auto" w:fill="C8E3F4" w:themeFill="text2" w:themeFillTint="33"/>
            <w:noWrap/>
            <w:tcMar>
              <w:left w:w="0" w:type="dxa"/>
              <w:right w:w="115" w:type="dxa"/>
            </w:tcMar>
            <w:vAlign w:val="center"/>
            <w:hideMark/>
          </w:tcPr>
          <w:p w:rsidR="00B47695" w:rsidRPr="00B47695" w:rsidRDefault="00B47695" w:rsidP="00AC4535">
            <w:pPr>
              <w:keepNext/>
              <w:keepLines/>
              <w:spacing w:before="40" w:after="40" w:line="240" w:lineRule="auto"/>
              <w:jc w:val="right"/>
              <w:rPr>
                <w:rFonts w:asciiTheme="minorHAnsi" w:hAnsiTheme="minorHAnsi" w:cs="Arial"/>
                <w:bCs/>
                <w:color w:val="000000"/>
                <w:sz w:val="18"/>
                <w:szCs w:val="18"/>
              </w:rPr>
            </w:pPr>
            <w:r w:rsidRPr="00B47695">
              <w:rPr>
                <w:rFonts w:asciiTheme="minorHAnsi" w:hAnsiTheme="minorHAnsi" w:cs="Arial"/>
                <w:bCs/>
                <w:color w:val="000000"/>
                <w:sz w:val="18"/>
                <w:szCs w:val="18"/>
              </w:rPr>
              <w:t>860</w:t>
            </w:r>
          </w:p>
        </w:tc>
        <w:tc>
          <w:tcPr>
            <w:tcW w:w="720" w:type="dxa"/>
            <w:shd w:val="clear" w:color="auto" w:fill="C8E3F4" w:themeFill="text2" w:themeFillTint="33"/>
            <w:noWrap/>
            <w:tcMar>
              <w:left w:w="0" w:type="dxa"/>
              <w:right w:w="115" w:type="dxa"/>
            </w:tcMar>
            <w:vAlign w:val="center"/>
            <w:hideMark/>
          </w:tcPr>
          <w:p w:rsidR="00B47695" w:rsidRPr="00B47695" w:rsidRDefault="00B47695" w:rsidP="00AC4535">
            <w:pPr>
              <w:keepNext/>
              <w:keepLines/>
              <w:spacing w:before="40" w:after="40" w:line="240" w:lineRule="auto"/>
              <w:jc w:val="right"/>
              <w:rPr>
                <w:rFonts w:asciiTheme="minorHAnsi" w:hAnsiTheme="minorHAnsi" w:cs="Arial"/>
                <w:bCs/>
                <w:color w:val="000000"/>
                <w:sz w:val="18"/>
                <w:szCs w:val="18"/>
              </w:rPr>
            </w:pPr>
            <w:r w:rsidRPr="00B47695">
              <w:rPr>
                <w:rFonts w:asciiTheme="minorHAnsi" w:hAnsiTheme="minorHAnsi" w:cs="Arial"/>
                <w:bCs/>
                <w:color w:val="000000"/>
                <w:sz w:val="18"/>
                <w:szCs w:val="18"/>
              </w:rPr>
              <w:t>447</w:t>
            </w:r>
          </w:p>
        </w:tc>
        <w:tc>
          <w:tcPr>
            <w:tcW w:w="720" w:type="dxa"/>
            <w:shd w:val="clear" w:color="auto" w:fill="C8E3F4" w:themeFill="text2" w:themeFillTint="33"/>
            <w:noWrap/>
            <w:tcMar>
              <w:left w:w="0" w:type="dxa"/>
              <w:right w:w="115" w:type="dxa"/>
            </w:tcMar>
            <w:vAlign w:val="center"/>
            <w:hideMark/>
          </w:tcPr>
          <w:p w:rsidR="00B47695" w:rsidRPr="00B47695" w:rsidRDefault="00B47695" w:rsidP="00AC4535">
            <w:pPr>
              <w:keepNext/>
              <w:keepLines/>
              <w:spacing w:before="40" w:after="40" w:line="240" w:lineRule="auto"/>
              <w:jc w:val="right"/>
              <w:rPr>
                <w:rFonts w:asciiTheme="minorHAnsi" w:hAnsiTheme="minorHAnsi" w:cs="Arial"/>
                <w:bCs/>
                <w:color w:val="000000"/>
                <w:sz w:val="18"/>
                <w:szCs w:val="18"/>
              </w:rPr>
            </w:pPr>
            <w:r w:rsidRPr="00B47695">
              <w:rPr>
                <w:rFonts w:asciiTheme="minorHAnsi" w:hAnsiTheme="minorHAnsi" w:cs="Arial"/>
                <w:bCs/>
                <w:color w:val="000000"/>
                <w:sz w:val="18"/>
                <w:szCs w:val="18"/>
              </w:rPr>
              <w:t>309</w:t>
            </w:r>
          </w:p>
        </w:tc>
        <w:tc>
          <w:tcPr>
            <w:tcW w:w="720" w:type="dxa"/>
            <w:shd w:val="clear" w:color="auto" w:fill="C8E3F4" w:themeFill="text2" w:themeFillTint="33"/>
            <w:noWrap/>
            <w:tcMar>
              <w:left w:w="0" w:type="dxa"/>
              <w:right w:w="115" w:type="dxa"/>
            </w:tcMar>
            <w:vAlign w:val="center"/>
            <w:hideMark/>
          </w:tcPr>
          <w:p w:rsidR="00B47695" w:rsidRPr="00B47695" w:rsidRDefault="00B47695" w:rsidP="00AC4535">
            <w:pPr>
              <w:keepNext/>
              <w:keepLines/>
              <w:spacing w:before="40" w:after="40" w:line="240" w:lineRule="auto"/>
              <w:jc w:val="right"/>
              <w:rPr>
                <w:rFonts w:asciiTheme="minorHAnsi" w:hAnsiTheme="minorHAnsi" w:cs="Arial"/>
                <w:bCs/>
                <w:color w:val="000000"/>
                <w:sz w:val="18"/>
                <w:szCs w:val="18"/>
              </w:rPr>
            </w:pPr>
            <w:r w:rsidRPr="00B47695">
              <w:rPr>
                <w:rFonts w:asciiTheme="minorHAnsi" w:hAnsiTheme="minorHAnsi" w:cs="Arial"/>
                <w:bCs/>
                <w:color w:val="000000"/>
                <w:sz w:val="18"/>
                <w:szCs w:val="18"/>
              </w:rPr>
              <w:t>515</w:t>
            </w:r>
          </w:p>
        </w:tc>
        <w:tc>
          <w:tcPr>
            <w:tcW w:w="720" w:type="dxa"/>
            <w:shd w:val="clear" w:color="auto" w:fill="C8E3F4" w:themeFill="text2" w:themeFillTint="33"/>
            <w:tcMar>
              <w:left w:w="0" w:type="dxa"/>
              <w:right w:w="115" w:type="dxa"/>
            </w:tcMar>
            <w:vAlign w:val="center"/>
          </w:tcPr>
          <w:p w:rsidR="00B47695" w:rsidRPr="00B47695" w:rsidRDefault="00B47695" w:rsidP="00AC4535">
            <w:pPr>
              <w:keepNext/>
              <w:keepLines/>
              <w:spacing w:before="40" w:after="40" w:line="240" w:lineRule="auto"/>
              <w:jc w:val="right"/>
              <w:rPr>
                <w:rFonts w:asciiTheme="minorHAnsi" w:eastAsia="Arial" w:hAnsiTheme="minorHAnsi" w:cs="Arial"/>
                <w:bCs/>
                <w:color w:val="000000"/>
                <w:sz w:val="18"/>
                <w:szCs w:val="18"/>
              </w:rPr>
            </w:pPr>
            <w:r w:rsidRPr="00B47695">
              <w:rPr>
                <w:rFonts w:asciiTheme="minorHAnsi" w:hAnsiTheme="minorHAnsi" w:cs="Arial"/>
                <w:bCs/>
                <w:color w:val="000000"/>
                <w:sz w:val="18"/>
                <w:szCs w:val="18"/>
              </w:rPr>
              <w:t>263</w:t>
            </w:r>
          </w:p>
        </w:tc>
        <w:tc>
          <w:tcPr>
            <w:tcW w:w="720" w:type="dxa"/>
            <w:shd w:val="clear" w:color="auto" w:fill="C8E3F4" w:themeFill="text2" w:themeFillTint="33"/>
            <w:tcMar>
              <w:right w:w="115" w:type="dxa"/>
            </w:tcMar>
            <w:vAlign w:val="center"/>
          </w:tcPr>
          <w:p w:rsidR="00B47695" w:rsidRPr="00B47695" w:rsidRDefault="00B47695" w:rsidP="00AC4535">
            <w:pPr>
              <w:keepNext/>
              <w:keepLines/>
              <w:spacing w:before="40" w:after="40" w:line="240" w:lineRule="auto"/>
              <w:jc w:val="right"/>
              <w:rPr>
                <w:rFonts w:asciiTheme="minorHAnsi" w:hAnsiTheme="minorHAnsi" w:cs="Arial"/>
                <w:bCs/>
                <w:color w:val="000000"/>
                <w:sz w:val="18"/>
                <w:szCs w:val="18"/>
              </w:rPr>
            </w:pPr>
            <w:r w:rsidRPr="00B47695">
              <w:rPr>
                <w:rFonts w:asciiTheme="minorHAnsi" w:hAnsiTheme="minorHAnsi" w:cs="Arial"/>
                <w:bCs/>
                <w:color w:val="000000"/>
                <w:sz w:val="18"/>
                <w:szCs w:val="18"/>
              </w:rPr>
              <w:t>313</w:t>
            </w:r>
          </w:p>
        </w:tc>
        <w:tc>
          <w:tcPr>
            <w:tcW w:w="720" w:type="dxa"/>
            <w:shd w:val="clear" w:color="auto" w:fill="C8E3F4" w:themeFill="text2" w:themeFillTint="33"/>
            <w:tcMar>
              <w:right w:w="115" w:type="dxa"/>
            </w:tcMar>
            <w:vAlign w:val="center"/>
          </w:tcPr>
          <w:p w:rsidR="00B47695" w:rsidRPr="00B47695" w:rsidRDefault="00B47695" w:rsidP="00AC4535">
            <w:pPr>
              <w:keepNext/>
              <w:keepLines/>
              <w:spacing w:before="40" w:after="40" w:line="240" w:lineRule="auto"/>
              <w:jc w:val="right"/>
              <w:rPr>
                <w:rFonts w:asciiTheme="minorHAnsi" w:hAnsiTheme="minorHAnsi" w:cs="Arial"/>
                <w:bCs/>
                <w:color w:val="000000"/>
                <w:sz w:val="18"/>
                <w:szCs w:val="18"/>
              </w:rPr>
            </w:pPr>
            <w:r w:rsidRPr="00B47695">
              <w:rPr>
                <w:rFonts w:asciiTheme="minorHAnsi" w:hAnsiTheme="minorHAnsi" w:cs="Arial"/>
                <w:bCs/>
                <w:color w:val="000000"/>
                <w:sz w:val="18"/>
                <w:szCs w:val="18"/>
              </w:rPr>
              <w:t>245</w:t>
            </w:r>
          </w:p>
        </w:tc>
        <w:tc>
          <w:tcPr>
            <w:tcW w:w="720" w:type="dxa"/>
            <w:shd w:val="clear" w:color="auto" w:fill="C8E3F4" w:themeFill="text2" w:themeFillTint="33"/>
            <w:tcMar>
              <w:right w:w="115" w:type="dxa"/>
            </w:tcMar>
            <w:vAlign w:val="center"/>
          </w:tcPr>
          <w:p w:rsidR="00B47695" w:rsidRPr="00B47695" w:rsidRDefault="00B47695" w:rsidP="00AC4535">
            <w:pPr>
              <w:keepNext/>
              <w:keepLines/>
              <w:spacing w:before="40" w:after="40" w:line="240" w:lineRule="auto"/>
              <w:jc w:val="right"/>
              <w:rPr>
                <w:rFonts w:asciiTheme="minorHAnsi" w:hAnsiTheme="minorHAnsi" w:cs="Arial"/>
                <w:bCs/>
                <w:color w:val="000000"/>
                <w:sz w:val="18"/>
                <w:szCs w:val="18"/>
              </w:rPr>
            </w:pPr>
            <w:r w:rsidRPr="00B47695">
              <w:rPr>
                <w:rFonts w:asciiTheme="minorHAnsi" w:hAnsiTheme="minorHAnsi" w:cs="Arial"/>
                <w:bCs/>
                <w:color w:val="000000"/>
                <w:sz w:val="18"/>
                <w:szCs w:val="18"/>
              </w:rPr>
              <w:t>355</w:t>
            </w:r>
          </w:p>
        </w:tc>
        <w:tc>
          <w:tcPr>
            <w:tcW w:w="720" w:type="dxa"/>
            <w:shd w:val="clear" w:color="auto" w:fill="C8E3F4" w:themeFill="text2" w:themeFillTint="33"/>
            <w:tcMar>
              <w:right w:w="115" w:type="dxa"/>
            </w:tcMar>
            <w:vAlign w:val="center"/>
          </w:tcPr>
          <w:p w:rsidR="00B47695" w:rsidRPr="00B47695" w:rsidRDefault="00B47695" w:rsidP="00AC4535">
            <w:pPr>
              <w:keepNext/>
              <w:keepLines/>
              <w:spacing w:before="40" w:after="40" w:line="240" w:lineRule="auto"/>
              <w:jc w:val="right"/>
              <w:rPr>
                <w:rFonts w:asciiTheme="minorHAnsi" w:hAnsiTheme="minorHAnsi" w:cs="Arial"/>
                <w:bCs/>
                <w:color w:val="000000"/>
                <w:sz w:val="18"/>
                <w:szCs w:val="18"/>
              </w:rPr>
            </w:pPr>
            <w:r w:rsidRPr="00B47695">
              <w:rPr>
                <w:rFonts w:asciiTheme="minorHAnsi" w:hAnsiTheme="minorHAnsi" w:cs="Arial"/>
                <w:bCs/>
                <w:color w:val="000000"/>
                <w:sz w:val="18"/>
                <w:szCs w:val="18"/>
              </w:rPr>
              <w:t>367</w:t>
            </w:r>
          </w:p>
        </w:tc>
        <w:tc>
          <w:tcPr>
            <w:tcW w:w="720" w:type="dxa"/>
            <w:shd w:val="clear" w:color="auto" w:fill="C8E3F4" w:themeFill="text2" w:themeFillTint="33"/>
            <w:vAlign w:val="center"/>
          </w:tcPr>
          <w:p w:rsidR="00B47695" w:rsidRPr="00B47695" w:rsidRDefault="00B47695" w:rsidP="00AC4535">
            <w:pPr>
              <w:keepNext/>
              <w:keepLines/>
              <w:spacing w:before="40" w:after="40" w:line="240" w:lineRule="auto"/>
              <w:jc w:val="right"/>
              <w:rPr>
                <w:rFonts w:asciiTheme="minorHAnsi" w:hAnsiTheme="minorHAnsi" w:cs="Arial"/>
                <w:bCs/>
                <w:color w:val="000000"/>
                <w:sz w:val="18"/>
                <w:szCs w:val="18"/>
              </w:rPr>
            </w:pPr>
            <w:r w:rsidRPr="00B47695">
              <w:rPr>
                <w:rFonts w:asciiTheme="minorHAnsi" w:hAnsiTheme="minorHAnsi" w:cs="Arial"/>
                <w:bCs/>
                <w:color w:val="000000"/>
                <w:sz w:val="18"/>
                <w:szCs w:val="18"/>
              </w:rPr>
              <w:t>371</w:t>
            </w:r>
          </w:p>
        </w:tc>
        <w:tc>
          <w:tcPr>
            <w:tcW w:w="720" w:type="dxa"/>
            <w:shd w:val="clear" w:color="auto" w:fill="C8E3F4" w:themeFill="text2" w:themeFillTint="33"/>
            <w:vAlign w:val="center"/>
          </w:tcPr>
          <w:p w:rsidR="00B47695" w:rsidRPr="00B47695" w:rsidRDefault="00B47695" w:rsidP="00AC4535">
            <w:pPr>
              <w:keepNext/>
              <w:keepLines/>
              <w:spacing w:before="40" w:after="40" w:line="240" w:lineRule="auto"/>
              <w:jc w:val="right"/>
              <w:rPr>
                <w:rFonts w:asciiTheme="minorHAnsi" w:hAnsiTheme="minorHAnsi" w:cs="Arial"/>
                <w:bCs/>
                <w:color w:val="000000"/>
                <w:sz w:val="18"/>
                <w:szCs w:val="18"/>
              </w:rPr>
            </w:pPr>
            <w:r w:rsidRPr="00B47695">
              <w:rPr>
                <w:rFonts w:asciiTheme="minorHAnsi" w:hAnsiTheme="minorHAnsi" w:cs="Arial"/>
                <w:bCs/>
                <w:color w:val="000000"/>
                <w:sz w:val="18"/>
                <w:szCs w:val="18"/>
              </w:rPr>
              <w:t>640</w:t>
            </w:r>
          </w:p>
        </w:tc>
      </w:tr>
      <w:tr w:rsidR="00B47695" w:rsidRPr="00B47695" w:rsidTr="00B47695">
        <w:trPr>
          <w:cantSplit/>
          <w:trHeight w:val="347"/>
          <w:jc w:val="center"/>
        </w:trPr>
        <w:tc>
          <w:tcPr>
            <w:tcW w:w="2018" w:type="dxa"/>
            <w:shd w:val="clear" w:color="auto" w:fill="C8E3F4" w:themeFill="text2" w:themeFillTint="33"/>
            <w:noWrap/>
            <w:vAlign w:val="center"/>
            <w:hideMark/>
          </w:tcPr>
          <w:p w:rsidR="00B47695" w:rsidRPr="00B47695" w:rsidRDefault="00B47695" w:rsidP="00AC4535">
            <w:pPr>
              <w:keepNext/>
              <w:keepLines/>
              <w:spacing w:before="40" w:after="40" w:line="240" w:lineRule="auto"/>
              <w:rPr>
                <w:rFonts w:asciiTheme="minorHAnsi" w:hAnsiTheme="minorHAnsi" w:cs="Arial"/>
                <w:b/>
                <w:i/>
                <w:iCs/>
                <w:color w:val="000000"/>
                <w:sz w:val="18"/>
                <w:szCs w:val="18"/>
              </w:rPr>
            </w:pPr>
            <w:r w:rsidRPr="00B47695">
              <w:rPr>
                <w:rFonts w:asciiTheme="minorHAnsi" w:hAnsiTheme="minorHAnsi" w:cs="Arial"/>
                <w:b/>
                <w:i/>
                <w:iCs/>
                <w:color w:val="000000"/>
                <w:sz w:val="18"/>
                <w:szCs w:val="18"/>
              </w:rPr>
              <w:t xml:space="preserve">   Active demand resources</w:t>
            </w:r>
          </w:p>
        </w:tc>
        <w:tc>
          <w:tcPr>
            <w:tcW w:w="720" w:type="dxa"/>
            <w:shd w:val="clear" w:color="auto" w:fill="C8E3F4" w:themeFill="text2" w:themeFillTint="33"/>
            <w:noWrap/>
            <w:tcMar>
              <w:left w:w="0" w:type="dxa"/>
              <w:right w:w="115" w:type="dxa"/>
            </w:tcMar>
            <w:vAlign w:val="center"/>
            <w:hideMark/>
          </w:tcPr>
          <w:p w:rsidR="00B47695" w:rsidRPr="00B47695" w:rsidRDefault="00B47695" w:rsidP="00AC4535">
            <w:pPr>
              <w:keepNext/>
              <w:keepLines/>
              <w:spacing w:before="40" w:after="40" w:line="240" w:lineRule="auto"/>
              <w:jc w:val="right"/>
              <w:rPr>
                <w:rFonts w:asciiTheme="minorHAnsi" w:hAnsiTheme="minorHAnsi" w:cs="Arial"/>
                <w:i/>
                <w:iCs/>
                <w:color w:val="000000"/>
                <w:sz w:val="18"/>
                <w:szCs w:val="18"/>
              </w:rPr>
            </w:pPr>
            <w:r w:rsidRPr="00B47695">
              <w:rPr>
                <w:rFonts w:asciiTheme="minorHAnsi" w:hAnsiTheme="minorHAnsi" w:cs="Arial"/>
                <w:i/>
                <w:iCs/>
                <w:color w:val="000000"/>
                <w:sz w:val="18"/>
                <w:szCs w:val="18"/>
              </w:rPr>
              <w:t>576</w:t>
            </w:r>
          </w:p>
        </w:tc>
        <w:tc>
          <w:tcPr>
            <w:tcW w:w="720" w:type="dxa"/>
            <w:shd w:val="clear" w:color="auto" w:fill="C8E3F4" w:themeFill="text2" w:themeFillTint="33"/>
            <w:noWrap/>
            <w:tcMar>
              <w:left w:w="0" w:type="dxa"/>
              <w:right w:w="115" w:type="dxa"/>
            </w:tcMar>
            <w:vAlign w:val="center"/>
            <w:hideMark/>
          </w:tcPr>
          <w:p w:rsidR="00B47695" w:rsidRPr="00B47695" w:rsidRDefault="00B47695" w:rsidP="00AC4535">
            <w:pPr>
              <w:keepNext/>
              <w:keepLines/>
              <w:spacing w:before="40" w:after="40" w:line="240" w:lineRule="auto"/>
              <w:jc w:val="right"/>
              <w:rPr>
                <w:rFonts w:asciiTheme="minorHAnsi" w:hAnsiTheme="minorHAnsi" w:cs="Arial"/>
                <w:i/>
                <w:iCs/>
                <w:color w:val="000000"/>
                <w:sz w:val="18"/>
                <w:szCs w:val="18"/>
              </w:rPr>
            </w:pPr>
            <w:r w:rsidRPr="00B47695">
              <w:rPr>
                <w:rFonts w:asciiTheme="minorHAnsi" w:hAnsiTheme="minorHAnsi" w:cs="Arial"/>
                <w:i/>
                <w:iCs/>
                <w:color w:val="000000"/>
                <w:sz w:val="18"/>
                <w:szCs w:val="18"/>
              </w:rPr>
              <w:t>185</w:t>
            </w:r>
          </w:p>
        </w:tc>
        <w:tc>
          <w:tcPr>
            <w:tcW w:w="720" w:type="dxa"/>
            <w:shd w:val="clear" w:color="auto" w:fill="C8E3F4" w:themeFill="text2" w:themeFillTint="33"/>
            <w:noWrap/>
            <w:tcMar>
              <w:left w:w="0" w:type="dxa"/>
              <w:right w:w="115" w:type="dxa"/>
            </w:tcMar>
            <w:vAlign w:val="center"/>
            <w:hideMark/>
          </w:tcPr>
          <w:p w:rsidR="00B47695" w:rsidRPr="00B47695" w:rsidRDefault="00B47695" w:rsidP="00AC4535">
            <w:pPr>
              <w:keepNext/>
              <w:keepLines/>
              <w:spacing w:before="40" w:after="40" w:line="240" w:lineRule="auto"/>
              <w:jc w:val="right"/>
              <w:rPr>
                <w:rFonts w:asciiTheme="minorHAnsi" w:hAnsiTheme="minorHAnsi" w:cs="Arial"/>
                <w:i/>
                <w:iCs/>
                <w:color w:val="000000"/>
                <w:sz w:val="18"/>
                <w:szCs w:val="18"/>
              </w:rPr>
            </w:pPr>
            <w:r w:rsidRPr="00B47695">
              <w:rPr>
                <w:rFonts w:asciiTheme="minorHAnsi" w:hAnsiTheme="minorHAnsi" w:cs="Arial"/>
                <w:i/>
                <w:iCs/>
                <w:color w:val="000000"/>
                <w:sz w:val="18"/>
                <w:szCs w:val="18"/>
              </w:rPr>
              <w:t>98</w:t>
            </w:r>
          </w:p>
        </w:tc>
        <w:tc>
          <w:tcPr>
            <w:tcW w:w="720" w:type="dxa"/>
            <w:shd w:val="clear" w:color="auto" w:fill="C8E3F4" w:themeFill="text2" w:themeFillTint="33"/>
            <w:noWrap/>
            <w:tcMar>
              <w:left w:w="0" w:type="dxa"/>
              <w:right w:w="115" w:type="dxa"/>
            </w:tcMar>
            <w:vAlign w:val="center"/>
            <w:hideMark/>
          </w:tcPr>
          <w:p w:rsidR="00B47695" w:rsidRPr="00B47695" w:rsidRDefault="00B47695" w:rsidP="00AC4535">
            <w:pPr>
              <w:keepNext/>
              <w:keepLines/>
              <w:spacing w:before="40" w:after="40" w:line="240" w:lineRule="auto"/>
              <w:jc w:val="right"/>
              <w:rPr>
                <w:rFonts w:asciiTheme="minorHAnsi" w:hAnsiTheme="minorHAnsi" w:cs="Arial"/>
                <w:i/>
                <w:iCs/>
                <w:color w:val="000000"/>
                <w:sz w:val="18"/>
                <w:szCs w:val="18"/>
              </w:rPr>
            </w:pPr>
            <w:r w:rsidRPr="00B47695">
              <w:rPr>
                <w:rFonts w:asciiTheme="minorHAnsi" w:hAnsiTheme="minorHAnsi" w:cs="Arial"/>
                <w:i/>
                <w:iCs/>
                <w:color w:val="000000"/>
                <w:sz w:val="18"/>
                <w:szCs w:val="18"/>
              </w:rPr>
              <w:t>257</w:t>
            </w:r>
          </w:p>
        </w:tc>
        <w:tc>
          <w:tcPr>
            <w:tcW w:w="720" w:type="dxa"/>
            <w:shd w:val="clear" w:color="auto" w:fill="C8E3F4" w:themeFill="text2" w:themeFillTint="33"/>
            <w:tcMar>
              <w:left w:w="0" w:type="dxa"/>
              <w:right w:w="115" w:type="dxa"/>
            </w:tcMar>
            <w:vAlign w:val="center"/>
          </w:tcPr>
          <w:p w:rsidR="00B47695" w:rsidRPr="00B47695" w:rsidRDefault="00B47695" w:rsidP="00AC4535">
            <w:pPr>
              <w:keepNext/>
              <w:keepLines/>
              <w:spacing w:before="40" w:after="40" w:line="240" w:lineRule="auto"/>
              <w:jc w:val="right"/>
              <w:rPr>
                <w:rFonts w:asciiTheme="minorHAnsi" w:eastAsia="Arial" w:hAnsiTheme="minorHAnsi" w:cs="Arial"/>
                <w:i/>
                <w:iCs/>
                <w:color w:val="000000"/>
                <w:sz w:val="18"/>
                <w:szCs w:val="18"/>
              </w:rPr>
            </w:pPr>
            <w:r w:rsidRPr="00B47695">
              <w:rPr>
                <w:rFonts w:asciiTheme="minorHAnsi" w:hAnsiTheme="minorHAnsi" w:cs="Arial"/>
                <w:i/>
                <w:iCs/>
                <w:color w:val="000000"/>
                <w:sz w:val="18"/>
                <w:szCs w:val="18"/>
              </w:rPr>
              <w:t>42</w:t>
            </w:r>
          </w:p>
        </w:tc>
        <w:tc>
          <w:tcPr>
            <w:tcW w:w="720" w:type="dxa"/>
            <w:shd w:val="clear" w:color="auto" w:fill="C8E3F4" w:themeFill="text2" w:themeFillTint="33"/>
            <w:tcMar>
              <w:right w:w="115" w:type="dxa"/>
            </w:tcMar>
            <w:vAlign w:val="center"/>
          </w:tcPr>
          <w:p w:rsidR="00B47695" w:rsidRPr="00B47695" w:rsidRDefault="00B47695" w:rsidP="00AC4535">
            <w:pPr>
              <w:keepNext/>
              <w:keepLines/>
              <w:spacing w:before="40" w:after="40" w:line="240" w:lineRule="auto"/>
              <w:jc w:val="right"/>
              <w:rPr>
                <w:rFonts w:asciiTheme="minorHAnsi" w:hAnsiTheme="minorHAnsi" w:cs="Arial"/>
                <w:bCs/>
                <w:i/>
                <w:color w:val="000000"/>
                <w:sz w:val="18"/>
                <w:szCs w:val="18"/>
              </w:rPr>
            </w:pPr>
            <w:r w:rsidRPr="00B47695">
              <w:rPr>
                <w:rFonts w:asciiTheme="minorHAnsi" w:hAnsiTheme="minorHAnsi" w:cs="Arial"/>
                <w:bCs/>
                <w:i/>
                <w:color w:val="000000"/>
                <w:sz w:val="18"/>
                <w:szCs w:val="18"/>
              </w:rPr>
              <w:t>66</w:t>
            </w:r>
          </w:p>
        </w:tc>
        <w:tc>
          <w:tcPr>
            <w:tcW w:w="720" w:type="dxa"/>
            <w:shd w:val="clear" w:color="auto" w:fill="C8E3F4" w:themeFill="text2" w:themeFillTint="33"/>
            <w:tcMar>
              <w:right w:w="115" w:type="dxa"/>
            </w:tcMar>
            <w:vAlign w:val="center"/>
          </w:tcPr>
          <w:p w:rsidR="00B47695" w:rsidRPr="00B47695" w:rsidRDefault="00B47695" w:rsidP="00AC4535">
            <w:pPr>
              <w:keepNext/>
              <w:keepLines/>
              <w:spacing w:before="40" w:after="40" w:line="240" w:lineRule="auto"/>
              <w:jc w:val="right"/>
              <w:rPr>
                <w:rFonts w:asciiTheme="minorHAnsi" w:hAnsiTheme="minorHAnsi" w:cs="Arial"/>
                <w:bCs/>
                <w:i/>
                <w:color w:val="000000"/>
                <w:sz w:val="18"/>
                <w:szCs w:val="18"/>
              </w:rPr>
            </w:pPr>
            <w:r w:rsidRPr="00B47695">
              <w:rPr>
                <w:rFonts w:asciiTheme="minorHAnsi" w:hAnsiTheme="minorHAnsi" w:cs="Arial"/>
                <w:bCs/>
                <w:i/>
                <w:color w:val="000000"/>
                <w:sz w:val="18"/>
                <w:szCs w:val="18"/>
              </w:rPr>
              <w:t>&lt;1</w:t>
            </w:r>
          </w:p>
        </w:tc>
        <w:tc>
          <w:tcPr>
            <w:tcW w:w="720" w:type="dxa"/>
            <w:shd w:val="clear" w:color="auto" w:fill="C8E3F4" w:themeFill="text2" w:themeFillTint="33"/>
            <w:tcMar>
              <w:right w:w="115" w:type="dxa"/>
            </w:tcMar>
            <w:vAlign w:val="center"/>
          </w:tcPr>
          <w:p w:rsidR="00B47695" w:rsidRPr="00B47695" w:rsidRDefault="00B47695" w:rsidP="00AC4535">
            <w:pPr>
              <w:keepNext/>
              <w:keepLines/>
              <w:spacing w:before="40" w:after="40" w:line="240" w:lineRule="auto"/>
              <w:jc w:val="right"/>
              <w:rPr>
                <w:rFonts w:asciiTheme="minorHAnsi" w:hAnsiTheme="minorHAnsi" w:cs="Arial"/>
                <w:bCs/>
                <w:i/>
                <w:color w:val="000000"/>
                <w:sz w:val="18"/>
                <w:szCs w:val="18"/>
              </w:rPr>
            </w:pPr>
            <w:r w:rsidRPr="00B47695">
              <w:rPr>
                <w:rFonts w:asciiTheme="minorHAnsi" w:hAnsiTheme="minorHAnsi" w:cs="Arial"/>
                <w:bCs/>
                <w:i/>
                <w:color w:val="000000"/>
                <w:sz w:val="18"/>
                <w:szCs w:val="18"/>
              </w:rPr>
              <w:t>14</w:t>
            </w:r>
          </w:p>
        </w:tc>
        <w:tc>
          <w:tcPr>
            <w:tcW w:w="720" w:type="dxa"/>
            <w:shd w:val="clear" w:color="auto" w:fill="C8E3F4" w:themeFill="text2" w:themeFillTint="33"/>
            <w:tcMar>
              <w:right w:w="115" w:type="dxa"/>
            </w:tcMar>
            <w:vAlign w:val="center"/>
          </w:tcPr>
          <w:p w:rsidR="00B47695" w:rsidRPr="00B47695" w:rsidRDefault="00B47695" w:rsidP="00AC4535">
            <w:pPr>
              <w:keepNext/>
              <w:keepLines/>
              <w:spacing w:before="40" w:after="40" w:line="240" w:lineRule="auto"/>
              <w:jc w:val="right"/>
              <w:rPr>
                <w:rFonts w:asciiTheme="minorHAnsi" w:hAnsiTheme="minorHAnsi" w:cs="Arial"/>
                <w:bCs/>
                <w:i/>
                <w:color w:val="000000"/>
                <w:sz w:val="18"/>
                <w:szCs w:val="18"/>
              </w:rPr>
            </w:pPr>
            <w:r w:rsidRPr="00B47695">
              <w:rPr>
                <w:rFonts w:asciiTheme="minorHAnsi" w:hAnsiTheme="minorHAnsi" w:cs="Arial"/>
                <w:bCs/>
                <w:i/>
                <w:color w:val="000000"/>
                <w:sz w:val="18"/>
                <w:szCs w:val="18"/>
              </w:rPr>
              <w:t>81</w:t>
            </w:r>
          </w:p>
        </w:tc>
        <w:tc>
          <w:tcPr>
            <w:tcW w:w="720" w:type="dxa"/>
            <w:shd w:val="clear" w:color="auto" w:fill="C8E3F4" w:themeFill="text2" w:themeFillTint="33"/>
            <w:vAlign w:val="center"/>
          </w:tcPr>
          <w:p w:rsidR="00B47695" w:rsidRPr="00B47695" w:rsidRDefault="00B47695" w:rsidP="00AC4535">
            <w:pPr>
              <w:keepNext/>
              <w:keepLines/>
              <w:spacing w:before="40" w:after="40" w:line="240" w:lineRule="auto"/>
              <w:jc w:val="right"/>
              <w:rPr>
                <w:rFonts w:asciiTheme="minorHAnsi" w:hAnsiTheme="minorHAnsi" w:cs="Arial"/>
                <w:bCs/>
                <w:i/>
                <w:color w:val="000000"/>
                <w:sz w:val="18"/>
                <w:szCs w:val="18"/>
              </w:rPr>
            </w:pPr>
            <w:r w:rsidRPr="00B47695">
              <w:rPr>
                <w:rFonts w:asciiTheme="minorHAnsi" w:hAnsiTheme="minorHAnsi" w:cs="Arial"/>
                <w:bCs/>
                <w:i/>
                <w:color w:val="000000"/>
                <w:sz w:val="18"/>
                <w:szCs w:val="18"/>
              </w:rPr>
              <w:t>20</w:t>
            </w:r>
          </w:p>
        </w:tc>
        <w:tc>
          <w:tcPr>
            <w:tcW w:w="720" w:type="dxa"/>
            <w:shd w:val="clear" w:color="auto" w:fill="C8E3F4" w:themeFill="text2" w:themeFillTint="33"/>
            <w:vAlign w:val="center"/>
          </w:tcPr>
          <w:p w:rsidR="00B47695" w:rsidRPr="00B47695" w:rsidRDefault="00B47695" w:rsidP="00AC4535">
            <w:pPr>
              <w:keepNext/>
              <w:keepLines/>
              <w:spacing w:before="40" w:after="40" w:line="240" w:lineRule="auto"/>
              <w:jc w:val="right"/>
              <w:rPr>
                <w:rFonts w:asciiTheme="minorHAnsi" w:hAnsiTheme="minorHAnsi" w:cs="Arial"/>
                <w:bCs/>
                <w:i/>
                <w:color w:val="000000"/>
                <w:sz w:val="18"/>
                <w:szCs w:val="18"/>
              </w:rPr>
            </w:pPr>
            <w:r w:rsidRPr="00B47695">
              <w:rPr>
                <w:rFonts w:asciiTheme="minorHAnsi" w:hAnsiTheme="minorHAnsi" w:cs="Arial"/>
                <w:bCs/>
                <w:i/>
                <w:color w:val="000000"/>
                <w:sz w:val="18"/>
                <w:szCs w:val="18"/>
              </w:rPr>
              <w:t>85</w:t>
            </w:r>
          </w:p>
        </w:tc>
      </w:tr>
      <w:tr w:rsidR="00B47695" w:rsidRPr="00B47695" w:rsidTr="00B47695">
        <w:trPr>
          <w:cantSplit/>
          <w:trHeight w:val="347"/>
          <w:jc w:val="center"/>
        </w:trPr>
        <w:tc>
          <w:tcPr>
            <w:tcW w:w="2018" w:type="dxa"/>
            <w:shd w:val="clear" w:color="auto" w:fill="C8E3F4" w:themeFill="text2" w:themeFillTint="33"/>
            <w:noWrap/>
            <w:vAlign w:val="center"/>
            <w:hideMark/>
          </w:tcPr>
          <w:p w:rsidR="00B47695" w:rsidRPr="00B47695" w:rsidRDefault="00B47695" w:rsidP="00AC4535">
            <w:pPr>
              <w:keepNext/>
              <w:keepLines/>
              <w:spacing w:before="40" w:after="40" w:line="240" w:lineRule="auto"/>
              <w:rPr>
                <w:rFonts w:asciiTheme="minorHAnsi" w:hAnsiTheme="minorHAnsi" w:cs="Arial"/>
                <w:b/>
                <w:i/>
                <w:iCs/>
                <w:color w:val="000000"/>
                <w:sz w:val="18"/>
                <w:szCs w:val="18"/>
              </w:rPr>
            </w:pPr>
            <w:r w:rsidRPr="00B47695">
              <w:rPr>
                <w:rFonts w:asciiTheme="minorHAnsi" w:hAnsiTheme="minorHAnsi" w:cs="Arial"/>
                <w:b/>
                <w:i/>
                <w:iCs/>
                <w:color w:val="000000"/>
                <w:sz w:val="18"/>
                <w:szCs w:val="18"/>
              </w:rPr>
              <w:t xml:space="preserve">   Passive demand resources</w:t>
            </w:r>
          </w:p>
        </w:tc>
        <w:tc>
          <w:tcPr>
            <w:tcW w:w="720" w:type="dxa"/>
            <w:shd w:val="clear" w:color="auto" w:fill="C8E3F4" w:themeFill="text2" w:themeFillTint="33"/>
            <w:noWrap/>
            <w:tcMar>
              <w:left w:w="0" w:type="dxa"/>
              <w:right w:w="115" w:type="dxa"/>
            </w:tcMar>
            <w:vAlign w:val="center"/>
            <w:hideMark/>
          </w:tcPr>
          <w:p w:rsidR="00B47695" w:rsidRPr="00B47695" w:rsidRDefault="00B47695" w:rsidP="00AC4535">
            <w:pPr>
              <w:keepNext/>
              <w:keepLines/>
              <w:spacing w:before="40" w:after="40" w:line="240" w:lineRule="auto"/>
              <w:jc w:val="right"/>
              <w:rPr>
                <w:rFonts w:asciiTheme="minorHAnsi" w:hAnsiTheme="minorHAnsi" w:cs="Arial"/>
                <w:i/>
                <w:iCs/>
                <w:color w:val="000000"/>
                <w:sz w:val="18"/>
                <w:szCs w:val="18"/>
              </w:rPr>
            </w:pPr>
            <w:r w:rsidRPr="00B47695">
              <w:rPr>
                <w:rFonts w:asciiTheme="minorHAnsi" w:hAnsiTheme="minorHAnsi" w:cs="Arial"/>
                <w:i/>
                <w:iCs/>
                <w:color w:val="000000"/>
                <w:sz w:val="18"/>
                <w:szCs w:val="18"/>
              </w:rPr>
              <w:t>284</w:t>
            </w:r>
          </w:p>
        </w:tc>
        <w:tc>
          <w:tcPr>
            <w:tcW w:w="720" w:type="dxa"/>
            <w:shd w:val="clear" w:color="auto" w:fill="C8E3F4" w:themeFill="text2" w:themeFillTint="33"/>
            <w:noWrap/>
            <w:tcMar>
              <w:left w:w="0" w:type="dxa"/>
              <w:right w:w="115" w:type="dxa"/>
            </w:tcMar>
            <w:vAlign w:val="center"/>
            <w:hideMark/>
          </w:tcPr>
          <w:p w:rsidR="00B47695" w:rsidRPr="00B47695" w:rsidRDefault="00B47695" w:rsidP="00AC4535">
            <w:pPr>
              <w:keepNext/>
              <w:keepLines/>
              <w:spacing w:before="40" w:after="40" w:line="240" w:lineRule="auto"/>
              <w:jc w:val="right"/>
              <w:rPr>
                <w:rFonts w:asciiTheme="minorHAnsi" w:hAnsiTheme="minorHAnsi" w:cs="Arial"/>
                <w:i/>
                <w:iCs/>
                <w:color w:val="000000"/>
                <w:sz w:val="18"/>
                <w:szCs w:val="18"/>
              </w:rPr>
            </w:pPr>
            <w:r w:rsidRPr="00B47695">
              <w:rPr>
                <w:rFonts w:asciiTheme="minorHAnsi" w:hAnsiTheme="minorHAnsi" w:cs="Arial"/>
                <w:i/>
                <w:iCs/>
                <w:color w:val="000000"/>
                <w:sz w:val="18"/>
                <w:szCs w:val="18"/>
              </w:rPr>
              <w:t>262</w:t>
            </w:r>
          </w:p>
        </w:tc>
        <w:tc>
          <w:tcPr>
            <w:tcW w:w="720" w:type="dxa"/>
            <w:shd w:val="clear" w:color="auto" w:fill="C8E3F4" w:themeFill="text2" w:themeFillTint="33"/>
            <w:noWrap/>
            <w:tcMar>
              <w:left w:w="0" w:type="dxa"/>
              <w:right w:w="115" w:type="dxa"/>
            </w:tcMar>
            <w:vAlign w:val="center"/>
            <w:hideMark/>
          </w:tcPr>
          <w:p w:rsidR="00B47695" w:rsidRPr="00B47695" w:rsidRDefault="00B47695" w:rsidP="00AC4535">
            <w:pPr>
              <w:keepNext/>
              <w:keepLines/>
              <w:spacing w:before="40" w:after="40" w:line="240" w:lineRule="auto"/>
              <w:jc w:val="right"/>
              <w:rPr>
                <w:rFonts w:asciiTheme="minorHAnsi" w:hAnsiTheme="minorHAnsi" w:cs="Arial"/>
                <w:i/>
                <w:iCs/>
                <w:color w:val="000000"/>
                <w:sz w:val="18"/>
                <w:szCs w:val="18"/>
              </w:rPr>
            </w:pPr>
            <w:r w:rsidRPr="00B47695">
              <w:rPr>
                <w:rFonts w:asciiTheme="minorHAnsi" w:hAnsiTheme="minorHAnsi" w:cs="Arial"/>
                <w:i/>
                <w:iCs/>
                <w:color w:val="000000"/>
                <w:sz w:val="18"/>
                <w:szCs w:val="18"/>
              </w:rPr>
              <w:t>211</w:t>
            </w:r>
          </w:p>
        </w:tc>
        <w:tc>
          <w:tcPr>
            <w:tcW w:w="720" w:type="dxa"/>
            <w:shd w:val="clear" w:color="auto" w:fill="C8E3F4" w:themeFill="text2" w:themeFillTint="33"/>
            <w:noWrap/>
            <w:tcMar>
              <w:left w:w="0" w:type="dxa"/>
              <w:right w:w="115" w:type="dxa"/>
            </w:tcMar>
            <w:vAlign w:val="center"/>
            <w:hideMark/>
          </w:tcPr>
          <w:p w:rsidR="00B47695" w:rsidRPr="00B47695" w:rsidRDefault="00B47695" w:rsidP="00AC4535">
            <w:pPr>
              <w:keepNext/>
              <w:keepLines/>
              <w:spacing w:before="40" w:after="40" w:line="240" w:lineRule="auto"/>
              <w:jc w:val="right"/>
              <w:rPr>
                <w:rFonts w:asciiTheme="minorHAnsi" w:hAnsiTheme="minorHAnsi" w:cs="Arial"/>
                <w:i/>
                <w:iCs/>
                <w:color w:val="000000"/>
                <w:sz w:val="18"/>
                <w:szCs w:val="18"/>
              </w:rPr>
            </w:pPr>
            <w:r w:rsidRPr="00B47695">
              <w:rPr>
                <w:rFonts w:asciiTheme="minorHAnsi" w:hAnsiTheme="minorHAnsi" w:cs="Arial"/>
                <w:i/>
                <w:iCs/>
                <w:color w:val="000000"/>
                <w:sz w:val="18"/>
                <w:szCs w:val="18"/>
              </w:rPr>
              <w:t>258</w:t>
            </w:r>
          </w:p>
        </w:tc>
        <w:tc>
          <w:tcPr>
            <w:tcW w:w="720" w:type="dxa"/>
            <w:shd w:val="clear" w:color="auto" w:fill="C8E3F4" w:themeFill="text2" w:themeFillTint="33"/>
            <w:tcMar>
              <w:left w:w="0" w:type="dxa"/>
              <w:right w:w="115" w:type="dxa"/>
            </w:tcMar>
            <w:vAlign w:val="center"/>
          </w:tcPr>
          <w:p w:rsidR="00B47695" w:rsidRPr="00B47695" w:rsidRDefault="00B47695" w:rsidP="00AC4535">
            <w:pPr>
              <w:keepNext/>
              <w:keepLines/>
              <w:spacing w:before="40" w:after="40" w:line="240" w:lineRule="auto"/>
              <w:jc w:val="right"/>
              <w:rPr>
                <w:rFonts w:asciiTheme="minorHAnsi" w:eastAsia="Arial" w:hAnsiTheme="minorHAnsi" w:cs="Arial"/>
                <w:i/>
                <w:iCs/>
                <w:color w:val="000000"/>
                <w:sz w:val="18"/>
                <w:szCs w:val="18"/>
              </w:rPr>
            </w:pPr>
            <w:r w:rsidRPr="00B47695">
              <w:rPr>
                <w:rFonts w:asciiTheme="minorHAnsi" w:hAnsiTheme="minorHAnsi" w:cs="Arial"/>
                <w:i/>
                <w:iCs/>
                <w:color w:val="000000"/>
                <w:sz w:val="18"/>
                <w:szCs w:val="18"/>
              </w:rPr>
              <w:t>221</w:t>
            </w:r>
          </w:p>
        </w:tc>
        <w:tc>
          <w:tcPr>
            <w:tcW w:w="720" w:type="dxa"/>
            <w:shd w:val="clear" w:color="auto" w:fill="C8E3F4" w:themeFill="text2" w:themeFillTint="33"/>
            <w:tcMar>
              <w:right w:w="115" w:type="dxa"/>
            </w:tcMar>
            <w:vAlign w:val="center"/>
          </w:tcPr>
          <w:p w:rsidR="00B47695" w:rsidRPr="00B47695" w:rsidRDefault="00B47695" w:rsidP="00AC4535">
            <w:pPr>
              <w:keepNext/>
              <w:keepLines/>
              <w:spacing w:before="40" w:after="40" w:line="240" w:lineRule="auto"/>
              <w:jc w:val="right"/>
              <w:rPr>
                <w:rFonts w:asciiTheme="minorHAnsi" w:hAnsiTheme="minorHAnsi" w:cs="Arial"/>
                <w:bCs/>
                <w:i/>
                <w:color w:val="000000"/>
                <w:sz w:val="18"/>
                <w:szCs w:val="18"/>
              </w:rPr>
            </w:pPr>
            <w:r w:rsidRPr="00B47695">
              <w:rPr>
                <w:rFonts w:asciiTheme="minorHAnsi" w:hAnsiTheme="minorHAnsi" w:cs="Arial"/>
                <w:bCs/>
                <w:i/>
                <w:color w:val="000000"/>
                <w:sz w:val="18"/>
                <w:szCs w:val="18"/>
              </w:rPr>
              <w:t>247</w:t>
            </w:r>
          </w:p>
        </w:tc>
        <w:tc>
          <w:tcPr>
            <w:tcW w:w="720" w:type="dxa"/>
            <w:shd w:val="clear" w:color="auto" w:fill="C8E3F4" w:themeFill="text2" w:themeFillTint="33"/>
            <w:tcMar>
              <w:right w:w="115" w:type="dxa"/>
            </w:tcMar>
            <w:vAlign w:val="center"/>
          </w:tcPr>
          <w:p w:rsidR="00B47695" w:rsidRPr="00B47695" w:rsidRDefault="00B47695" w:rsidP="00AC4535">
            <w:pPr>
              <w:keepNext/>
              <w:keepLines/>
              <w:spacing w:before="40" w:after="40" w:line="240" w:lineRule="auto"/>
              <w:jc w:val="right"/>
              <w:rPr>
                <w:rFonts w:asciiTheme="minorHAnsi" w:hAnsiTheme="minorHAnsi" w:cs="Arial"/>
                <w:bCs/>
                <w:i/>
                <w:color w:val="000000"/>
                <w:sz w:val="18"/>
                <w:szCs w:val="18"/>
              </w:rPr>
            </w:pPr>
            <w:r w:rsidRPr="00B47695">
              <w:rPr>
                <w:rFonts w:asciiTheme="minorHAnsi" w:hAnsiTheme="minorHAnsi" w:cs="Arial"/>
                <w:bCs/>
                <w:i/>
                <w:color w:val="000000"/>
                <w:sz w:val="18"/>
                <w:szCs w:val="18"/>
              </w:rPr>
              <w:t>245</w:t>
            </w:r>
          </w:p>
        </w:tc>
        <w:tc>
          <w:tcPr>
            <w:tcW w:w="720" w:type="dxa"/>
            <w:shd w:val="clear" w:color="auto" w:fill="C8E3F4" w:themeFill="text2" w:themeFillTint="33"/>
            <w:tcMar>
              <w:right w:w="115" w:type="dxa"/>
            </w:tcMar>
            <w:vAlign w:val="center"/>
          </w:tcPr>
          <w:p w:rsidR="00B47695" w:rsidRPr="00B47695" w:rsidRDefault="00B47695" w:rsidP="00AC4535">
            <w:pPr>
              <w:keepNext/>
              <w:keepLines/>
              <w:spacing w:before="40" w:after="40" w:line="240" w:lineRule="auto"/>
              <w:jc w:val="right"/>
              <w:rPr>
                <w:rFonts w:asciiTheme="minorHAnsi" w:hAnsiTheme="minorHAnsi" w:cs="Arial"/>
                <w:bCs/>
                <w:i/>
                <w:color w:val="000000"/>
                <w:sz w:val="18"/>
                <w:szCs w:val="18"/>
              </w:rPr>
            </w:pPr>
            <w:r w:rsidRPr="00B47695">
              <w:rPr>
                <w:rFonts w:asciiTheme="minorHAnsi" w:hAnsiTheme="minorHAnsi" w:cs="Arial"/>
                <w:bCs/>
                <w:i/>
                <w:color w:val="000000"/>
                <w:sz w:val="18"/>
                <w:szCs w:val="18"/>
              </w:rPr>
              <w:t>341</w:t>
            </w:r>
          </w:p>
        </w:tc>
        <w:tc>
          <w:tcPr>
            <w:tcW w:w="720" w:type="dxa"/>
            <w:shd w:val="clear" w:color="auto" w:fill="C8E3F4" w:themeFill="text2" w:themeFillTint="33"/>
            <w:tcMar>
              <w:right w:w="115" w:type="dxa"/>
            </w:tcMar>
            <w:vAlign w:val="center"/>
          </w:tcPr>
          <w:p w:rsidR="00B47695" w:rsidRPr="00B47695" w:rsidRDefault="00B47695" w:rsidP="00AC4535">
            <w:pPr>
              <w:keepNext/>
              <w:keepLines/>
              <w:spacing w:before="40" w:after="40" w:line="240" w:lineRule="auto"/>
              <w:jc w:val="right"/>
              <w:rPr>
                <w:rFonts w:asciiTheme="minorHAnsi" w:hAnsiTheme="minorHAnsi" w:cs="Arial"/>
                <w:bCs/>
                <w:i/>
                <w:color w:val="000000"/>
                <w:sz w:val="18"/>
                <w:szCs w:val="18"/>
              </w:rPr>
            </w:pPr>
            <w:r w:rsidRPr="00B47695">
              <w:rPr>
                <w:rFonts w:asciiTheme="minorHAnsi" w:hAnsiTheme="minorHAnsi" w:cs="Arial"/>
                <w:bCs/>
                <w:i/>
                <w:color w:val="000000"/>
                <w:sz w:val="18"/>
                <w:szCs w:val="18"/>
              </w:rPr>
              <w:t>286</w:t>
            </w:r>
          </w:p>
        </w:tc>
        <w:tc>
          <w:tcPr>
            <w:tcW w:w="720" w:type="dxa"/>
            <w:shd w:val="clear" w:color="auto" w:fill="C8E3F4" w:themeFill="text2" w:themeFillTint="33"/>
            <w:vAlign w:val="center"/>
          </w:tcPr>
          <w:p w:rsidR="00B47695" w:rsidRPr="00B47695" w:rsidRDefault="00B47695" w:rsidP="00AC4535">
            <w:pPr>
              <w:keepNext/>
              <w:keepLines/>
              <w:spacing w:before="40" w:after="40" w:line="240" w:lineRule="auto"/>
              <w:jc w:val="right"/>
              <w:rPr>
                <w:rFonts w:asciiTheme="minorHAnsi" w:hAnsiTheme="minorHAnsi" w:cs="Arial"/>
                <w:bCs/>
                <w:i/>
                <w:color w:val="000000"/>
                <w:sz w:val="18"/>
                <w:szCs w:val="18"/>
              </w:rPr>
            </w:pPr>
            <w:r w:rsidRPr="00B47695">
              <w:rPr>
                <w:rFonts w:asciiTheme="minorHAnsi" w:hAnsiTheme="minorHAnsi" w:cs="Arial"/>
                <w:bCs/>
                <w:i/>
                <w:color w:val="000000"/>
                <w:sz w:val="18"/>
                <w:szCs w:val="18"/>
              </w:rPr>
              <w:t>350</w:t>
            </w:r>
          </w:p>
        </w:tc>
        <w:tc>
          <w:tcPr>
            <w:tcW w:w="720" w:type="dxa"/>
            <w:shd w:val="clear" w:color="auto" w:fill="C8E3F4" w:themeFill="text2" w:themeFillTint="33"/>
            <w:vAlign w:val="center"/>
          </w:tcPr>
          <w:p w:rsidR="00B47695" w:rsidRPr="00B47695" w:rsidRDefault="00B47695" w:rsidP="00AC4535">
            <w:pPr>
              <w:keepNext/>
              <w:keepLines/>
              <w:spacing w:before="40" w:after="40" w:line="240" w:lineRule="auto"/>
              <w:jc w:val="right"/>
              <w:rPr>
                <w:rFonts w:asciiTheme="minorHAnsi" w:hAnsiTheme="minorHAnsi" w:cs="Arial"/>
                <w:bCs/>
                <w:i/>
                <w:color w:val="000000"/>
                <w:sz w:val="18"/>
                <w:szCs w:val="18"/>
              </w:rPr>
            </w:pPr>
            <w:r w:rsidRPr="00B47695">
              <w:rPr>
                <w:rFonts w:asciiTheme="minorHAnsi" w:hAnsiTheme="minorHAnsi" w:cs="Arial"/>
                <w:bCs/>
                <w:i/>
                <w:color w:val="000000"/>
                <w:sz w:val="18"/>
                <w:szCs w:val="18"/>
              </w:rPr>
              <w:t>554</w:t>
            </w:r>
          </w:p>
        </w:tc>
      </w:tr>
      <w:tr w:rsidR="00B47695" w:rsidRPr="00B47695" w:rsidTr="00B47695">
        <w:trPr>
          <w:cantSplit/>
          <w:trHeight w:val="347"/>
          <w:jc w:val="center"/>
        </w:trPr>
        <w:tc>
          <w:tcPr>
            <w:tcW w:w="2018" w:type="dxa"/>
            <w:shd w:val="clear" w:color="auto" w:fill="auto"/>
            <w:noWrap/>
            <w:vAlign w:val="center"/>
            <w:hideMark/>
          </w:tcPr>
          <w:p w:rsidR="00B47695" w:rsidRPr="00B47695" w:rsidRDefault="00B47695" w:rsidP="00AC4535">
            <w:pPr>
              <w:keepNext/>
              <w:keepLines/>
              <w:spacing w:before="40" w:after="40" w:line="240" w:lineRule="auto"/>
              <w:rPr>
                <w:rFonts w:asciiTheme="minorHAnsi" w:hAnsiTheme="minorHAnsi" w:cs="Arial"/>
                <w:b/>
                <w:bCs/>
                <w:color w:val="000000"/>
                <w:sz w:val="18"/>
                <w:szCs w:val="18"/>
              </w:rPr>
            </w:pPr>
            <w:r w:rsidRPr="00B47695">
              <w:rPr>
                <w:rFonts w:asciiTheme="minorHAnsi" w:hAnsiTheme="minorHAnsi" w:cs="Arial"/>
                <w:b/>
                <w:bCs/>
                <w:color w:val="000000"/>
                <w:sz w:val="18"/>
                <w:szCs w:val="18"/>
              </w:rPr>
              <w:t>Import resources</w:t>
            </w:r>
          </w:p>
        </w:tc>
        <w:tc>
          <w:tcPr>
            <w:tcW w:w="720" w:type="dxa"/>
            <w:shd w:val="clear" w:color="auto" w:fill="auto"/>
            <w:noWrap/>
            <w:tcMar>
              <w:left w:w="0" w:type="dxa"/>
              <w:right w:w="115" w:type="dxa"/>
            </w:tcMar>
            <w:vAlign w:val="center"/>
            <w:hideMark/>
          </w:tcPr>
          <w:p w:rsidR="00B47695" w:rsidRPr="00B47695" w:rsidRDefault="00B47695" w:rsidP="00AC4535">
            <w:pPr>
              <w:keepNext/>
              <w:keepLines/>
              <w:spacing w:before="40" w:after="40" w:line="240" w:lineRule="auto"/>
              <w:jc w:val="right"/>
              <w:rPr>
                <w:rFonts w:asciiTheme="minorHAnsi" w:hAnsiTheme="minorHAnsi" w:cs="Arial"/>
                <w:bCs/>
                <w:color w:val="000000"/>
                <w:sz w:val="18"/>
                <w:szCs w:val="18"/>
              </w:rPr>
            </w:pPr>
            <w:r w:rsidRPr="00B47695">
              <w:rPr>
                <w:rFonts w:asciiTheme="minorHAnsi" w:hAnsiTheme="minorHAnsi" w:cs="Arial"/>
                <w:bCs/>
                <w:color w:val="000000"/>
                <w:sz w:val="18"/>
                <w:szCs w:val="18"/>
              </w:rPr>
              <w:t>0</w:t>
            </w:r>
          </w:p>
        </w:tc>
        <w:tc>
          <w:tcPr>
            <w:tcW w:w="720" w:type="dxa"/>
            <w:shd w:val="clear" w:color="auto" w:fill="auto"/>
            <w:noWrap/>
            <w:tcMar>
              <w:left w:w="0" w:type="dxa"/>
              <w:right w:w="115" w:type="dxa"/>
            </w:tcMar>
            <w:vAlign w:val="center"/>
            <w:hideMark/>
          </w:tcPr>
          <w:p w:rsidR="00B47695" w:rsidRPr="00B47695" w:rsidRDefault="00B47695" w:rsidP="00AC4535">
            <w:pPr>
              <w:keepNext/>
              <w:keepLines/>
              <w:spacing w:before="40" w:after="40" w:line="240" w:lineRule="auto"/>
              <w:jc w:val="right"/>
              <w:rPr>
                <w:rFonts w:asciiTheme="minorHAnsi" w:hAnsiTheme="minorHAnsi" w:cs="Arial"/>
                <w:bCs/>
                <w:color w:val="000000"/>
                <w:sz w:val="18"/>
                <w:szCs w:val="18"/>
              </w:rPr>
            </w:pPr>
            <w:r w:rsidRPr="00B47695">
              <w:rPr>
                <w:rFonts w:asciiTheme="minorHAnsi" w:hAnsiTheme="minorHAnsi" w:cs="Arial"/>
                <w:bCs/>
                <w:color w:val="000000"/>
                <w:sz w:val="18"/>
                <w:szCs w:val="18"/>
              </w:rPr>
              <w:t>1,529</w:t>
            </w:r>
          </w:p>
        </w:tc>
        <w:tc>
          <w:tcPr>
            <w:tcW w:w="720" w:type="dxa"/>
            <w:shd w:val="clear" w:color="auto" w:fill="auto"/>
            <w:noWrap/>
            <w:tcMar>
              <w:left w:w="0" w:type="dxa"/>
              <w:right w:w="115" w:type="dxa"/>
            </w:tcMar>
            <w:vAlign w:val="center"/>
            <w:hideMark/>
          </w:tcPr>
          <w:p w:rsidR="00B47695" w:rsidRPr="00B47695" w:rsidRDefault="00B47695" w:rsidP="00AC4535">
            <w:pPr>
              <w:keepNext/>
              <w:keepLines/>
              <w:spacing w:before="40" w:after="40" w:line="240" w:lineRule="auto"/>
              <w:jc w:val="right"/>
              <w:rPr>
                <w:rFonts w:asciiTheme="minorHAnsi" w:hAnsiTheme="minorHAnsi" w:cs="Arial"/>
                <w:bCs/>
                <w:color w:val="000000"/>
                <w:sz w:val="18"/>
                <w:szCs w:val="18"/>
              </w:rPr>
            </w:pPr>
            <w:r w:rsidRPr="00B47695">
              <w:rPr>
                <w:rFonts w:asciiTheme="minorHAnsi" w:hAnsiTheme="minorHAnsi" w:cs="Arial"/>
                <w:bCs/>
                <w:color w:val="000000"/>
                <w:sz w:val="18"/>
                <w:szCs w:val="18"/>
              </w:rPr>
              <w:t>817</w:t>
            </w:r>
          </w:p>
        </w:tc>
        <w:tc>
          <w:tcPr>
            <w:tcW w:w="720" w:type="dxa"/>
            <w:shd w:val="clear" w:color="auto" w:fill="auto"/>
            <w:noWrap/>
            <w:tcMar>
              <w:left w:w="0" w:type="dxa"/>
              <w:right w:w="115" w:type="dxa"/>
            </w:tcMar>
            <w:vAlign w:val="center"/>
            <w:hideMark/>
          </w:tcPr>
          <w:p w:rsidR="00B47695" w:rsidRPr="00B47695" w:rsidRDefault="00B47695" w:rsidP="00AC4535">
            <w:pPr>
              <w:keepNext/>
              <w:keepLines/>
              <w:spacing w:before="40" w:after="40" w:line="240" w:lineRule="auto"/>
              <w:jc w:val="right"/>
              <w:rPr>
                <w:rFonts w:asciiTheme="minorHAnsi" w:hAnsiTheme="minorHAnsi" w:cs="Arial"/>
                <w:bCs/>
                <w:color w:val="000000"/>
                <w:sz w:val="18"/>
                <w:szCs w:val="18"/>
              </w:rPr>
            </w:pPr>
            <w:r w:rsidRPr="00B47695">
              <w:rPr>
                <w:rFonts w:asciiTheme="minorHAnsi" w:hAnsiTheme="minorHAnsi" w:cs="Arial"/>
                <w:bCs/>
                <w:color w:val="000000"/>
                <w:sz w:val="18"/>
                <w:szCs w:val="18"/>
              </w:rPr>
              <w:t>831</w:t>
            </w:r>
          </w:p>
        </w:tc>
        <w:tc>
          <w:tcPr>
            <w:tcW w:w="720" w:type="dxa"/>
            <w:tcMar>
              <w:left w:w="0" w:type="dxa"/>
              <w:right w:w="115" w:type="dxa"/>
            </w:tcMar>
            <w:vAlign w:val="center"/>
          </w:tcPr>
          <w:p w:rsidR="00B47695" w:rsidRPr="00B47695" w:rsidRDefault="00B47695" w:rsidP="00AC4535">
            <w:pPr>
              <w:keepNext/>
              <w:keepLines/>
              <w:spacing w:before="40" w:after="40" w:line="240" w:lineRule="auto"/>
              <w:jc w:val="right"/>
              <w:rPr>
                <w:rFonts w:asciiTheme="minorHAnsi" w:eastAsia="Arial" w:hAnsiTheme="minorHAnsi" w:cs="Arial"/>
                <w:bCs/>
                <w:color w:val="000000"/>
                <w:sz w:val="18"/>
                <w:szCs w:val="18"/>
              </w:rPr>
            </w:pPr>
            <w:r w:rsidRPr="00B47695">
              <w:rPr>
                <w:rFonts w:asciiTheme="minorHAnsi" w:hAnsiTheme="minorHAnsi" w:cs="Arial"/>
                <w:bCs/>
                <w:color w:val="000000"/>
                <w:sz w:val="18"/>
                <w:szCs w:val="18"/>
              </w:rPr>
              <w:t>871</w:t>
            </w:r>
          </w:p>
        </w:tc>
        <w:tc>
          <w:tcPr>
            <w:tcW w:w="720" w:type="dxa"/>
            <w:tcMar>
              <w:right w:w="115" w:type="dxa"/>
            </w:tcMar>
            <w:vAlign w:val="center"/>
          </w:tcPr>
          <w:p w:rsidR="00B47695" w:rsidRPr="00B47695" w:rsidRDefault="00B47695" w:rsidP="00AC4535">
            <w:pPr>
              <w:keepNext/>
              <w:keepLines/>
              <w:spacing w:before="40" w:after="40" w:line="240" w:lineRule="auto"/>
              <w:jc w:val="right"/>
              <w:rPr>
                <w:rFonts w:asciiTheme="minorHAnsi" w:hAnsiTheme="minorHAnsi" w:cs="Arial"/>
                <w:bCs/>
                <w:color w:val="000000"/>
                <w:sz w:val="18"/>
                <w:szCs w:val="18"/>
              </w:rPr>
            </w:pPr>
            <w:r w:rsidRPr="00B47695">
              <w:rPr>
                <w:rFonts w:asciiTheme="minorHAnsi" w:hAnsiTheme="minorHAnsi" w:cs="Arial"/>
                <w:bCs/>
                <w:color w:val="000000"/>
                <w:sz w:val="18"/>
                <w:szCs w:val="18"/>
              </w:rPr>
              <w:t>1,648</w:t>
            </w:r>
          </w:p>
        </w:tc>
        <w:tc>
          <w:tcPr>
            <w:tcW w:w="720" w:type="dxa"/>
            <w:tcMar>
              <w:right w:w="115" w:type="dxa"/>
            </w:tcMar>
            <w:vAlign w:val="center"/>
          </w:tcPr>
          <w:p w:rsidR="00B47695" w:rsidRPr="00B47695" w:rsidRDefault="00B47695" w:rsidP="00AC4535">
            <w:pPr>
              <w:keepNext/>
              <w:keepLines/>
              <w:spacing w:before="40" w:after="40" w:line="240" w:lineRule="auto"/>
              <w:jc w:val="right"/>
              <w:rPr>
                <w:rFonts w:asciiTheme="minorHAnsi" w:hAnsiTheme="minorHAnsi" w:cs="Arial"/>
                <w:bCs/>
                <w:color w:val="000000"/>
                <w:sz w:val="18"/>
                <w:szCs w:val="18"/>
              </w:rPr>
            </w:pPr>
            <w:r w:rsidRPr="00B47695">
              <w:rPr>
                <w:rFonts w:asciiTheme="minorHAnsi" w:hAnsiTheme="minorHAnsi" w:cs="Arial"/>
                <w:bCs/>
                <w:color w:val="000000"/>
                <w:sz w:val="18"/>
                <w:szCs w:val="18"/>
              </w:rPr>
              <w:t>1,718</w:t>
            </w:r>
          </w:p>
        </w:tc>
        <w:tc>
          <w:tcPr>
            <w:tcW w:w="720" w:type="dxa"/>
            <w:tcMar>
              <w:right w:w="115" w:type="dxa"/>
            </w:tcMar>
            <w:vAlign w:val="center"/>
          </w:tcPr>
          <w:p w:rsidR="00B47695" w:rsidRPr="00B47695" w:rsidRDefault="00B47695" w:rsidP="00AC4535">
            <w:pPr>
              <w:keepNext/>
              <w:keepLines/>
              <w:spacing w:before="40" w:after="40" w:line="240" w:lineRule="auto"/>
              <w:jc w:val="right"/>
              <w:rPr>
                <w:rFonts w:asciiTheme="minorHAnsi" w:hAnsiTheme="minorHAnsi" w:cs="Arial"/>
                <w:bCs/>
                <w:color w:val="000000"/>
                <w:sz w:val="18"/>
                <w:szCs w:val="18"/>
              </w:rPr>
            </w:pPr>
            <w:r w:rsidRPr="00B47695">
              <w:rPr>
                <w:rFonts w:asciiTheme="minorHAnsi" w:hAnsiTheme="minorHAnsi" w:cs="Arial"/>
                <w:bCs/>
                <w:color w:val="000000"/>
                <w:sz w:val="18"/>
                <w:szCs w:val="18"/>
              </w:rPr>
              <w:t>1,154</w:t>
            </w:r>
          </w:p>
        </w:tc>
        <w:tc>
          <w:tcPr>
            <w:tcW w:w="720" w:type="dxa"/>
            <w:tcMar>
              <w:right w:w="115" w:type="dxa"/>
            </w:tcMar>
            <w:vAlign w:val="center"/>
          </w:tcPr>
          <w:p w:rsidR="00B47695" w:rsidRPr="00B47695" w:rsidRDefault="00B47695" w:rsidP="00AC4535">
            <w:pPr>
              <w:keepNext/>
              <w:keepLines/>
              <w:spacing w:before="40" w:after="40" w:line="240" w:lineRule="auto"/>
              <w:jc w:val="right"/>
              <w:rPr>
                <w:rFonts w:asciiTheme="minorHAnsi" w:hAnsiTheme="minorHAnsi" w:cs="Arial"/>
                <w:bCs/>
                <w:color w:val="000000"/>
                <w:sz w:val="18"/>
                <w:szCs w:val="18"/>
              </w:rPr>
            </w:pPr>
            <w:r w:rsidRPr="00B47695">
              <w:rPr>
                <w:rFonts w:asciiTheme="minorHAnsi" w:hAnsiTheme="minorHAnsi" w:cs="Arial"/>
                <w:bCs/>
                <w:color w:val="000000"/>
                <w:sz w:val="18"/>
                <w:szCs w:val="18"/>
              </w:rPr>
              <w:t>1,360</w:t>
            </w:r>
          </w:p>
        </w:tc>
        <w:tc>
          <w:tcPr>
            <w:tcW w:w="720" w:type="dxa"/>
            <w:vAlign w:val="center"/>
          </w:tcPr>
          <w:p w:rsidR="00B47695" w:rsidRPr="00B47695" w:rsidRDefault="00B47695" w:rsidP="00AC4535">
            <w:pPr>
              <w:keepNext/>
              <w:keepLines/>
              <w:spacing w:before="40" w:after="40" w:line="240" w:lineRule="auto"/>
              <w:jc w:val="right"/>
              <w:rPr>
                <w:rFonts w:asciiTheme="minorHAnsi" w:hAnsiTheme="minorHAnsi" w:cs="Arial"/>
                <w:bCs/>
                <w:color w:val="000000"/>
                <w:sz w:val="18"/>
                <w:szCs w:val="18"/>
              </w:rPr>
            </w:pPr>
            <w:r w:rsidRPr="00B47695">
              <w:rPr>
                <w:rFonts w:asciiTheme="minorHAnsi" w:hAnsiTheme="minorHAnsi" w:cs="Arial"/>
                <w:bCs/>
                <w:color w:val="000000"/>
                <w:sz w:val="18"/>
                <w:szCs w:val="18"/>
              </w:rPr>
              <w:t>1,361</w:t>
            </w:r>
          </w:p>
        </w:tc>
        <w:tc>
          <w:tcPr>
            <w:tcW w:w="720" w:type="dxa"/>
            <w:vAlign w:val="center"/>
          </w:tcPr>
          <w:p w:rsidR="00B47695" w:rsidRPr="00B47695" w:rsidRDefault="00B47695" w:rsidP="00AC4535">
            <w:pPr>
              <w:keepNext/>
              <w:keepLines/>
              <w:spacing w:before="40" w:after="40" w:line="240" w:lineRule="auto"/>
              <w:jc w:val="right"/>
              <w:rPr>
                <w:rFonts w:asciiTheme="minorHAnsi" w:hAnsiTheme="minorHAnsi" w:cs="Arial"/>
                <w:bCs/>
                <w:color w:val="000000"/>
                <w:sz w:val="18"/>
                <w:szCs w:val="18"/>
              </w:rPr>
            </w:pPr>
            <w:r w:rsidRPr="00B47695">
              <w:rPr>
                <w:rFonts w:asciiTheme="minorHAnsi" w:hAnsiTheme="minorHAnsi" w:cs="Arial"/>
                <w:bCs/>
                <w:color w:val="000000"/>
                <w:sz w:val="18"/>
                <w:szCs w:val="18"/>
              </w:rPr>
              <w:t>1,153</w:t>
            </w:r>
          </w:p>
        </w:tc>
      </w:tr>
    </w:tbl>
    <w:p w:rsidR="00B47695" w:rsidRPr="00B47695" w:rsidRDefault="00B47695" w:rsidP="00DB6C36">
      <w:pPr>
        <w:keepNext/>
        <w:keepLines/>
        <w:numPr>
          <w:ilvl w:val="4"/>
          <w:numId w:val="37"/>
        </w:numPr>
        <w:tabs>
          <w:tab w:val="left" w:pos="-720"/>
        </w:tabs>
        <w:spacing w:before="120" w:after="80" w:line="240" w:lineRule="auto"/>
        <w:ind w:left="-270" w:right="-540" w:hanging="270"/>
        <w:rPr>
          <w:rFonts w:asciiTheme="minorHAnsi" w:eastAsia="Times New Roman" w:hAnsiTheme="minorHAnsi" w:cs="Arial"/>
          <w:sz w:val="16"/>
          <w:szCs w:val="16"/>
        </w:rPr>
      </w:pPr>
      <w:r w:rsidRPr="00B47695">
        <w:rPr>
          <w:rFonts w:asciiTheme="minorHAnsi" w:eastAsia="Times New Roman" w:hAnsiTheme="minorHAnsi" w:cs="Arial"/>
          <w:sz w:val="16"/>
          <w:szCs w:val="16"/>
        </w:rPr>
        <w:t xml:space="preserve">New RTEG capacity is not included in the table values because the FCA treated it as existing capacity. Repowered existing generating capacity (i.e., capacity that has undergone environmental upgrades), which is treated as new capacity in the FCA, has been removed as well. Refer to the full auction results at </w:t>
      </w:r>
      <w:hyperlink r:id="rId42" w:history="1">
        <w:r w:rsidRPr="00B47695">
          <w:rPr>
            <w:rFonts w:asciiTheme="minorHAnsi" w:eastAsia="Times New Roman" w:hAnsiTheme="minorHAnsi" w:cs="Arial"/>
            <w:sz w:val="16"/>
            <w:szCs w:val="16"/>
          </w:rPr>
          <w:t>http://www.iso-ne.com/isoexpress/web/reports/auctions/-/tree/fcm-auction-results</w:t>
        </w:r>
      </w:hyperlink>
      <w:r w:rsidRPr="00B47695">
        <w:rPr>
          <w:rFonts w:asciiTheme="minorHAnsi" w:eastAsia="Times New Roman" w:hAnsiTheme="minorHAnsi" w:cs="Arial"/>
          <w:sz w:val="16"/>
          <w:szCs w:val="16"/>
        </w:rPr>
        <w:t>.</w:t>
      </w:r>
    </w:p>
    <w:p w:rsidR="00B47695" w:rsidRPr="00B47695" w:rsidRDefault="00B47695" w:rsidP="00DB6C36">
      <w:pPr>
        <w:keepNext/>
        <w:keepLines/>
        <w:numPr>
          <w:ilvl w:val="4"/>
          <w:numId w:val="37"/>
        </w:numPr>
        <w:tabs>
          <w:tab w:val="left" w:pos="-720"/>
        </w:tabs>
        <w:spacing w:after="80" w:line="240" w:lineRule="auto"/>
        <w:ind w:left="-270" w:right="-540" w:hanging="270"/>
        <w:rPr>
          <w:rFonts w:asciiTheme="minorHAnsi" w:eastAsia="Times New Roman" w:hAnsiTheme="minorHAnsi" w:cs="Arial"/>
          <w:sz w:val="16"/>
          <w:szCs w:val="16"/>
        </w:rPr>
      </w:pPr>
      <w:bookmarkStart w:id="344" w:name="_Ref334017426"/>
      <w:bookmarkStart w:id="345" w:name="_Toc334601029"/>
      <w:bookmarkStart w:id="346" w:name="_Toc239157068"/>
      <w:bookmarkStart w:id="347" w:name="_Toc271632223"/>
      <w:bookmarkStart w:id="348" w:name="_Ref301440924"/>
      <w:bookmarkStart w:id="349" w:name="_Toc303086381"/>
      <w:r w:rsidRPr="00B47695">
        <w:rPr>
          <w:rFonts w:asciiTheme="minorHAnsi" w:eastAsia="Times New Roman" w:hAnsiTheme="minorHAnsi" w:cs="Arial"/>
          <w:sz w:val="16"/>
          <w:szCs w:val="16"/>
        </w:rPr>
        <w:t xml:space="preserve">Full listings of all new and existing resources that qualified to participate in each of the FCAs is available in the Forward Capacity Obligations spreadsheets at </w:t>
      </w:r>
      <w:hyperlink r:id="rId43" w:history="1">
        <w:r w:rsidRPr="00B47695">
          <w:rPr>
            <w:rFonts w:asciiTheme="minorHAnsi" w:eastAsia="Times New Roman" w:hAnsiTheme="minorHAnsi" w:cs="Arial"/>
            <w:sz w:val="16"/>
            <w:szCs w:val="16"/>
          </w:rPr>
          <w:t>https://www.iso-ne.com/isoexpress/web/reports/auctions/-/tree/fca-results</w:t>
        </w:r>
      </w:hyperlink>
      <w:r w:rsidRPr="00B47695">
        <w:rPr>
          <w:rFonts w:asciiTheme="minorHAnsi" w:eastAsia="Times New Roman" w:hAnsiTheme="minorHAnsi" w:cs="Arial"/>
          <w:sz w:val="16"/>
          <w:szCs w:val="16"/>
        </w:rPr>
        <w:t xml:space="preserve">. In addition, updated summaries of CSOs by resource type for each commitment period are provided monthly in the NEPOOL Participants Committee COO Reports at </w:t>
      </w:r>
      <w:hyperlink r:id="rId44" w:history="1">
        <w:r w:rsidRPr="00850662">
          <w:rPr>
            <w:rStyle w:val="Hyperlink"/>
            <w:rFonts w:asciiTheme="minorHAnsi" w:eastAsia="Times New Roman" w:hAnsiTheme="minorHAnsi" w:cs="Arial"/>
            <w:sz w:val="16"/>
            <w:szCs w:val="16"/>
          </w:rPr>
          <w:t>https://www.iso-ne.com/committees/participants/participants-committee</w:t>
        </w:r>
      </w:hyperlink>
      <w:r w:rsidRPr="00B47695">
        <w:rPr>
          <w:rFonts w:asciiTheme="minorHAnsi" w:eastAsia="Times New Roman" w:hAnsiTheme="minorHAnsi" w:cs="Arial"/>
          <w:sz w:val="16"/>
          <w:szCs w:val="16"/>
        </w:rPr>
        <w:t>.</w:t>
      </w:r>
    </w:p>
    <w:p w:rsidR="00B47695" w:rsidRPr="00B47695" w:rsidRDefault="00B47695" w:rsidP="00B47695">
      <w:pPr>
        <w:autoSpaceDE w:val="0"/>
        <w:autoSpaceDN w:val="0"/>
        <w:adjustRightInd w:val="0"/>
        <w:spacing w:after="0" w:line="240" w:lineRule="auto"/>
        <w:rPr>
          <w:rFonts w:asciiTheme="majorHAnsi" w:hAnsiTheme="majorHAnsi"/>
          <w:color w:val="252525"/>
        </w:rPr>
      </w:pPr>
    </w:p>
    <w:p w:rsidR="00B47695" w:rsidRPr="00B47695" w:rsidRDefault="00B47695" w:rsidP="009413A6">
      <w:pPr>
        <w:pStyle w:val="Heading4"/>
      </w:pPr>
      <w:bookmarkStart w:id="350" w:name="_Ref418687379"/>
      <w:r w:rsidRPr="00B47695">
        <w:t>Summary of New Capacity and Delist Bids</w:t>
      </w:r>
      <w:bookmarkEnd w:id="350"/>
    </w:p>
    <w:p w:rsidR="00B47695" w:rsidRPr="00B47695" w:rsidRDefault="00B47695" w:rsidP="00B47695">
      <w:pPr>
        <w:rPr>
          <w:i/>
        </w:rPr>
      </w:pPr>
      <w:r w:rsidRPr="00B47695">
        <w:t>As part of the FCM rules, the ISO reviews each delist bid and retirement request to determine whether the capacity associated with the delist bid or retirement is needed for the reliability of the New England electric power system.</w:t>
      </w:r>
      <w:r w:rsidRPr="00B47695">
        <w:rPr>
          <w:vertAlign w:val="superscript"/>
        </w:rPr>
        <w:footnoteReference w:id="96"/>
      </w:r>
      <w:r w:rsidRPr="00B47695">
        <w:t xml:space="preserve"> All reviews are performed in accordance with Planning Procedure No. 10 (</w:t>
      </w:r>
      <w:r w:rsidR="00AC4535" w:rsidRPr="00B47695">
        <w:t>PP</w:t>
      </w:r>
      <w:r w:rsidR="00AC4535">
        <w:t> </w:t>
      </w:r>
      <w:r w:rsidRPr="00B47695">
        <w:t xml:space="preserve">10), </w:t>
      </w:r>
      <w:r w:rsidRPr="00B47695">
        <w:rPr>
          <w:i/>
        </w:rPr>
        <w:t>Planning Procedure to Support the Forward Capacity Market.</w:t>
      </w:r>
      <w:r w:rsidRPr="00B47695">
        <w:rPr>
          <w:i/>
          <w:vertAlign w:val="superscript"/>
        </w:rPr>
        <w:footnoteReference w:id="97"/>
      </w:r>
      <w:r w:rsidRPr="00B47695">
        <w:rPr>
          <w:i/>
        </w:rPr>
        <w:t xml:space="preserve"> </w:t>
      </w:r>
    </w:p>
    <w:p w:rsidR="00B47695" w:rsidRPr="00B47695" w:rsidRDefault="00B47695" w:rsidP="00B47695">
      <w:pPr>
        <w:rPr>
          <w:rFonts w:asciiTheme="majorHAnsi" w:hAnsiTheme="majorHAnsi"/>
        </w:rPr>
      </w:pPr>
      <w:r w:rsidRPr="00B47695">
        <w:lastRenderedPageBreak/>
        <w:t>Static and dynamic delist bids are priced requests to remove capacity from the market for a single year.</w:t>
      </w:r>
      <w:r w:rsidRPr="00B47695">
        <w:rPr>
          <w:vertAlign w:val="superscript"/>
        </w:rPr>
        <w:footnoteReference w:id="98"/>
      </w:r>
      <w:r w:rsidRPr="00B47695">
        <w:t xml:space="preserve"> Retirements and delist bid requests have influenced prices in the Forward Capacity Market and thereby provide incentives for new resources to be built</w:t>
      </w:r>
      <w:r w:rsidRPr="00B47695">
        <w:rPr>
          <w:rFonts w:asciiTheme="majorHAnsi" w:hAnsiTheme="majorHAnsi"/>
        </w:rPr>
        <w:t>.</w:t>
      </w:r>
    </w:p>
    <w:p w:rsidR="00B47695" w:rsidRPr="00B47695" w:rsidRDefault="00B47695" w:rsidP="00181D58">
      <w:r w:rsidRPr="00F94274">
        <w:t>More than 5,</w:t>
      </w:r>
      <w:r w:rsidR="00F94274" w:rsidRPr="008531AA">
        <w:t>7</w:t>
      </w:r>
      <w:r w:rsidRPr="00F94274">
        <w:t>00 MW of generation and demand-response capacity has retired or will retire in less than five years.</w:t>
      </w:r>
      <w:r w:rsidRPr="00F94274">
        <w:rPr>
          <w:vertAlign w:val="superscript"/>
        </w:rPr>
        <w:footnoteReference w:id="99"/>
      </w:r>
      <w:r w:rsidRPr="00F94274">
        <w:rPr>
          <w:vertAlign w:val="superscript"/>
        </w:rPr>
        <w:t xml:space="preserve"> </w:t>
      </w:r>
      <w:r w:rsidRPr="00F94274">
        <w:t>The ISO evaluates the effect of potential retirements on the system as well as the potential</w:t>
      </w:r>
      <w:r w:rsidRPr="00B47695">
        <w:t xml:space="preserve"> impact to the Forward Capacity Market. In general,</w:t>
      </w:r>
      <w:r w:rsidRPr="00B47695">
        <w:rPr>
          <w:rFonts w:asciiTheme="majorHAnsi" w:hAnsiTheme="majorHAnsi"/>
        </w:rPr>
        <w:t xml:space="preserve"> </w:t>
      </w:r>
      <w:r w:rsidRPr="00B47695">
        <w:t>new generation resources have been typically clearing within one to two auctions in response to major retirements on the system, while new demand</w:t>
      </w:r>
      <w:r w:rsidR="00EE4205">
        <w:t xml:space="preserve"> </w:t>
      </w:r>
      <w:r w:rsidRPr="00B47695">
        <w:t xml:space="preserve">resources have been clearing at relatively the same levels regardless of retirements. A trend </w:t>
      </w:r>
      <w:r w:rsidRPr="00B47695">
        <w:rPr>
          <w:rFonts w:asciiTheme="majorHAnsi" w:hAnsiTheme="majorHAnsi"/>
        </w:rPr>
        <w:t>s</w:t>
      </w:r>
      <w:r w:rsidRPr="00B47695">
        <w:t>tarting with FCA #</w:t>
      </w:r>
      <w:r w:rsidR="00877D79">
        <w:t>7</w:t>
      </w:r>
      <w:r w:rsidRPr="00B47695">
        <w:t xml:space="preserve"> has been to install flexible, fast start generation, such as gas-fired combined-cycles plants (</w:t>
      </w:r>
      <w:r w:rsidR="008B7C6A">
        <w:t>2,368</w:t>
      </w:r>
      <w:r w:rsidR="00877D79">
        <w:t> </w:t>
      </w:r>
      <w:r w:rsidRPr="00B47695">
        <w:t xml:space="preserve">MW) and large gas-fired combustion turbines (618 MW). </w:t>
      </w:r>
      <w:r w:rsidRPr="00B47695">
        <w:fldChar w:fldCharType="begin"/>
      </w:r>
      <w:r w:rsidRPr="00B47695">
        <w:instrText xml:space="preserve"> REF _Ref417474275 \h  \* MERGEFORMAT </w:instrText>
      </w:r>
      <w:r w:rsidRPr="00B47695">
        <w:fldChar w:fldCharType="separate"/>
      </w:r>
      <w:r w:rsidR="00314781" w:rsidRPr="000162C8">
        <w:rPr>
          <w:bCs/>
          <w:szCs w:val="18"/>
        </w:rPr>
        <w:t xml:space="preserve">Figure </w:t>
      </w:r>
      <w:r w:rsidR="00314781" w:rsidRPr="000162C8">
        <w:rPr>
          <w:bCs/>
          <w:noProof/>
          <w:szCs w:val="18"/>
        </w:rPr>
        <w:t>4</w:t>
      </w:r>
      <w:r w:rsidR="00314781" w:rsidRPr="000162C8">
        <w:rPr>
          <w:bCs/>
          <w:noProof/>
          <w:szCs w:val="18"/>
        </w:rPr>
        <w:noBreakHyphen/>
        <w:t>1</w:t>
      </w:r>
      <w:r w:rsidRPr="00B47695">
        <w:fldChar w:fldCharType="end"/>
      </w:r>
      <w:r w:rsidRPr="00B47695">
        <w:t xml:space="preserve"> shows the amount of new generation and demand resources participating in the FCM and receiving CSOs and </w:t>
      </w:r>
      <w:r w:rsidR="00181D58">
        <w:t xml:space="preserve">those </w:t>
      </w:r>
      <w:r w:rsidRPr="00B47695">
        <w:t>resources, including demand resources, that chose to retire.</w:t>
      </w:r>
      <w:r w:rsidRPr="00B47695">
        <w:rPr>
          <w:vertAlign w:val="superscript"/>
        </w:rPr>
        <w:footnoteReference w:id="100"/>
      </w:r>
    </w:p>
    <w:p w:rsidR="00B47695" w:rsidRPr="00B47695" w:rsidRDefault="00B47695" w:rsidP="00B47695">
      <w:pPr>
        <w:keepNext/>
        <w:spacing w:after="0" w:line="240" w:lineRule="auto"/>
        <w:jc w:val="center"/>
      </w:pPr>
    </w:p>
    <w:p w:rsidR="00B47695" w:rsidRPr="00B47695" w:rsidRDefault="00B47695" w:rsidP="00AC4535">
      <w:pPr>
        <w:keepNext/>
        <w:keepLines/>
        <w:spacing w:after="0" w:line="240" w:lineRule="auto"/>
        <w:jc w:val="center"/>
      </w:pPr>
      <w:r w:rsidRPr="00B47695">
        <w:rPr>
          <w:noProof/>
        </w:rPr>
        <w:drawing>
          <wp:inline distT="0" distB="0" distL="0" distR="0" wp14:anchorId="651F3E12" wp14:editId="7A9D2748">
            <wp:extent cx="4596023" cy="267306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602001" cy="2676537"/>
                    </a:xfrm>
                    <a:prstGeom prst="rect">
                      <a:avLst/>
                    </a:prstGeom>
                    <a:noFill/>
                    <a:ln>
                      <a:noFill/>
                    </a:ln>
                  </pic:spPr>
                </pic:pic>
              </a:graphicData>
            </a:graphic>
          </wp:inline>
        </w:drawing>
      </w:r>
    </w:p>
    <w:p w:rsidR="00B47695" w:rsidRPr="00B47695" w:rsidRDefault="00B47695" w:rsidP="00AC4535">
      <w:pPr>
        <w:keepNext/>
        <w:keepLines/>
        <w:tabs>
          <w:tab w:val="left" w:pos="810"/>
          <w:tab w:val="left" w:pos="900"/>
          <w:tab w:val="left" w:pos="8280"/>
        </w:tabs>
        <w:spacing w:before="120" w:after="80" w:line="240" w:lineRule="auto"/>
        <w:ind w:left="810" w:right="806"/>
        <w:rPr>
          <w:rFonts w:ascii="Calibri" w:hAnsi="Calibri"/>
          <w:b/>
          <w:bCs/>
          <w:szCs w:val="18"/>
        </w:rPr>
      </w:pPr>
      <w:bookmarkStart w:id="351" w:name="_Ref417474275"/>
      <w:bookmarkStart w:id="352" w:name="_Toc481053274"/>
      <w:bookmarkStart w:id="353" w:name="_Toc486233203"/>
      <w:r w:rsidRPr="00B47695">
        <w:rPr>
          <w:rFonts w:ascii="Calibri" w:hAnsi="Calibri"/>
          <w:b/>
          <w:bCs/>
          <w:szCs w:val="18"/>
        </w:rPr>
        <w:t xml:space="preserve">Figure </w:t>
      </w:r>
      <w:r w:rsidRPr="00B47695">
        <w:rPr>
          <w:rFonts w:ascii="Calibri" w:hAnsi="Calibri"/>
          <w:b/>
          <w:bCs/>
          <w:szCs w:val="18"/>
        </w:rPr>
        <w:fldChar w:fldCharType="begin"/>
      </w:r>
      <w:r w:rsidRPr="00B47695">
        <w:rPr>
          <w:rFonts w:ascii="Calibri" w:hAnsi="Calibri"/>
          <w:b/>
          <w:bCs/>
          <w:szCs w:val="18"/>
        </w:rPr>
        <w:instrText xml:space="preserve"> STYLEREF 1 \s </w:instrText>
      </w:r>
      <w:r w:rsidRPr="00B47695">
        <w:rPr>
          <w:rFonts w:ascii="Calibri" w:hAnsi="Calibri"/>
          <w:b/>
          <w:bCs/>
          <w:szCs w:val="18"/>
        </w:rPr>
        <w:fldChar w:fldCharType="separate"/>
      </w:r>
      <w:r w:rsidR="00314781">
        <w:rPr>
          <w:rFonts w:ascii="Calibri" w:hAnsi="Calibri"/>
          <w:b/>
          <w:bCs/>
          <w:noProof/>
          <w:szCs w:val="18"/>
        </w:rPr>
        <w:t>4</w:t>
      </w:r>
      <w:r w:rsidRPr="00B47695">
        <w:rPr>
          <w:rFonts w:ascii="Calibri" w:hAnsi="Calibri"/>
          <w:b/>
          <w:bCs/>
          <w:szCs w:val="18"/>
        </w:rPr>
        <w:fldChar w:fldCharType="end"/>
      </w:r>
      <w:r w:rsidRPr="00B47695">
        <w:rPr>
          <w:rFonts w:ascii="Calibri" w:hAnsi="Calibri"/>
          <w:b/>
          <w:bCs/>
          <w:szCs w:val="18"/>
        </w:rPr>
        <w:noBreakHyphen/>
      </w:r>
      <w:r w:rsidRPr="00B47695">
        <w:rPr>
          <w:rFonts w:ascii="Calibri" w:hAnsi="Calibri"/>
          <w:b/>
          <w:bCs/>
          <w:szCs w:val="18"/>
        </w:rPr>
        <w:fldChar w:fldCharType="begin"/>
      </w:r>
      <w:r w:rsidRPr="00B47695">
        <w:rPr>
          <w:rFonts w:ascii="Calibri" w:hAnsi="Calibri"/>
          <w:b/>
          <w:bCs/>
          <w:szCs w:val="18"/>
        </w:rPr>
        <w:instrText xml:space="preserve"> SEQ Figure \* ARABIC \s 1 </w:instrText>
      </w:r>
      <w:r w:rsidRPr="00B47695">
        <w:rPr>
          <w:rFonts w:ascii="Calibri" w:hAnsi="Calibri"/>
          <w:b/>
          <w:bCs/>
          <w:szCs w:val="18"/>
        </w:rPr>
        <w:fldChar w:fldCharType="separate"/>
      </w:r>
      <w:r w:rsidR="00314781">
        <w:rPr>
          <w:rFonts w:ascii="Calibri" w:hAnsi="Calibri"/>
          <w:b/>
          <w:bCs/>
          <w:noProof/>
          <w:szCs w:val="18"/>
        </w:rPr>
        <w:t>1</w:t>
      </w:r>
      <w:r w:rsidRPr="00B47695">
        <w:rPr>
          <w:rFonts w:ascii="Calibri" w:hAnsi="Calibri"/>
          <w:b/>
          <w:bCs/>
          <w:szCs w:val="18"/>
        </w:rPr>
        <w:fldChar w:fldCharType="end"/>
      </w:r>
      <w:bookmarkEnd w:id="351"/>
      <w:r w:rsidRPr="00B47695">
        <w:rPr>
          <w:rFonts w:ascii="Calibri" w:hAnsi="Calibri"/>
          <w:b/>
          <w:bCs/>
          <w:szCs w:val="18"/>
        </w:rPr>
        <w:t>: Summary of new capacity and retirement requests for FCA #5 to FCA #11</w:t>
      </w:r>
      <w:bookmarkEnd w:id="352"/>
      <w:r w:rsidR="005B146A">
        <w:rPr>
          <w:rFonts w:ascii="Calibri" w:hAnsi="Calibri"/>
          <w:b/>
          <w:bCs/>
          <w:szCs w:val="18"/>
        </w:rPr>
        <w:t>.</w:t>
      </w:r>
      <w:bookmarkEnd w:id="353"/>
      <w:r w:rsidR="005B146A">
        <w:rPr>
          <w:rFonts w:ascii="Calibri" w:hAnsi="Calibri"/>
          <w:b/>
          <w:bCs/>
          <w:szCs w:val="18"/>
        </w:rPr>
        <w:t xml:space="preserve"> </w:t>
      </w:r>
    </w:p>
    <w:p w:rsidR="00B47695" w:rsidRPr="00B47695" w:rsidRDefault="00B47695" w:rsidP="00AC4535">
      <w:pPr>
        <w:tabs>
          <w:tab w:val="left" w:pos="90"/>
          <w:tab w:val="left" w:pos="810"/>
          <w:tab w:val="left" w:pos="900"/>
          <w:tab w:val="left" w:pos="9720"/>
        </w:tabs>
        <w:spacing w:line="240" w:lineRule="auto"/>
        <w:ind w:left="810" w:right="806"/>
        <w:rPr>
          <w:rFonts w:asciiTheme="minorHAnsi" w:eastAsia="Times New Roman" w:hAnsiTheme="minorHAnsi"/>
          <w:sz w:val="16"/>
          <w:szCs w:val="16"/>
        </w:rPr>
      </w:pPr>
      <w:r w:rsidRPr="00B47695">
        <w:rPr>
          <w:rFonts w:asciiTheme="minorHAnsi" w:eastAsia="Times New Roman" w:hAnsiTheme="minorHAnsi"/>
          <w:b/>
          <w:sz w:val="16"/>
          <w:szCs w:val="16"/>
        </w:rPr>
        <w:t>Note:</w:t>
      </w:r>
      <w:r w:rsidRPr="00B47695">
        <w:rPr>
          <w:rFonts w:asciiTheme="minorHAnsi" w:eastAsia="Times New Roman" w:hAnsiTheme="minorHAnsi"/>
          <w:sz w:val="16"/>
          <w:szCs w:val="16"/>
        </w:rPr>
        <w:t xml:space="preserve"> The new capacity and retirements may not actually occur in the indicated commitment period. Refer to </w:t>
      </w:r>
      <w:r w:rsidRPr="00B47695">
        <w:rPr>
          <w:rFonts w:asciiTheme="minorHAnsi" w:eastAsia="Times New Roman" w:hAnsiTheme="minorHAnsi"/>
          <w:sz w:val="16"/>
          <w:szCs w:val="16"/>
        </w:rPr>
        <w:fldChar w:fldCharType="begin"/>
      </w:r>
      <w:r w:rsidRPr="00B47695">
        <w:rPr>
          <w:rFonts w:asciiTheme="minorHAnsi" w:eastAsia="Times New Roman" w:hAnsiTheme="minorHAnsi"/>
          <w:sz w:val="16"/>
          <w:szCs w:val="16"/>
        </w:rPr>
        <w:instrText xml:space="preserve"> REF _Ref418680744 \h  \* MERGEFORMAT </w:instrText>
      </w:r>
      <w:r w:rsidRPr="00B47695">
        <w:rPr>
          <w:rFonts w:asciiTheme="minorHAnsi" w:eastAsia="Times New Roman" w:hAnsiTheme="minorHAnsi"/>
          <w:sz w:val="16"/>
          <w:szCs w:val="16"/>
        </w:rPr>
      </w:r>
      <w:r w:rsidRPr="00B47695">
        <w:rPr>
          <w:rFonts w:asciiTheme="minorHAnsi" w:eastAsia="Times New Roman" w:hAnsiTheme="minorHAnsi"/>
          <w:sz w:val="16"/>
          <w:szCs w:val="16"/>
        </w:rPr>
        <w:fldChar w:fldCharType="separate"/>
      </w:r>
      <w:r w:rsidR="00314781" w:rsidRPr="000162C8">
        <w:rPr>
          <w:rFonts w:ascii="Calibri" w:hAnsi="Calibri"/>
          <w:bCs/>
          <w:sz w:val="16"/>
          <w:szCs w:val="16"/>
        </w:rPr>
        <w:t xml:space="preserve">Figure </w:t>
      </w:r>
      <w:r w:rsidR="00314781" w:rsidRPr="000162C8">
        <w:rPr>
          <w:rFonts w:ascii="Calibri" w:hAnsi="Calibri"/>
          <w:bCs/>
          <w:noProof/>
          <w:sz w:val="16"/>
          <w:szCs w:val="16"/>
        </w:rPr>
        <w:t>4</w:t>
      </w:r>
      <w:r w:rsidR="00314781" w:rsidRPr="000162C8">
        <w:rPr>
          <w:rFonts w:ascii="Calibri" w:hAnsi="Calibri"/>
          <w:bCs/>
          <w:noProof/>
          <w:sz w:val="16"/>
          <w:szCs w:val="16"/>
        </w:rPr>
        <w:noBreakHyphen/>
        <w:t>2</w:t>
      </w:r>
      <w:r w:rsidRPr="00B47695">
        <w:rPr>
          <w:rFonts w:asciiTheme="minorHAnsi" w:eastAsia="Times New Roman" w:hAnsiTheme="minorHAnsi"/>
          <w:sz w:val="16"/>
          <w:szCs w:val="16"/>
        </w:rPr>
        <w:fldChar w:fldCharType="end"/>
      </w:r>
      <w:r w:rsidRPr="00B47695">
        <w:rPr>
          <w:rFonts w:asciiTheme="minorHAnsi" w:eastAsia="Times New Roman" w:hAnsiTheme="minorHAnsi"/>
          <w:sz w:val="16"/>
          <w:szCs w:val="16"/>
        </w:rPr>
        <w:t xml:space="preserve"> for actual and projected generating capacity additions and retirements.</w:t>
      </w:r>
    </w:p>
    <w:p w:rsidR="00B47695" w:rsidRPr="00B47695" w:rsidRDefault="00B47695" w:rsidP="00AC4535">
      <w:pPr>
        <w:pStyle w:val="Heading4"/>
        <w:keepNext w:val="0"/>
        <w:keepLines w:val="0"/>
      </w:pPr>
      <w:r w:rsidRPr="00B47695">
        <w:t>Representative Systemwide Resource Needs</w:t>
      </w:r>
      <w:bookmarkEnd w:id="344"/>
      <w:bookmarkEnd w:id="345"/>
    </w:p>
    <w:p w:rsidR="00B47695" w:rsidRPr="00B47695" w:rsidRDefault="00B47695" w:rsidP="00B47695">
      <w:pPr>
        <w:spacing w:after="200" w:line="276" w:lineRule="auto"/>
      </w:pPr>
      <w:r w:rsidRPr="00F749EA">
        <w:t xml:space="preserve">The representative net ICR values for future years (Section </w:t>
      </w:r>
      <w:r w:rsidR="00F749EA" w:rsidRPr="00F749EA">
        <w:fldChar w:fldCharType="begin"/>
      </w:r>
      <w:r w:rsidR="00F749EA" w:rsidRPr="00F749EA">
        <w:instrText xml:space="preserve"> REF _Ref387673339 \r \h </w:instrText>
      </w:r>
      <w:r w:rsidR="00F749EA">
        <w:instrText xml:space="preserve"> \* MERGEFORMAT </w:instrText>
      </w:r>
      <w:r w:rsidR="00F749EA" w:rsidRPr="00F749EA">
        <w:fldChar w:fldCharType="separate"/>
      </w:r>
      <w:r w:rsidR="00314781">
        <w:t>4.1.1</w:t>
      </w:r>
      <w:r w:rsidR="00F749EA" w:rsidRPr="00F749EA">
        <w:fldChar w:fldCharType="end"/>
      </w:r>
      <w:r w:rsidRPr="00F749EA">
        <w:t xml:space="preserve">) indicates the systemwide capacity needs. </w:t>
      </w:r>
      <w:r w:rsidRPr="00F749EA">
        <w:fldChar w:fldCharType="begin"/>
      </w:r>
      <w:r w:rsidRPr="00F749EA">
        <w:instrText xml:space="preserve"> REF _Ref325445701 \h  \* MERGEFORMAT </w:instrText>
      </w:r>
      <w:r w:rsidRPr="00F749EA">
        <w:fldChar w:fldCharType="separate"/>
      </w:r>
      <w:r w:rsidR="00314781" w:rsidRPr="000162C8">
        <w:rPr>
          <w:bCs/>
          <w:szCs w:val="18"/>
        </w:rPr>
        <w:t>Table 4</w:t>
      </w:r>
      <w:r w:rsidR="00314781" w:rsidRPr="000162C8">
        <w:rPr>
          <w:bCs/>
          <w:szCs w:val="18"/>
        </w:rPr>
        <w:noBreakHyphen/>
        <w:t>5</w:t>
      </w:r>
      <w:r w:rsidRPr="00F749EA">
        <w:fldChar w:fldCharType="end"/>
      </w:r>
      <w:r w:rsidRPr="00F749EA">
        <w:t xml:space="preserve"> compares these systemwide needs with the resources procured in FCA #11, accounting for the future levels of behind-the-meter PV (Section </w:t>
      </w:r>
      <w:r w:rsidR="00F749EA" w:rsidRPr="00F749EA">
        <w:fldChar w:fldCharType="begin"/>
      </w:r>
      <w:r w:rsidR="00F749EA" w:rsidRPr="00F749EA">
        <w:instrText xml:space="preserve"> REF _Ref485727402 \r \h </w:instrText>
      </w:r>
      <w:r w:rsidR="00F749EA">
        <w:instrText xml:space="preserve"> \* MERGEFORMAT </w:instrText>
      </w:r>
      <w:r w:rsidR="00F749EA" w:rsidRPr="00F749EA">
        <w:fldChar w:fldCharType="separate"/>
      </w:r>
      <w:r w:rsidR="00314781">
        <w:t>3.3.3</w:t>
      </w:r>
      <w:r w:rsidR="00F749EA" w:rsidRPr="00F749EA">
        <w:fldChar w:fldCharType="end"/>
      </w:r>
      <w:r w:rsidRPr="00F749EA">
        <w:t xml:space="preserve">), and the future levels of passive demand resources (Section </w:t>
      </w:r>
      <w:r w:rsidR="00F749EA" w:rsidRPr="00F749EA">
        <w:fldChar w:fldCharType="begin"/>
      </w:r>
      <w:r w:rsidR="00F749EA" w:rsidRPr="00F749EA">
        <w:instrText xml:space="preserve"> REF _Ref387327848 \r \h </w:instrText>
      </w:r>
      <w:r w:rsidR="00F749EA">
        <w:instrText xml:space="preserve"> \* MERGEFORMAT </w:instrText>
      </w:r>
      <w:r w:rsidR="00F749EA" w:rsidRPr="00F749EA">
        <w:fldChar w:fldCharType="separate"/>
      </w:r>
      <w:r w:rsidR="00314781">
        <w:t>3.2</w:t>
      </w:r>
      <w:r w:rsidR="00F749EA" w:rsidRPr="00F749EA">
        <w:fldChar w:fldCharType="end"/>
      </w:r>
      <w:r w:rsidRPr="00F749EA">
        <w:t xml:space="preserve">). The projection of systemwide capacity needs assumes that all resources with </w:t>
      </w:r>
      <w:r w:rsidR="00E44E53">
        <w:t>CSOs</w:t>
      </w:r>
      <w:r w:rsidRPr="00F749EA">
        <w:t xml:space="preserve"> through FCA #11 are in commercial service by the start of the eleventh</w:t>
      </w:r>
      <w:r w:rsidRPr="00B47695">
        <w:t xml:space="preserve"> capacity commitment period commencing in June 2020 and that they remain in service through 2026/2027. </w:t>
      </w:r>
    </w:p>
    <w:p w:rsidR="00B47695" w:rsidRPr="00B47695" w:rsidRDefault="00B47695" w:rsidP="00B47695">
      <w:pPr>
        <w:spacing w:after="200" w:line="276" w:lineRule="auto"/>
      </w:pPr>
      <w:r w:rsidRPr="00B47695">
        <w:t xml:space="preserve">As shown in </w:t>
      </w:r>
      <w:r w:rsidRPr="00B47695">
        <w:fldChar w:fldCharType="begin"/>
      </w:r>
      <w:r w:rsidRPr="00B47695">
        <w:instrText xml:space="preserve"> REF _Ref325445701 \h  \* MERGEFORMAT </w:instrText>
      </w:r>
      <w:r w:rsidRPr="00B47695">
        <w:fldChar w:fldCharType="separate"/>
      </w:r>
      <w:r w:rsidR="00314781" w:rsidRPr="000162C8">
        <w:rPr>
          <w:bCs/>
          <w:szCs w:val="18"/>
        </w:rPr>
        <w:t>Table 4</w:t>
      </w:r>
      <w:r w:rsidR="00314781" w:rsidRPr="000162C8">
        <w:rPr>
          <w:bCs/>
          <w:szCs w:val="18"/>
        </w:rPr>
        <w:noBreakHyphen/>
        <w:t>5</w:t>
      </w:r>
      <w:r w:rsidRPr="00B47695">
        <w:fldChar w:fldCharType="end"/>
      </w:r>
      <w:r w:rsidRPr="00B47695">
        <w:t xml:space="preserve">, New England will be approximately 1,717 MW long of resources in 2026, the last year of the study period, in meeting the NICR. This assumes that the projected load and capacity assumptions materialize, no additional retirements occur, and newly proposed resources are in service in accordance with their projected construction schedules. The ISO monitors closely the build out of all new, noncommercial resources in anticipation that some may be early or others late. To date, the tendency has been toward new demand resources being available as much as a year in advance of their expected in-service date while generation has been delayed due to permitting and transmission construction issues. </w:t>
      </w:r>
    </w:p>
    <w:p w:rsidR="00B47695" w:rsidRPr="00B47695" w:rsidRDefault="00B47695" w:rsidP="00B47695">
      <w:pPr>
        <w:keepNext/>
        <w:keepLines/>
        <w:spacing w:after="120" w:line="240" w:lineRule="auto"/>
        <w:ind w:left="547" w:right="547"/>
        <w:jc w:val="center"/>
        <w:rPr>
          <w:rFonts w:ascii="Calibri" w:hAnsi="Calibri"/>
          <w:b/>
          <w:bCs/>
          <w:szCs w:val="18"/>
        </w:rPr>
      </w:pPr>
      <w:bookmarkStart w:id="354" w:name="_Ref325445701"/>
      <w:bookmarkStart w:id="355" w:name="_Toc330401259"/>
      <w:bookmarkStart w:id="356" w:name="_Toc334541932"/>
      <w:bookmarkStart w:id="357" w:name="_Toc334541969"/>
      <w:bookmarkStart w:id="358" w:name="_Toc365440708"/>
      <w:bookmarkStart w:id="359" w:name="_Toc391985608"/>
      <w:bookmarkStart w:id="360" w:name="_Toc481053564"/>
      <w:bookmarkStart w:id="361" w:name="_Toc491244009"/>
      <w:r w:rsidRPr="00B47695">
        <w:rPr>
          <w:rFonts w:ascii="Calibri" w:hAnsi="Calibri"/>
          <w:b/>
          <w:bCs/>
          <w:szCs w:val="18"/>
        </w:rPr>
        <w:lastRenderedPageBreak/>
        <w:t>Table </w:t>
      </w:r>
      <w:r w:rsidR="00D95957">
        <w:rPr>
          <w:rFonts w:ascii="Calibri" w:hAnsi="Calibri"/>
          <w:b/>
          <w:bCs/>
          <w:szCs w:val="18"/>
        </w:rPr>
        <w:fldChar w:fldCharType="begin"/>
      </w:r>
      <w:r w:rsidR="00D95957">
        <w:rPr>
          <w:rFonts w:ascii="Calibri" w:hAnsi="Calibri"/>
          <w:b/>
          <w:bCs/>
          <w:szCs w:val="18"/>
        </w:rPr>
        <w:instrText xml:space="preserve"> STYLEREF 1 \s </w:instrText>
      </w:r>
      <w:r w:rsidR="00D95957">
        <w:rPr>
          <w:rFonts w:ascii="Calibri" w:hAnsi="Calibri"/>
          <w:b/>
          <w:bCs/>
          <w:szCs w:val="18"/>
        </w:rPr>
        <w:fldChar w:fldCharType="separate"/>
      </w:r>
      <w:r w:rsidR="00D95957">
        <w:rPr>
          <w:rFonts w:ascii="Calibri" w:hAnsi="Calibri"/>
          <w:b/>
          <w:bCs/>
          <w:noProof/>
          <w:szCs w:val="18"/>
        </w:rPr>
        <w:t>4</w:t>
      </w:r>
      <w:r w:rsidR="00D95957">
        <w:rPr>
          <w:rFonts w:ascii="Calibri" w:hAnsi="Calibri"/>
          <w:b/>
          <w:bCs/>
          <w:szCs w:val="18"/>
        </w:rPr>
        <w:fldChar w:fldCharType="end"/>
      </w:r>
      <w:r w:rsidR="00D95957">
        <w:rPr>
          <w:rFonts w:ascii="Calibri" w:hAnsi="Calibri"/>
          <w:b/>
          <w:bCs/>
          <w:szCs w:val="18"/>
        </w:rPr>
        <w:noBreakHyphen/>
      </w:r>
      <w:r w:rsidR="00D95957">
        <w:rPr>
          <w:rFonts w:ascii="Calibri" w:hAnsi="Calibri"/>
          <w:b/>
          <w:bCs/>
          <w:szCs w:val="18"/>
        </w:rPr>
        <w:fldChar w:fldCharType="begin"/>
      </w:r>
      <w:r w:rsidR="00D95957">
        <w:rPr>
          <w:rFonts w:ascii="Calibri" w:hAnsi="Calibri"/>
          <w:b/>
          <w:bCs/>
          <w:szCs w:val="18"/>
        </w:rPr>
        <w:instrText xml:space="preserve"> SEQ Table \* ARABIC \s 1 </w:instrText>
      </w:r>
      <w:r w:rsidR="00D95957">
        <w:rPr>
          <w:rFonts w:ascii="Calibri" w:hAnsi="Calibri"/>
          <w:b/>
          <w:bCs/>
          <w:szCs w:val="18"/>
        </w:rPr>
        <w:fldChar w:fldCharType="separate"/>
      </w:r>
      <w:r w:rsidR="00D95957">
        <w:rPr>
          <w:rFonts w:ascii="Calibri" w:hAnsi="Calibri"/>
          <w:b/>
          <w:bCs/>
          <w:noProof/>
          <w:szCs w:val="18"/>
        </w:rPr>
        <w:t>5</w:t>
      </w:r>
      <w:r w:rsidR="00D95957">
        <w:rPr>
          <w:rFonts w:ascii="Calibri" w:hAnsi="Calibri"/>
          <w:b/>
          <w:bCs/>
          <w:szCs w:val="18"/>
        </w:rPr>
        <w:fldChar w:fldCharType="end"/>
      </w:r>
      <w:bookmarkEnd w:id="354"/>
      <w:r w:rsidRPr="00B47695">
        <w:rPr>
          <w:rFonts w:ascii="Calibri" w:hAnsi="Calibri"/>
          <w:b/>
          <w:bCs/>
          <w:szCs w:val="18"/>
        </w:rPr>
        <w:t xml:space="preserve"> </w:t>
      </w:r>
      <w:r w:rsidRPr="00B47695">
        <w:rPr>
          <w:rFonts w:ascii="Calibri" w:hAnsi="Calibri"/>
          <w:b/>
          <w:bCs/>
          <w:szCs w:val="18"/>
        </w:rPr>
        <w:br/>
        <w:t>Future Systemwide Needs (MW)</w:t>
      </w:r>
      <w:bookmarkEnd w:id="355"/>
      <w:bookmarkEnd w:id="356"/>
      <w:bookmarkEnd w:id="357"/>
      <w:bookmarkEnd w:id="358"/>
      <w:bookmarkEnd w:id="359"/>
      <w:bookmarkEnd w:id="360"/>
      <w:bookmarkEnd w:id="361"/>
    </w:p>
    <w:tbl>
      <w:tblPr>
        <w:tblStyle w:val="TableGrid22"/>
        <w:tblW w:w="0" w:type="auto"/>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1383"/>
        <w:gridCol w:w="1373"/>
        <w:gridCol w:w="1630"/>
        <w:gridCol w:w="1702"/>
        <w:gridCol w:w="1337"/>
        <w:gridCol w:w="1671"/>
      </w:tblGrid>
      <w:tr w:rsidR="00B47695" w:rsidRPr="00B47695" w:rsidTr="00B47695">
        <w:trPr>
          <w:jc w:val="center"/>
        </w:trPr>
        <w:tc>
          <w:tcPr>
            <w:tcW w:w="1383" w:type="dxa"/>
            <w:shd w:val="clear" w:color="auto" w:fill="1795D2" w:themeFill="accent1"/>
            <w:tcMar>
              <w:top w:w="14" w:type="dxa"/>
              <w:left w:w="115" w:type="dxa"/>
              <w:bottom w:w="14" w:type="dxa"/>
              <w:right w:w="115" w:type="dxa"/>
            </w:tcMar>
            <w:vAlign w:val="center"/>
          </w:tcPr>
          <w:p w:rsidR="00B47695" w:rsidRPr="00B47695" w:rsidRDefault="00B47695" w:rsidP="00B47695">
            <w:pPr>
              <w:keepNext/>
              <w:keepLines/>
              <w:spacing w:before="40" w:after="40" w:line="240" w:lineRule="auto"/>
              <w:jc w:val="center"/>
              <w:rPr>
                <w:rFonts w:asciiTheme="minorHAnsi" w:hAnsiTheme="minorHAnsi"/>
                <w:b/>
                <w:color w:val="FFFFFF" w:themeColor="background1"/>
                <w:sz w:val="18"/>
                <w:szCs w:val="18"/>
              </w:rPr>
            </w:pPr>
            <w:r w:rsidRPr="00B47695">
              <w:rPr>
                <w:rFonts w:asciiTheme="minorHAnsi" w:hAnsiTheme="minorHAnsi"/>
                <w:b/>
                <w:color w:val="FFFFFF" w:themeColor="background1"/>
                <w:sz w:val="18"/>
                <w:szCs w:val="18"/>
              </w:rPr>
              <w:t>Year</w:t>
            </w:r>
          </w:p>
        </w:tc>
        <w:tc>
          <w:tcPr>
            <w:tcW w:w="1373" w:type="dxa"/>
            <w:shd w:val="clear" w:color="auto" w:fill="1795D2" w:themeFill="accent1"/>
            <w:tcMar>
              <w:top w:w="14" w:type="dxa"/>
              <w:left w:w="115" w:type="dxa"/>
              <w:bottom w:w="14" w:type="dxa"/>
              <w:right w:w="115" w:type="dxa"/>
            </w:tcMar>
            <w:vAlign w:val="center"/>
          </w:tcPr>
          <w:p w:rsidR="00B47695" w:rsidRPr="00B47695" w:rsidRDefault="00B47695" w:rsidP="00B47695">
            <w:pPr>
              <w:keepNext/>
              <w:keepLines/>
              <w:spacing w:before="40" w:after="40" w:line="240" w:lineRule="auto"/>
              <w:jc w:val="center"/>
              <w:rPr>
                <w:rFonts w:asciiTheme="minorHAnsi" w:hAnsiTheme="minorHAnsi"/>
                <w:b/>
                <w:color w:val="FFFFFF" w:themeColor="background1"/>
                <w:sz w:val="18"/>
                <w:szCs w:val="18"/>
              </w:rPr>
            </w:pPr>
            <w:r w:rsidRPr="00B47695">
              <w:rPr>
                <w:rFonts w:asciiTheme="minorHAnsi" w:hAnsiTheme="minorHAnsi"/>
                <w:b/>
                <w:color w:val="FFFFFF" w:themeColor="background1"/>
                <w:sz w:val="18"/>
                <w:szCs w:val="18"/>
              </w:rPr>
              <w:t>50/50</w:t>
            </w:r>
            <w:r w:rsidRPr="00B47695">
              <w:rPr>
                <w:rFonts w:asciiTheme="minorHAnsi" w:hAnsiTheme="minorHAnsi"/>
                <w:b/>
                <w:color w:val="FFFFFF" w:themeColor="background1"/>
                <w:sz w:val="18"/>
                <w:szCs w:val="18"/>
              </w:rPr>
              <w:br/>
              <w:t>Peak Load</w:t>
            </w:r>
            <w:r w:rsidRPr="00B47695">
              <w:rPr>
                <w:rFonts w:asciiTheme="minorHAnsi" w:hAnsiTheme="minorHAnsi"/>
                <w:b/>
                <w:color w:val="FFFFFF" w:themeColor="background1"/>
                <w:sz w:val="18"/>
                <w:szCs w:val="18"/>
                <w:vertAlign w:val="superscript"/>
              </w:rPr>
              <w:t>(a)</w:t>
            </w:r>
          </w:p>
        </w:tc>
        <w:tc>
          <w:tcPr>
            <w:tcW w:w="1630" w:type="dxa"/>
            <w:shd w:val="clear" w:color="auto" w:fill="1795D2" w:themeFill="accent1"/>
            <w:tcMar>
              <w:top w:w="14" w:type="dxa"/>
              <w:left w:w="115" w:type="dxa"/>
              <w:bottom w:w="14" w:type="dxa"/>
              <w:right w:w="115" w:type="dxa"/>
            </w:tcMar>
            <w:vAlign w:val="center"/>
          </w:tcPr>
          <w:p w:rsidR="00B47695" w:rsidRPr="00B47695" w:rsidRDefault="00B47695" w:rsidP="00B47695">
            <w:pPr>
              <w:keepNext/>
              <w:keepLines/>
              <w:spacing w:before="40" w:after="40" w:line="240" w:lineRule="auto"/>
              <w:jc w:val="center"/>
              <w:rPr>
                <w:rFonts w:asciiTheme="minorHAnsi" w:hAnsiTheme="minorHAnsi"/>
                <w:b/>
                <w:color w:val="FFFFFF" w:themeColor="background1"/>
                <w:sz w:val="18"/>
                <w:szCs w:val="18"/>
              </w:rPr>
            </w:pPr>
            <w:r w:rsidRPr="00B47695">
              <w:rPr>
                <w:rFonts w:asciiTheme="minorHAnsi" w:hAnsiTheme="minorHAnsi"/>
                <w:b/>
                <w:color w:val="FFFFFF" w:themeColor="background1"/>
                <w:sz w:val="18"/>
                <w:szCs w:val="18"/>
              </w:rPr>
              <w:t>Representative Net ICR (Need)</w:t>
            </w:r>
          </w:p>
        </w:tc>
        <w:tc>
          <w:tcPr>
            <w:tcW w:w="1702" w:type="dxa"/>
            <w:shd w:val="clear" w:color="auto" w:fill="1795D2" w:themeFill="accent1"/>
            <w:tcMar>
              <w:top w:w="14" w:type="dxa"/>
              <w:left w:w="115" w:type="dxa"/>
              <w:bottom w:w="14" w:type="dxa"/>
              <w:right w:w="115" w:type="dxa"/>
            </w:tcMar>
            <w:vAlign w:val="center"/>
          </w:tcPr>
          <w:p w:rsidR="00B47695" w:rsidRPr="00B47695" w:rsidRDefault="00B47695" w:rsidP="00B47695">
            <w:pPr>
              <w:keepNext/>
              <w:keepLines/>
              <w:spacing w:before="40" w:after="40" w:line="240" w:lineRule="auto"/>
              <w:jc w:val="center"/>
              <w:rPr>
                <w:rFonts w:asciiTheme="minorHAnsi" w:hAnsiTheme="minorHAnsi"/>
                <w:b/>
                <w:color w:val="FFFFFF" w:themeColor="background1"/>
                <w:sz w:val="18"/>
                <w:szCs w:val="18"/>
              </w:rPr>
            </w:pPr>
            <w:r w:rsidRPr="00B47695">
              <w:rPr>
                <w:rFonts w:asciiTheme="minorHAnsi" w:hAnsiTheme="minorHAnsi"/>
                <w:b/>
                <w:color w:val="FFFFFF" w:themeColor="background1"/>
                <w:sz w:val="18"/>
                <w:szCs w:val="18"/>
              </w:rPr>
              <w:t>FCA #11</w:t>
            </w:r>
            <w:r w:rsidRPr="00B47695">
              <w:rPr>
                <w:rFonts w:asciiTheme="minorHAnsi" w:hAnsiTheme="minorHAnsi"/>
                <w:b/>
                <w:color w:val="FFFFFF" w:themeColor="background1"/>
                <w:sz w:val="18"/>
                <w:szCs w:val="18"/>
              </w:rPr>
              <w:br/>
              <w:t>(Known Resources)</w:t>
            </w:r>
            <w:r w:rsidRPr="00B47695">
              <w:rPr>
                <w:rFonts w:asciiTheme="minorHAnsi" w:hAnsiTheme="minorHAnsi"/>
                <w:b/>
                <w:color w:val="FFFFFF" w:themeColor="background1"/>
                <w:sz w:val="18"/>
                <w:szCs w:val="18"/>
                <w:vertAlign w:val="superscript"/>
              </w:rPr>
              <w:t>(b)</w:t>
            </w:r>
          </w:p>
        </w:tc>
        <w:tc>
          <w:tcPr>
            <w:tcW w:w="1337" w:type="dxa"/>
            <w:shd w:val="clear" w:color="auto" w:fill="1795D2" w:themeFill="accent1"/>
            <w:tcMar>
              <w:top w:w="14" w:type="dxa"/>
              <w:left w:w="115" w:type="dxa"/>
              <w:bottom w:w="14" w:type="dxa"/>
              <w:right w:w="115" w:type="dxa"/>
            </w:tcMar>
            <w:vAlign w:val="center"/>
          </w:tcPr>
          <w:p w:rsidR="00B47695" w:rsidRPr="00B47695" w:rsidRDefault="00B47695" w:rsidP="00B47695">
            <w:pPr>
              <w:keepNext/>
              <w:keepLines/>
              <w:spacing w:before="40" w:after="40" w:line="240" w:lineRule="auto"/>
              <w:jc w:val="center"/>
              <w:rPr>
                <w:rFonts w:asciiTheme="minorHAnsi" w:hAnsiTheme="minorHAnsi"/>
                <w:b/>
                <w:bCs/>
                <w:color w:val="FFFFFF" w:themeColor="background1"/>
                <w:sz w:val="18"/>
                <w:szCs w:val="18"/>
              </w:rPr>
            </w:pPr>
            <w:r w:rsidRPr="00B47695">
              <w:rPr>
                <w:rFonts w:asciiTheme="minorHAnsi" w:hAnsiTheme="minorHAnsi"/>
                <w:b/>
                <w:color w:val="FFFFFF" w:themeColor="background1"/>
                <w:sz w:val="18"/>
                <w:szCs w:val="18"/>
              </w:rPr>
              <w:t>EE Forecast</w:t>
            </w:r>
            <w:r w:rsidRPr="00B47695">
              <w:rPr>
                <w:rFonts w:asciiTheme="minorHAnsi" w:hAnsiTheme="minorHAnsi"/>
                <w:b/>
                <w:color w:val="FFFFFF" w:themeColor="background1"/>
                <w:sz w:val="18"/>
                <w:szCs w:val="18"/>
              </w:rPr>
              <w:br/>
              <w:t>(New Resources)</w:t>
            </w:r>
            <w:r w:rsidRPr="00B47695">
              <w:rPr>
                <w:rFonts w:asciiTheme="minorHAnsi" w:hAnsiTheme="minorHAnsi"/>
                <w:b/>
                <w:color w:val="FFFFFF" w:themeColor="background1"/>
                <w:sz w:val="18"/>
                <w:szCs w:val="18"/>
                <w:vertAlign w:val="superscript"/>
              </w:rPr>
              <w:t>(c)</w:t>
            </w:r>
          </w:p>
        </w:tc>
        <w:tc>
          <w:tcPr>
            <w:tcW w:w="1671" w:type="dxa"/>
            <w:shd w:val="clear" w:color="auto" w:fill="1795D2" w:themeFill="accent1"/>
            <w:tcMar>
              <w:top w:w="14" w:type="dxa"/>
              <w:left w:w="115" w:type="dxa"/>
              <w:bottom w:w="14" w:type="dxa"/>
              <w:right w:w="115" w:type="dxa"/>
            </w:tcMar>
            <w:vAlign w:val="center"/>
          </w:tcPr>
          <w:p w:rsidR="00B47695" w:rsidRPr="00B47695" w:rsidRDefault="00B47695" w:rsidP="00B47695">
            <w:pPr>
              <w:keepNext/>
              <w:keepLines/>
              <w:spacing w:before="40" w:after="40" w:line="240" w:lineRule="auto"/>
              <w:jc w:val="center"/>
              <w:rPr>
                <w:rFonts w:asciiTheme="minorHAnsi" w:hAnsiTheme="minorHAnsi"/>
                <w:b/>
                <w:color w:val="FFFFFF" w:themeColor="background1"/>
                <w:sz w:val="18"/>
                <w:szCs w:val="18"/>
              </w:rPr>
            </w:pPr>
            <w:r w:rsidRPr="00B47695">
              <w:rPr>
                <w:rFonts w:asciiTheme="minorHAnsi" w:hAnsiTheme="minorHAnsi"/>
                <w:b/>
                <w:color w:val="FFFFFF" w:themeColor="background1"/>
                <w:sz w:val="18"/>
                <w:szCs w:val="18"/>
              </w:rPr>
              <w:t>Resource Surplus/Shortage</w:t>
            </w:r>
            <w:r w:rsidRPr="00B47695">
              <w:rPr>
                <w:rFonts w:asciiTheme="minorHAnsi" w:hAnsiTheme="minorHAnsi"/>
                <w:b/>
                <w:color w:val="FFFFFF" w:themeColor="background1"/>
                <w:sz w:val="18"/>
                <w:szCs w:val="18"/>
                <w:vertAlign w:val="superscript"/>
              </w:rPr>
              <w:t>(d)</w:t>
            </w:r>
          </w:p>
        </w:tc>
      </w:tr>
      <w:tr w:rsidR="00B47695" w:rsidRPr="00B47695" w:rsidTr="00B47695">
        <w:trPr>
          <w:jc w:val="center"/>
        </w:trPr>
        <w:tc>
          <w:tcPr>
            <w:tcW w:w="1383" w:type="dxa"/>
            <w:tcMar>
              <w:top w:w="14" w:type="dxa"/>
              <w:left w:w="115" w:type="dxa"/>
              <w:bottom w:w="14" w:type="dxa"/>
              <w:right w:w="115" w:type="dxa"/>
            </w:tcMar>
            <w:vAlign w:val="center"/>
          </w:tcPr>
          <w:p w:rsidR="00B47695" w:rsidRPr="00B47695" w:rsidRDefault="00B47695" w:rsidP="00B47695">
            <w:pPr>
              <w:keepNext/>
              <w:keepLines/>
              <w:spacing w:before="40" w:after="40" w:line="240" w:lineRule="auto"/>
              <w:rPr>
                <w:rFonts w:asciiTheme="minorHAnsi" w:hAnsiTheme="minorHAnsi"/>
                <w:b/>
                <w:sz w:val="18"/>
                <w:szCs w:val="18"/>
              </w:rPr>
            </w:pPr>
            <w:bookmarkStart w:id="362" w:name="OLE_LINK1"/>
            <w:r w:rsidRPr="00B47695">
              <w:rPr>
                <w:rFonts w:asciiTheme="minorHAnsi" w:hAnsiTheme="minorHAnsi"/>
                <w:b/>
                <w:sz w:val="18"/>
                <w:szCs w:val="18"/>
              </w:rPr>
              <w:t>2022/2023</w:t>
            </w:r>
          </w:p>
        </w:tc>
        <w:tc>
          <w:tcPr>
            <w:tcW w:w="1373" w:type="dxa"/>
            <w:tcMar>
              <w:top w:w="14" w:type="dxa"/>
              <w:left w:w="58" w:type="dxa"/>
              <w:bottom w:w="14" w:type="dxa"/>
              <w:right w:w="216" w:type="dxa"/>
            </w:tcMar>
            <w:vAlign w:val="center"/>
          </w:tcPr>
          <w:p w:rsidR="00B47695" w:rsidRPr="00B47695" w:rsidRDefault="00B47695" w:rsidP="00B47695">
            <w:pPr>
              <w:keepNext/>
              <w:keepLines/>
              <w:spacing w:before="40" w:after="40" w:line="240" w:lineRule="auto"/>
              <w:jc w:val="right"/>
              <w:rPr>
                <w:rFonts w:asciiTheme="minorHAnsi" w:hAnsiTheme="minorHAnsi"/>
                <w:sz w:val="18"/>
                <w:szCs w:val="18"/>
              </w:rPr>
            </w:pPr>
            <w:r w:rsidRPr="00B47695">
              <w:rPr>
                <w:rFonts w:asciiTheme="minorHAnsi" w:hAnsiTheme="minorHAnsi" w:cs="Arial"/>
                <w:bCs/>
                <w:sz w:val="18"/>
                <w:szCs w:val="18"/>
              </w:rPr>
              <w:t>29,694</w:t>
            </w:r>
          </w:p>
        </w:tc>
        <w:tc>
          <w:tcPr>
            <w:tcW w:w="1630" w:type="dxa"/>
            <w:tcMar>
              <w:top w:w="14" w:type="dxa"/>
              <w:left w:w="58" w:type="dxa"/>
              <w:bottom w:w="14" w:type="dxa"/>
              <w:right w:w="216" w:type="dxa"/>
            </w:tcMar>
            <w:vAlign w:val="center"/>
          </w:tcPr>
          <w:p w:rsidR="00B47695" w:rsidRPr="00B47695" w:rsidRDefault="00B47695" w:rsidP="00B47695">
            <w:pPr>
              <w:keepNext/>
              <w:keepLines/>
              <w:spacing w:before="40" w:after="40" w:line="240" w:lineRule="auto"/>
              <w:jc w:val="right"/>
              <w:rPr>
                <w:rFonts w:asciiTheme="minorHAnsi" w:hAnsiTheme="minorHAnsi"/>
                <w:sz w:val="18"/>
                <w:szCs w:val="18"/>
              </w:rPr>
            </w:pPr>
            <w:r w:rsidRPr="00B47695">
              <w:rPr>
                <w:rFonts w:asciiTheme="minorHAnsi" w:hAnsiTheme="minorHAnsi" w:cs="Arial"/>
                <w:bCs/>
                <w:sz w:val="18"/>
                <w:szCs w:val="18"/>
              </w:rPr>
              <w:t>34,300</w:t>
            </w:r>
          </w:p>
        </w:tc>
        <w:tc>
          <w:tcPr>
            <w:tcW w:w="1702" w:type="dxa"/>
            <w:tcMar>
              <w:top w:w="14" w:type="dxa"/>
              <w:left w:w="58" w:type="dxa"/>
              <w:bottom w:w="14" w:type="dxa"/>
              <w:right w:w="216" w:type="dxa"/>
            </w:tcMar>
            <w:vAlign w:val="center"/>
          </w:tcPr>
          <w:p w:rsidR="00B47695" w:rsidRPr="00B47695" w:rsidRDefault="00B47695" w:rsidP="00B47695">
            <w:pPr>
              <w:keepNext/>
              <w:keepLines/>
              <w:spacing w:before="40" w:after="40" w:line="240" w:lineRule="auto"/>
              <w:jc w:val="right"/>
              <w:rPr>
                <w:rFonts w:asciiTheme="minorHAnsi" w:hAnsiTheme="minorHAnsi"/>
                <w:sz w:val="18"/>
                <w:szCs w:val="18"/>
              </w:rPr>
            </w:pPr>
            <w:bookmarkStart w:id="363" w:name="_Toc354744598"/>
            <w:r w:rsidRPr="00B47695">
              <w:rPr>
                <w:rFonts w:asciiTheme="minorHAnsi" w:hAnsiTheme="minorHAnsi"/>
                <w:sz w:val="18"/>
                <w:szCs w:val="18"/>
              </w:rPr>
              <w:t>35,835</w:t>
            </w:r>
            <w:bookmarkEnd w:id="363"/>
          </w:p>
        </w:tc>
        <w:tc>
          <w:tcPr>
            <w:tcW w:w="1337" w:type="dxa"/>
            <w:tcMar>
              <w:top w:w="14" w:type="dxa"/>
              <w:left w:w="58" w:type="dxa"/>
              <w:bottom w:w="14" w:type="dxa"/>
              <w:right w:w="216" w:type="dxa"/>
            </w:tcMar>
            <w:vAlign w:val="center"/>
          </w:tcPr>
          <w:p w:rsidR="00B47695" w:rsidRPr="00B47695" w:rsidRDefault="00B47695" w:rsidP="00B47695">
            <w:pPr>
              <w:keepNext/>
              <w:keepLines/>
              <w:spacing w:before="40" w:after="40" w:line="240" w:lineRule="auto"/>
              <w:jc w:val="right"/>
              <w:rPr>
                <w:rFonts w:asciiTheme="minorHAnsi" w:hAnsiTheme="minorHAnsi"/>
                <w:sz w:val="18"/>
                <w:szCs w:val="18"/>
              </w:rPr>
            </w:pPr>
            <w:bookmarkStart w:id="364" w:name="_Toc354744599"/>
            <w:r w:rsidRPr="00B47695">
              <w:rPr>
                <w:rFonts w:asciiTheme="minorHAnsi" w:hAnsiTheme="minorHAnsi"/>
                <w:sz w:val="18"/>
                <w:szCs w:val="18"/>
              </w:rPr>
              <w:t>634</w:t>
            </w:r>
            <w:bookmarkEnd w:id="364"/>
          </w:p>
        </w:tc>
        <w:tc>
          <w:tcPr>
            <w:tcW w:w="1671" w:type="dxa"/>
            <w:tcMar>
              <w:top w:w="14" w:type="dxa"/>
              <w:left w:w="58" w:type="dxa"/>
              <w:bottom w:w="14" w:type="dxa"/>
              <w:right w:w="216" w:type="dxa"/>
            </w:tcMar>
            <w:vAlign w:val="center"/>
          </w:tcPr>
          <w:p w:rsidR="00B47695" w:rsidRPr="00B47695" w:rsidRDefault="00B47695" w:rsidP="00B47695">
            <w:pPr>
              <w:keepNext/>
              <w:keepLines/>
              <w:spacing w:before="40" w:after="40" w:line="240" w:lineRule="auto"/>
              <w:jc w:val="right"/>
              <w:rPr>
                <w:rFonts w:asciiTheme="minorHAnsi" w:hAnsiTheme="minorHAnsi"/>
                <w:sz w:val="18"/>
                <w:szCs w:val="18"/>
                <w:highlight w:val="yellow"/>
              </w:rPr>
            </w:pPr>
            <w:bookmarkStart w:id="365" w:name="_Toc354744600"/>
            <w:r w:rsidRPr="00B47695">
              <w:rPr>
                <w:rFonts w:ascii="Calibri" w:hAnsi="Calibri"/>
                <w:color w:val="000000"/>
                <w:sz w:val="18"/>
                <w:szCs w:val="18"/>
              </w:rPr>
              <w:t>2,169</w:t>
            </w:r>
            <w:bookmarkEnd w:id="365"/>
          </w:p>
        </w:tc>
      </w:tr>
      <w:tr w:rsidR="00B47695" w:rsidRPr="00B47695" w:rsidTr="00B47695">
        <w:trPr>
          <w:jc w:val="center"/>
        </w:trPr>
        <w:tc>
          <w:tcPr>
            <w:tcW w:w="1383" w:type="dxa"/>
            <w:shd w:val="clear" w:color="auto" w:fill="CCEAF9" w:themeFill="accent1" w:themeFillTint="33"/>
            <w:tcMar>
              <w:top w:w="14" w:type="dxa"/>
              <w:left w:w="115" w:type="dxa"/>
              <w:bottom w:w="14" w:type="dxa"/>
              <w:right w:w="115" w:type="dxa"/>
            </w:tcMar>
            <w:vAlign w:val="center"/>
          </w:tcPr>
          <w:p w:rsidR="00B47695" w:rsidRPr="00B47695" w:rsidRDefault="00B47695" w:rsidP="00B47695">
            <w:pPr>
              <w:keepNext/>
              <w:keepLines/>
              <w:spacing w:before="40" w:after="40" w:line="240" w:lineRule="auto"/>
              <w:rPr>
                <w:rFonts w:asciiTheme="minorHAnsi" w:hAnsiTheme="minorHAnsi"/>
                <w:b/>
                <w:sz w:val="18"/>
                <w:szCs w:val="18"/>
              </w:rPr>
            </w:pPr>
            <w:r w:rsidRPr="00B47695">
              <w:rPr>
                <w:rFonts w:asciiTheme="minorHAnsi" w:hAnsiTheme="minorHAnsi"/>
                <w:b/>
                <w:sz w:val="18"/>
                <w:szCs w:val="18"/>
              </w:rPr>
              <w:t>2023/2024</w:t>
            </w:r>
          </w:p>
        </w:tc>
        <w:tc>
          <w:tcPr>
            <w:tcW w:w="1373" w:type="dxa"/>
            <w:shd w:val="clear" w:color="auto" w:fill="CCEAF9" w:themeFill="accent1" w:themeFillTint="33"/>
            <w:tcMar>
              <w:top w:w="14" w:type="dxa"/>
              <w:left w:w="58" w:type="dxa"/>
              <w:bottom w:w="14" w:type="dxa"/>
              <w:right w:w="216" w:type="dxa"/>
            </w:tcMar>
            <w:vAlign w:val="center"/>
          </w:tcPr>
          <w:p w:rsidR="00B47695" w:rsidRPr="00B47695" w:rsidRDefault="00B47695" w:rsidP="00B47695">
            <w:pPr>
              <w:keepNext/>
              <w:keepLines/>
              <w:spacing w:before="40" w:after="40" w:line="240" w:lineRule="auto"/>
              <w:jc w:val="right"/>
              <w:rPr>
                <w:rFonts w:asciiTheme="minorHAnsi" w:hAnsiTheme="minorHAnsi"/>
                <w:sz w:val="18"/>
                <w:szCs w:val="18"/>
              </w:rPr>
            </w:pPr>
            <w:r w:rsidRPr="00B47695">
              <w:rPr>
                <w:rFonts w:asciiTheme="minorHAnsi" w:hAnsiTheme="minorHAnsi" w:cs="Arial"/>
                <w:bCs/>
                <w:sz w:val="18"/>
                <w:szCs w:val="18"/>
              </w:rPr>
              <w:t>29,960</w:t>
            </w:r>
          </w:p>
        </w:tc>
        <w:tc>
          <w:tcPr>
            <w:tcW w:w="1630" w:type="dxa"/>
            <w:shd w:val="clear" w:color="auto" w:fill="CCEAF9" w:themeFill="accent1" w:themeFillTint="33"/>
            <w:tcMar>
              <w:top w:w="14" w:type="dxa"/>
              <w:left w:w="58" w:type="dxa"/>
              <w:bottom w:w="14" w:type="dxa"/>
              <w:right w:w="216" w:type="dxa"/>
            </w:tcMar>
            <w:vAlign w:val="center"/>
          </w:tcPr>
          <w:p w:rsidR="00B47695" w:rsidRPr="00B47695" w:rsidRDefault="00B47695" w:rsidP="00B47695">
            <w:pPr>
              <w:keepNext/>
              <w:keepLines/>
              <w:spacing w:before="40" w:after="40" w:line="240" w:lineRule="auto"/>
              <w:jc w:val="right"/>
              <w:rPr>
                <w:rFonts w:asciiTheme="minorHAnsi" w:hAnsiTheme="minorHAnsi" w:cs="Arial"/>
                <w:bCs/>
                <w:sz w:val="18"/>
                <w:szCs w:val="18"/>
              </w:rPr>
            </w:pPr>
            <w:r w:rsidRPr="00B47695">
              <w:rPr>
                <w:rFonts w:asciiTheme="minorHAnsi" w:hAnsiTheme="minorHAnsi" w:cs="Arial"/>
                <w:bCs/>
                <w:sz w:val="18"/>
                <w:szCs w:val="18"/>
              </w:rPr>
              <w:t>34,600</w:t>
            </w:r>
          </w:p>
        </w:tc>
        <w:tc>
          <w:tcPr>
            <w:tcW w:w="1702" w:type="dxa"/>
            <w:shd w:val="clear" w:color="auto" w:fill="CCEAF9" w:themeFill="accent1" w:themeFillTint="33"/>
            <w:tcMar>
              <w:top w:w="14" w:type="dxa"/>
              <w:left w:w="58" w:type="dxa"/>
              <w:bottom w:w="14" w:type="dxa"/>
              <w:right w:w="216" w:type="dxa"/>
            </w:tcMar>
            <w:vAlign w:val="center"/>
          </w:tcPr>
          <w:p w:rsidR="00B47695" w:rsidRPr="00B47695" w:rsidRDefault="00B47695" w:rsidP="00B47695">
            <w:pPr>
              <w:keepNext/>
              <w:keepLines/>
              <w:spacing w:before="40" w:after="40" w:line="240" w:lineRule="auto"/>
              <w:jc w:val="right"/>
              <w:rPr>
                <w:rFonts w:asciiTheme="minorHAnsi" w:hAnsiTheme="minorHAnsi"/>
                <w:sz w:val="18"/>
                <w:szCs w:val="18"/>
              </w:rPr>
            </w:pPr>
            <w:bookmarkStart w:id="366" w:name="_Toc354744601"/>
            <w:r w:rsidRPr="00B47695">
              <w:rPr>
                <w:rFonts w:asciiTheme="minorHAnsi" w:hAnsiTheme="minorHAnsi"/>
                <w:sz w:val="18"/>
                <w:szCs w:val="18"/>
              </w:rPr>
              <w:t>35,835</w:t>
            </w:r>
            <w:bookmarkEnd w:id="366"/>
          </w:p>
        </w:tc>
        <w:tc>
          <w:tcPr>
            <w:tcW w:w="1337" w:type="dxa"/>
            <w:shd w:val="clear" w:color="auto" w:fill="CCEAF9" w:themeFill="accent1" w:themeFillTint="33"/>
            <w:tcMar>
              <w:top w:w="14" w:type="dxa"/>
              <w:left w:w="58" w:type="dxa"/>
              <w:bottom w:w="14" w:type="dxa"/>
              <w:right w:w="216" w:type="dxa"/>
            </w:tcMar>
            <w:vAlign w:val="center"/>
          </w:tcPr>
          <w:p w:rsidR="00B47695" w:rsidRPr="00B47695" w:rsidRDefault="00B47695" w:rsidP="00B47695">
            <w:pPr>
              <w:keepNext/>
              <w:keepLines/>
              <w:spacing w:before="40" w:after="40" w:line="240" w:lineRule="auto"/>
              <w:jc w:val="right"/>
              <w:rPr>
                <w:rFonts w:asciiTheme="minorHAnsi" w:hAnsiTheme="minorHAnsi"/>
                <w:sz w:val="18"/>
                <w:szCs w:val="18"/>
              </w:rPr>
            </w:pPr>
            <w:r w:rsidRPr="00B47695">
              <w:rPr>
                <w:rFonts w:asciiTheme="minorHAnsi" w:hAnsiTheme="minorHAnsi"/>
                <w:sz w:val="18"/>
                <w:szCs w:val="18"/>
              </w:rPr>
              <w:t>912</w:t>
            </w:r>
          </w:p>
        </w:tc>
        <w:tc>
          <w:tcPr>
            <w:tcW w:w="1671" w:type="dxa"/>
            <w:shd w:val="clear" w:color="auto" w:fill="CCEAF9" w:themeFill="accent1" w:themeFillTint="33"/>
            <w:tcMar>
              <w:top w:w="14" w:type="dxa"/>
              <w:left w:w="58" w:type="dxa"/>
              <w:bottom w:w="14" w:type="dxa"/>
              <w:right w:w="216" w:type="dxa"/>
            </w:tcMar>
            <w:vAlign w:val="center"/>
          </w:tcPr>
          <w:p w:rsidR="00B47695" w:rsidRPr="00B47695" w:rsidRDefault="00B47695" w:rsidP="00B47695">
            <w:pPr>
              <w:keepNext/>
              <w:keepLines/>
              <w:spacing w:before="40" w:after="40" w:line="240" w:lineRule="auto"/>
              <w:jc w:val="right"/>
              <w:rPr>
                <w:rFonts w:asciiTheme="minorHAnsi" w:hAnsiTheme="minorHAnsi"/>
                <w:sz w:val="18"/>
                <w:szCs w:val="18"/>
                <w:highlight w:val="yellow"/>
              </w:rPr>
            </w:pPr>
            <w:bookmarkStart w:id="367" w:name="_Toc354744603"/>
            <w:r w:rsidRPr="00B47695">
              <w:rPr>
                <w:rFonts w:ascii="Calibri" w:hAnsi="Calibri"/>
                <w:color w:val="000000"/>
                <w:sz w:val="18"/>
                <w:szCs w:val="18"/>
              </w:rPr>
              <w:t>2,147</w:t>
            </w:r>
            <w:bookmarkEnd w:id="367"/>
          </w:p>
        </w:tc>
      </w:tr>
      <w:tr w:rsidR="00B47695" w:rsidRPr="00B47695" w:rsidTr="00B47695">
        <w:trPr>
          <w:jc w:val="center"/>
        </w:trPr>
        <w:tc>
          <w:tcPr>
            <w:tcW w:w="1383" w:type="dxa"/>
            <w:tcMar>
              <w:top w:w="14" w:type="dxa"/>
              <w:left w:w="115" w:type="dxa"/>
              <w:bottom w:w="14" w:type="dxa"/>
              <w:right w:w="115" w:type="dxa"/>
            </w:tcMar>
            <w:vAlign w:val="center"/>
          </w:tcPr>
          <w:p w:rsidR="00B47695" w:rsidRPr="00B47695" w:rsidRDefault="00B47695" w:rsidP="00B47695">
            <w:pPr>
              <w:keepNext/>
              <w:keepLines/>
              <w:spacing w:before="40" w:after="40" w:line="240" w:lineRule="auto"/>
              <w:rPr>
                <w:rFonts w:asciiTheme="minorHAnsi" w:hAnsiTheme="minorHAnsi"/>
                <w:b/>
                <w:sz w:val="18"/>
                <w:szCs w:val="18"/>
              </w:rPr>
            </w:pPr>
            <w:r w:rsidRPr="00B47695">
              <w:rPr>
                <w:rFonts w:asciiTheme="minorHAnsi" w:hAnsiTheme="minorHAnsi"/>
                <w:b/>
                <w:sz w:val="18"/>
                <w:szCs w:val="18"/>
              </w:rPr>
              <w:t>2024/2025</w:t>
            </w:r>
          </w:p>
        </w:tc>
        <w:tc>
          <w:tcPr>
            <w:tcW w:w="1373" w:type="dxa"/>
            <w:tcMar>
              <w:top w:w="14" w:type="dxa"/>
              <w:left w:w="58" w:type="dxa"/>
              <w:bottom w:w="14" w:type="dxa"/>
              <w:right w:w="216" w:type="dxa"/>
            </w:tcMar>
            <w:vAlign w:val="center"/>
          </w:tcPr>
          <w:p w:rsidR="00B47695" w:rsidRPr="00B47695" w:rsidRDefault="00B47695" w:rsidP="00B47695">
            <w:pPr>
              <w:keepNext/>
              <w:keepLines/>
              <w:spacing w:before="40" w:after="40" w:line="240" w:lineRule="auto"/>
              <w:jc w:val="right"/>
              <w:rPr>
                <w:rFonts w:asciiTheme="minorHAnsi" w:hAnsiTheme="minorHAnsi"/>
                <w:sz w:val="18"/>
                <w:szCs w:val="18"/>
              </w:rPr>
            </w:pPr>
            <w:r w:rsidRPr="00B47695">
              <w:rPr>
                <w:rFonts w:asciiTheme="minorHAnsi" w:hAnsiTheme="minorHAnsi" w:cs="Arial"/>
                <w:bCs/>
                <w:sz w:val="18"/>
                <w:szCs w:val="18"/>
              </w:rPr>
              <w:t>30,231</w:t>
            </w:r>
          </w:p>
        </w:tc>
        <w:tc>
          <w:tcPr>
            <w:tcW w:w="1630" w:type="dxa"/>
            <w:tcMar>
              <w:top w:w="14" w:type="dxa"/>
              <w:left w:w="58" w:type="dxa"/>
              <w:bottom w:w="14" w:type="dxa"/>
              <w:right w:w="216" w:type="dxa"/>
            </w:tcMar>
            <w:vAlign w:val="center"/>
          </w:tcPr>
          <w:p w:rsidR="00B47695" w:rsidRPr="00B47695" w:rsidRDefault="00B47695" w:rsidP="00B47695">
            <w:pPr>
              <w:keepNext/>
              <w:keepLines/>
              <w:spacing w:before="40" w:after="40" w:line="240" w:lineRule="auto"/>
              <w:jc w:val="right"/>
              <w:rPr>
                <w:rFonts w:asciiTheme="minorHAnsi" w:hAnsiTheme="minorHAnsi" w:cs="Arial"/>
                <w:bCs/>
                <w:sz w:val="18"/>
                <w:szCs w:val="18"/>
              </w:rPr>
            </w:pPr>
            <w:r w:rsidRPr="00B47695">
              <w:rPr>
                <w:rFonts w:asciiTheme="minorHAnsi" w:hAnsiTheme="minorHAnsi" w:cs="Arial"/>
                <w:bCs/>
                <w:sz w:val="18"/>
                <w:szCs w:val="18"/>
              </w:rPr>
              <w:t>35,000</w:t>
            </w:r>
          </w:p>
        </w:tc>
        <w:tc>
          <w:tcPr>
            <w:tcW w:w="1702" w:type="dxa"/>
            <w:tcMar>
              <w:top w:w="14" w:type="dxa"/>
              <w:left w:w="58" w:type="dxa"/>
              <w:bottom w:w="14" w:type="dxa"/>
              <w:right w:w="216" w:type="dxa"/>
            </w:tcMar>
            <w:vAlign w:val="center"/>
          </w:tcPr>
          <w:p w:rsidR="00B47695" w:rsidRPr="00B47695" w:rsidRDefault="00B47695" w:rsidP="00B47695">
            <w:pPr>
              <w:keepNext/>
              <w:keepLines/>
              <w:spacing w:before="40" w:after="40" w:line="240" w:lineRule="auto"/>
              <w:jc w:val="right"/>
              <w:rPr>
                <w:rFonts w:asciiTheme="minorHAnsi" w:hAnsiTheme="minorHAnsi"/>
                <w:sz w:val="18"/>
                <w:szCs w:val="18"/>
              </w:rPr>
            </w:pPr>
            <w:bookmarkStart w:id="368" w:name="_Toc354744604"/>
            <w:r w:rsidRPr="00B47695">
              <w:rPr>
                <w:rFonts w:asciiTheme="minorHAnsi" w:hAnsiTheme="minorHAnsi"/>
                <w:sz w:val="18"/>
                <w:szCs w:val="18"/>
              </w:rPr>
              <w:t>35,835</w:t>
            </w:r>
            <w:bookmarkEnd w:id="368"/>
          </w:p>
        </w:tc>
        <w:tc>
          <w:tcPr>
            <w:tcW w:w="1337" w:type="dxa"/>
            <w:tcMar>
              <w:top w:w="14" w:type="dxa"/>
              <w:left w:w="58" w:type="dxa"/>
              <w:bottom w:w="14" w:type="dxa"/>
              <w:right w:w="216" w:type="dxa"/>
            </w:tcMar>
            <w:vAlign w:val="center"/>
          </w:tcPr>
          <w:p w:rsidR="00B47695" w:rsidRPr="00B47695" w:rsidRDefault="00B47695" w:rsidP="00B47695">
            <w:pPr>
              <w:keepNext/>
              <w:keepLines/>
              <w:spacing w:before="40" w:after="40" w:line="240" w:lineRule="auto"/>
              <w:jc w:val="right"/>
              <w:rPr>
                <w:rFonts w:asciiTheme="minorHAnsi" w:hAnsiTheme="minorHAnsi"/>
                <w:sz w:val="18"/>
                <w:szCs w:val="18"/>
              </w:rPr>
            </w:pPr>
            <w:bookmarkStart w:id="369" w:name="_Toc354744605"/>
            <w:r w:rsidRPr="00B47695">
              <w:rPr>
                <w:rFonts w:asciiTheme="minorHAnsi" w:hAnsiTheme="minorHAnsi"/>
                <w:sz w:val="18"/>
                <w:szCs w:val="18"/>
              </w:rPr>
              <w:t>1,162</w:t>
            </w:r>
            <w:bookmarkEnd w:id="369"/>
          </w:p>
        </w:tc>
        <w:tc>
          <w:tcPr>
            <w:tcW w:w="1671" w:type="dxa"/>
            <w:tcMar>
              <w:top w:w="14" w:type="dxa"/>
              <w:left w:w="58" w:type="dxa"/>
              <w:bottom w:w="14" w:type="dxa"/>
              <w:right w:w="216" w:type="dxa"/>
            </w:tcMar>
            <w:vAlign w:val="center"/>
          </w:tcPr>
          <w:p w:rsidR="00B47695" w:rsidRPr="00B47695" w:rsidRDefault="00B47695" w:rsidP="00B47695">
            <w:pPr>
              <w:keepNext/>
              <w:keepLines/>
              <w:spacing w:before="40" w:after="40" w:line="240" w:lineRule="auto"/>
              <w:jc w:val="right"/>
              <w:rPr>
                <w:rFonts w:asciiTheme="minorHAnsi" w:hAnsiTheme="minorHAnsi"/>
                <w:sz w:val="18"/>
                <w:szCs w:val="18"/>
                <w:highlight w:val="yellow"/>
              </w:rPr>
            </w:pPr>
            <w:bookmarkStart w:id="370" w:name="_Toc354744606"/>
            <w:r w:rsidRPr="00B47695">
              <w:rPr>
                <w:rFonts w:ascii="Calibri" w:hAnsi="Calibri"/>
                <w:color w:val="000000"/>
                <w:sz w:val="18"/>
                <w:szCs w:val="18"/>
              </w:rPr>
              <w:t>1,997</w:t>
            </w:r>
            <w:bookmarkEnd w:id="370"/>
          </w:p>
        </w:tc>
      </w:tr>
      <w:tr w:rsidR="00B47695" w:rsidRPr="00B47695" w:rsidTr="00B47695">
        <w:trPr>
          <w:jc w:val="center"/>
        </w:trPr>
        <w:tc>
          <w:tcPr>
            <w:tcW w:w="1383" w:type="dxa"/>
            <w:shd w:val="clear" w:color="auto" w:fill="CCEAF9" w:themeFill="accent1" w:themeFillTint="33"/>
            <w:tcMar>
              <w:top w:w="14" w:type="dxa"/>
              <w:left w:w="115" w:type="dxa"/>
              <w:bottom w:w="14" w:type="dxa"/>
              <w:right w:w="115" w:type="dxa"/>
            </w:tcMar>
            <w:vAlign w:val="center"/>
          </w:tcPr>
          <w:p w:rsidR="00B47695" w:rsidRPr="00B47695" w:rsidRDefault="00B47695" w:rsidP="00B47695">
            <w:pPr>
              <w:keepNext/>
              <w:keepLines/>
              <w:spacing w:before="40" w:after="40" w:line="240" w:lineRule="auto"/>
              <w:rPr>
                <w:rFonts w:asciiTheme="minorHAnsi" w:hAnsiTheme="minorHAnsi"/>
                <w:b/>
                <w:sz w:val="18"/>
                <w:szCs w:val="18"/>
              </w:rPr>
            </w:pPr>
            <w:r w:rsidRPr="00B47695">
              <w:rPr>
                <w:rFonts w:asciiTheme="minorHAnsi" w:hAnsiTheme="minorHAnsi"/>
                <w:b/>
                <w:sz w:val="18"/>
                <w:szCs w:val="18"/>
              </w:rPr>
              <w:t>2025/2026</w:t>
            </w:r>
          </w:p>
        </w:tc>
        <w:tc>
          <w:tcPr>
            <w:tcW w:w="1373" w:type="dxa"/>
            <w:shd w:val="clear" w:color="auto" w:fill="CCEAF9" w:themeFill="accent1" w:themeFillTint="33"/>
            <w:tcMar>
              <w:top w:w="14" w:type="dxa"/>
              <w:left w:w="58" w:type="dxa"/>
              <w:bottom w:w="14" w:type="dxa"/>
              <w:right w:w="216" w:type="dxa"/>
            </w:tcMar>
            <w:vAlign w:val="center"/>
          </w:tcPr>
          <w:p w:rsidR="00B47695" w:rsidRPr="00B47695" w:rsidRDefault="00B47695" w:rsidP="00B47695">
            <w:pPr>
              <w:keepNext/>
              <w:keepLines/>
              <w:spacing w:before="40" w:after="40" w:line="240" w:lineRule="auto"/>
              <w:jc w:val="right"/>
              <w:rPr>
                <w:rFonts w:asciiTheme="minorHAnsi" w:hAnsiTheme="minorHAnsi"/>
                <w:b/>
                <w:sz w:val="18"/>
                <w:szCs w:val="18"/>
              </w:rPr>
            </w:pPr>
            <w:r w:rsidRPr="00B47695">
              <w:rPr>
                <w:rFonts w:asciiTheme="minorHAnsi" w:hAnsiTheme="minorHAnsi" w:cs="Arial"/>
                <w:bCs/>
                <w:sz w:val="18"/>
                <w:szCs w:val="18"/>
              </w:rPr>
              <w:t>30,507</w:t>
            </w:r>
          </w:p>
        </w:tc>
        <w:tc>
          <w:tcPr>
            <w:tcW w:w="1630" w:type="dxa"/>
            <w:shd w:val="clear" w:color="auto" w:fill="CCEAF9" w:themeFill="accent1" w:themeFillTint="33"/>
            <w:tcMar>
              <w:top w:w="14" w:type="dxa"/>
              <w:left w:w="58" w:type="dxa"/>
              <w:bottom w:w="14" w:type="dxa"/>
              <w:right w:w="216" w:type="dxa"/>
            </w:tcMar>
            <w:vAlign w:val="center"/>
          </w:tcPr>
          <w:p w:rsidR="00B47695" w:rsidRPr="00B47695" w:rsidRDefault="00B47695" w:rsidP="00B47695">
            <w:pPr>
              <w:keepNext/>
              <w:keepLines/>
              <w:spacing w:before="40" w:after="40" w:line="240" w:lineRule="auto"/>
              <w:jc w:val="right"/>
              <w:rPr>
                <w:rFonts w:asciiTheme="minorHAnsi" w:hAnsiTheme="minorHAnsi" w:cs="Arial"/>
                <w:bCs/>
                <w:sz w:val="18"/>
                <w:szCs w:val="18"/>
              </w:rPr>
            </w:pPr>
            <w:r w:rsidRPr="00B47695">
              <w:rPr>
                <w:rFonts w:asciiTheme="minorHAnsi" w:hAnsiTheme="minorHAnsi" w:cs="Arial"/>
                <w:bCs/>
                <w:sz w:val="18"/>
                <w:szCs w:val="18"/>
              </w:rPr>
              <w:t>35,300</w:t>
            </w:r>
          </w:p>
        </w:tc>
        <w:tc>
          <w:tcPr>
            <w:tcW w:w="1702" w:type="dxa"/>
            <w:shd w:val="clear" w:color="auto" w:fill="CCEAF9" w:themeFill="accent1" w:themeFillTint="33"/>
            <w:tcMar>
              <w:top w:w="14" w:type="dxa"/>
              <w:left w:w="58" w:type="dxa"/>
              <w:bottom w:w="14" w:type="dxa"/>
              <w:right w:w="216" w:type="dxa"/>
            </w:tcMar>
            <w:vAlign w:val="center"/>
          </w:tcPr>
          <w:p w:rsidR="00B47695" w:rsidRPr="00B47695" w:rsidRDefault="00B47695" w:rsidP="00B47695">
            <w:pPr>
              <w:keepNext/>
              <w:keepLines/>
              <w:spacing w:before="40" w:after="40" w:line="240" w:lineRule="auto"/>
              <w:jc w:val="right"/>
              <w:rPr>
                <w:rFonts w:asciiTheme="minorHAnsi" w:hAnsiTheme="minorHAnsi"/>
                <w:b/>
                <w:sz w:val="18"/>
                <w:szCs w:val="18"/>
              </w:rPr>
            </w:pPr>
            <w:r w:rsidRPr="00B47695">
              <w:rPr>
                <w:rFonts w:asciiTheme="minorHAnsi" w:hAnsiTheme="minorHAnsi"/>
                <w:sz w:val="18"/>
                <w:szCs w:val="18"/>
              </w:rPr>
              <w:t>35,835</w:t>
            </w:r>
          </w:p>
        </w:tc>
        <w:tc>
          <w:tcPr>
            <w:tcW w:w="1337" w:type="dxa"/>
            <w:shd w:val="clear" w:color="auto" w:fill="CCEAF9" w:themeFill="accent1" w:themeFillTint="33"/>
            <w:tcMar>
              <w:top w:w="14" w:type="dxa"/>
              <w:left w:w="58" w:type="dxa"/>
              <w:bottom w:w="14" w:type="dxa"/>
              <w:right w:w="216" w:type="dxa"/>
            </w:tcMar>
            <w:vAlign w:val="center"/>
          </w:tcPr>
          <w:p w:rsidR="00B47695" w:rsidRPr="00B47695" w:rsidRDefault="00B47695" w:rsidP="00B47695">
            <w:pPr>
              <w:keepNext/>
              <w:keepLines/>
              <w:spacing w:before="40" w:after="40" w:line="240" w:lineRule="auto"/>
              <w:jc w:val="right"/>
              <w:rPr>
                <w:rFonts w:asciiTheme="minorHAnsi" w:hAnsiTheme="minorHAnsi"/>
                <w:sz w:val="18"/>
                <w:szCs w:val="18"/>
              </w:rPr>
            </w:pPr>
            <w:r w:rsidRPr="00B47695">
              <w:rPr>
                <w:rFonts w:asciiTheme="minorHAnsi" w:hAnsiTheme="minorHAnsi"/>
                <w:sz w:val="18"/>
                <w:szCs w:val="18"/>
              </w:rPr>
              <w:t>1,385</w:t>
            </w:r>
          </w:p>
        </w:tc>
        <w:tc>
          <w:tcPr>
            <w:tcW w:w="1671" w:type="dxa"/>
            <w:shd w:val="clear" w:color="auto" w:fill="CCEAF9" w:themeFill="accent1" w:themeFillTint="33"/>
            <w:tcMar>
              <w:top w:w="14" w:type="dxa"/>
              <w:left w:w="58" w:type="dxa"/>
              <w:bottom w:w="14" w:type="dxa"/>
              <w:right w:w="216" w:type="dxa"/>
            </w:tcMar>
            <w:vAlign w:val="center"/>
          </w:tcPr>
          <w:p w:rsidR="00B47695" w:rsidRPr="00B47695" w:rsidRDefault="00B47695" w:rsidP="00B47695">
            <w:pPr>
              <w:keepNext/>
              <w:keepLines/>
              <w:spacing w:before="40" w:after="40" w:line="240" w:lineRule="auto"/>
              <w:jc w:val="right"/>
              <w:rPr>
                <w:rFonts w:asciiTheme="minorHAnsi" w:hAnsiTheme="minorHAnsi"/>
                <w:b/>
                <w:sz w:val="18"/>
                <w:szCs w:val="18"/>
                <w:highlight w:val="yellow"/>
              </w:rPr>
            </w:pPr>
            <w:r w:rsidRPr="00B47695">
              <w:rPr>
                <w:rFonts w:ascii="Calibri" w:hAnsi="Calibri"/>
                <w:color w:val="000000"/>
                <w:sz w:val="18"/>
                <w:szCs w:val="18"/>
              </w:rPr>
              <w:t>1,920</w:t>
            </w:r>
          </w:p>
        </w:tc>
      </w:tr>
      <w:tr w:rsidR="00B47695" w:rsidRPr="00B47695" w:rsidTr="00B47695">
        <w:trPr>
          <w:jc w:val="center"/>
        </w:trPr>
        <w:tc>
          <w:tcPr>
            <w:tcW w:w="1383" w:type="dxa"/>
            <w:tcMar>
              <w:top w:w="14" w:type="dxa"/>
              <w:left w:w="115" w:type="dxa"/>
              <w:bottom w:w="14" w:type="dxa"/>
              <w:right w:w="115" w:type="dxa"/>
            </w:tcMar>
            <w:vAlign w:val="center"/>
          </w:tcPr>
          <w:p w:rsidR="00B47695" w:rsidRPr="00B47695" w:rsidRDefault="00B47695" w:rsidP="00B47695">
            <w:pPr>
              <w:keepNext/>
              <w:keepLines/>
              <w:spacing w:before="40" w:after="40" w:line="240" w:lineRule="auto"/>
              <w:rPr>
                <w:rFonts w:asciiTheme="minorHAnsi" w:hAnsiTheme="minorHAnsi"/>
                <w:b/>
                <w:sz w:val="18"/>
                <w:szCs w:val="18"/>
              </w:rPr>
            </w:pPr>
            <w:r w:rsidRPr="00B47695">
              <w:rPr>
                <w:rFonts w:asciiTheme="minorHAnsi" w:hAnsiTheme="minorHAnsi"/>
                <w:b/>
                <w:sz w:val="18"/>
                <w:szCs w:val="18"/>
              </w:rPr>
              <w:t>2026/2027</w:t>
            </w:r>
          </w:p>
        </w:tc>
        <w:tc>
          <w:tcPr>
            <w:tcW w:w="1373" w:type="dxa"/>
            <w:tcMar>
              <w:top w:w="14" w:type="dxa"/>
              <w:left w:w="58" w:type="dxa"/>
              <w:bottom w:w="14" w:type="dxa"/>
              <w:right w:w="216" w:type="dxa"/>
            </w:tcMar>
            <w:vAlign w:val="center"/>
          </w:tcPr>
          <w:p w:rsidR="00B47695" w:rsidRPr="00B47695" w:rsidRDefault="00B47695" w:rsidP="00B47695">
            <w:pPr>
              <w:keepNext/>
              <w:keepLines/>
              <w:spacing w:before="40" w:after="40" w:line="240" w:lineRule="auto"/>
              <w:jc w:val="right"/>
              <w:rPr>
                <w:rFonts w:asciiTheme="minorHAnsi" w:hAnsiTheme="minorHAnsi" w:cs="Arial"/>
                <w:bCs/>
                <w:sz w:val="18"/>
                <w:szCs w:val="18"/>
              </w:rPr>
            </w:pPr>
            <w:r w:rsidRPr="00B47695">
              <w:rPr>
                <w:rFonts w:asciiTheme="minorHAnsi" w:hAnsiTheme="minorHAnsi" w:cs="Arial"/>
                <w:bCs/>
                <w:sz w:val="18"/>
                <w:szCs w:val="18"/>
              </w:rPr>
              <w:t>30,785</w:t>
            </w:r>
          </w:p>
        </w:tc>
        <w:tc>
          <w:tcPr>
            <w:tcW w:w="1630" w:type="dxa"/>
            <w:tcMar>
              <w:top w:w="14" w:type="dxa"/>
              <w:left w:w="58" w:type="dxa"/>
              <w:bottom w:w="14" w:type="dxa"/>
              <w:right w:w="216" w:type="dxa"/>
            </w:tcMar>
            <w:vAlign w:val="center"/>
          </w:tcPr>
          <w:p w:rsidR="00B47695" w:rsidRPr="00B47695" w:rsidRDefault="00B47695" w:rsidP="00B47695">
            <w:pPr>
              <w:keepNext/>
              <w:keepLines/>
              <w:spacing w:before="40" w:after="40" w:line="240" w:lineRule="auto"/>
              <w:jc w:val="right"/>
              <w:rPr>
                <w:rFonts w:asciiTheme="minorHAnsi" w:hAnsiTheme="minorHAnsi" w:cs="Arial"/>
                <w:bCs/>
                <w:sz w:val="18"/>
                <w:szCs w:val="18"/>
              </w:rPr>
            </w:pPr>
            <w:r w:rsidRPr="00B47695">
              <w:rPr>
                <w:rFonts w:asciiTheme="minorHAnsi" w:hAnsiTheme="minorHAnsi" w:cs="Arial"/>
                <w:bCs/>
                <w:sz w:val="18"/>
                <w:szCs w:val="18"/>
              </w:rPr>
              <w:t>35,700</w:t>
            </w:r>
          </w:p>
        </w:tc>
        <w:tc>
          <w:tcPr>
            <w:tcW w:w="1702" w:type="dxa"/>
            <w:tcMar>
              <w:top w:w="14" w:type="dxa"/>
              <w:left w:w="58" w:type="dxa"/>
              <w:bottom w:w="14" w:type="dxa"/>
              <w:right w:w="216" w:type="dxa"/>
            </w:tcMar>
            <w:vAlign w:val="center"/>
          </w:tcPr>
          <w:p w:rsidR="00B47695" w:rsidRPr="00B47695" w:rsidRDefault="00B47695" w:rsidP="00B47695">
            <w:pPr>
              <w:keepNext/>
              <w:keepLines/>
              <w:spacing w:before="40" w:after="40" w:line="240" w:lineRule="auto"/>
              <w:jc w:val="right"/>
              <w:rPr>
                <w:rFonts w:asciiTheme="minorHAnsi" w:hAnsiTheme="minorHAnsi"/>
                <w:sz w:val="18"/>
                <w:szCs w:val="18"/>
              </w:rPr>
            </w:pPr>
            <w:r w:rsidRPr="00B47695">
              <w:rPr>
                <w:rFonts w:asciiTheme="minorHAnsi" w:hAnsiTheme="minorHAnsi"/>
                <w:sz w:val="18"/>
                <w:szCs w:val="18"/>
              </w:rPr>
              <w:t>35,835</w:t>
            </w:r>
          </w:p>
        </w:tc>
        <w:tc>
          <w:tcPr>
            <w:tcW w:w="1337" w:type="dxa"/>
            <w:tcMar>
              <w:top w:w="14" w:type="dxa"/>
              <w:left w:w="58" w:type="dxa"/>
              <w:bottom w:w="14" w:type="dxa"/>
              <w:right w:w="216" w:type="dxa"/>
            </w:tcMar>
            <w:vAlign w:val="center"/>
          </w:tcPr>
          <w:p w:rsidR="00B47695" w:rsidRPr="00B47695" w:rsidRDefault="00B47695" w:rsidP="00B47695">
            <w:pPr>
              <w:keepNext/>
              <w:keepLines/>
              <w:spacing w:before="40" w:after="40" w:line="240" w:lineRule="auto"/>
              <w:jc w:val="right"/>
              <w:rPr>
                <w:rFonts w:asciiTheme="minorHAnsi" w:hAnsiTheme="minorHAnsi"/>
                <w:sz w:val="18"/>
                <w:szCs w:val="18"/>
              </w:rPr>
            </w:pPr>
            <w:r w:rsidRPr="00B47695">
              <w:rPr>
                <w:rFonts w:asciiTheme="minorHAnsi" w:hAnsiTheme="minorHAnsi"/>
                <w:sz w:val="18"/>
                <w:szCs w:val="18"/>
              </w:rPr>
              <w:t>1,582</w:t>
            </w:r>
          </w:p>
        </w:tc>
        <w:tc>
          <w:tcPr>
            <w:tcW w:w="1671" w:type="dxa"/>
            <w:tcMar>
              <w:top w:w="14" w:type="dxa"/>
              <w:left w:w="58" w:type="dxa"/>
              <w:bottom w:w="14" w:type="dxa"/>
              <w:right w:w="216" w:type="dxa"/>
            </w:tcMar>
            <w:vAlign w:val="center"/>
          </w:tcPr>
          <w:p w:rsidR="00B47695" w:rsidRPr="00B47695" w:rsidRDefault="00B47695" w:rsidP="00B47695">
            <w:pPr>
              <w:keepNext/>
              <w:keepLines/>
              <w:spacing w:before="40" w:after="40" w:line="240" w:lineRule="auto"/>
              <w:jc w:val="right"/>
              <w:rPr>
                <w:rFonts w:asciiTheme="minorHAnsi" w:hAnsiTheme="minorHAnsi"/>
                <w:sz w:val="18"/>
                <w:szCs w:val="18"/>
                <w:highlight w:val="yellow"/>
              </w:rPr>
            </w:pPr>
            <w:r w:rsidRPr="00B47695">
              <w:rPr>
                <w:rFonts w:ascii="Calibri" w:hAnsi="Calibri"/>
                <w:color w:val="000000"/>
                <w:sz w:val="18"/>
                <w:szCs w:val="18"/>
              </w:rPr>
              <w:t>1,717</w:t>
            </w:r>
          </w:p>
        </w:tc>
      </w:tr>
    </w:tbl>
    <w:bookmarkEnd w:id="362"/>
    <w:p w:rsidR="00B47695" w:rsidRPr="00B47695" w:rsidRDefault="00B47695" w:rsidP="00B47695">
      <w:pPr>
        <w:spacing w:before="120" w:after="80" w:line="240" w:lineRule="auto"/>
        <w:ind w:left="270" w:right="90" w:hanging="270"/>
        <w:rPr>
          <w:rFonts w:asciiTheme="minorHAnsi" w:hAnsiTheme="minorHAnsi"/>
          <w:sz w:val="16"/>
          <w:szCs w:val="16"/>
        </w:rPr>
      </w:pPr>
      <w:r w:rsidRPr="00B47695">
        <w:rPr>
          <w:rFonts w:asciiTheme="minorHAnsi" w:hAnsiTheme="minorHAnsi"/>
          <w:sz w:val="16"/>
          <w:szCs w:val="16"/>
        </w:rPr>
        <w:t>(a)</w:t>
      </w:r>
      <w:r w:rsidRPr="00B47695">
        <w:rPr>
          <w:rFonts w:asciiTheme="minorHAnsi" w:hAnsiTheme="minorHAnsi"/>
          <w:sz w:val="16"/>
          <w:szCs w:val="16"/>
        </w:rPr>
        <w:tab/>
      </w:r>
      <w:r w:rsidRPr="00B47695">
        <w:rPr>
          <w:rFonts w:asciiTheme="minorHAnsi" w:hAnsiTheme="minorHAnsi" w:cs="Arial"/>
          <w:sz w:val="16"/>
          <w:szCs w:val="16"/>
        </w:rPr>
        <w:t xml:space="preserve">The 50/50 peak loads reflect forecasted behind-the-meter PV resources. </w:t>
      </w:r>
    </w:p>
    <w:p w:rsidR="00B47695" w:rsidRPr="00F749EA" w:rsidRDefault="00B47695" w:rsidP="00B47695">
      <w:pPr>
        <w:spacing w:after="80" w:line="240" w:lineRule="auto"/>
        <w:ind w:left="274" w:hanging="274"/>
        <w:rPr>
          <w:color w:val="1F497D"/>
          <w:sz w:val="16"/>
          <w:szCs w:val="16"/>
        </w:rPr>
      </w:pPr>
      <w:r w:rsidRPr="00B47695">
        <w:rPr>
          <w:rFonts w:asciiTheme="minorHAnsi" w:hAnsiTheme="minorHAnsi"/>
          <w:sz w:val="16"/>
          <w:szCs w:val="16"/>
        </w:rPr>
        <w:t>(b)</w:t>
      </w:r>
      <w:r w:rsidRPr="00B47695">
        <w:rPr>
          <w:rFonts w:asciiTheme="minorHAnsi" w:hAnsiTheme="minorHAnsi"/>
          <w:sz w:val="16"/>
          <w:szCs w:val="16"/>
        </w:rPr>
        <w:tab/>
        <w:t xml:space="preserve">FCA #11 resource numbers are based on FCA #11 auction results, assuming no retirements and the same level of imports (i.e., most imports need to requalify for every auction). Details are </w:t>
      </w:r>
      <w:r w:rsidRPr="00F749EA">
        <w:rPr>
          <w:rFonts w:asciiTheme="minorHAnsi" w:hAnsiTheme="minorHAnsi"/>
          <w:sz w:val="16"/>
          <w:szCs w:val="16"/>
        </w:rPr>
        <w:t>available at</w:t>
      </w:r>
      <w:hyperlink r:id="rId46" w:history="1">
        <w:r w:rsidRPr="00F749EA">
          <w:rPr>
            <w:rFonts w:asciiTheme="minorHAnsi" w:hAnsiTheme="minorHAnsi"/>
            <w:color w:val="000000"/>
            <w:sz w:val="16"/>
            <w:szCs w:val="16"/>
          </w:rPr>
          <w:t>https://www.iso-ne.com/static-assets/documents/2017/03/ccp_2020_21_fca_11_cso_flow_diagram.pdf</w:t>
        </w:r>
      </w:hyperlink>
      <w:r w:rsidRPr="00F749EA">
        <w:rPr>
          <w:rFonts w:asciiTheme="minorHAnsi" w:hAnsiTheme="minorHAnsi"/>
          <w:sz w:val="16"/>
          <w:szCs w:val="16"/>
        </w:rPr>
        <w:t>.</w:t>
      </w:r>
    </w:p>
    <w:p w:rsidR="00B47695" w:rsidRPr="00B47695" w:rsidRDefault="00B47695" w:rsidP="00B47695">
      <w:pPr>
        <w:spacing w:after="80" w:line="240" w:lineRule="auto"/>
        <w:ind w:left="274" w:right="86" w:hanging="274"/>
        <w:rPr>
          <w:rFonts w:asciiTheme="minorHAnsi" w:hAnsiTheme="minorHAnsi"/>
          <w:sz w:val="16"/>
          <w:szCs w:val="16"/>
        </w:rPr>
      </w:pPr>
      <w:r w:rsidRPr="00F749EA">
        <w:rPr>
          <w:rFonts w:asciiTheme="minorHAnsi" w:hAnsiTheme="minorHAnsi"/>
          <w:sz w:val="16"/>
          <w:szCs w:val="16"/>
        </w:rPr>
        <w:t xml:space="preserve">(c) </w:t>
      </w:r>
      <w:r w:rsidRPr="00F749EA">
        <w:rPr>
          <w:rFonts w:asciiTheme="minorHAnsi" w:hAnsiTheme="minorHAnsi"/>
          <w:sz w:val="16"/>
          <w:szCs w:val="16"/>
        </w:rPr>
        <w:tab/>
        <w:t xml:space="preserve">EE </w:t>
      </w:r>
      <w:r w:rsidR="00EE4205">
        <w:rPr>
          <w:rFonts w:asciiTheme="minorHAnsi" w:hAnsiTheme="minorHAnsi"/>
          <w:sz w:val="16"/>
          <w:szCs w:val="16"/>
        </w:rPr>
        <w:t xml:space="preserve">cumulative </w:t>
      </w:r>
      <w:r w:rsidRPr="00F749EA">
        <w:rPr>
          <w:rFonts w:asciiTheme="minorHAnsi" w:hAnsiTheme="minorHAnsi"/>
          <w:sz w:val="16"/>
          <w:szCs w:val="16"/>
        </w:rPr>
        <w:t xml:space="preserve">forecast values are based on the 2017 EE forecast. Details are available at </w:t>
      </w:r>
      <w:hyperlink r:id="rId47" w:history="1">
        <w:r w:rsidRPr="00F749EA">
          <w:rPr>
            <w:rFonts w:asciiTheme="minorHAnsi" w:hAnsiTheme="minorHAnsi"/>
            <w:color w:val="000000"/>
            <w:sz w:val="16"/>
            <w:szCs w:val="16"/>
          </w:rPr>
          <w:t>https://www.iso-ne.com/system-planning/system-forecasting/energy-efficiency-forecast</w:t>
        </w:r>
      </w:hyperlink>
    </w:p>
    <w:p w:rsidR="00B47695" w:rsidRPr="00B47695" w:rsidRDefault="00B47695" w:rsidP="00B47695">
      <w:pPr>
        <w:spacing w:line="240" w:lineRule="auto"/>
        <w:ind w:left="274" w:right="86" w:hanging="274"/>
        <w:rPr>
          <w:rFonts w:asciiTheme="minorHAnsi" w:hAnsiTheme="minorHAnsi" w:cs="Arial"/>
          <w:sz w:val="16"/>
          <w:szCs w:val="16"/>
        </w:rPr>
      </w:pPr>
      <w:r w:rsidRPr="00B47695">
        <w:rPr>
          <w:rFonts w:asciiTheme="minorHAnsi" w:hAnsiTheme="minorHAnsi"/>
          <w:sz w:val="16"/>
          <w:szCs w:val="16"/>
        </w:rPr>
        <w:t xml:space="preserve">(d) </w:t>
      </w:r>
      <w:r w:rsidRPr="00B47695">
        <w:rPr>
          <w:rFonts w:asciiTheme="minorHAnsi" w:hAnsiTheme="minorHAnsi"/>
          <w:sz w:val="16"/>
          <w:szCs w:val="16"/>
        </w:rPr>
        <w:tab/>
        <w:t>Additional resources would be required if additional resources retire or less capacity imports obtain CSOs.</w:t>
      </w:r>
    </w:p>
    <w:p w:rsidR="00B47695" w:rsidRPr="00B47695" w:rsidRDefault="00B47695" w:rsidP="007468C2">
      <w:pPr>
        <w:pStyle w:val="Heading2"/>
        <w:rPr>
          <w:color w:val="FF0000"/>
        </w:rPr>
      </w:pPr>
      <w:bookmarkStart w:id="371" w:name="_Ref418883537"/>
      <w:bookmarkStart w:id="372" w:name="_Toc481053252"/>
      <w:bookmarkStart w:id="373" w:name="_Toc490323028"/>
      <w:r w:rsidRPr="00B47695">
        <w:t>Determining FCM Capacity Zones</w:t>
      </w:r>
      <w:bookmarkEnd w:id="371"/>
      <w:bookmarkEnd w:id="372"/>
      <w:bookmarkEnd w:id="373"/>
      <w:r w:rsidRPr="00B47695">
        <w:t xml:space="preserve">   </w:t>
      </w:r>
    </w:p>
    <w:p w:rsidR="00B47695" w:rsidRPr="00B47695" w:rsidRDefault="00B47695" w:rsidP="00B47695">
      <w:r w:rsidRPr="00B47695">
        <w:t>For developing FCM capacity zones, the ISO annually identifies and evaluates all the boundaries and interface transfer capabilities that could be relevant to FCA capacity zone modeling. The review must focus on the actual constraints observed and expected on the New England system and directly considers submitted retirements and rejected delist bids. This review is designed to be responsive to system changes, such as new transmission facilities and new capacity resources. Primary auctions, reconfiguration auctions, and FCM settlements all use the capacity zones.</w:t>
      </w:r>
    </w:p>
    <w:p w:rsidR="00B47695" w:rsidRPr="00B47695" w:rsidRDefault="00B47695" w:rsidP="00B47695">
      <w:r w:rsidRPr="00B47695">
        <w:t>Determining capacity zones is a two-step process. Step one identifies potential zonal boundaries and associated transfer limits to be tested for modeling in the auction.</w:t>
      </w:r>
      <w:r w:rsidRPr="00B47695">
        <w:rPr>
          <w:vertAlign w:val="superscript"/>
        </w:rPr>
        <w:footnoteReference w:id="101"/>
      </w:r>
      <w:r w:rsidRPr="00B47695">
        <w:t xml:space="preserve"> Step two uses objective criteria to determine whether or not a zone should be modeled for the pertinent capacity commitment period. With respect to step two, the trigger to model an import-constrained zone is based on the quantity of existing resources in the zone, whereas the trigger to model an export-constrained zone is based on the quantity of existing and proposed new resources that could qualify in the zone. Zones that are neither import- or export-constrained are merged into the Rest-of-Pool capacity zone.</w:t>
      </w:r>
    </w:p>
    <w:p w:rsidR="00B47695" w:rsidRPr="00B47695" w:rsidRDefault="00B47695" w:rsidP="00B47695">
      <w:r w:rsidRPr="00B47695">
        <w:t>The FERC-approved methodology for determining capacity zones is focused on the review of system conditions for the capacity commitment period associated with the upcoming FCA. The final set of capacity zones up to FCA #12 will be filed with FERC November 2017 but were presented to stakeholders in March 2017.</w:t>
      </w:r>
      <w:r w:rsidRPr="00B47695">
        <w:rPr>
          <w:vertAlign w:val="superscript"/>
        </w:rPr>
        <w:footnoteReference w:id="102"/>
      </w:r>
      <w:r w:rsidRPr="00B47695">
        <w:t xml:space="preserve"> However, for FCA #13 and beyond, they will not be known until all the relevant system conditions for that capacity commitment period have been identified and evaluated. In particular, the </w:t>
      </w:r>
      <w:r w:rsidRPr="00B47695">
        <w:lastRenderedPageBreak/>
        <w:t xml:space="preserve">zone-formation process must be responsive to retirements, rejected delist bids, and other system changes. Generally, zone determinations are made in the spring of each year and presented to PAC. </w:t>
      </w:r>
    </w:p>
    <w:p w:rsidR="00B47695" w:rsidRPr="00B47695" w:rsidRDefault="00B47695" w:rsidP="00B47695">
      <w:r w:rsidRPr="00B47695">
        <w:t>For FCA #11 and FCA #12, the same objective criteria applied in FCA #10 was used to determine the need for modeling the same or different capacity zones</w:t>
      </w:r>
      <w:r w:rsidR="005B146A">
        <w:t xml:space="preserve">. </w:t>
      </w:r>
      <w:r w:rsidRPr="00B47695">
        <w:t xml:space="preserve">For both FCA #11 and FCA #12, it was </w:t>
      </w:r>
      <w:r w:rsidRPr="00476449">
        <w:t>determined that three capacity zones will be modeled, specifically Southeastern New England (SENE), Northern New England (NNE), and Rest-of-Pool. The SENE zone was modeled because constraints</w:t>
      </w:r>
      <w:r w:rsidRPr="00B47695">
        <w:t xml:space="preserve"> continue to be observed in the transfer of power into the SENE area. These constraints were observed for the contingency loss of either generating resources or other transmission elements on or near the boundary formed by the combination of the </w:t>
      </w:r>
      <w:r w:rsidR="00EE4205">
        <w:t>load</w:t>
      </w:r>
      <w:r w:rsidRPr="00B47695">
        <w:t xml:space="preserve"> zones. The NNE zone was modeled in both FCA #11 and FCA #12 because of the significant amount of new capacity additions proposed in the northern part of the system during the qualification process, making the area more likely to be export constrained. Similar to previous FCAs, Connecticut was evaluated as a potential import-constrained zone but was merged with the ROP capacity zone because the transmission system has been improved significantly and the markets have responded for building new generation in the area. The Western Massachusetts </w:t>
      </w:r>
      <w:r w:rsidR="00EE4205">
        <w:t>load</w:t>
      </w:r>
      <w:r w:rsidRPr="00B47695">
        <w:t xml:space="preserve"> zone will continue to form the basis of the ROP capacity zone. </w:t>
      </w:r>
    </w:p>
    <w:p w:rsidR="00B47695" w:rsidRPr="00B47695" w:rsidRDefault="00B47695" w:rsidP="007468C2">
      <w:pPr>
        <w:pStyle w:val="Heading2"/>
        <w:rPr>
          <w:rFonts w:eastAsia="Times New Roman"/>
        </w:rPr>
      </w:pPr>
      <w:bookmarkStart w:id="374" w:name="_Toc481053253"/>
      <w:bookmarkStart w:id="375" w:name="_Toc481053254"/>
      <w:bookmarkStart w:id="376" w:name="_Toc481053255"/>
      <w:bookmarkStart w:id="377" w:name="_Toc481053256"/>
      <w:bookmarkStart w:id="378" w:name="_Toc481053257"/>
      <w:bookmarkStart w:id="379" w:name="_Ref419703700"/>
      <w:bookmarkStart w:id="380" w:name="_Toc490323029"/>
      <w:bookmarkStart w:id="381" w:name="_Toc481053258"/>
      <w:bookmarkEnd w:id="374"/>
      <w:bookmarkEnd w:id="375"/>
      <w:bookmarkEnd w:id="376"/>
      <w:bookmarkEnd w:id="377"/>
      <w:bookmarkEnd w:id="378"/>
      <w:r w:rsidRPr="00B47695">
        <w:rPr>
          <w:rFonts w:eastAsia="Times New Roman"/>
        </w:rPr>
        <w:t>Analyzing Operable Capacity</w:t>
      </w:r>
      <w:bookmarkEnd w:id="379"/>
      <w:bookmarkEnd w:id="380"/>
      <w:r w:rsidRPr="00B47695">
        <w:rPr>
          <w:rFonts w:eastAsia="Times New Roman"/>
        </w:rPr>
        <w:t xml:space="preserve"> </w:t>
      </w:r>
      <w:bookmarkEnd w:id="381"/>
    </w:p>
    <w:p w:rsidR="00B47695" w:rsidRPr="00B47695" w:rsidRDefault="00B47695" w:rsidP="00B47695">
      <w:r w:rsidRPr="00B47695">
        <w:t xml:space="preserve">The ISO performs systemwide operable-capacity analyses to estimate the net capacity and determine the operable-capacity margin available under two scenarios (i.e., using the 50/50 and 90/10 forecasts of peak load). The analysis assumes that peak load conditions are reduced to fully reflect behind-the-meter </w:t>
      </w:r>
      <w:r w:rsidRPr="002F74EF">
        <w:t xml:space="preserve">PV (refer to Section </w:t>
      </w:r>
      <w:r w:rsidR="002F74EF" w:rsidRPr="002F74EF">
        <w:fldChar w:fldCharType="begin"/>
      </w:r>
      <w:r w:rsidR="002F74EF" w:rsidRPr="002F74EF">
        <w:instrText xml:space="preserve"> REF _Ref418883457 \r \h </w:instrText>
      </w:r>
      <w:r w:rsidR="002F74EF">
        <w:instrText xml:space="preserve"> \* MERGEFORMAT </w:instrText>
      </w:r>
      <w:r w:rsidR="002F74EF" w:rsidRPr="002F74EF">
        <w:fldChar w:fldCharType="separate"/>
      </w:r>
      <w:r w:rsidR="00314781">
        <w:t>3.4</w:t>
      </w:r>
      <w:r w:rsidR="002F74EF" w:rsidRPr="002F74EF">
        <w:fldChar w:fldCharType="end"/>
      </w:r>
      <w:r w:rsidRPr="002F74EF">
        <w:t>). It also assumes that to meet the assumed peak demand plus operating-reserve</w:t>
      </w:r>
      <w:r w:rsidRPr="00B47695">
        <w:t xml:space="preserve"> requirements, the capacity in New England will only be equal to the net ICR, which relies on load and </w:t>
      </w:r>
      <w:r w:rsidRPr="00361210">
        <w:t>capacity relief from the implementation of OP 4 actions to meet the one-</w:t>
      </w:r>
      <w:r w:rsidR="00EF64F5" w:rsidRPr="00361210">
        <w:t>day</w:t>
      </w:r>
      <w:r w:rsidRPr="00361210">
        <w:t>-in-10 years LOLE.</w:t>
      </w:r>
      <w:r w:rsidRPr="00361210">
        <w:rPr>
          <w:vertAlign w:val="superscript"/>
        </w:rPr>
        <w:footnoteReference w:id="103"/>
      </w:r>
      <w:r w:rsidRPr="00B47695">
        <w:t xml:space="preserve"> A negative margin for a specific scenario indicates the extent that possible mitigation actions would be required through predefined protocols, as prescribed in the ISO’s Operating Procedure No. 4, </w:t>
      </w:r>
      <w:r w:rsidRPr="00B47695">
        <w:rPr>
          <w:i/>
        </w:rPr>
        <w:t>Action during a Capacity Deficiency</w:t>
      </w:r>
      <w:r w:rsidRPr="00B47695">
        <w:t>,</w:t>
      </w:r>
      <w:r w:rsidRPr="00B47695">
        <w:rPr>
          <w:i/>
        </w:rPr>
        <w:t xml:space="preserve"> </w:t>
      </w:r>
      <w:r w:rsidRPr="00B47695">
        <w:t xml:space="preserve">or Operating Procedure No. 7 (OP 7), </w:t>
      </w:r>
      <w:r w:rsidRPr="00B47695">
        <w:rPr>
          <w:i/>
        </w:rPr>
        <w:t>Action in an Emergency</w:t>
      </w:r>
      <w:r w:rsidRPr="00B47695">
        <w:t>.</w:t>
      </w:r>
      <w:r w:rsidRPr="00B47695">
        <w:rPr>
          <w:vertAlign w:val="superscript"/>
        </w:rPr>
        <w:footnoteReference w:id="104"/>
      </w:r>
    </w:p>
    <w:p w:rsidR="00B47695" w:rsidRPr="00B47695" w:rsidRDefault="00B47695" w:rsidP="00B47695">
      <w:r w:rsidRPr="00B47695">
        <w:fldChar w:fldCharType="begin"/>
      </w:r>
      <w:r w:rsidRPr="00B47695">
        <w:instrText xml:space="preserve"> REF _Ref419042532 \h  \* MERGEFORMAT </w:instrText>
      </w:r>
      <w:r w:rsidRPr="00B47695">
        <w:fldChar w:fldCharType="separate"/>
      </w:r>
      <w:r w:rsidR="00314781" w:rsidRPr="000162C8">
        <w:rPr>
          <w:bCs/>
          <w:szCs w:val="18"/>
        </w:rPr>
        <w:t>Table 4</w:t>
      </w:r>
      <w:r w:rsidR="00314781" w:rsidRPr="000162C8">
        <w:rPr>
          <w:bCs/>
          <w:szCs w:val="18"/>
        </w:rPr>
        <w:noBreakHyphen/>
        <w:t>6</w:t>
      </w:r>
      <w:r w:rsidRPr="00B47695">
        <w:fldChar w:fldCharType="end"/>
      </w:r>
      <w:r w:rsidRPr="00B47695">
        <w:t xml:space="preserve"> shows the results of the ISO’s systemwide operable capacity analysis for the 2018/2019 to 2026/2027 commitment periods. The analysis does not take into account operable capacity needs for RSP subareas. The results show that if the loads associated with the 50/50 forecast occurred, the ISO could expect New England to experience a positive operable-capacity margin ranging from approximately 200 MW to 500 MW during the study period. </w:t>
      </w:r>
    </w:p>
    <w:p w:rsidR="00B47695" w:rsidRPr="00B47695" w:rsidRDefault="00B47695" w:rsidP="00B47695">
      <w:pPr>
        <w:keepNext/>
        <w:keepLines/>
        <w:spacing w:after="60" w:line="240" w:lineRule="auto"/>
        <w:ind w:left="547" w:right="547"/>
        <w:jc w:val="center"/>
        <w:rPr>
          <w:rFonts w:ascii="Calibri" w:hAnsi="Calibri"/>
          <w:b/>
          <w:bCs/>
          <w:szCs w:val="18"/>
        </w:rPr>
      </w:pPr>
      <w:bookmarkStart w:id="382" w:name="_Ref419042532"/>
      <w:bookmarkStart w:id="383" w:name="_Toc481053565"/>
      <w:bookmarkStart w:id="384" w:name="_Toc491244010"/>
      <w:r w:rsidRPr="00B47695">
        <w:rPr>
          <w:rFonts w:ascii="Calibri" w:hAnsi="Calibri"/>
          <w:b/>
          <w:bCs/>
          <w:szCs w:val="18"/>
        </w:rPr>
        <w:lastRenderedPageBreak/>
        <w:t>Table </w:t>
      </w:r>
      <w:r w:rsidR="00D95957">
        <w:rPr>
          <w:rFonts w:ascii="Calibri" w:hAnsi="Calibri"/>
          <w:b/>
          <w:bCs/>
          <w:szCs w:val="18"/>
        </w:rPr>
        <w:fldChar w:fldCharType="begin"/>
      </w:r>
      <w:r w:rsidR="00D95957">
        <w:rPr>
          <w:rFonts w:ascii="Calibri" w:hAnsi="Calibri"/>
          <w:b/>
          <w:bCs/>
          <w:szCs w:val="18"/>
        </w:rPr>
        <w:instrText xml:space="preserve"> STYLEREF 1 \s </w:instrText>
      </w:r>
      <w:r w:rsidR="00D95957">
        <w:rPr>
          <w:rFonts w:ascii="Calibri" w:hAnsi="Calibri"/>
          <w:b/>
          <w:bCs/>
          <w:szCs w:val="18"/>
        </w:rPr>
        <w:fldChar w:fldCharType="separate"/>
      </w:r>
      <w:r w:rsidR="00D95957">
        <w:rPr>
          <w:rFonts w:ascii="Calibri" w:hAnsi="Calibri"/>
          <w:b/>
          <w:bCs/>
          <w:noProof/>
          <w:szCs w:val="18"/>
        </w:rPr>
        <w:t>4</w:t>
      </w:r>
      <w:r w:rsidR="00D95957">
        <w:rPr>
          <w:rFonts w:ascii="Calibri" w:hAnsi="Calibri"/>
          <w:b/>
          <w:bCs/>
          <w:szCs w:val="18"/>
        </w:rPr>
        <w:fldChar w:fldCharType="end"/>
      </w:r>
      <w:r w:rsidR="00D95957">
        <w:rPr>
          <w:rFonts w:ascii="Calibri" w:hAnsi="Calibri"/>
          <w:b/>
          <w:bCs/>
          <w:szCs w:val="18"/>
        </w:rPr>
        <w:noBreakHyphen/>
      </w:r>
      <w:r w:rsidR="00D95957">
        <w:rPr>
          <w:rFonts w:ascii="Calibri" w:hAnsi="Calibri"/>
          <w:b/>
          <w:bCs/>
          <w:szCs w:val="18"/>
        </w:rPr>
        <w:fldChar w:fldCharType="begin"/>
      </w:r>
      <w:r w:rsidR="00D95957">
        <w:rPr>
          <w:rFonts w:ascii="Calibri" w:hAnsi="Calibri"/>
          <w:b/>
          <w:bCs/>
          <w:szCs w:val="18"/>
        </w:rPr>
        <w:instrText xml:space="preserve"> SEQ Table \* ARABIC \s 1 </w:instrText>
      </w:r>
      <w:r w:rsidR="00D95957">
        <w:rPr>
          <w:rFonts w:ascii="Calibri" w:hAnsi="Calibri"/>
          <w:b/>
          <w:bCs/>
          <w:szCs w:val="18"/>
        </w:rPr>
        <w:fldChar w:fldCharType="separate"/>
      </w:r>
      <w:r w:rsidR="00D95957">
        <w:rPr>
          <w:rFonts w:ascii="Calibri" w:hAnsi="Calibri"/>
          <w:b/>
          <w:bCs/>
          <w:noProof/>
          <w:szCs w:val="18"/>
        </w:rPr>
        <w:t>6</w:t>
      </w:r>
      <w:r w:rsidR="00D95957">
        <w:rPr>
          <w:rFonts w:ascii="Calibri" w:hAnsi="Calibri"/>
          <w:b/>
          <w:bCs/>
          <w:szCs w:val="18"/>
        </w:rPr>
        <w:fldChar w:fldCharType="end"/>
      </w:r>
      <w:bookmarkEnd w:id="382"/>
      <w:r w:rsidRPr="00B47695">
        <w:rPr>
          <w:rFonts w:ascii="Calibri" w:hAnsi="Calibri"/>
          <w:b/>
          <w:bCs/>
          <w:szCs w:val="18"/>
        </w:rPr>
        <w:br/>
        <w:t xml:space="preserve">Projected New England Operable Capacity Analysis for Summer, 2018 </w:t>
      </w:r>
      <w:r w:rsidRPr="00B47695">
        <w:rPr>
          <w:rFonts w:ascii="Calibri" w:hAnsi="Calibri" w:cs="Arial"/>
          <w:b/>
          <w:bCs/>
          <w:szCs w:val="18"/>
        </w:rPr>
        <w:t xml:space="preserve">to </w:t>
      </w:r>
      <w:r w:rsidRPr="00B47695">
        <w:rPr>
          <w:rFonts w:ascii="Calibri" w:hAnsi="Calibri"/>
          <w:b/>
          <w:bCs/>
          <w:szCs w:val="18"/>
        </w:rPr>
        <w:t>2026,</w:t>
      </w:r>
      <w:r w:rsidRPr="00B47695">
        <w:rPr>
          <w:rFonts w:ascii="Calibri" w:hAnsi="Calibri"/>
          <w:b/>
          <w:bCs/>
          <w:szCs w:val="18"/>
        </w:rPr>
        <w:br/>
        <w:t>Assuming 50/50 and 90/10 Loads (MW)</w:t>
      </w:r>
      <w:bookmarkEnd w:id="383"/>
      <w:bookmarkEnd w:id="384"/>
    </w:p>
    <w:tbl>
      <w:tblPr>
        <w:tblW w:w="9603" w:type="dxa"/>
        <w:tblInd w:w="-245"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64"/>
        <w:gridCol w:w="1872"/>
        <w:gridCol w:w="763"/>
        <w:gridCol w:w="763"/>
        <w:gridCol w:w="763"/>
        <w:gridCol w:w="763"/>
        <w:gridCol w:w="763"/>
        <w:gridCol w:w="763"/>
        <w:gridCol w:w="763"/>
        <w:gridCol w:w="763"/>
        <w:gridCol w:w="763"/>
      </w:tblGrid>
      <w:tr w:rsidR="00B47695" w:rsidRPr="009C67B0" w:rsidTr="00F53961">
        <w:trPr>
          <w:trHeight w:val="465"/>
        </w:trPr>
        <w:tc>
          <w:tcPr>
            <w:tcW w:w="2736" w:type="dxa"/>
            <w:gridSpan w:val="2"/>
            <w:shd w:val="clear" w:color="auto" w:fill="1795D2" w:themeFill="accent1"/>
            <w:noWrap/>
            <w:vAlign w:val="center"/>
            <w:hideMark/>
          </w:tcPr>
          <w:p w:rsidR="00B47695" w:rsidRPr="009C67B0" w:rsidRDefault="00B47695" w:rsidP="00B47695">
            <w:pPr>
              <w:keepNext/>
              <w:keepLines/>
              <w:spacing w:after="0" w:line="240" w:lineRule="auto"/>
              <w:jc w:val="center"/>
              <w:rPr>
                <w:rFonts w:asciiTheme="majorHAnsi" w:eastAsia="Times New Roman" w:hAnsiTheme="majorHAnsi"/>
                <w:b/>
                <w:bCs/>
                <w:color w:val="FFFFFF"/>
                <w:sz w:val="18"/>
                <w:szCs w:val="18"/>
              </w:rPr>
            </w:pPr>
            <w:r w:rsidRPr="009C67B0">
              <w:rPr>
                <w:rFonts w:asciiTheme="majorHAnsi" w:eastAsia="Times New Roman" w:hAnsiTheme="majorHAnsi"/>
                <w:b/>
                <w:bCs/>
                <w:color w:val="FFFFFF"/>
                <w:sz w:val="18"/>
                <w:szCs w:val="18"/>
              </w:rPr>
              <w:t>Capacity Situation (Summer MW)</w:t>
            </w:r>
          </w:p>
        </w:tc>
        <w:tc>
          <w:tcPr>
            <w:tcW w:w="763" w:type="dxa"/>
            <w:shd w:val="clear" w:color="auto" w:fill="1795D2" w:themeFill="accent1"/>
            <w:noWrap/>
            <w:vAlign w:val="center"/>
            <w:hideMark/>
          </w:tcPr>
          <w:p w:rsidR="00B47695" w:rsidRPr="009C67B0" w:rsidRDefault="00B47695" w:rsidP="00B47695">
            <w:pPr>
              <w:keepNext/>
              <w:keepLines/>
              <w:spacing w:after="0" w:line="240" w:lineRule="auto"/>
              <w:jc w:val="center"/>
              <w:rPr>
                <w:rFonts w:asciiTheme="majorHAnsi" w:eastAsia="Times New Roman" w:hAnsiTheme="majorHAnsi"/>
                <w:b/>
                <w:bCs/>
                <w:color w:val="FFFFFF"/>
                <w:sz w:val="18"/>
                <w:szCs w:val="18"/>
              </w:rPr>
            </w:pPr>
            <w:r w:rsidRPr="009C67B0">
              <w:rPr>
                <w:rFonts w:asciiTheme="majorHAnsi" w:eastAsia="Times New Roman" w:hAnsiTheme="majorHAnsi"/>
                <w:b/>
                <w:bCs/>
                <w:color w:val="FFFFFF"/>
                <w:sz w:val="18"/>
                <w:szCs w:val="18"/>
              </w:rPr>
              <w:t>2018</w:t>
            </w:r>
          </w:p>
        </w:tc>
        <w:tc>
          <w:tcPr>
            <w:tcW w:w="763" w:type="dxa"/>
            <w:shd w:val="clear" w:color="auto" w:fill="1795D2" w:themeFill="accent1"/>
            <w:noWrap/>
            <w:vAlign w:val="center"/>
            <w:hideMark/>
          </w:tcPr>
          <w:p w:rsidR="00B47695" w:rsidRPr="009C67B0" w:rsidRDefault="00B47695" w:rsidP="00B47695">
            <w:pPr>
              <w:keepNext/>
              <w:keepLines/>
              <w:spacing w:after="0" w:line="240" w:lineRule="auto"/>
              <w:jc w:val="center"/>
              <w:rPr>
                <w:rFonts w:asciiTheme="majorHAnsi" w:eastAsia="Times New Roman" w:hAnsiTheme="majorHAnsi"/>
                <w:b/>
                <w:bCs/>
                <w:color w:val="FFFFFF"/>
                <w:sz w:val="18"/>
                <w:szCs w:val="18"/>
              </w:rPr>
            </w:pPr>
            <w:r w:rsidRPr="009C67B0">
              <w:rPr>
                <w:rFonts w:asciiTheme="majorHAnsi" w:eastAsia="Times New Roman" w:hAnsiTheme="majorHAnsi"/>
                <w:b/>
                <w:bCs/>
                <w:color w:val="FFFFFF"/>
                <w:sz w:val="18"/>
                <w:szCs w:val="18"/>
              </w:rPr>
              <w:t>2019</w:t>
            </w:r>
          </w:p>
        </w:tc>
        <w:tc>
          <w:tcPr>
            <w:tcW w:w="763" w:type="dxa"/>
            <w:shd w:val="clear" w:color="auto" w:fill="1795D2" w:themeFill="accent1"/>
            <w:noWrap/>
            <w:vAlign w:val="center"/>
            <w:hideMark/>
          </w:tcPr>
          <w:p w:rsidR="00B47695" w:rsidRPr="009C67B0" w:rsidRDefault="00B47695" w:rsidP="00B47695">
            <w:pPr>
              <w:keepNext/>
              <w:keepLines/>
              <w:spacing w:after="0" w:line="240" w:lineRule="auto"/>
              <w:jc w:val="center"/>
              <w:rPr>
                <w:rFonts w:asciiTheme="majorHAnsi" w:eastAsia="Times New Roman" w:hAnsiTheme="majorHAnsi"/>
                <w:b/>
                <w:bCs/>
                <w:color w:val="FFFFFF"/>
                <w:sz w:val="18"/>
                <w:szCs w:val="18"/>
              </w:rPr>
            </w:pPr>
            <w:r w:rsidRPr="009C67B0">
              <w:rPr>
                <w:rFonts w:asciiTheme="majorHAnsi" w:eastAsia="Times New Roman" w:hAnsiTheme="majorHAnsi"/>
                <w:b/>
                <w:bCs/>
                <w:color w:val="FFFFFF"/>
                <w:sz w:val="18"/>
                <w:szCs w:val="18"/>
              </w:rPr>
              <w:t>2020</w:t>
            </w:r>
          </w:p>
        </w:tc>
        <w:tc>
          <w:tcPr>
            <w:tcW w:w="763" w:type="dxa"/>
            <w:shd w:val="clear" w:color="auto" w:fill="1795D2" w:themeFill="accent1"/>
            <w:noWrap/>
            <w:vAlign w:val="center"/>
            <w:hideMark/>
          </w:tcPr>
          <w:p w:rsidR="00B47695" w:rsidRPr="009C67B0" w:rsidRDefault="00B47695" w:rsidP="00B47695">
            <w:pPr>
              <w:keepNext/>
              <w:keepLines/>
              <w:spacing w:after="0" w:line="240" w:lineRule="auto"/>
              <w:jc w:val="center"/>
              <w:rPr>
                <w:rFonts w:asciiTheme="majorHAnsi" w:eastAsia="Times New Roman" w:hAnsiTheme="majorHAnsi"/>
                <w:b/>
                <w:bCs/>
                <w:color w:val="FFFFFF"/>
                <w:sz w:val="18"/>
                <w:szCs w:val="18"/>
              </w:rPr>
            </w:pPr>
            <w:r w:rsidRPr="009C67B0">
              <w:rPr>
                <w:rFonts w:asciiTheme="majorHAnsi" w:eastAsia="Times New Roman" w:hAnsiTheme="majorHAnsi"/>
                <w:b/>
                <w:bCs/>
                <w:color w:val="FFFFFF"/>
                <w:sz w:val="18"/>
                <w:szCs w:val="18"/>
              </w:rPr>
              <w:t>2021</w:t>
            </w:r>
          </w:p>
        </w:tc>
        <w:tc>
          <w:tcPr>
            <w:tcW w:w="763" w:type="dxa"/>
            <w:shd w:val="clear" w:color="auto" w:fill="1795D2" w:themeFill="accent1"/>
            <w:noWrap/>
            <w:vAlign w:val="center"/>
            <w:hideMark/>
          </w:tcPr>
          <w:p w:rsidR="00B47695" w:rsidRPr="009C67B0" w:rsidRDefault="00B47695" w:rsidP="00B47695">
            <w:pPr>
              <w:keepNext/>
              <w:keepLines/>
              <w:spacing w:after="0" w:line="240" w:lineRule="auto"/>
              <w:jc w:val="center"/>
              <w:rPr>
                <w:rFonts w:asciiTheme="majorHAnsi" w:eastAsia="Times New Roman" w:hAnsiTheme="majorHAnsi"/>
                <w:b/>
                <w:bCs/>
                <w:color w:val="FFFFFF"/>
                <w:sz w:val="18"/>
                <w:szCs w:val="18"/>
              </w:rPr>
            </w:pPr>
            <w:r w:rsidRPr="009C67B0">
              <w:rPr>
                <w:rFonts w:asciiTheme="majorHAnsi" w:eastAsia="Times New Roman" w:hAnsiTheme="majorHAnsi"/>
                <w:b/>
                <w:bCs/>
                <w:color w:val="FFFFFF"/>
                <w:sz w:val="18"/>
                <w:szCs w:val="18"/>
              </w:rPr>
              <w:t>2022</w:t>
            </w:r>
          </w:p>
        </w:tc>
        <w:tc>
          <w:tcPr>
            <w:tcW w:w="763" w:type="dxa"/>
            <w:shd w:val="clear" w:color="auto" w:fill="1795D2" w:themeFill="accent1"/>
            <w:noWrap/>
            <w:vAlign w:val="center"/>
            <w:hideMark/>
          </w:tcPr>
          <w:p w:rsidR="00B47695" w:rsidRPr="009C67B0" w:rsidRDefault="00B47695" w:rsidP="00B47695">
            <w:pPr>
              <w:keepNext/>
              <w:keepLines/>
              <w:spacing w:after="0" w:line="240" w:lineRule="auto"/>
              <w:jc w:val="center"/>
              <w:rPr>
                <w:rFonts w:asciiTheme="majorHAnsi" w:eastAsia="Times New Roman" w:hAnsiTheme="majorHAnsi"/>
                <w:b/>
                <w:bCs/>
                <w:color w:val="FFFFFF"/>
                <w:sz w:val="18"/>
                <w:szCs w:val="18"/>
              </w:rPr>
            </w:pPr>
            <w:r w:rsidRPr="009C67B0">
              <w:rPr>
                <w:rFonts w:asciiTheme="majorHAnsi" w:eastAsia="Times New Roman" w:hAnsiTheme="majorHAnsi"/>
                <w:b/>
                <w:bCs/>
                <w:color w:val="FFFFFF"/>
                <w:sz w:val="18"/>
                <w:szCs w:val="18"/>
              </w:rPr>
              <w:t>2023</w:t>
            </w:r>
          </w:p>
        </w:tc>
        <w:tc>
          <w:tcPr>
            <w:tcW w:w="763" w:type="dxa"/>
            <w:shd w:val="clear" w:color="auto" w:fill="1795D2" w:themeFill="accent1"/>
            <w:noWrap/>
            <w:vAlign w:val="center"/>
            <w:hideMark/>
          </w:tcPr>
          <w:p w:rsidR="00B47695" w:rsidRPr="009C67B0" w:rsidRDefault="00B47695" w:rsidP="00B47695">
            <w:pPr>
              <w:keepNext/>
              <w:keepLines/>
              <w:spacing w:after="0" w:line="240" w:lineRule="auto"/>
              <w:jc w:val="center"/>
              <w:rPr>
                <w:rFonts w:asciiTheme="majorHAnsi" w:eastAsia="Times New Roman" w:hAnsiTheme="majorHAnsi"/>
                <w:b/>
                <w:bCs/>
                <w:color w:val="FFFFFF"/>
                <w:sz w:val="18"/>
                <w:szCs w:val="18"/>
              </w:rPr>
            </w:pPr>
            <w:r w:rsidRPr="009C67B0">
              <w:rPr>
                <w:rFonts w:asciiTheme="majorHAnsi" w:eastAsia="Times New Roman" w:hAnsiTheme="majorHAnsi"/>
                <w:b/>
                <w:bCs/>
                <w:color w:val="FFFFFF"/>
                <w:sz w:val="18"/>
                <w:szCs w:val="18"/>
              </w:rPr>
              <w:t>2024</w:t>
            </w:r>
          </w:p>
        </w:tc>
        <w:tc>
          <w:tcPr>
            <w:tcW w:w="763" w:type="dxa"/>
            <w:shd w:val="clear" w:color="auto" w:fill="1795D2" w:themeFill="accent1"/>
            <w:noWrap/>
            <w:vAlign w:val="center"/>
            <w:hideMark/>
          </w:tcPr>
          <w:p w:rsidR="00B47695" w:rsidRPr="009C67B0" w:rsidRDefault="00B47695" w:rsidP="00B47695">
            <w:pPr>
              <w:keepNext/>
              <w:keepLines/>
              <w:spacing w:after="0" w:line="240" w:lineRule="auto"/>
              <w:jc w:val="center"/>
              <w:rPr>
                <w:rFonts w:asciiTheme="majorHAnsi" w:eastAsia="Times New Roman" w:hAnsiTheme="majorHAnsi"/>
                <w:b/>
                <w:bCs/>
                <w:color w:val="FFFFFF"/>
                <w:sz w:val="18"/>
                <w:szCs w:val="18"/>
              </w:rPr>
            </w:pPr>
            <w:r w:rsidRPr="009C67B0">
              <w:rPr>
                <w:rFonts w:asciiTheme="majorHAnsi" w:eastAsia="Times New Roman" w:hAnsiTheme="majorHAnsi"/>
                <w:b/>
                <w:bCs/>
                <w:color w:val="FFFFFF"/>
                <w:sz w:val="18"/>
                <w:szCs w:val="18"/>
              </w:rPr>
              <w:t>2025</w:t>
            </w:r>
          </w:p>
        </w:tc>
        <w:tc>
          <w:tcPr>
            <w:tcW w:w="763" w:type="dxa"/>
            <w:shd w:val="clear" w:color="auto" w:fill="1795D2" w:themeFill="accent1"/>
            <w:noWrap/>
            <w:vAlign w:val="center"/>
            <w:hideMark/>
          </w:tcPr>
          <w:p w:rsidR="00B47695" w:rsidRPr="009C67B0" w:rsidRDefault="00B47695" w:rsidP="00B47695">
            <w:pPr>
              <w:keepNext/>
              <w:keepLines/>
              <w:spacing w:after="0" w:line="240" w:lineRule="auto"/>
              <w:jc w:val="center"/>
              <w:rPr>
                <w:rFonts w:asciiTheme="majorHAnsi" w:eastAsia="Times New Roman" w:hAnsiTheme="majorHAnsi"/>
                <w:b/>
                <w:bCs/>
                <w:color w:val="FFFFFF"/>
                <w:sz w:val="18"/>
                <w:szCs w:val="18"/>
              </w:rPr>
            </w:pPr>
            <w:r w:rsidRPr="009C67B0">
              <w:rPr>
                <w:rFonts w:asciiTheme="majorHAnsi" w:eastAsia="Times New Roman" w:hAnsiTheme="majorHAnsi"/>
                <w:b/>
                <w:bCs/>
                <w:color w:val="FFFFFF"/>
                <w:sz w:val="18"/>
                <w:szCs w:val="18"/>
              </w:rPr>
              <w:t>2026</w:t>
            </w:r>
          </w:p>
        </w:tc>
      </w:tr>
      <w:tr w:rsidR="00B47695" w:rsidRPr="009C67B0" w:rsidTr="00F53961">
        <w:trPr>
          <w:trHeight w:val="300"/>
        </w:trPr>
        <w:tc>
          <w:tcPr>
            <w:tcW w:w="864" w:type="dxa"/>
            <w:vMerge w:val="restart"/>
            <w:shd w:val="clear" w:color="auto" w:fill="auto"/>
            <w:noWrap/>
            <w:vAlign w:val="center"/>
            <w:hideMark/>
          </w:tcPr>
          <w:p w:rsidR="00B47695" w:rsidRPr="009C67B0" w:rsidRDefault="00B47695" w:rsidP="00B47695">
            <w:pPr>
              <w:keepNext/>
              <w:keepLines/>
              <w:spacing w:after="0" w:line="240" w:lineRule="auto"/>
              <w:rPr>
                <w:rFonts w:asciiTheme="majorHAnsi" w:eastAsia="Times New Roman" w:hAnsiTheme="majorHAnsi"/>
                <w:b/>
                <w:bCs/>
                <w:color w:val="000000"/>
                <w:sz w:val="18"/>
                <w:szCs w:val="18"/>
              </w:rPr>
            </w:pPr>
            <w:r w:rsidRPr="009C67B0">
              <w:rPr>
                <w:rFonts w:asciiTheme="majorHAnsi" w:eastAsia="Times New Roman" w:hAnsiTheme="majorHAnsi"/>
                <w:b/>
                <w:bCs/>
                <w:color w:val="000000"/>
                <w:sz w:val="18"/>
                <w:szCs w:val="18"/>
              </w:rPr>
              <w:t>50/50 forecast</w:t>
            </w:r>
          </w:p>
        </w:tc>
        <w:tc>
          <w:tcPr>
            <w:tcW w:w="1872" w:type="dxa"/>
            <w:shd w:val="clear" w:color="auto" w:fill="auto"/>
            <w:vAlign w:val="center"/>
            <w:hideMark/>
          </w:tcPr>
          <w:p w:rsidR="00B47695" w:rsidRPr="009C67B0" w:rsidRDefault="00B47695" w:rsidP="00B47695">
            <w:pPr>
              <w:keepNext/>
              <w:keepLines/>
              <w:spacing w:after="0" w:line="240" w:lineRule="auto"/>
              <w:rPr>
                <w:rFonts w:asciiTheme="majorHAnsi" w:eastAsia="Times New Roman" w:hAnsiTheme="majorHAnsi"/>
                <w:sz w:val="18"/>
                <w:szCs w:val="18"/>
              </w:rPr>
            </w:pPr>
            <w:r w:rsidRPr="009C67B0">
              <w:rPr>
                <w:rFonts w:asciiTheme="majorHAnsi" w:eastAsia="Times New Roman" w:hAnsiTheme="majorHAnsi"/>
                <w:sz w:val="18"/>
                <w:szCs w:val="18"/>
              </w:rPr>
              <w:t>Load net of BTM PV</w:t>
            </w:r>
            <w:r w:rsidRPr="009C67B0">
              <w:rPr>
                <w:rFonts w:asciiTheme="majorHAnsi" w:eastAsia="Times New Roman" w:hAnsiTheme="majorHAnsi"/>
                <w:sz w:val="18"/>
                <w:szCs w:val="18"/>
                <w:vertAlign w:val="superscript"/>
              </w:rPr>
              <w:t>(a)</w:t>
            </w:r>
          </w:p>
        </w:tc>
        <w:tc>
          <w:tcPr>
            <w:tcW w:w="763" w:type="dxa"/>
            <w:shd w:val="clear" w:color="auto" w:fill="auto"/>
            <w:noWrap/>
            <w:vAlign w:val="center"/>
            <w:hideMark/>
          </w:tcPr>
          <w:p w:rsidR="00B47695" w:rsidRPr="009C67B0" w:rsidRDefault="00B47695" w:rsidP="00B47695">
            <w:pPr>
              <w:keepNext/>
              <w:keepLines/>
              <w:spacing w:after="0" w:line="240" w:lineRule="auto"/>
              <w:jc w:val="right"/>
              <w:rPr>
                <w:rFonts w:asciiTheme="majorHAnsi" w:eastAsia="Times New Roman" w:hAnsiTheme="majorHAnsi" w:cs="Arial"/>
                <w:sz w:val="18"/>
                <w:szCs w:val="18"/>
              </w:rPr>
            </w:pPr>
            <w:r w:rsidRPr="009C67B0">
              <w:rPr>
                <w:rFonts w:asciiTheme="majorHAnsi" w:hAnsiTheme="majorHAnsi" w:cs="Arial"/>
                <w:sz w:val="18"/>
                <w:szCs w:val="18"/>
              </w:rPr>
              <w:t>28,764</w:t>
            </w:r>
          </w:p>
        </w:tc>
        <w:tc>
          <w:tcPr>
            <w:tcW w:w="763" w:type="dxa"/>
            <w:shd w:val="clear" w:color="auto" w:fill="auto"/>
            <w:noWrap/>
            <w:vAlign w:val="center"/>
            <w:hideMark/>
          </w:tcPr>
          <w:p w:rsidR="00B47695" w:rsidRPr="009C67B0" w:rsidRDefault="00B47695" w:rsidP="00B47695">
            <w:pPr>
              <w:keepNext/>
              <w:keepLines/>
              <w:spacing w:after="0" w:line="240" w:lineRule="auto"/>
              <w:jc w:val="right"/>
              <w:rPr>
                <w:rFonts w:asciiTheme="majorHAnsi" w:eastAsia="Times New Roman" w:hAnsiTheme="majorHAnsi" w:cs="Arial"/>
                <w:sz w:val="18"/>
                <w:szCs w:val="18"/>
              </w:rPr>
            </w:pPr>
            <w:r w:rsidRPr="009C67B0">
              <w:rPr>
                <w:rFonts w:asciiTheme="majorHAnsi" w:hAnsiTheme="majorHAnsi" w:cs="Arial"/>
                <w:sz w:val="18"/>
                <w:szCs w:val="18"/>
              </w:rPr>
              <w:t>28,970</w:t>
            </w:r>
          </w:p>
        </w:tc>
        <w:tc>
          <w:tcPr>
            <w:tcW w:w="763" w:type="dxa"/>
            <w:shd w:val="clear" w:color="auto" w:fill="auto"/>
            <w:noWrap/>
            <w:vAlign w:val="center"/>
            <w:hideMark/>
          </w:tcPr>
          <w:p w:rsidR="00B47695" w:rsidRPr="009C67B0" w:rsidRDefault="00B47695" w:rsidP="00B47695">
            <w:pPr>
              <w:keepNext/>
              <w:keepLines/>
              <w:spacing w:after="0" w:line="240" w:lineRule="auto"/>
              <w:jc w:val="right"/>
              <w:rPr>
                <w:rFonts w:asciiTheme="majorHAnsi" w:eastAsia="Times New Roman" w:hAnsiTheme="majorHAnsi" w:cs="Arial"/>
                <w:sz w:val="18"/>
                <w:szCs w:val="18"/>
              </w:rPr>
            </w:pPr>
            <w:r w:rsidRPr="009C67B0">
              <w:rPr>
                <w:rFonts w:asciiTheme="majorHAnsi" w:hAnsiTheme="majorHAnsi" w:cs="Arial"/>
                <w:sz w:val="18"/>
                <w:szCs w:val="18"/>
              </w:rPr>
              <w:t>29,191</w:t>
            </w:r>
          </w:p>
        </w:tc>
        <w:tc>
          <w:tcPr>
            <w:tcW w:w="763" w:type="dxa"/>
            <w:shd w:val="clear" w:color="auto" w:fill="auto"/>
            <w:noWrap/>
            <w:vAlign w:val="center"/>
            <w:hideMark/>
          </w:tcPr>
          <w:p w:rsidR="00B47695" w:rsidRPr="009C67B0" w:rsidRDefault="00B47695" w:rsidP="00B47695">
            <w:pPr>
              <w:keepNext/>
              <w:keepLines/>
              <w:spacing w:after="0" w:line="240" w:lineRule="auto"/>
              <w:jc w:val="right"/>
              <w:rPr>
                <w:rFonts w:asciiTheme="majorHAnsi" w:eastAsia="Times New Roman" w:hAnsiTheme="majorHAnsi" w:cs="Arial"/>
                <w:sz w:val="18"/>
                <w:szCs w:val="18"/>
              </w:rPr>
            </w:pPr>
            <w:r w:rsidRPr="009C67B0">
              <w:rPr>
                <w:rFonts w:asciiTheme="majorHAnsi" w:hAnsiTheme="majorHAnsi" w:cs="Arial"/>
                <w:sz w:val="18"/>
                <w:szCs w:val="18"/>
              </w:rPr>
              <w:t>29,436</w:t>
            </w:r>
          </w:p>
        </w:tc>
        <w:tc>
          <w:tcPr>
            <w:tcW w:w="763" w:type="dxa"/>
            <w:shd w:val="clear" w:color="auto" w:fill="auto"/>
            <w:noWrap/>
            <w:vAlign w:val="center"/>
            <w:hideMark/>
          </w:tcPr>
          <w:p w:rsidR="00B47695" w:rsidRPr="009C67B0" w:rsidRDefault="00B47695" w:rsidP="00B47695">
            <w:pPr>
              <w:keepNext/>
              <w:keepLines/>
              <w:spacing w:after="0" w:line="240" w:lineRule="auto"/>
              <w:jc w:val="right"/>
              <w:rPr>
                <w:rFonts w:asciiTheme="majorHAnsi" w:eastAsia="Times New Roman" w:hAnsiTheme="majorHAnsi" w:cs="Arial"/>
                <w:sz w:val="18"/>
                <w:szCs w:val="18"/>
              </w:rPr>
            </w:pPr>
            <w:r w:rsidRPr="009C67B0">
              <w:rPr>
                <w:rFonts w:asciiTheme="majorHAnsi" w:hAnsiTheme="majorHAnsi" w:cs="Arial"/>
                <w:sz w:val="18"/>
                <w:szCs w:val="18"/>
              </w:rPr>
              <w:t>29,694</w:t>
            </w:r>
          </w:p>
        </w:tc>
        <w:tc>
          <w:tcPr>
            <w:tcW w:w="763" w:type="dxa"/>
            <w:shd w:val="clear" w:color="auto" w:fill="auto"/>
            <w:noWrap/>
            <w:vAlign w:val="center"/>
            <w:hideMark/>
          </w:tcPr>
          <w:p w:rsidR="00B47695" w:rsidRPr="009C67B0" w:rsidRDefault="00B47695" w:rsidP="00B47695">
            <w:pPr>
              <w:keepNext/>
              <w:keepLines/>
              <w:spacing w:after="0" w:line="240" w:lineRule="auto"/>
              <w:jc w:val="right"/>
              <w:rPr>
                <w:rFonts w:asciiTheme="majorHAnsi" w:eastAsia="Times New Roman" w:hAnsiTheme="majorHAnsi" w:cs="Arial"/>
                <w:sz w:val="18"/>
                <w:szCs w:val="18"/>
              </w:rPr>
            </w:pPr>
            <w:r w:rsidRPr="009C67B0">
              <w:rPr>
                <w:rFonts w:asciiTheme="majorHAnsi" w:hAnsiTheme="majorHAnsi" w:cs="Arial"/>
                <w:sz w:val="18"/>
                <w:szCs w:val="18"/>
              </w:rPr>
              <w:t>29,960</w:t>
            </w:r>
          </w:p>
        </w:tc>
        <w:tc>
          <w:tcPr>
            <w:tcW w:w="763" w:type="dxa"/>
            <w:shd w:val="clear" w:color="auto" w:fill="auto"/>
            <w:noWrap/>
            <w:vAlign w:val="center"/>
            <w:hideMark/>
          </w:tcPr>
          <w:p w:rsidR="00B47695" w:rsidRPr="009C67B0" w:rsidRDefault="00B47695" w:rsidP="00B47695">
            <w:pPr>
              <w:keepNext/>
              <w:keepLines/>
              <w:spacing w:after="0" w:line="240" w:lineRule="auto"/>
              <w:jc w:val="right"/>
              <w:rPr>
                <w:rFonts w:asciiTheme="majorHAnsi" w:eastAsia="Times New Roman" w:hAnsiTheme="majorHAnsi" w:cs="Arial"/>
                <w:sz w:val="18"/>
                <w:szCs w:val="18"/>
              </w:rPr>
            </w:pPr>
            <w:r w:rsidRPr="009C67B0">
              <w:rPr>
                <w:rFonts w:asciiTheme="majorHAnsi" w:hAnsiTheme="majorHAnsi" w:cs="Arial"/>
                <w:sz w:val="18"/>
                <w:szCs w:val="18"/>
              </w:rPr>
              <w:t>30,231</w:t>
            </w:r>
          </w:p>
        </w:tc>
        <w:tc>
          <w:tcPr>
            <w:tcW w:w="763" w:type="dxa"/>
            <w:shd w:val="clear" w:color="auto" w:fill="auto"/>
            <w:noWrap/>
            <w:vAlign w:val="center"/>
            <w:hideMark/>
          </w:tcPr>
          <w:p w:rsidR="00B47695" w:rsidRPr="009C67B0" w:rsidRDefault="00B47695" w:rsidP="00B47695">
            <w:pPr>
              <w:keepNext/>
              <w:keepLines/>
              <w:spacing w:after="0" w:line="240" w:lineRule="auto"/>
              <w:jc w:val="right"/>
              <w:rPr>
                <w:rFonts w:asciiTheme="majorHAnsi" w:eastAsia="Times New Roman" w:hAnsiTheme="majorHAnsi" w:cs="Arial"/>
                <w:sz w:val="18"/>
                <w:szCs w:val="18"/>
              </w:rPr>
            </w:pPr>
            <w:r w:rsidRPr="009C67B0">
              <w:rPr>
                <w:rFonts w:asciiTheme="majorHAnsi" w:hAnsiTheme="majorHAnsi" w:cs="Arial"/>
                <w:sz w:val="18"/>
                <w:szCs w:val="18"/>
              </w:rPr>
              <w:t>30,507</w:t>
            </w:r>
          </w:p>
        </w:tc>
        <w:tc>
          <w:tcPr>
            <w:tcW w:w="763" w:type="dxa"/>
            <w:shd w:val="clear" w:color="auto" w:fill="auto"/>
            <w:noWrap/>
            <w:vAlign w:val="center"/>
            <w:hideMark/>
          </w:tcPr>
          <w:p w:rsidR="00B47695" w:rsidRPr="009C67B0" w:rsidRDefault="00B47695" w:rsidP="00B47695">
            <w:pPr>
              <w:keepNext/>
              <w:keepLines/>
              <w:spacing w:after="0" w:line="240" w:lineRule="auto"/>
              <w:jc w:val="right"/>
              <w:rPr>
                <w:rFonts w:asciiTheme="majorHAnsi" w:eastAsia="Times New Roman" w:hAnsiTheme="majorHAnsi" w:cs="Arial"/>
                <w:sz w:val="18"/>
                <w:szCs w:val="18"/>
              </w:rPr>
            </w:pPr>
            <w:r w:rsidRPr="009C67B0">
              <w:rPr>
                <w:rFonts w:asciiTheme="majorHAnsi" w:hAnsiTheme="majorHAnsi" w:cs="Arial"/>
                <w:sz w:val="18"/>
                <w:szCs w:val="18"/>
              </w:rPr>
              <w:t>30,785</w:t>
            </w:r>
          </w:p>
        </w:tc>
      </w:tr>
      <w:tr w:rsidR="00B47695" w:rsidRPr="009C67B0" w:rsidTr="00F53961">
        <w:trPr>
          <w:trHeight w:val="300"/>
        </w:trPr>
        <w:tc>
          <w:tcPr>
            <w:tcW w:w="864" w:type="dxa"/>
            <w:vMerge/>
            <w:shd w:val="clear" w:color="auto" w:fill="auto"/>
            <w:noWrap/>
            <w:vAlign w:val="center"/>
            <w:hideMark/>
          </w:tcPr>
          <w:p w:rsidR="00B47695" w:rsidRPr="009C67B0" w:rsidRDefault="00B47695" w:rsidP="00B47695">
            <w:pPr>
              <w:keepNext/>
              <w:keepLines/>
              <w:spacing w:after="0" w:line="240" w:lineRule="auto"/>
              <w:rPr>
                <w:rFonts w:asciiTheme="majorHAnsi" w:eastAsia="Times New Roman" w:hAnsiTheme="majorHAnsi"/>
                <w:color w:val="000000"/>
                <w:sz w:val="18"/>
                <w:szCs w:val="18"/>
              </w:rPr>
            </w:pPr>
          </w:p>
        </w:tc>
        <w:tc>
          <w:tcPr>
            <w:tcW w:w="1872" w:type="dxa"/>
            <w:shd w:val="clear" w:color="auto" w:fill="auto"/>
            <w:vAlign w:val="center"/>
            <w:hideMark/>
          </w:tcPr>
          <w:p w:rsidR="00B47695" w:rsidRPr="009C67B0" w:rsidRDefault="00B47695" w:rsidP="00B47695">
            <w:pPr>
              <w:keepNext/>
              <w:keepLines/>
              <w:spacing w:after="0" w:line="240" w:lineRule="auto"/>
              <w:rPr>
                <w:rFonts w:asciiTheme="majorHAnsi" w:eastAsia="Times New Roman" w:hAnsiTheme="majorHAnsi"/>
                <w:sz w:val="18"/>
                <w:szCs w:val="18"/>
              </w:rPr>
            </w:pPr>
            <w:r w:rsidRPr="009C67B0">
              <w:rPr>
                <w:rFonts w:asciiTheme="majorHAnsi" w:eastAsia="Times New Roman" w:hAnsiTheme="majorHAnsi"/>
                <w:sz w:val="18"/>
                <w:szCs w:val="18"/>
              </w:rPr>
              <w:t>Operating reserves</w:t>
            </w:r>
            <w:r w:rsidRPr="009C67B0">
              <w:rPr>
                <w:rFonts w:asciiTheme="majorHAnsi" w:eastAsia="Times New Roman" w:hAnsiTheme="majorHAnsi"/>
                <w:sz w:val="18"/>
                <w:szCs w:val="18"/>
                <w:vertAlign w:val="superscript"/>
              </w:rPr>
              <w:t>(b)</w:t>
            </w:r>
          </w:p>
        </w:tc>
        <w:tc>
          <w:tcPr>
            <w:tcW w:w="763" w:type="dxa"/>
            <w:shd w:val="clear" w:color="auto" w:fill="auto"/>
            <w:noWrap/>
            <w:vAlign w:val="center"/>
            <w:hideMark/>
          </w:tcPr>
          <w:p w:rsidR="00B47695" w:rsidRPr="009C67B0" w:rsidRDefault="00B47695" w:rsidP="00B47695">
            <w:pPr>
              <w:keepNext/>
              <w:keepLines/>
              <w:spacing w:after="0" w:line="240" w:lineRule="auto"/>
              <w:jc w:val="right"/>
              <w:rPr>
                <w:rFonts w:asciiTheme="majorHAnsi" w:eastAsia="Times New Roman" w:hAnsiTheme="majorHAnsi"/>
                <w:sz w:val="18"/>
                <w:szCs w:val="18"/>
              </w:rPr>
            </w:pPr>
            <w:r w:rsidRPr="009C67B0">
              <w:rPr>
                <w:rFonts w:asciiTheme="majorHAnsi" w:hAnsiTheme="majorHAnsi"/>
                <w:sz w:val="18"/>
                <w:szCs w:val="18"/>
              </w:rPr>
              <w:t>2,305</w:t>
            </w:r>
          </w:p>
        </w:tc>
        <w:tc>
          <w:tcPr>
            <w:tcW w:w="763" w:type="dxa"/>
            <w:shd w:val="clear" w:color="auto" w:fill="auto"/>
            <w:noWrap/>
            <w:vAlign w:val="center"/>
            <w:hideMark/>
          </w:tcPr>
          <w:p w:rsidR="00B47695" w:rsidRPr="009C67B0" w:rsidRDefault="00B47695" w:rsidP="00B47695">
            <w:pPr>
              <w:keepNext/>
              <w:keepLines/>
              <w:spacing w:after="0" w:line="240" w:lineRule="auto"/>
              <w:jc w:val="right"/>
              <w:rPr>
                <w:rFonts w:asciiTheme="majorHAnsi" w:eastAsia="Times New Roman" w:hAnsiTheme="majorHAnsi"/>
                <w:sz w:val="18"/>
                <w:szCs w:val="18"/>
              </w:rPr>
            </w:pPr>
            <w:r w:rsidRPr="009C67B0">
              <w:rPr>
                <w:rFonts w:asciiTheme="majorHAnsi" w:hAnsiTheme="majorHAnsi"/>
                <w:sz w:val="18"/>
                <w:szCs w:val="18"/>
              </w:rPr>
              <w:t>2,305</w:t>
            </w:r>
          </w:p>
        </w:tc>
        <w:tc>
          <w:tcPr>
            <w:tcW w:w="763" w:type="dxa"/>
            <w:shd w:val="clear" w:color="auto" w:fill="auto"/>
            <w:noWrap/>
            <w:vAlign w:val="center"/>
            <w:hideMark/>
          </w:tcPr>
          <w:p w:rsidR="00B47695" w:rsidRPr="009C67B0" w:rsidRDefault="00B47695" w:rsidP="00B47695">
            <w:pPr>
              <w:keepNext/>
              <w:keepLines/>
              <w:spacing w:after="0" w:line="240" w:lineRule="auto"/>
              <w:jc w:val="right"/>
              <w:rPr>
                <w:rFonts w:asciiTheme="majorHAnsi" w:eastAsia="Times New Roman" w:hAnsiTheme="majorHAnsi"/>
                <w:sz w:val="18"/>
                <w:szCs w:val="18"/>
              </w:rPr>
            </w:pPr>
            <w:r w:rsidRPr="009C67B0">
              <w:rPr>
                <w:rFonts w:asciiTheme="majorHAnsi" w:hAnsiTheme="majorHAnsi"/>
                <w:sz w:val="18"/>
                <w:szCs w:val="18"/>
              </w:rPr>
              <w:t>2,305</w:t>
            </w:r>
          </w:p>
        </w:tc>
        <w:tc>
          <w:tcPr>
            <w:tcW w:w="763" w:type="dxa"/>
            <w:shd w:val="clear" w:color="auto" w:fill="auto"/>
            <w:noWrap/>
            <w:vAlign w:val="center"/>
            <w:hideMark/>
          </w:tcPr>
          <w:p w:rsidR="00B47695" w:rsidRPr="009C67B0" w:rsidRDefault="00B47695" w:rsidP="00B47695">
            <w:pPr>
              <w:keepNext/>
              <w:keepLines/>
              <w:spacing w:after="0" w:line="240" w:lineRule="auto"/>
              <w:jc w:val="right"/>
              <w:rPr>
                <w:rFonts w:asciiTheme="majorHAnsi" w:eastAsia="Times New Roman" w:hAnsiTheme="majorHAnsi"/>
                <w:sz w:val="18"/>
                <w:szCs w:val="18"/>
              </w:rPr>
            </w:pPr>
            <w:r w:rsidRPr="009C67B0">
              <w:rPr>
                <w:rFonts w:asciiTheme="majorHAnsi" w:hAnsiTheme="majorHAnsi"/>
                <w:sz w:val="18"/>
                <w:szCs w:val="18"/>
              </w:rPr>
              <w:t>2,305</w:t>
            </w:r>
          </w:p>
        </w:tc>
        <w:tc>
          <w:tcPr>
            <w:tcW w:w="763" w:type="dxa"/>
            <w:shd w:val="clear" w:color="auto" w:fill="auto"/>
            <w:noWrap/>
            <w:vAlign w:val="center"/>
            <w:hideMark/>
          </w:tcPr>
          <w:p w:rsidR="00B47695" w:rsidRPr="009C67B0" w:rsidRDefault="00B47695" w:rsidP="00B47695">
            <w:pPr>
              <w:keepNext/>
              <w:keepLines/>
              <w:spacing w:after="0" w:line="240" w:lineRule="auto"/>
              <w:jc w:val="right"/>
              <w:rPr>
                <w:rFonts w:asciiTheme="majorHAnsi" w:eastAsia="Times New Roman" w:hAnsiTheme="majorHAnsi"/>
                <w:sz w:val="18"/>
                <w:szCs w:val="18"/>
              </w:rPr>
            </w:pPr>
            <w:r w:rsidRPr="009C67B0">
              <w:rPr>
                <w:rFonts w:asciiTheme="majorHAnsi" w:hAnsiTheme="majorHAnsi"/>
                <w:sz w:val="18"/>
                <w:szCs w:val="18"/>
              </w:rPr>
              <w:t>2,305</w:t>
            </w:r>
          </w:p>
        </w:tc>
        <w:tc>
          <w:tcPr>
            <w:tcW w:w="763" w:type="dxa"/>
            <w:shd w:val="clear" w:color="auto" w:fill="auto"/>
            <w:noWrap/>
            <w:vAlign w:val="center"/>
            <w:hideMark/>
          </w:tcPr>
          <w:p w:rsidR="00B47695" w:rsidRPr="009C67B0" w:rsidRDefault="00B47695" w:rsidP="00B47695">
            <w:pPr>
              <w:keepNext/>
              <w:keepLines/>
              <w:spacing w:after="0" w:line="240" w:lineRule="auto"/>
              <w:jc w:val="right"/>
              <w:rPr>
                <w:rFonts w:asciiTheme="majorHAnsi" w:eastAsia="Times New Roman" w:hAnsiTheme="majorHAnsi"/>
                <w:sz w:val="18"/>
                <w:szCs w:val="18"/>
              </w:rPr>
            </w:pPr>
            <w:r w:rsidRPr="009C67B0">
              <w:rPr>
                <w:rFonts w:asciiTheme="majorHAnsi" w:hAnsiTheme="majorHAnsi"/>
                <w:sz w:val="18"/>
                <w:szCs w:val="18"/>
              </w:rPr>
              <w:t>2,305</w:t>
            </w:r>
          </w:p>
        </w:tc>
        <w:tc>
          <w:tcPr>
            <w:tcW w:w="763" w:type="dxa"/>
            <w:shd w:val="clear" w:color="auto" w:fill="auto"/>
            <w:noWrap/>
            <w:vAlign w:val="center"/>
            <w:hideMark/>
          </w:tcPr>
          <w:p w:rsidR="00B47695" w:rsidRPr="009C67B0" w:rsidRDefault="00B47695" w:rsidP="00B47695">
            <w:pPr>
              <w:keepNext/>
              <w:keepLines/>
              <w:spacing w:after="0" w:line="240" w:lineRule="auto"/>
              <w:jc w:val="right"/>
              <w:rPr>
                <w:rFonts w:asciiTheme="majorHAnsi" w:eastAsia="Times New Roman" w:hAnsiTheme="majorHAnsi"/>
                <w:sz w:val="18"/>
                <w:szCs w:val="18"/>
              </w:rPr>
            </w:pPr>
            <w:r w:rsidRPr="009C67B0">
              <w:rPr>
                <w:rFonts w:asciiTheme="majorHAnsi" w:hAnsiTheme="majorHAnsi"/>
                <w:sz w:val="18"/>
                <w:szCs w:val="18"/>
              </w:rPr>
              <w:t>2,305</w:t>
            </w:r>
          </w:p>
        </w:tc>
        <w:tc>
          <w:tcPr>
            <w:tcW w:w="763" w:type="dxa"/>
            <w:shd w:val="clear" w:color="auto" w:fill="auto"/>
            <w:noWrap/>
            <w:vAlign w:val="center"/>
            <w:hideMark/>
          </w:tcPr>
          <w:p w:rsidR="00B47695" w:rsidRPr="009C67B0" w:rsidRDefault="00B47695" w:rsidP="00B47695">
            <w:pPr>
              <w:keepNext/>
              <w:keepLines/>
              <w:spacing w:after="0" w:line="240" w:lineRule="auto"/>
              <w:jc w:val="right"/>
              <w:rPr>
                <w:rFonts w:asciiTheme="majorHAnsi" w:eastAsia="Times New Roman" w:hAnsiTheme="majorHAnsi"/>
                <w:sz w:val="18"/>
                <w:szCs w:val="18"/>
              </w:rPr>
            </w:pPr>
            <w:r w:rsidRPr="009C67B0">
              <w:rPr>
                <w:rFonts w:asciiTheme="majorHAnsi" w:hAnsiTheme="majorHAnsi"/>
                <w:sz w:val="18"/>
                <w:szCs w:val="18"/>
              </w:rPr>
              <w:t>2,305</w:t>
            </w:r>
          </w:p>
        </w:tc>
        <w:tc>
          <w:tcPr>
            <w:tcW w:w="763" w:type="dxa"/>
            <w:shd w:val="clear" w:color="auto" w:fill="auto"/>
            <w:noWrap/>
            <w:vAlign w:val="center"/>
            <w:hideMark/>
          </w:tcPr>
          <w:p w:rsidR="00B47695" w:rsidRPr="009C67B0" w:rsidRDefault="00B47695" w:rsidP="00B47695">
            <w:pPr>
              <w:keepNext/>
              <w:keepLines/>
              <w:spacing w:after="0" w:line="240" w:lineRule="auto"/>
              <w:jc w:val="right"/>
              <w:rPr>
                <w:rFonts w:asciiTheme="majorHAnsi" w:eastAsia="Times New Roman" w:hAnsiTheme="majorHAnsi"/>
                <w:sz w:val="18"/>
                <w:szCs w:val="18"/>
              </w:rPr>
            </w:pPr>
            <w:r w:rsidRPr="009C67B0">
              <w:rPr>
                <w:rFonts w:asciiTheme="majorHAnsi" w:hAnsiTheme="majorHAnsi"/>
                <w:sz w:val="18"/>
                <w:szCs w:val="18"/>
              </w:rPr>
              <w:t>2,305</w:t>
            </w:r>
          </w:p>
        </w:tc>
      </w:tr>
      <w:tr w:rsidR="00B47695" w:rsidRPr="009C67B0" w:rsidTr="00F53961">
        <w:trPr>
          <w:trHeight w:val="300"/>
        </w:trPr>
        <w:tc>
          <w:tcPr>
            <w:tcW w:w="864" w:type="dxa"/>
            <w:vMerge/>
            <w:shd w:val="clear" w:color="auto" w:fill="auto"/>
            <w:noWrap/>
            <w:vAlign w:val="center"/>
            <w:hideMark/>
          </w:tcPr>
          <w:p w:rsidR="00B47695" w:rsidRPr="009C67B0" w:rsidRDefault="00B47695" w:rsidP="00B47695">
            <w:pPr>
              <w:keepNext/>
              <w:keepLines/>
              <w:spacing w:after="0" w:line="240" w:lineRule="auto"/>
              <w:rPr>
                <w:rFonts w:asciiTheme="majorHAnsi" w:eastAsia="Times New Roman" w:hAnsiTheme="majorHAnsi"/>
                <w:color w:val="000000"/>
                <w:sz w:val="18"/>
                <w:szCs w:val="18"/>
              </w:rPr>
            </w:pPr>
          </w:p>
        </w:tc>
        <w:tc>
          <w:tcPr>
            <w:tcW w:w="1872" w:type="dxa"/>
            <w:shd w:val="clear" w:color="auto" w:fill="auto"/>
            <w:vAlign w:val="center"/>
            <w:hideMark/>
          </w:tcPr>
          <w:p w:rsidR="00B47695" w:rsidRPr="009C67B0" w:rsidRDefault="00B47695" w:rsidP="00B47695">
            <w:pPr>
              <w:keepNext/>
              <w:keepLines/>
              <w:spacing w:after="0" w:line="240" w:lineRule="auto"/>
              <w:rPr>
                <w:rFonts w:asciiTheme="majorHAnsi" w:eastAsia="Times New Roman" w:hAnsiTheme="majorHAnsi"/>
                <w:b/>
                <w:bCs/>
                <w:sz w:val="18"/>
                <w:szCs w:val="18"/>
              </w:rPr>
            </w:pPr>
            <w:r w:rsidRPr="009C67B0">
              <w:rPr>
                <w:rFonts w:asciiTheme="majorHAnsi" w:eastAsia="Times New Roman" w:hAnsiTheme="majorHAnsi"/>
                <w:b/>
                <w:bCs/>
                <w:sz w:val="18"/>
                <w:szCs w:val="18"/>
              </w:rPr>
              <w:t>Total requirement</w:t>
            </w:r>
          </w:p>
        </w:tc>
        <w:tc>
          <w:tcPr>
            <w:tcW w:w="763" w:type="dxa"/>
            <w:shd w:val="clear" w:color="auto" w:fill="auto"/>
            <w:noWrap/>
            <w:vAlign w:val="center"/>
            <w:hideMark/>
          </w:tcPr>
          <w:p w:rsidR="00B47695" w:rsidRPr="009C67B0" w:rsidRDefault="00B47695" w:rsidP="00B47695">
            <w:pPr>
              <w:keepNext/>
              <w:keepLines/>
              <w:spacing w:after="0" w:line="240" w:lineRule="auto"/>
              <w:jc w:val="right"/>
              <w:rPr>
                <w:rFonts w:asciiTheme="majorHAnsi" w:eastAsia="Times New Roman" w:hAnsiTheme="majorHAnsi"/>
                <w:b/>
                <w:bCs/>
                <w:sz w:val="18"/>
                <w:szCs w:val="18"/>
              </w:rPr>
            </w:pPr>
            <w:r w:rsidRPr="009C67B0">
              <w:rPr>
                <w:rFonts w:asciiTheme="majorHAnsi" w:hAnsiTheme="majorHAnsi"/>
                <w:b/>
                <w:bCs/>
                <w:sz w:val="18"/>
                <w:szCs w:val="18"/>
              </w:rPr>
              <w:t>31,069</w:t>
            </w:r>
          </w:p>
        </w:tc>
        <w:tc>
          <w:tcPr>
            <w:tcW w:w="763" w:type="dxa"/>
            <w:shd w:val="clear" w:color="auto" w:fill="auto"/>
            <w:noWrap/>
            <w:vAlign w:val="center"/>
            <w:hideMark/>
          </w:tcPr>
          <w:p w:rsidR="00B47695" w:rsidRPr="009C67B0" w:rsidRDefault="00B47695" w:rsidP="00B47695">
            <w:pPr>
              <w:keepNext/>
              <w:keepLines/>
              <w:spacing w:after="0" w:line="240" w:lineRule="auto"/>
              <w:jc w:val="right"/>
              <w:rPr>
                <w:rFonts w:asciiTheme="majorHAnsi" w:eastAsia="Times New Roman" w:hAnsiTheme="majorHAnsi"/>
                <w:b/>
                <w:bCs/>
                <w:sz w:val="18"/>
                <w:szCs w:val="18"/>
              </w:rPr>
            </w:pPr>
            <w:r w:rsidRPr="009C67B0">
              <w:rPr>
                <w:rFonts w:asciiTheme="majorHAnsi" w:hAnsiTheme="majorHAnsi"/>
                <w:b/>
                <w:bCs/>
                <w:sz w:val="18"/>
                <w:szCs w:val="18"/>
              </w:rPr>
              <w:t>31,275</w:t>
            </w:r>
          </w:p>
        </w:tc>
        <w:tc>
          <w:tcPr>
            <w:tcW w:w="763" w:type="dxa"/>
            <w:shd w:val="clear" w:color="auto" w:fill="auto"/>
            <w:noWrap/>
            <w:vAlign w:val="center"/>
            <w:hideMark/>
          </w:tcPr>
          <w:p w:rsidR="00B47695" w:rsidRPr="009C67B0" w:rsidRDefault="00B47695" w:rsidP="00B47695">
            <w:pPr>
              <w:keepNext/>
              <w:keepLines/>
              <w:spacing w:after="0" w:line="240" w:lineRule="auto"/>
              <w:jc w:val="right"/>
              <w:rPr>
                <w:rFonts w:asciiTheme="majorHAnsi" w:eastAsia="Times New Roman" w:hAnsiTheme="majorHAnsi"/>
                <w:b/>
                <w:bCs/>
                <w:sz w:val="18"/>
                <w:szCs w:val="18"/>
              </w:rPr>
            </w:pPr>
            <w:r w:rsidRPr="009C67B0">
              <w:rPr>
                <w:rFonts w:asciiTheme="majorHAnsi" w:hAnsiTheme="majorHAnsi"/>
                <w:b/>
                <w:bCs/>
                <w:sz w:val="18"/>
                <w:szCs w:val="18"/>
              </w:rPr>
              <w:t>31,496</w:t>
            </w:r>
          </w:p>
        </w:tc>
        <w:tc>
          <w:tcPr>
            <w:tcW w:w="763" w:type="dxa"/>
            <w:shd w:val="clear" w:color="auto" w:fill="auto"/>
            <w:noWrap/>
            <w:vAlign w:val="center"/>
            <w:hideMark/>
          </w:tcPr>
          <w:p w:rsidR="00B47695" w:rsidRPr="009C67B0" w:rsidRDefault="00B47695" w:rsidP="00B47695">
            <w:pPr>
              <w:keepNext/>
              <w:keepLines/>
              <w:spacing w:after="0" w:line="240" w:lineRule="auto"/>
              <w:jc w:val="right"/>
              <w:rPr>
                <w:rFonts w:asciiTheme="majorHAnsi" w:eastAsia="Times New Roman" w:hAnsiTheme="majorHAnsi"/>
                <w:b/>
                <w:bCs/>
                <w:sz w:val="18"/>
                <w:szCs w:val="18"/>
              </w:rPr>
            </w:pPr>
            <w:r w:rsidRPr="009C67B0">
              <w:rPr>
                <w:rFonts w:asciiTheme="majorHAnsi" w:hAnsiTheme="majorHAnsi"/>
                <w:b/>
                <w:bCs/>
                <w:sz w:val="18"/>
                <w:szCs w:val="18"/>
              </w:rPr>
              <w:t>31,741</w:t>
            </w:r>
          </w:p>
        </w:tc>
        <w:tc>
          <w:tcPr>
            <w:tcW w:w="763" w:type="dxa"/>
            <w:shd w:val="clear" w:color="auto" w:fill="auto"/>
            <w:noWrap/>
            <w:vAlign w:val="center"/>
            <w:hideMark/>
          </w:tcPr>
          <w:p w:rsidR="00B47695" w:rsidRPr="009C67B0" w:rsidRDefault="00B47695" w:rsidP="00B47695">
            <w:pPr>
              <w:keepNext/>
              <w:keepLines/>
              <w:spacing w:after="0" w:line="240" w:lineRule="auto"/>
              <w:jc w:val="right"/>
              <w:rPr>
                <w:rFonts w:asciiTheme="majorHAnsi" w:eastAsia="Times New Roman" w:hAnsiTheme="majorHAnsi"/>
                <w:b/>
                <w:bCs/>
                <w:sz w:val="18"/>
                <w:szCs w:val="18"/>
              </w:rPr>
            </w:pPr>
            <w:r w:rsidRPr="009C67B0">
              <w:rPr>
                <w:rFonts w:asciiTheme="majorHAnsi" w:hAnsiTheme="majorHAnsi"/>
                <w:b/>
                <w:bCs/>
                <w:sz w:val="18"/>
                <w:szCs w:val="18"/>
              </w:rPr>
              <w:t>31,999</w:t>
            </w:r>
          </w:p>
        </w:tc>
        <w:tc>
          <w:tcPr>
            <w:tcW w:w="763" w:type="dxa"/>
            <w:shd w:val="clear" w:color="auto" w:fill="auto"/>
            <w:noWrap/>
            <w:vAlign w:val="center"/>
            <w:hideMark/>
          </w:tcPr>
          <w:p w:rsidR="00B47695" w:rsidRPr="009C67B0" w:rsidRDefault="00B47695" w:rsidP="00B47695">
            <w:pPr>
              <w:keepNext/>
              <w:keepLines/>
              <w:spacing w:after="0" w:line="240" w:lineRule="auto"/>
              <w:jc w:val="right"/>
              <w:rPr>
                <w:rFonts w:asciiTheme="majorHAnsi" w:eastAsia="Times New Roman" w:hAnsiTheme="majorHAnsi"/>
                <w:b/>
                <w:bCs/>
                <w:sz w:val="18"/>
                <w:szCs w:val="18"/>
              </w:rPr>
            </w:pPr>
            <w:r w:rsidRPr="009C67B0">
              <w:rPr>
                <w:rFonts w:asciiTheme="majorHAnsi" w:hAnsiTheme="majorHAnsi"/>
                <w:b/>
                <w:bCs/>
                <w:sz w:val="18"/>
                <w:szCs w:val="18"/>
              </w:rPr>
              <w:t>32,265</w:t>
            </w:r>
          </w:p>
        </w:tc>
        <w:tc>
          <w:tcPr>
            <w:tcW w:w="763" w:type="dxa"/>
            <w:shd w:val="clear" w:color="auto" w:fill="auto"/>
            <w:noWrap/>
            <w:vAlign w:val="center"/>
            <w:hideMark/>
          </w:tcPr>
          <w:p w:rsidR="00B47695" w:rsidRPr="009C67B0" w:rsidRDefault="00B47695" w:rsidP="00B47695">
            <w:pPr>
              <w:keepNext/>
              <w:keepLines/>
              <w:spacing w:after="0" w:line="240" w:lineRule="auto"/>
              <w:jc w:val="right"/>
              <w:rPr>
                <w:rFonts w:asciiTheme="majorHAnsi" w:eastAsia="Times New Roman" w:hAnsiTheme="majorHAnsi"/>
                <w:b/>
                <w:bCs/>
                <w:sz w:val="18"/>
                <w:szCs w:val="18"/>
              </w:rPr>
            </w:pPr>
            <w:r w:rsidRPr="009C67B0">
              <w:rPr>
                <w:rFonts w:asciiTheme="majorHAnsi" w:hAnsiTheme="majorHAnsi"/>
                <w:b/>
                <w:bCs/>
                <w:sz w:val="18"/>
                <w:szCs w:val="18"/>
              </w:rPr>
              <w:t>32,536</w:t>
            </w:r>
          </w:p>
        </w:tc>
        <w:tc>
          <w:tcPr>
            <w:tcW w:w="763" w:type="dxa"/>
            <w:shd w:val="clear" w:color="auto" w:fill="auto"/>
            <w:noWrap/>
            <w:vAlign w:val="center"/>
            <w:hideMark/>
          </w:tcPr>
          <w:p w:rsidR="00B47695" w:rsidRPr="009C67B0" w:rsidRDefault="00B47695" w:rsidP="00B47695">
            <w:pPr>
              <w:keepNext/>
              <w:keepLines/>
              <w:spacing w:after="0" w:line="240" w:lineRule="auto"/>
              <w:jc w:val="right"/>
              <w:rPr>
                <w:rFonts w:asciiTheme="majorHAnsi" w:eastAsia="Times New Roman" w:hAnsiTheme="majorHAnsi"/>
                <w:b/>
                <w:bCs/>
                <w:sz w:val="18"/>
                <w:szCs w:val="18"/>
              </w:rPr>
            </w:pPr>
            <w:r w:rsidRPr="009C67B0">
              <w:rPr>
                <w:rFonts w:asciiTheme="majorHAnsi" w:hAnsiTheme="majorHAnsi"/>
                <w:b/>
                <w:bCs/>
                <w:sz w:val="18"/>
                <w:szCs w:val="18"/>
              </w:rPr>
              <w:t>32,812</w:t>
            </w:r>
          </w:p>
        </w:tc>
        <w:tc>
          <w:tcPr>
            <w:tcW w:w="763" w:type="dxa"/>
            <w:shd w:val="clear" w:color="auto" w:fill="auto"/>
            <w:noWrap/>
            <w:vAlign w:val="center"/>
            <w:hideMark/>
          </w:tcPr>
          <w:p w:rsidR="00B47695" w:rsidRPr="009C67B0" w:rsidRDefault="00B47695" w:rsidP="00B47695">
            <w:pPr>
              <w:keepNext/>
              <w:keepLines/>
              <w:spacing w:after="0" w:line="240" w:lineRule="auto"/>
              <w:jc w:val="right"/>
              <w:rPr>
                <w:rFonts w:asciiTheme="majorHAnsi" w:eastAsia="Times New Roman" w:hAnsiTheme="majorHAnsi"/>
                <w:b/>
                <w:bCs/>
                <w:sz w:val="18"/>
                <w:szCs w:val="18"/>
              </w:rPr>
            </w:pPr>
            <w:r w:rsidRPr="009C67B0">
              <w:rPr>
                <w:rFonts w:asciiTheme="majorHAnsi" w:hAnsiTheme="majorHAnsi"/>
                <w:b/>
                <w:bCs/>
                <w:sz w:val="18"/>
                <w:szCs w:val="18"/>
              </w:rPr>
              <w:t>33,090</w:t>
            </w:r>
          </w:p>
        </w:tc>
      </w:tr>
      <w:tr w:rsidR="00B47695" w:rsidRPr="009C67B0" w:rsidTr="00F53961">
        <w:trPr>
          <w:trHeight w:val="525"/>
        </w:trPr>
        <w:tc>
          <w:tcPr>
            <w:tcW w:w="864" w:type="dxa"/>
            <w:vMerge/>
            <w:shd w:val="clear" w:color="auto" w:fill="auto"/>
            <w:noWrap/>
            <w:vAlign w:val="center"/>
            <w:hideMark/>
          </w:tcPr>
          <w:p w:rsidR="00B47695" w:rsidRPr="009C67B0" w:rsidRDefault="00B47695" w:rsidP="00B47695">
            <w:pPr>
              <w:keepNext/>
              <w:keepLines/>
              <w:spacing w:after="0" w:line="240" w:lineRule="auto"/>
              <w:rPr>
                <w:rFonts w:asciiTheme="majorHAnsi" w:eastAsia="Times New Roman" w:hAnsiTheme="majorHAnsi"/>
                <w:color w:val="000000"/>
                <w:sz w:val="18"/>
                <w:szCs w:val="18"/>
              </w:rPr>
            </w:pPr>
          </w:p>
        </w:tc>
        <w:tc>
          <w:tcPr>
            <w:tcW w:w="1872" w:type="dxa"/>
            <w:shd w:val="clear" w:color="auto" w:fill="CCEAF9" w:themeFill="accent1" w:themeFillTint="33"/>
            <w:vAlign w:val="center"/>
            <w:hideMark/>
          </w:tcPr>
          <w:p w:rsidR="00B47695" w:rsidRPr="009C67B0" w:rsidRDefault="00B47695" w:rsidP="00B47695">
            <w:pPr>
              <w:keepNext/>
              <w:keepLines/>
              <w:spacing w:after="0" w:line="240" w:lineRule="auto"/>
              <w:rPr>
                <w:rFonts w:asciiTheme="majorHAnsi" w:eastAsia="Times New Roman" w:hAnsiTheme="majorHAnsi"/>
                <w:sz w:val="18"/>
                <w:szCs w:val="18"/>
              </w:rPr>
            </w:pPr>
            <w:r w:rsidRPr="009C67B0">
              <w:rPr>
                <w:rFonts w:asciiTheme="majorHAnsi" w:eastAsia="Times New Roman" w:hAnsiTheme="majorHAnsi"/>
                <w:sz w:val="18"/>
                <w:szCs w:val="18"/>
              </w:rPr>
              <w:t>Installed capacity</w:t>
            </w:r>
            <w:r w:rsidRPr="009C67B0">
              <w:rPr>
                <w:rFonts w:asciiTheme="majorHAnsi" w:eastAsia="Times New Roman" w:hAnsiTheme="majorHAnsi"/>
                <w:sz w:val="18"/>
                <w:szCs w:val="18"/>
              </w:rPr>
              <w:br/>
              <w:t>(net ICR)</w:t>
            </w:r>
            <w:r w:rsidRPr="009C67B0">
              <w:rPr>
                <w:rFonts w:asciiTheme="majorHAnsi" w:eastAsia="Times New Roman" w:hAnsiTheme="majorHAnsi"/>
                <w:sz w:val="18"/>
                <w:szCs w:val="18"/>
                <w:vertAlign w:val="superscript"/>
              </w:rPr>
              <w:t>(c)</w:t>
            </w:r>
          </w:p>
        </w:tc>
        <w:tc>
          <w:tcPr>
            <w:tcW w:w="763" w:type="dxa"/>
            <w:shd w:val="clear" w:color="auto" w:fill="CCEAF9" w:themeFill="accent1" w:themeFillTint="33"/>
            <w:noWrap/>
            <w:vAlign w:val="center"/>
            <w:hideMark/>
          </w:tcPr>
          <w:p w:rsidR="00B47695" w:rsidRPr="009C67B0" w:rsidRDefault="00B47695" w:rsidP="00B47695">
            <w:pPr>
              <w:keepNext/>
              <w:keepLines/>
              <w:spacing w:after="0" w:line="240" w:lineRule="auto"/>
              <w:jc w:val="right"/>
              <w:rPr>
                <w:rFonts w:asciiTheme="majorHAnsi" w:eastAsia="Times New Roman" w:hAnsiTheme="majorHAnsi"/>
                <w:sz w:val="18"/>
                <w:szCs w:val="18"/>
              </w:rPr>
            </w:pPr>
            <w:r w:rsidRPr="009C67B0">
              <w:rPr>
                <w:rFonts w:asciiTheme="majorHAnsi" w:hAnsiTheme="majorHAnsi"/>
                <w:sz w:val="18"/>
                <w:szCs w:val="18"/>
              </w:rPr>
              <w:t>33,421</w:t>
            </w:r>
          </w:p>
        </w:tc>
        <w:tc>
          <w:tcPr>
            <w:tcW w:w="763" w:type="dxa"/>
            <w:shd w:val="clear" w:color="auto" w:fill="CCEAF9" w:themeFill="accent1" w:themeFillTint="33"/>
            <w:noWrap/>
            <w:vAlign w:val="center"/>
            <w:hideMark/>
          </w:tcPr>
          <w:p w:rsidR="00B47695" w:rsidRPr="009C67B0" w:rsidRDefault="00B47695" w:rsidP="00B47695">
            <w:pPr>
              <w:keepNext/>
              <w:keepLines/>
              <w:spacing w:after="0" w:line="240" w:lineRule="auto"/>
              <w:jc w:val="right"/>
              <w:rPr>
                <w:rFonts w:asciiTheme="majorHAnsi" w:eastAsia="Times New Roman" w:hAnsiTheme="majorHAnsi"/>
                <w:sz w:val="18"/>
                <w:szCs w:val="18"/>
              </w:rPr>
            </w:pPr>
            <w:r w:rsidRPr="009C67B0">
              <w:rPr>
                <w:rFonts w:asciiTheme="majorHAnsi" w:hAnsiTheme="majorHAnsi"/>
                <w:sz w:val="18"/>
                <w:szCs w:val="18"/>
              </w:rPr>
              <w:t>33,755</w:t>
            </w:r>
          </w:p>
        </w:tc>
        <w:tc>
          <w:tcPr>
            <w:tcW w:w="763" w:type="dxa"/>
            <w:shd w:val="clear" w:color="auto" w:fill="CCEAF9" w:themeFill="accent1" w:themeFillTint="33"/>
            <w:noWrap/>
            <w:vAlign w:val="center"/>
            <w:hideMark/>
          </w:tcPr>
          <w:p w:rsidR="00B47695" w:rsidRPr="009C67B0" w:rsidRDefault="00B47695" w:rsidP="00B47695">
            <w:pPr>
              <w:keepNext/>
              <w:keepLines/>
              <w:spacing w:after="0" w:line="240" w:lineRule="auto"/>
              <w:jc w:val="right"/>
              <w:rPr>
                <w:rFonts w:asciiTheme="majorHAnsi" w:eastAsia="Times New Roman" w:hAnsiTheme="majorHAnsi"/>
                <w:sz w:val="18"/>
                <w:szCs w:val="18"/>
              </w:rPr>
            </w:pPr>
            <w:r w:rsidRPr="009C67B0">
              <w:rPr>
                <w:rFonts w:asciiTheme="majorHAnsi" w:hAnsiTheme="majorHAnsi"/>
                <w:sz w:val="18"/>
                <w:szCs w:val="18"/>
              </w:rPr>
              <w:t>34,075</w:t>
            </w:r>
          </w:p>
        </w:tc>
        <w:tc>
          <w:tcPr>
            <w:tcW w:w="763" w:type="dxa"/>
            <w:shd w:val="clear" w:color="auto" w:fill="CCEAF9" w:themeFill="accent1" w:themeFillTint="33"/>
            <w:noWrap/>
            <w:vAlign w:val="center"/>
            <w:hideMark/>
          </w:tcPr>
          <w:p w:rsidR="00B47695" w:rsidRPr="009C67B0" w:rsidRDefault="00B47695" w:rsidP="00B47695">
            <w:pPr>
              <w:keepNext/>
              <w:keepLines/>
              <w:spacing w:after="0" w:line="240" w:lineRule="auto"/>
              <w:jc w:val="right"/>
              <w:rPr>
                <w:rFonts w:asciiTheme="majorHAnsi" w:eastAsia="Times New Roman" w:hAnsiTheme="majorHAnsi"/>
                <w:sz w:val="18"/>
                <w:szCs w:val="18"/>
              </w:rPr>
            </w:pPr>
            <w:r w:rsidRPr="009C67B0">
              <w:rPr>
                <w:rFonts w:asciiTheme="majorHAnsi" w:hAnsiTheme="majorHAnsi"/>
                <w:sz w:val="18"/>
                <w:szCs w:val="18"/>
              </w:rPr>
              <w:t>N/A</w:t>
            </w:r>
          </w:p>
        </w:tc>
        <w:tc>
          <w:tcPr>
            <w:tcW w:w="763" w:type="dxa"/>
            <w:shd w:val="clear" w:color="auto" w:fill="CCEAF9" w:themeFill="accent1" w:themeFillTint="33"/>
            <w:noWrap/>
            <w:vAlign w:val="center"/>
            <w:hideMark/>
          </w:tcPr>
          <w:p w:rsidR="00B47695" w:rsidRPr="009C67B0" w:rsidRDefault="00B47695" w:rsidP="00B47695">
            <w:pPr>
              <w:keepNext/>
              <w:keepLines/>
              <w:spacing w:after="0" w:line="240" w:lineRule="auto"/>
              <w:jc w:val="right"/>
              <w:rPr>
                <w:rFonts w:asciiTheme="majorHAnsi" w:eastAsia="Times New Roman" w:hAnsiTheme="majorHAnsi"/>
                <w:sz w:val="18"/>
                <w:szCs w:val="18"/>
              </w:rPr>
            </w:pPr>
            <w:r w:rsidRPr="009C67B0">
              <w:rPr>
                <w:rFonts w:asciiTheme="majorHAnsi" w:hAnsiTheme="majorHAnsi"/>
                <w:sz w:val="18"/>
                <w:szCs w:val="18"/>
              </w:rPr>
              <w:t>34,300</w:t>
            </w:r>
          </w:p>
        </w:tc>
        <w:tc>
          <w:tcPr>
            <w:tcW w:w="763" w:type="dxa"/>
            <w:shd w:val="clear" w:color="auto" w:fill="CCEAF9" w:themeFill="accent1" w:themeFillTint="33"/>
            <w:noWrap/>
            <w:vAlign w:val="center"/>
            <w:hideMark/>
          </w:tcPr>
          <w:p w:rsidR="00B47695" w:rsidRPr="009C67B0" w:rsidRDefault="00B47695" w:rsidP="00B47695">
            <w:pPr>
              <w:keepNext/>
              <w:keepLines/>
              <w:spacing w:after="0" w:line="240" w:lineRule="auto"/>
              <w:jc w:val="right"/>
              <w:rPr>
                <w:rFonts w:asciiTheme="majorHAnsi" w:eastAsia="Times New Roman" w:hAnsiTheme="majorHAnsi"/>
                <w:sz w:val="18"/>
                <w:szCs w:val="18"/>
              </w:rPr>
            </w:pPr>
            <w:r w:rsidRPr="009C67B0">
              <w:rPr>
                <w:rFonts w:asciiTheme="majorHAnsi" w:hAnsiTheme="majorHAnsi"/>
                <w:sz w:val="18"/>
                <w:szCs w:val="18"/>
              </w:rPr>
              <w:t>34,600</w:t>
            </w:r>
          </w:p>
        </w:tc>
        <w:tc>
          <w:tcPr>
            <w:tcW w:w="763" w:type="dxa"/>
            <w:shd w:val="clear" w:color="auto" w:fill="CCEAF9" w:themeFill="accent1" w:themeFillTint="33"/>
            <w:noWrap/>
            <w:vAlign w:val="center"/>
            <w:hideMark/>
          </w:tcPr>
          <w:p w:rsidR="00B47695" w:rsidRPr="009C67B0" w:rsidRDefault="00B47695" w:rsidP="00B47695">
            <w:pPr>
              <w:keepNext/>
              <w:keepLines/>
              <w:spacing w:after="0" w:line="240" w:lineRule="auto"/>
              <w:jc w:val="right"/>
              <w:rPr>
                <w:rFonts w:asciiTheme="majorHAnsi" w:eastAsia="Times New Roman" w:hAnsiTheme="majorHAnsi"/>
                <w:sz w:val="18"/>
                <w:szCs w:val="18"/>
              </w:rPr>
            </w:pPr>
            <w:r w:rsidRPr="009C67B0">
              <w:rPr>
                <w:rFonts w:asciiTheme="majorHAnsi" w:hAnsiTheme="majorHAnsi"/>
                <w:sz w:val="18"/>
                <w:szCs w:val="18"/>
              </w:rPr>
              <w:t>35,000</w:t>
            </w:r>
          </w:p>
        </w:tc>
        <w:tc>
          <w:tcPr>
            <w:tcW w:w="763" w:type="dxa"/>
            <w:shd w:val="clear" w:color="auto" w:fill="CCEAF9" w:themeFill="accent1" w:themeFillTint="33"/>
            <w:noWrap/>
            <w:vAlign w:val="center"/>
            <w:hideMark/>
          </w:tcPr>
          <w:p w:rsidR="00B47695" w:rsidRPr="009C67B0" w:rsidRDefault="00B47695" w:rsidP="00B47695">
            <w:pPr>
              <w:keepNext/>
              <w:keepLines/>
              <w:spacing w:after="0" w:line="240" w:lineRule="auto"/>
              <w:jc w:val="right"/>
              <w:rPr>
                <w:rFonts w:asciiTheme="majorHAnsi" w:eastAsia="Times New Roman" w:hAnsiTheme="majorHAnsi"/>
                <w:sz w:val="18"/>
                <w:szCs w:val="18"/>
              </w:rPr>
            </w:pPr>
            <w:r w:rsidRPr="009C67B0">
              <w:rPr>
                <w:rFonts w:asciiTheme="majorHAnsi" w:hAnsiTheme="majorHAnsi"/>
                <w:sz w:val="18"/>
                <w:szCs w:val="18"/>
              </w:rPr>
              <w:t>35,300</w:t>
            </w:r>
          </w:p>
        </w:tc>
        <w:tc>
          <w:tcPr>
            <w:tcW w:w="763" w:type="dxa"/>
            <w:shd w:val="clear" w:color="auto" w:fill="CCEAF9" w:themeFill="accent1" w:themeFillTint="33"/>
            <w:noWrap/>
            <w:vAlign w:val="center"/>
            <w:hideMark/>
          </w:tcPr>
          <w:p w:rsidR="00B47695" w:rsidRPr="009C67B0" w:rsidRDefault="00B47695" w:rsidP="00B47695">
            <w:pPr>
              <w:keepNext/>
              <w:keepLines/>
              <w:spacing w:after="0" w:line="240" w:lineRule="auto"/>
              <w:jc w:val="right"/>
              <w:rPr>
                <w:rFonts w:asciiTheme="majorHAnsi" w:eastAsia="Times New Roman" w:hAnsiTheme="majorHAnsi"/>
                <w:sz w:val="18"/>
                <w:szCs w:val="18"/>
              </w:rPr>
            </w:pPr>
            <w:r w:rsidRPr="009C67B0">
              <w:rPr>
                <w:rFonts w:asciiTheme="majorHAnsi" w:hAnsiTheme="majorHAnsi"/>
                <w:sz w:val="18"/>
                <w:szCs w:val="18"/>
              </w:rPr>
              <w:t>35,700</w:t>
            </w:r>
          </w:p>
        </w:tc>
      </w:tr>
      <w:tr w:rsidR="00B47695" w:rsidRPr="009C67B0" w:rsidTr="00F53961">
        <w:trPr>
          <w:trHeight w:val="480"/>
        </w:trPr>
        <w:tc>
          <w:tcPr>
            <w:tcW w:w="864" w:type="dxa"/>
            <w:vMerge/>
            <w:shd w:val="clear" w:color="auto" w:fill="auto"/>
            <w:noWrap/>
            <w:vAlign w:val="center"/>
            <w:hideMark/>
          </w:tcPr>
          <w:p w:rsidR="00B47695" w:rsidRPr="009C67B0" w:rsidRDefault="00B47695" w:rsidP="00B47695">
            <w:pPr>
              <w:keepNext/>
              <w:keepLines/>
              <w:spacing w:after="0" w:line="240" w:lineRule="auto"/>
              <w:rPr>
                <w:rFonts w:asciiTheme="majorHAnsi" w:eastAsia="Times New Roman" w:hAnsiTheme="majorHAnsi"/>
                <w:color w:val="000000"/>
                <w:sz w:val="18"/>
                <w:szCs w:val="18"/>
              </w:rPr>
            </w:pPr>
          </w:p>
        </w:tc>
        <w:tc>
          <w:tcPr>
            <w:tcW w:w="1872" w:type="dxa"/>
            <w:shd w:val="clear" w:color="auto" w:fill="CCEAF9" w:themeFill="accent1" w:themeFillTint="33"/>
            <w:vAlign w:val="center"/>
            <w:hideMark/>
          </w:tcPr>
          <w:p w:rsidR="00B47695" w:rsidRPr="009C67B0" w:rsidRDefault="00B47695" w:rsidP="00B47695">
            <w:pPr>
              <w:keepNext/>
              <w:keepLines/>
              <w:spacing w:after="0" w:line="240" w:lineRule="auto"/>
              <w:rPr>
                <w:rFonts w:asciiTheme="majorHAnsi" w:eastAsia="Times New Roman" w:hAnsiTheme="majorHAnsi"/>
                <w:sz w:val="18"/>
                <w:szCs w:val="18"/>
              </w:rPr>
            </w:pPr>
            <w:r w:rsidRPr="009C67B0">
              <w:rPr>
                <w:rFonts w:asciiTheme="majorHAnsi" w:eastAsia="Times New Roman" w:hAnsiTheme="majorHAnsi"/>
                <w:sz w:val="18"/>
                <w:szCs w:val="18"/>
              </w:rPr>
              <w:t>Assumed unavailable capacity</w:t>
            </w:r>
          </w:p>
        </w:tc>
        <w:tc>
          <w:tcPr>
            <w:tcW w:w="763" w:type="dxa"/>
            <w:shd w:val="clear" w:color="auto" w:fill="CCEAF9" w:themeFill="accent1" w:themeFillTint="33"/>
            <w:noWrap/>
            <w:vAlign w:val="center"/>
            <w:hideMark/>
          </w:tcPr>
          <w:p w:rsidR="00B47695" w:rsidRPr="009C67B0" w:rsidRDefault="00B47695" w:rsidP="00B47695">
            <w:pPr>
              <w:keepNext/>
              <w:keepLines/>
              <w:spacing w:after="0" w:line="240" w:lineRule="auto"/>
              <w:jc w:val="right"/>
              <w:rPr>
                <w:rFonts w:asciiTheme="majorHAnsi" w:eastAsia="Times New Roman" w:hAnsiTheme="majorHAnsi"/>
                <w:sz w:val="18"/>
                <w:szCs w:val="18"/>
              </w:rPr>
            </w:pPr>
            <w:r w:rsidRPr="009C67B0">
              <w:rPr>
                <w:rFonts w:asciiTheme="majorHAnsi" w:hAnsiTheme="majorHAnsi"/>
                <w:sz w:val="18"/>
                <w:szCs w:val="18"/>
              </w:rPr>
              <w:t>−2,100</w:t>
            </w:r>
          </w:p>
        </w:tc>
        <w:tc>
          <w:tcPr>
            <w:tcW w:w="763" w:type="dxa"/>
            <w:shd w:val="clear" w:color="auto" w:fill="CCEAF9" w:themeFill="accent1" w:themeFillTint="33"/>
            <w:noWrap/>
            <w:vAlign w:val="center"/>
            <w:hideMark/>
          </w:tcPr>
          <w:p w:rsidR="00B47695" w:rsidRPr="009C67B0" w:rsidRDefault="00B47695" w:rsidP="00B47695">
            <w:pPr>
              <w:keepNext/>
              <w:keepLines/>
              <w:spacing w:after="0" w:line="240" w:lineRule="auto"/>
              <w:jc w:val="right"/>
              <w:rPr>
                <w:rFonts w:asciiTheme="majorHAnsi" w:eastAsia="Times New Roman" w:hAnsiTheme="majorHAnsi"/>
                <w:sz w:val="18"/>
                <w:szCs w:val="18"/>
              </w:rPr>
            </w:pPr>
            <w:r w:rsidRPr="009C67B0">
              <w:rPr>
                <w:rFonts w:asciiTheme="majorHAnsi" w:hAnsiTheme="majorHAnsi"/>
                <w:sz w:val="18"/>
                <w:szCs w:val="18"/>
              </w:rPr>
              <w:t>−2,100</w:t>
            </w:r>
          </w:p>
        </w:tc>
        <w:tc>
          <w:tcPr>
            <w:tcW w:w="763" w:type="dxa"/>
            <w:shd w:val="clear" w:color="auto" w:fill="CCEAF9" w:themeFill="accent1" w:themeFillTint="33"/>
            <w:noWrap/>
            <w:vAlign w:val="center"/>
            <w:hideMark/>
          </w:tcPr>
          <w:p w:rsidR="00B47695" w:rsidRPr="009C67B0" w:rsidRDefault="00B47695" w:rsidP="00B47695">
            <w:pPr>
              <w:keepNext/>
              <w:keepLines/>
              <w:spacing w:after="0" w:line="240" w:lineRule="auto"/>
              <w:jc w:val="right"/>
              <w:rPr>
                <w:rFonts w:asciiTheme="majorHAnsi" w:eastAsia="Times New Roman" w:hAnsiTheme="majorHAnsi"/>
                <w:sz w:val="18"/>
                <w:szCs w:val="18"/>
              </w:rPr>
            </w:pPr>
            <w:r w:rsidRPr="009C67B0">
              <w:rPr>
                <w:rFonts w:asciiTheme="majorHAnsi" w:hAnsiTheme="majorHAnsi"/>
                <w:sz w:val="18"/>
                <w:szCs w:val="18"/>
              </w:rPr>
              <w:t>−2,100</w:t>
            </w:r>
          </w:p>
        </w:tc>
        <w:tc>
          <w:tcPr>
            <w:tcW w:w="763" w:type="dxa"/>
            <w:shd w:val="clear" w:color="auto" w:fill="CCEAF9" w:themeFill="accent1" w:themeFillTint="33"/>
            <w:noWrap/>
            <w:vAlign w:val="center"/>
            <w:hideMark/>
          </w:tcPr>
          <w:p w:rsidR="00B47695" w:rsidRPr="009C67B0" w:rsidRDefault="00B47695" w:rsidP="00B47695">
            <w:pPr>
              <w:keepNext/>
              <w:keepLines/>
              <w:spacing w:after="0" w:line="240" w:lineRule="auto"/>
              <w:jc w:val="right"/>
              <w:rPr>
                <w:rFonts w:asciiTheme="majorHAnsi" w:eastAsia="Times New Roman" w:hAnsiTheme="majorHAnsi"/>
                <w:sz w:val="18"/>
                <w:szCs w:val="18"/>
              </w:rPr>
            </w:pPr>
            <w:r w:rsidRPr="009C67B0">
              <w:rPr>
                <w:rFonts w:asciiTheme="majorHAnsi" w:hAnsiTheme="majorHAnsi"/>
                <w:sz w:val="18"/>
                <w:szCs w:val="18"/>
              </w:rPr>
              <w:t>−2,100</w:t>
            </w:r>
          </w:p>
        </w:tc>
        <w:tc>
          <w:tcPr>
            <w:tcW w:w="763" w:type="dxa"/>
            <w:shd w:val="clear" w:color="auto" w:fill="CCEAF9" w:themeFill="accent1" w:themeFillTint="33"/>
            <w:noWrap/>
            <w:vAlign w:val="center"/>
            <w:hideMark/>
          </w:tcPr>
          <w:p w:rsidR="00B47695" w:rsidRPr="009C67B0" w:rsidRDefault="00B47695" w:rsidP="00B47695">
            <w:pPr>
              <w:keepNext/>
              <w:keepLines/>
              <w:spacing w:after="0" w:line="240" w:lineRule="auto"/>
              <w:jc w:val="right"/>
              <w:rPr>
                <w:rFonts w:asciiTheme="majorHAnsi" w:eastAsia="Times New Roman" w:hAnsiTheme="majorHAnsi"/>
                <w:sz w:val="18"/>
                <w:szCs w:val="18"/>
              </w:rPr>
            </w:pPr>
            <w:r w:rsidRPr="009C67B0">
              <w:rPr>
                <w:rFonts w:asciiTheme="majorHAnsi" w:hAnsiTheme="majorHAnsi"/>
                <w:sz w:val="18"/>
                <w:szCs w:val="18"/>
              </w:rPr>
              <w:t>−2,100</w:t>
            </w:r>
          </w:p>
        </w:tc>
        <w:tc>
          <w:tcPr>
            <w:tcW w:w="763" w:type="dxa"/>
            <w:shd w:val="clear" w:color="auto" w:fill="CCEAF9" w:themeFill="accent1" w:themeFillTint="33"/>
            <w:noWrap/>
            <w:vAlign w:val="center"/>
            <w:hideMark/>
          </w:tcPr>
          <w:p w:rsidR="00B47695" w:rsidRPr="009C67B0" w:rsidRDefault="00B47695" w:rsidP="00B47695">
            <w:pPr>
              <w:keepNext/>
              <w:keepLines/>
              <w:spacing w:after="0" w:line="240" w:lineRule="auto"/>
              <w:jc w:val="right"/>
              <w:rPr>
                <w:rFonts w:asciiTheme="majorHAnsi" w:eastAsia="Times New Roman" w:hAnsiTheme="majorHAnsi"/>
                <w:sz w:val="18"/>
                <w:szCs w:val="18"/>
              </w:rPr>
            </w:pPr>
            <w:r w:rsidRPr="009C67B0">
              <w:rPr>
                <w:rFonts w:asciiTheme="majorHAnsi" w:hAnsiTheme="majorHAnsi"/>
                <w:sz w:val="18"/>
                <w:szCs w:val="18"/>
              </w:rPr>
              <w:t>−2,100</w:t>
            </w:r>
          </w:p>
        </w:tc>
        <w:tc>
          <w:tcPr>
            <w:tcW w:w="763" w:type="dxa"/>
            <w:shd w:val="clear" w:color="auto" w:fill="CCEAF9" w:themeFill="accent1" w:themeFillTint="33"/>
            <w:noWrap/>
            <w:vAlign w:val="center"/>
            <w:hideMark/>
          </w:tcPr>
          <w:p w:rsidR="00B47695" w:rsidRPr="009C67B0" w:rsidRDefault="00B47695" w:rsidP="00B47695">
            <w:pPr>
              <w:keepNext/>
              <w:keepLines/>
              <w:spacing w:after="0" w:line="240" w:lineRule="auto"/>
              <w:jc w:val="right"/>
              <w:rPr>
                <w:rFonts w:asciiTheme="majorHAnsi" w:eastAsia="Times New Roman" w:hAnsiTheme="majorHAnsi"/>
                <w:sz w:val="18"/>
                <w:szCs w:val="18"/>
              </w:rPr>
            </w:pPr>
            <w:r w:rsidRPr="009C67B0">
              <w:rPr>
                <w:rFonts w:asciiTheme="majorHAnsi" w:hAnsiTheme="majorHAnsi"/>
                <w:sz w:val="18"/>
                <w:szCs w:val="18"/>
              </w:rPr>
              <w:t>−2,100</w:t>
            </w:r>
          </w:p>
        </w:tc>
        <w:tc>
          <w:tcPr>
            <w:tcW w:w="763" w:type="dxa"/>
            <w:shd w:val="clear" w:color="auto" w:fill="CCEAF9" w:themeFill="accent1" w:themeFillTint="33"/>
            <w:noWrap/>
            <w:vAlign w:val="center"/>
            <w:hideMark/>
          </w:tcPr>
          <w:p w:rsidR="00B47695" w:rsidRPr="009C67B0" w:rsidRDefault="00B47695" w:rsidP="00B47695">
            <w:pPr>
              <w:keepNext/>
              <w:keepLines/>
              <w:spacing w:after="0" w:line="240" w:lineRule="auto"/>
              <w:jc w:val="right"/>
              <w:rPr>
                <w:rFonts w:asciiTheme="majorHAnsi" w:eastAsia="Times New Roman" w:hAnsiTheme="majorHAnsi"/>
                <w:sz w:val="18"/>
                <w:szCs w:val="18"/>
              </w:rPr>
            </w:pPr>
            <w:r w:rsidRPr="009C67B0">
              <w:rPr>
                <w:rFonts w:asciiTheme="majorHAnsi" w:hAnsiTheme="majorHAnsi"/>
                <w:sz w:val="18"/>
                <w:szCs w:val="18"/>
              </w:rPr>
              <w:t>−2,100</w:t>
            </w:r>
          </w:p>
        </w:tc>
        <w:tc>
          <w:tcPr>
            <w:tcW w:w="763" w:type="dxa"/>
            <w:shd w:val="clear" w:color="auto" w:fill="CCEAF9" w:themeFill="accent1" w:themeFillTint="33"/>
            <w:noWrap/>
            <w:vAlign w:val="center"/>
            <w:hideMark/>
          </w:tcPr>
          <w:p w:rsidR="00B47695" w:rsidRPr="009C67B0" w:rsidRDefault="00B47695" w:rsidP="00B47695">
            <w:pPr>
              <w:keepNext/>
              <w:keepLines/>
              <w:spacing w:after="0" w:line="240" w:lineRule="auto"/>
              <w:jc w:val="right"/>
              <w:rPr>
                <w:rFonts w:asciiTheme="majorHAnsi" w:eastAsia="Times New Roman" w:hAnsiTheme="majorHAnsi"/>
                <w:sz w:val="18"/>
                <w:szCs w:val="18"/>
              </w:rPr>
            </w:pPr>
            <w:r w:rsidRPr="009C67B0">
              <w:rPr>
                <w:rFonts w:asciiTheme="majorHAnsi" w:hAnsiTheme="majorHAnsi"/>
                <w:sz w:val="18"/>
                <w:szCs w:val="18"/>
              </w:rPr>
              <w:t>−2,100</w:t>
            </w:r>
          </w:p>
        </w:tc>
      </w:tr>
      <w:tr w:rsidR="00B47695" w:rsidRPr="009C67B0" w:rsidTr="00F53961">
        <w:trPr>
          <w:trHeight w:val="300"/>
        </w:trPr>
        <w:tc>
          <w:tcPr>
            <w:tcW w:w="864" w:type="dxa"/>
            <w:vMerge/>
            <w:shd w:val="clear" w:color="auto" w:fill="auto"/>
            <w:noWrap/>
            <w:vAlign w:val="center"/>
            <w:hideMark/>
          </w:tcPr>
          <w:p w:rsidR="00B47695" w:rsidRPr="009C67B0" w:rsidRDefault="00B47695" w:rsidP="00B47695">
            <w:pPr>
              <w:keepNext/>
              <w:keepLines/>
              <w:spacing w:after="0" w:line="240" w:lineRule="auto"/>
              <w:rPr>
                <w:rFonts w:asciiTheme="majorHAnsi" w:eastAsia="Times New Roman" w:hAnsiTheme="majorHAnsi"/>
                <w:color w:val="000000"/>
                <w:sz w:val="18"/>
                <w:szCs w:val="18"/>
              </w:rPr>
            </w:pPr>
          </w:p>
        </w:tc>
        <w:tc>
          <w:tcPr>
            <w:tcW w:w="1872" w:type="dxa"/>
            <w:shd w:val="clear" w:color="auto" w:fill="CCEAF9" w:themeFill="accent1" w:themeFillTint="33"/>
            <w:vAlign w:val="center"/>
            <w:hideMark/>
          </w:tcPr>
          <w:p w:rsidR="00B47695" w:rsidRPr="009C67B0" w:rsidRDefault="00B47695" w:rsidP="00B47695">
            <w:pPr>
              <w:keepNext/>
              <w:keepLines/>
              <w:spacing w:after="0" w:line="240" w:lineRule="auto"/>
              <w:rPr>
                <w:rFonts w:asciiTheme="majorHAnsi" w:eastAsia="Times New Roman" w:hAnsiTheme="majorHAnsi"/>
                <w:b/>
                <w:bCs/>
                <w:sz w:val="18"/>
                <w:szCs w:val="18"/>
              </w:rPr>
            </w:pPr>
            <w:r w:rsidRPr="009C67B0">
              <w:rPr>
                <w:rFonts w:asciiTheme="majorHAnsi" w:eastAsia="Times New Roman" w:hAnsiTheme="majorHAnsi"/>
                <w:b/>
                <w:bCs/>
                <w:sz w:val="18"/>
                <w:szCs w:val="18"/>
              </w:rPr>
              <w:t>Total net capacity</w:t>
            </w:r>
            <w:r w:rsidRPr="009C67B0">
              <w:rPr>
                <w:rFonts w:asciiTheme="majorHAnsi" w:eastAsia="Times New Roman" w:hAnsiTheme="majorHAnsi"/>
                <w:b/>
                <w:bCs/>
                <w:sz w:val="18"/>
                <w:szCs w:val="18"/>
                <w:vertAlign w:val="superscript"/>
              </w:rPr>
              <w:t>(d)</w:t>
            </w:r>
          </w:p>
        </w:tc>
        <w:tc>
          <w:tcPr>
            <w:tcW w:w="763" w:type="dxa"/>
            <w:shd w:val="clear" w:color="auto" w:fill="CCEAF9" w:themeFill="accent1" w:themeFillTint="33"/>
            <w:noWrap/>
            <w:vAlign w:val="center"/>
            <w:hideMark/>
          </w:tcPr>
          <w:p w:rsidR="00B47695" w:rsidRPr="009C67B0" w:rsidRDefault="00B47695" w:rsidP="00B47695">
            <w:pPr>
              <w:keepNext/>
              <w:keepLines/>
              <w:spacing w:after="0" w:line="240" w:lineRule="auto"/>
              <w:jc w:val="right"/>
              <w:rPr>
                <w:rFonts w:asciiTheme="majorHAnsi" w:eastAsia="Times New Roman" w:hAnsiTheme="majorHAnsi"/>
                <w:b/>
                <w:bCs/>
                <w:sz w:val="18"/>
                <w:szCs w:val="18"/>
              </w:rPr>
            </w:pPr>
            <w:r w:rsidRPr="009C67B0">
              <w:rPr>
                <w:rFonts w:asciiTheme="majorHAnsi" w:hAnsiTheme="majorHAnsi"/>
                <w:b/>
                <w:bCs/>
                <w:sz w:val="18"/>
                <w:szCs w:val="18"/>
              </w:rPr>
              <w:t>31,321</w:t>
            </w:r>
          </w:p>
        </w:tc>
        <w:tc>
          <w:tcPr>
            <w:tcW w:w="763" w:type="dxa"/>
            <w:shd w:val="clear" w:color="auto" w:fill="CCEAF9" w:themeFill="accent1" w:themeFillTint="33"/>
            <w:noWrap/>
            <w:vAlign w:val="center"/>
            <w:hideMark/>
          </w:tcPr>
          <w:p w:rsidR="00B47695" w:rsidRPr="009C67B0" w:rsidRDefault="00B47695" w:rsidP="00B47695">
            <w:pPr>
              <w:keepNext/>
              <w:keepLines/>
              <w:spacing w:after="0" w:line="240" w:lineRule="auto"/>
              <w:jc w:val="right"/>
              <w:rPr>
                <w:rFonts w:asciiTheme="majorHAnsi" w:eastAsia="Times New Roman" w:hAnsiTheme="majorHAnsi"/>
                <w:b/>
                <w:bCs/>
                <w:sz w:val="18"/>
                <w:szCs w:val="18"/>
              </w:rPr>
            </w:pPr>
            <w:r w:rsidRPr="009C67B0">
              <w:rPr>
                <w:rFonts w:asciiTheme="majorHAnsi" w:hAnsiTheme="majorHAnsi"/>
                <w:b/>
                <w:bCs/>
                <w:sz w:val="18"/>
                <w:szCs w:val="18"/>
              </w:rPr>
              <w:t>31,655</w:t>
            </w:r>
          </w:p>
        </w:tc>
        <w:tc>
          <w:tcPr>
            <w:tcW w:w="763" w:type="dxa"/>
            <w:shd w:val="clear" w:color="auto" w:fill="CCEAF9" w:themeFill="accent1" w:themeFillTint="33"/>
            <w:noWrap/>
            <w:vAlign w:val="center"/>
            <w:hideMark/>
          </w:tcPr>
          <w:p w:rsidR="00B47695" w:rsidRPr="009C67B0" w:rsidRDefault="00B47695" w:rsidP="00B47695">
            <w:pPr>
              <w:keepNext/>
              <w:keepLines/>
              <w:spacing w:after="0" w:line="240" w:lineRule="auto"/>
              <w:jc w:val="right"/>
              <w:rPr>
                <w:rFonts w:asciiTheme="majorHAnsi" w:eastAsia="Times New Roman" w:hAnsiTheme="majorHAnsi"/>
                <w:b/>
                <w:bCs/>
                <w:sz w:val="18"/>
                <w:szCs w:val="18"/>
              </w:rPr>
            </w:pPr>
            <w:r w:rsidRPr="009C67B0">
              <w:rPr>
                <w:rFonts w:asciiTheme="majorHAnsi" w:hAnsiTheme="majorHAnsi"/>
                <w:b/>
                <w:bCs/>
                <w:sz w:val="18"/>
                <w:szCs w:val="18"/>
              </w:rPr>
              <w:t>31,975</w:t>
            </w:r>
          </w:p>
        </w:tc>
        <w:tc>
          <w:tcPr>
            <w:tcW w:w="763" w:type="dxa"/>
            <w:shd w:val="clear" w:color="auto" w:fill="CCEAF9" w:themeFill="accent1" w:themeFillTint="33"/>
            <w:noWrap/>
            <w:vAlign w:val="center"/>
            <w:hideMark/>
          </w:tcPr>
          <w:p w:rsidR="00B47695" w:rsidRPr="009C67B0" w:rsidRDefault="00B47695" w:rsidP="00B47695">
            <w:pPr>
              <w:keepNext/>
              <w:keepLines/>
              <w:spacing w:after="0" w:line="240" w:lineRule="auto"/>
              <w:jc w:val="right"/>
              <w:rPr>
                <w:rFonts w:asciiTheme="majorHAnsi" w:eastAsia="Times New Roman" w:hAnsiTheme="majorHAnsi"/>
                <w:b/>
                <w:bCs/>
                <w:sz w:val="18"/>
                <w:szCs w:val="18"/>
              </w:rPr>
            </w:pPr>
            <w:r w:rsidRPr="009C67B0">
              <w:rPr>
                <w:rFonts w:asciiTheme="majorHAnsi" w:hAnsiTheme="majorHAnsi"/>
                <w:b/>
                <w:bCs/>
                <w:sz w:val="18"/>
                <w:szCs w:val="18"/>
              </w:rPr>
              <w:t>N/A</w:t>
            </w:r>
          </w:p>
        </w:tc>
        <w:tc>
          <w:tcPr>
            <w:tcW w:w="763" w:type="dxa"/>
            <w:shd w:val="clear" w:color="auto" w:fill="CCEAF9" w:themeFill="accent1" w:themeFillTint="33"/>
            <w:noWrap/>
            <w:vAlign w:val="center"/>
            <w:hideMark/>
          </w:tcPr>
          <w:p w:rsidR="00B47695" w:rsidRPr="009C67B0" w:rsidRDefault="00B47695" w:rsidP="00B47695">
            <w:pPr>
              <w:keepNext/>
              <w:keepLines/>
              <w:spacing w:after="0" w:line="240" w:lineRule="auto"/>
              <w:jc w:val="center"/>
              <w:rPr>
                <w:rFonts w:asciiTheme="majorHAnsi" w:hAnsiTheme="majorHAnsi"/>
                <w:b/>
                <w:bCs/>
                <w:sz w:val="18"/>
                <w:szCs w:val="18"/>
              </w:rPr>
            </w:pPr>
            <w:r w:rsidRPr="009C67B0">
              <w:rPr>
                <w:rFonts w:asciiTheme="majorHAnsi" w:hAnsiTheme="majorHAnsi"/>
                <w:b/>
                <w:bCs/>
                <w:sz w:val="18"/>
                <w:szCs w:val="18"/>
              </w:rPr>
              <w:t>32,200</w:t>
            </w:r>
          </w:p>
        </w:tc>
        <w:tc>
          <w:tcPr>
            <w:tcW w:w="763" w:type="dxa"/>
            <w:shd w:val="clear" w:color="auto" w:fill="CCEAF9" w:themeFill="accent1" w:themeFillTint="33"/>
            <w:noWrap/>
            <w:vAlign w:val="center"/>
            <w:hideMark/>
          </w:tcPr>
          <w:p w:rsidR="00B47695" w:rsidRPr="009C67B0" w:rsidRDefault="00B47695" w:rsidP="00B47695">
            <w:pPr>
              <w:keepNext/>
              <w:keepLines/>
              <w:spacing w:after="0" w:line="240" w:lineRule="auto"/>
              <w:jc w:val="center"/>
              <w:rPr>
                <w:rFonts w:asciiTheme="majorHAnsi" w:hAnsiTheme="majorHAnsi"/>
                <w:b/>
                <w:bCs/>
                <w:sz w:val="18"/>
                <w:szCs w:val="18"/>
              </w:rPr>
            </w:pPr>
            <w:r w:rsidRPr="009C67B0">
              <w:rPr>
                <w:rFonts w:asciiTheme="majorHAnsi" w:hAnsiTheme="majorHAnsi"/>
                <w:b/>
                <w:bCs/>
                <w:sz w:val="18"/>
                <w:szCs w:val="18"/>
              </w:rPr>
              <w:t>32,500</w:t>
            </w:r>
          </w:p>
        </w:tc>
        <w:tc>
          <w:tcPr>
            <w:tcW w:w="763" w:type="dxa"/>
            <w:shd w:val="clear" w:color="auto" w:fill="CCEAF9" w:themeFill="accent1" w:themeFillTint="33"/>
            <w:noWrap/>
            <w:vAlign w:val="center"/>
            <w:hideMark/>
          </w:tcPr>
          <w:p w:rsidR="00B47695" w:rsidRPr="009C67B0" w:rsidRDefault="00B47695" w:rsidP="00B47695">
            <w:pPr>
              <w:keepNext/>
              <w:keepLines/>
              <w:spacing w:after="0" w:line="240" w:lineRule="auto"/>
              <w:jc w:val="center"/>
              <w:rPr>
                <w:rFonts w:asciiTheme="majorHAnsi" w:hAnsiTheme="majorHAnsi"/>
                <w:b/>
                <w:bCs/>
                <w:sz w:val="18"/>
                <w:szCs w:val="18"/>
              </w:rPr>
            </w:pPr>
            <w:r w:rsidRPr="009C67B0">
              <w:rPr>
                <w:rFonts w:asciiTheme="majorHAnsi" w:hAnsiTheme="majorHAnsi"/>
                <w:b/>
                <w:bCs/>
                <w:sz w:val="18"/>
                <w:szCs w:val="18"/>
              </w:rPr>
              <w:t>32,900</w:t>
            </w:r>
          </w:p>
        </w:tc>
        <w:tc>
          <w:tcPr>
            <w:tcW w:w="763" w:type="dxa"/>
            <w:shd w:val="clear" w:color="auto" w:fill="CCEAF9" w:themeFill="accent1" w:themeFillTint="33"/>
            <w:noWrap/>
            <w:vAlign w:val="center"/>
            <w:hideMark/>
          </w:tcPr>
          <w:p w:rsidR="00B47695" w:rsidRPr="009C67B0" w:rsidRDefault="00B47695" w:rsidP="00B47695">
            <w:pPr>
              <w:keepNext/>
              <w:keepLines/>
              <w:spacing w:after="0" w:line="240" w:lineRule="auto"/>
              <w:jc w:val="center"/>
              <w:rPr>
                <w:rFonts w:asciiTheme="majorHAnsi" w:hAnsiTheme="majorHAnsi"/>
                <w:b/>
                <w:bCs/>
                <w:sz w:val="18"/>
                <w:szCs w:val="18"/>
              </w:rPr>
            </w:pPr>
            <w:r w:rsidRPr="009C67B0">
              <w:rPr>
                <w:rFonts w:asciiTheme="majorHAnsi" w:hAnsiTheme="majorHAnsi"/>
                <w:b/>
                <w:bCs/>
                <w:sz w:val="18"/>
                <w:szCs w:val="18"/>
              </w:rPr>
              <w:t>33,200</w:t>
            </w:r>
          </w:p>
        </w:tc>
        <w:tc>
          <w:tcPr>
            <w:tcW w:w="763" w:type="dxa"/>
            <w:shd w:val="clear" w:color="auto" w:fill="CCEAF9" w:themeFill="accent1" w:themeFillTint="33"/>
            <w:noWrap/>
            <w:vAlign w:val="center"/>
            <w:hideMark/>
          </w:tcPr>
          <w:p w:rsidR="00B47695" w:rsidRPr="009C67B0" w:rsidRDefault="00B47695" w:rsidP="00B47695">
            <w:pPr>
              <w:keepNext/>
              <w:keepLines/>
              <w:spacing w:after="0" w:line="240" w:lineRule="auto"/>
              <w:jc w:val="center"/>
              <w:rPr>
                <w:rFonts w:asciiTheme="majorHAnsi" w:hAnsiTheme="majorHAnsi"/>
                <w:b/>
                <w:bCs/>
                <w:sz w:val="18"/>
                <w:szCs w:val="18"/>
              </w:rPr>
            </w:pPr>
            <w:r w:rsidRPr="009C67B0">
              <w:rPr>
                <w:rFonts w:asciiTheme="majorHAnsi" w:hAnsiTheme="majorHAnsi"/>
                <w:b/>
                <w:bCs/>
                <w:sz w:val="18"/>
                <w:szCs w:val="18"/>
              </w:rPr>
              <w:t>33,600</w:t>
            </w:r>
          </w:p>
        </w:tc>
      </w:tr>
      <w:tr w:rsidR="00B47695" w:rsidRPr="009C67B0" w:rsidTr="00F53961">
        <w:trPr>
          <w:trHeight w:val="540"/>
        </w:trPr>
        <w:tc>
          <w:tcPr>
            <w:tcW w:w="864" w:type="dxa"/>
            <w:vMerge/>
            <w:shd w:val="clear" w:color="auto" w:fill="auto"/>
            <w:noWrap/>
            <w:vAlign w:val="center"/>
            <w:hideMark/>
          </w:tcPr>
          <w:p w:rsidR="00B47695" w:rsidRPr="009C67B0" w:rsidRDefault="00B47695" w:rsidP="00B47695">
            <w:pPr>
              <w:keepNext/>
              <w:keepLines/>
              <w:spacing w:after="0" w:line="240" w:lineRule="auto"/>
              <w:rPr>
                <w:rFonts w:asciiTheme="majorHAnsi" w:eastAsia="Times New Roman" w:hAnsiTheme="majorHAnsi"/>
                <w:color w:val="000000"/>
                <w:sz w:val="18"/>
                <w:szCs w:val="18"/>
              </w:rPr>
            </w:pPr>
          </w:p>
        </w:tc>
        <w:tc>
          <w:tcPr>
            <w:tcW w:w="1872" w:type="dxa"/>
            <w:shd w:val="clear" w:color="auto" w:fill="9AD6F4" w:themeFill="accent1" w:themeFillTint="66"/>
            <w:vAlign w:val="center"/>
            <w:hideMark/>
          </w:tcPr>
          <w:p w:rsidR="00B47695" w:rsidRPr="009C67B0" w:rsidRDefault="00B47695" w:rsidP="00B75A7D">
            <w:pPr>
              <w:keepNext/>
              <w:keepLines/>
              <w:spacing w:after="0" w:line="240" w:lineRule="auto"/>
              <w:rPr>
                <w:rFonts w:asciiTheme="majorHAnsi" w:eastAsia="Times New Roman" w:hAnsiTheme="majorHAnsi"/>
                <w:b/>
                <w:bCs/>
                <w:sz w:val="18"/>
                <w:szCs w:val="18"/>
              </w:rPr>
            </w:pPr>
            <w:r w:rsidRPr="009C67B0">
              <w:rPr>
                <w:rFonts w:asciiTheme="majorHAnsi" w:eastAsia="Times New Roman" w:hAnsiTheme="majorHAnsi"/>
                <w:b/>
                <w:bCs/>
                <w:sz w:val="18"/>
                <w:szCs w:val="18"/>
              </w:rPr>
              <w:t>Operable capacity margin</w:t>
            </w:r>
            <w:r w:rsidRPr="009C67B0">
              <w:rPr>
                <w:rFonts w:asciiTheme="majorHAnsi" w:eastAsia="Times New Roman" w:hAnsiTheme="majorHAnsi"/>
                <w:b/>
                <w:bCs/>
                <w:sz w:val="18"/>
                <w:szCs w:val="18"/>
                <w:vertAlign w:val="superscript"/>
              </w:rPr>
              <w:t>(e)</w:t>
            </w:r>
            <w:r w:rsidR="00B75A7D" w:rsidRPr="009C67B0">
              <w:rPr>
                <w:rFonts w:asciiTheme="majorHAnsi" w:eastAsia="Times New Roman" w:hAnsiTheme="majorHAnsi"/>
                <w:b/>
                <w:bCs/>
                <w:sz w:val="18"/>
                <w:szCs w:val="18"/>
              </w:rPr>
              <w:t>—</w:t>
            </w:r>
            <w:r w:rsidR="00B75A7D" w:rsidRPr="009C67B0">
              <w:rPr>
                <w:rFonts w:asciiTheme="majorHAnsi" w:eastAsia="Times New Roman" w:hAnsiTheme="majorHAnsi"/>
                <w:b/>
                <w:bCs/>
                <w:sz w:val="18"/>
                <w:szCs w:val="18"/>
              </w:rPr>
              <w:br/>
            </w:r>
            <w:r w:rsidRPr="009C67B0">
              <w:rPr>
                <w:rFonts w:asciiTheme="majorHAnsi" w:eastAsia="Times New Roman" w:hAnsiTheme="majorHAnsi"/>
                <w:b/>
                <w:bCs/>
                <w:sz w:val="18"/>
                <w:szCs w:val="18"/>
              </w:rPr>
              <w:t>50/50 forecast</w:t>
            </w:r>
          </w:p>
        </w:tc>
        <w:tc>
          <w:tcPr>
            <w:tcW w:w="763" w:type="dxa"/>
            <w:shd w:val="clear" w:color="auto" w:fill="9AD6F4" w:themeFill="accent1" w:themeFillTint="66"/>
            <w:noWrap/>
            <w:vAlign w:val="center"/>
            <w:hideMark/>
          </w:tcPr>
          <w:p w:rsidR="00B47695" w:rsidRPr="009C67B0" w:rsidRDefault="00B47695" w:rsidP="00B47695">
            <w:pPr>
              <w:keepNext/>
              <w:keepLines/>
              <w:spacing w:after="0" w:line="240" w:lineRule="auto"/>
              <w:jc w:val="right"/>
              <w:rPr>
                <w:rFonts w:asciiTheme="majorHAnsi" w:eastAsia="Times New Roman" w:hAnsiTheme="majorHAnsi"/>
                <w:b/>
                <w:bCs/>
                <w:sz w:val="18"/>
                <w:szCs w:val="18"/>
              </w:rPr>
            </w:pPr>
            <w:r w:rsidRPr="009C67B0">
              <w:rPr>
                <w:rFonts w:asciiTheme="majorHAnsi" w:hAnsiTheme="majorHAnsi"/>
                <w:b/>
                <w:bCs/>
                <w:sz w:val="18"/>
                <w:szCs w:val="18"/>
              </w:rPr>
              <w:t>252</w:t>
            </w:r>
          </w:p>
        </w:tc>
        <w:tc>
          <w:tcPr>
            <w:tcW w:w="763" w:type="dxa"/>
            <w:shd w:val="clear" w:color="auto" w:fill="9AD6F4" w:themeFill="accent1" w:themeFillTint="66"/>
            <w:noWrap/>
            <w:vAlign w:val="center"/>
            <w:hideMark/>
          </w:tcPr>
          <w:p w:rsidR="00B47695" w:rsidRPr="009C67B0" w:rsidRDefault="00B47695" w:rsidP="00B47695">
            <w:pPr>
              <w:keepNext/>
              <w:keepLines/>
              <w:spacing w:after="0" w:line="240" w:lineRule="auto"/>
              <w:jc w:val="right"/>
              <w:rPr>
                <w:rFonts w:asciiTheme="majorHAnsi" w:eastAsia="Times New Roman" w:hAnsiTheme="majorHAnsi"/>
                <w:b/>
                <w:bCs/>
                <w:sz w:val="18"/>
                <w:szCs w:val="18"/>
              </w:rPr>
            </w:pPr>
            <w:r w:rsidRPr="009C67B0">
              <w:rPr>
                <w:rFonts w:asciiTheme="majorHAnsi" w:hAnsiTheme="majorHAnsi"/>
                <w:b/>
                <w:bCs/>
                <w:sz w:val="18"/>
                <w:szCs w:val="18"/>
              </w:rPr>
              <w:t>380</w:t>
            </w:r>
          </w:p>
        </w:tc>
        <w:tc>
          <w:tcPr>
            <w:tcW w:w="763" w:type="dxa"/>
            <w:shd w:val="clear" w:color="auto" w:fill="9AD6F4" w:themeFill="accent1" w:themeFillTint="66"/>
            <w:noWrap/>
            <w:vAlign w:val="center"/>
            <w:hideMark/>
          </w:tcPr>
          <w:p w:rsidR="00B47695" w:rsidRPr="009C67B0" w:rsidRDefault="00B47695" w:rsidP="00B47695">
            <w:pPr>
              <w:keepNext/>
              <w:keepLines/>
              <w:spacing w:after="0" w:line="240" w:lineRule="auto"/>
              <w:jc w:val="right"/>
              <w:rPr>
                <w:rFonts w:asciiTheme="majorHAnsi" w:eastAsia="Times New Roman" w:hAnsiTheme="majorHAnsi"/>
                <w:b/>
                <w:bCs/>
                <w:sz w:val="18"/>
                <w:szCs w:val="18"/>
              </w:rPr>
            </w:pPr>
            <w:r w:rsidRPr="009C67B0">
              <w:rPr>
                <w:rFonts w:asciiTheme="majorHAnsi" w:hAnsiTheme="majorHAnsi"/>
                <w:b/>
                <w:bCs/>
                <w:sz w:val="18"/>
                <w:szCs w:val="18"/>
              </w:rPr>
              <w:t>479</w:t>
            </w:r>
          </w:p>
        </w:tc>
        <w:tc>
          <w:tcPr>
            <w:tcW w:w="763" w:type="dxa"/>
            <w:shd w:val="clear" w:color="auto" w:fill="9AD6F4" w:themeFill="accent1" w:themeFillTint="66"/>
            <w:noWrap/>
            <w:vAlign w:val="center"/>
            <w:hideMark/>
          </w:tcPr>
          <w:p w:rsidR="00B47695" w:rsidRPr="009C67B0" w:rsidRDefault="00B47695" w:rsidP="00B47695">
            <w:pPr>
              <w:keepNext/>
              <w:keepLines/>
              <w:spacing w:after="0" w:line="240" w:lineRule="auto"/>
              <w:jc w:val="right"/>
              <w:rPr>
                <w:rFonts w:asciiTheme="majorHAnsi" w:eastAsia="Times New Roman" w:hAnsiTheme="majorHAnsi"/>
                <w:b/>
                <w:bCs/>
                <w:sz w:val="18"/>
                <w:szCs w:val="18"/>
              </w:rPr>
            </w:pPr>
            <w:r w:rsidRPr="009C67B0">
              <w:rPr>
                <w:rFonts w:asciiTheme="majorHAnsi" w:hAnsiTheme="majorHAnsi"/>
                <w:b/>
                <w:bCs/>
                <w:sz w:val="18"/>
                <w:szCs w:val="18"/>
              </w:rPr>
              <w:t>N/A</w:t>
            </w:r>
          </w:p>
        </w:tc>
        <w:tc>
          <w:tcPr>
            <w:tcW w:w="763" w:type="dxa"/>
            <w:shd w:val="clear" w:color="auto" w:fill="9AD6F4" w:themeFill="accent1" w:themeFillTint="66"/>
            <w:noWrap/>
            <w:vAlign w:val="center"/>
            <w:hideMark/>
          </w:tcPr>
          <w:p w:rsidR="00B47695" w:rsidRPr="009C67B0" w:rsidRDefault="00B47695" w:rsidP="009C67B0">
            <w:pPr>
              <w:keepNext/>
              <w:keepLines/>
              <w:spacing w:after="0" w:line="240" w:lineRule="auto"/>
              <w:jc w:val="right"/>
              <w:rPr>
                <w:rFonts w:asciiTheme="majorHAnsi" w:hAnsiTheme="majorHAnsi"/>
                <w:b/>
                <w:bCs/>
                <w:sz w:val="18"/>
                <w:szCs w:val="18"/>
              </w:rPr>
            </w:pPr>
            <w:r w:rsidRPr="009C67B0">
              <w:rPr>
                <w:rFonts w:asciiTheme="majorHAnsi" w:hAnsiTheme="majorHAnsi"/>
                <w:b/>
                <w:bCs/>
                <w:sz w:val="18"/>
                <w:szCs w:val="18"/>
              </w:rPr>
              <w:t>201</w:t>
            </w:r>
          </w:p>
        </w:tc>
        <w:tc>
          <w:tcPr>
            <w:tcW w:w="763" w:type="dxa"/>
            <w:shd w:val="clear" w:color="auto" w:fill="9AD6F4" w:themeFill="accent1" w:themeFillTint="66"/>
            <w:noWrap/>
            <w:vAlign w:val="center"/>
            <w:hideMark/>
          </w:tcPr>
          <w:p w:rsidR="00B47695" w:rsidRPr="009C67B0" w:rsidRDefault="00B47695" w:rsidP="009C67B0">
            <w:pPr>
              <w:keepNext/>
              <w:keepLines/>
              <w:spacing w:after="0" w:line="240" w:lineRule="auto"/>
              <w:jc w:val="right"/>
              <w:rPr>
                <w:rFonts w:asciiTheme="majorHAnsi" w:hAnsiTheme="majorHAnsi"/>
                <w:b/>
                <w:bCs/>
                <w:sz w:val="18"/>
                <w:szCs w:val="18"/>
              </w:rPr>
            </w:pPr>
            <w:r w:rsidRPr="009C67B0">
              <w:rPr>
                <w:rFonts w:asciiTheme="majorHAnsi" w:hAnsiTheme="majorHAnsi"/>
                <w:b/>
                <w:bCs/>
                <w:sz w:val="18"/>
                <w:szCs w:val="18"/>
              </w:rPr>
              <w:t>235</w:t>
            </w:r>
          </w:p>
        </w:tc>
        <w:tc>
          <w:tcPr>
            <w:tcW w:w="763" w:type="dxa"/>
            <w:shd w:val="clear" w:color="auto" w:fill="9AD6F4" w:themeFill="accent1" w:themeFillTint="66"/>
            <w:noWrap/>
            <w:vAlign w:val="center"/>
          </w:tcPr>
          <w:p w:rsidR="00B47695" w:rsidRPr="009C67B0" w:rsidRDefault="00B47695" w:rsidP="009C67B0">
            <w:pPr>
              <w:keepNext/>
              <w:keepLines/>
              <w:spacing w:after="0" w:line="240" w:lineRule="auto"/>
              <w:jc w:val="right"/>
              <w:rPr>
                <w:rFonts w:asciiTheme="majorHAnsi" w:hAnsiTheme="majorHAnsi"/>
                <w:b/>
                <w:bCs/>
                <w:sz w:val="18"/>
                <w:szCs w:val="18"/>
              </w:rPr>
            </w:pPr>
            <w:r w:rsidRPr="009C67B0">
              <w:rPr>
                <w:rFonts w:asciiTheme="majorHAnsi" w:hAnsiTheme="majorHAnsi"/>
                <w:b/>
                <w:bCs/>
                <w:sz w:val="18"/>
                <w:szCs w:val="18"/>
              </w:rPr>
              <w:t>364</w:t>
            </w:r>
          </w:p>
        </w:tc>
        <w:tc>
          <w:tcPr>
            <w:tcW w:w="763" w:type="dxa"/>
            <w:shd w:val="clear" w:color="auto" w:fill="9AD6F4" w:themeFill="accent1" w:themeFillTint="66"/>
            <w:noWrap/>
            <w:vAlign w:val="center"/>
          </w:tcPr>
          <w:p w:rsidR="00B47695" w:rsidRPr="009C67B0" w:rsidRDefault="00B47695" w:rsidP="009C67B0">
            <w:pPr>
              <w:keepNext/>
              <w:keepLines/>
              <w:spacing w:after="0" w:line="240" w:lineRule="auto"/>
              <w:jc w:val="right"/>
              <w:rPr>
                <w:rFonts w:asciiTheme="majorHAnsi" w:hAnsiTheme="majorHAnsi"/>
                <w:b/>
                <w:bCs/>
                <w:sz w:val="18"/>
                <w:szCs w:val="18"/>
              </w:rPr>
            </w:pPr>
            <w:r w:rsidRPr="009C67B0">
              <w:rPr>
                <w:rFonts w:asciiTheme="majorHAnsi" w:hAnsiTheme="majorHAnsi"/>
                <w:b/>
                <w:bCs/>
                <w:sz w:val="18"/>
                <w:szCs w:val="18"/>
              </w:rPr>
              <w:t>388</w:t>
            </w:r>
          </w:p>
        </w:tc>
        <w:tc>
          <w:tcPr>
            <w:tcW w:w="763" w:type="dxa"/>
            <w:shd w:val="clear" w:color="auto" w:fill="9AD6F4" w:themeFill="accent1" w:themeFillTint="66"/>
            <w:noWrap/>
            <w:vAlign w:val="center"/>
          </w:tcPr>
          <w:p w:rsidR="00B47695" w:rsidRPr="009C67B0" w:rsidRDefault="00B47695" w:rsidP="009C67B0">
            <w:pPr>
              <w:keepNext/>
              <w:keepLines/>
              <w:spacing w:after="0" w:line="240" w:lineRule="auto"/>
              <w:jc w:val="right"/>
              <w:rPr>
                <w:rFonts w:asciiTheme="majorHAnsi" w:hAnsiTheme="majorHAnsi"/>
                <w:b/>
                <w:bCs/>
                <w:sz w:val="18"/>
                <w:szCs w:val="18"/>
              </w:rPr>
            </w:pPr>
            <w:r w:rsidRPr="009C67B0">
              <w:rPr>
                <w:rFonts w:asciiTheme="majorHAnsi" w:hAnsiTheme="majorHAnsi"/>
                <w:b/>
                <w:bCs/>
                <w:sz w:val="18"/>
                <w:szCs w:val="18"/>
              </w:rPr>
              <w:t>510</w:t>
            </w:r>
          </w:p>
        </w:tc>
      </w:tr>
      <w:tr w:rsidR="00B47695" w:rsidRPr="009C67B0" w:rsidTr="00F53961">
        <w:trPr>
          <w:trHeight w:val="300"/>
        </w:trPr>
        <w:tc>
          <w:tcPr>
            <w:tcW w:w="864" w:type="dxa"/>
            <w:vMerge w:val="restart"/>
            <w:shd w:val="clear" w:color="auto" w:fill="CCEAF9" w:themeFill="accent1" w:themeFillTint="33"/>
            <w:noWrap/>
            <w:vAlign w:val="center"/>
            <w:hideMark/>
          </w:tcPr>
          <w:p w:rsidR="00B47695" w:rsidRPr="009C67B0" w:rsidRDefault="00B47695" w:rsidP="00B47695">
            <w:pPr>
              <w:keepNext/>
              <w:keepLines/>
              <w:spacing w:after="0" w:line="240" w:lineRule="auto"/>
              <w:rPr>
                <w:rFonts w:asciiTheme="majorHAnsi" w:eastAsia="Times New Roman" w:hAnsiTheme="majorHAnsi"/>
                <w:b/>
                <w:bCs/>
                <w:color w:val="000000"/>
                <w:sz w:val="18"/>
                <w:szCs w:val="18"/>
              </w:rPr>
            </w:pPr>
            <w:r w:rsidRPr="009C67B0">
              <w:rPr>
                <w:rFonts w:asciiTheme="majorHAnsi" w:eastAsia="Times New Roman" w:hAnsiTheme="majorHAnsi"/>
                <w:b/>
                <w:bCs/>
                <w:color w:val="000000"/>
                <w:sz w:val="18"/>
                <w:szCs w:val="18"/>
              </w:rPr>
              <w:t>90/10 forecast</w:t>
            </w:r>
          </w:p>
        </w:tc>
        <w:tc>
          <w:tcPr>
            <w:tcW w:w="1872" w:type="dxa"/>
            <w:shd w:val="clear" w:color="auto" w:fill="auto"/>
            <w:vAlign w:val="center"/>
            <w:hideMark/>
          </w:tcPr>
          <w:p w:rsidR="00B47695" w:rsidRPr="009C67B0" w:rsidRDefault="00B47695" w:rsidP="00B47695">
            <w:pPr>
              <w:keepNext/>
              <w:keepLines/>
              <w:spacing w:after="0" w:line="240" w:lineRule="auto"/>
              <w:rPr>
                <w:rFonts w:asciiTheme="majorHAnsi" w:eastAsia="Times New Roman" w:hAnsiTheme="majorHAnsi"/>
                <w:sz w:val="18"/>
                <w:szCs w:val="18"/>
              </w:rPr>
            </w:pPr>
            <w:r w:rsidRPr="009C67B0">
              <w:rPr>
                <w:rFonts w:asciiTheme="majorHAnsi" w:eastAsia="Times New Roman" w:hAnsiTheme="majorHAnsi"/>
                <w:sz w:val="18"/>
                <w:szCs w:val="18"/>
              </w:rPr>
              <w:t>Load net of BTM PV</w:t>
            </w:r>
          </w:p>
        </w:tc>
        <w:tc>
          <w:tcPr>
            <w:tcW w:w="763" w:type="dxa"/>
            <w:shd w:val="clear" w:color="auto" w:fill="auto"/>
            <w:noWrap/>
            <w:vAlign w:val="center"/>
            <w:hideMark/>
          </w:tcPr>
          <w:p w:rsidR="00B47695" w:rsidRPr="009C67B0" w:rsidRDefault="00B47695" w:rsidP="00B47695">
            <w:pPr>
              <w:keepNext/>
              <w:keepLines/>
              <w:spacing w:after="0" w:line="240" w:lineRule="auto"/>
              <w:jc w:val="right"/>
              <w:rPr>
                <w:rFonts w:asciiTheme="majorHAnsi" w:eastAsia="Times New Roman" w:hAnsiTheme="majorHAnsi"/>
                <w:sz w:val="18"/>
                <w:szCs w:val="18"/>
              </w:rPr>
            </w:pPr>
            <w:r w:rsidRPr="009C67B0">
              <w:rPr>
                <w:rFonts w:asciiTheme="majorHAnsi" w:hAnsiTheme="majorHAnsi"/>
                <w:sz w:val="18"/>
                <w:szCs w:val="18"/>
              </w:rPr>
              <w:t>31,183</w:t>
            </w:r>
          </w:p>
        </w:tc>
        <w:tc>
          <w:tcPr>
            <w:tcW w:w="763" w:type="dxa"/>
            <w:shd w:val="clear" w:color="auto" w:fill="auto"/>
            <w:noWrap/>
            <w:vAlign w:val="center"/>
            <w:hideMark/>
          </w:tcPr>
          <w:p w:rsidR="00B47695" w:rsidRPr="009C67B0" w:rsidRDefault="00B47695" w:rsidP="00B47695">
            <w:pPr>
              <w:keepNext/>
              <w:keepLines/>
              <w:spacing w:after="0" w:line="240" w:lineRule="auto"/>
              <w:jc w:val="right"/>
              <w:rPr>
                <w:rFonts w:asciiTheme="majorHAnsi" w:eastAsia="Times New Roman" w:hAnsiTheme="majorHAnsi"/>
                <w:sz w:val="18"/>
                <w:szCs w:val="18"/>
              </w:rPr>
            </w:pPr>
            <w:r w:rsidRPr="009C67B0">
              <w:rPr>
                <w:rFonts w:asciiTheme="majorHAnsi" w:hAnsiTheme="majorHAnsi"/>
                <w:sz w:val="18"/>
                <w:szCs w:val="18"/>
              </w:rPr>
              <w:t>31,426</w:t>
            </w:r>
          </w:p>
        </w:tc>
        <w:tc>
          <w:tcPr>
            <w:tcW w:w="763" w:type="dxa"/>
            <w:shd w:val="clear" w:color="auto" w:fill="auto"/>
            <w:noWrap/>
            <w:vAlign w:val="center"/>
            <w:hideMark/>
          </w:tcPr>
          <w:p w:rsidR="00B47695" w:rsidRPr="009C67B0" w:rsidRDefault="00B47695" w:rsidP="00B47695">
            <w:pPr>
              <w:keepNext/>
              <w:keepLines/>
              <w:spacing w:after="0" w:line="240" w:lineRule="auto"/>
              <w:jc w:val="right"/>
              <w:rPr>
                <w:rFonts w:asciiTheme="majorHAnsi" w:eastAsia="Times New Roman" w:hAnsiTheme="majorHAnsi"/>
                <w:sz w:val="18"/>
                <w:szCs w:val="18"/>
              </w:rPr>
            </w:pPr>
            <w:r w:rsidRPr="009C67B0">
              <w:rPr>
                <w:rFonts w:asciiTheme="majorHAnsi" w:hAnsiTheme="majorHAnsi"/>
                <w:sz w:val="18"/>
                <w:szCs w:val="18"/>
              </w:rPr>
              <w:t>31,683</w:t>
            </w:r>
          </w:p>
        </w:tc>
        <w:tc>
          <w:tcPr>
            <w:tcW w:w="763" w:type="dxa"/>
            <w:shd w:val="clear" w:color="auto" w:fill="auto"/>
            <w:noWrap/>
            <w:vAlign w:val="center"/>
            <w:hideMark/>
          </w:tcPr>
          <w:p w:rsidR="00B47695" w:rsidRPr="009C67B0" w:rsidRDefault="00B47695" w:rsidP="00B47695">
            <w:pPr>
              <w:keepNext/>
              <w:keepLines/>
              <w:spacing w:after="0" w:line="240" w:lineRule="auto"/>
              <w:jc w:val="right"/>
              <w:rPr>
                <w:rFonts w:asciiTheme="majorHAnsi" w:eastAsia="Times New Roman" w:hAnsiTheme="majorHAnsi"/>
                <w:sz w:val="18"/>
                <w:szCs w:val="18"/>
              </w:rPr>
            </w:pPr>
            <w:r w:rsidRPr="009C67B0">
              <w:rPr>
                <w:rFonts w:asciiTheme="majorHAnsi" w:hAnsiTheme="majorHAnsi"/>
                <w:sz w:val="18"/>
                <w:szCs w:val="18"/>
              </w:rPr>
              <w:t>31,964</w:t>
            </w:r>
          </w:p>
        </w:tc>
        <w:tc>
          <w:tcPr>
            <w:tcW w:w="763" w:type="dxa"/>
            <w:shd w:val="clear" w:color="auto" w:fill="auto"/>
            <w:noWrap/>
            <w:vAlign w:val="center"/>
            <w:hideMark/>
          </w:tcPr>
          <w:p w:rsidR="00B47695" w:rsidRPr="009C67B0" w:rsidRDefault="00B47695" w:rsidP="00B47695">
            <w:pPr>
              <w:keepNext/>
              <w:keepLines/>
              <w:spacing w:after="0" w:line="240" w:lineRule="auto"/>
              <w:jc w:val="right"/>
              <w:rPr>
                <w:rFonts w:asciiTheme="majorHAnsi" w:eastAsia="Times New Roman" w:hAnsiTheme="majorHAnsi"/>
                <w:sz w:val="18"/>
                <w:szCs w:val="18"/>
              </w:rPr>
            </w:pPr>
            <w:r w:rsidRPr="009C67B0">
              <w:rPr>
                <w:rFonts w:asciiTheme="majorHAnsi" w:hAnsiTheme="majorHAnsi"/>
                <w:sz w:val="18"/>
                <w:szCs w:val="18"/>
              </w:rPr>
              <w:t>32,259</w:t>
            </w:r>
          </w:p>
        </w:tc>
        <w:tc>
          <w:tcPr>
            <w:tcW w:w="763" w:type="dxa"/>
            <w:shd w:val="clear" w:color="auto" w:fill="auto"/>
            <w:noWrap/>
            <w:vAlign w:val="center"/>
            <w:hideMark/>
          </w:tcPr>
          <w:p w:rsidR="00B47695" w:rsidRPr="009C67B0" w:rsidRDefault="00B47695" w:rsidP="00B47695">
            <w:pPr>
              <w:keepNext/>
              <w:keepLines/>
              <w:spacing w:after="0" w:line="240" w:lineRule="auto"/>
              <w:jc w:val="right"/>
              <w:rPr>
                <w:rFonts w:asciiTheme="majorHAnsi" w:eastAsia="Times New Roman" w:hAnsiTheme="majorHAnsi"/>
                <w:sz w:val="18"/>
                <w:szCs w:val="18"/>
              </w:rPr>
            </w:pPr>
            <w:r w:rsidRPr="009C67B0">
              <w:rPr>
                <w:rFonts w:asciiTheme="majorHAnsi" w:hAnsiTheme="majorHAnsi"/>
                <w:sz w:val="18"/>
                <w:szCs w:val="18"/>
              </w:rPr>
              <w:t>32,562</w:t>
            </w:r>
          </w:p>
        </w:tc>
        <w:tc>
          <w:tcPr>
            <w:tcW w:w="763" w:type="dxa"/>
            <w:shd w:val="clear" w:color="auto" w:fill="auto"/>
            <w:noWrap/>
            <w:vAlign w:val="center"/>
            <w:hideMark/>
          </w:tcPr>
          <w:p w:rsidR="00B47695" w:rsidRPr="009C67B0" w:rsidRDefault="00B47695" w:rsidP="00B47695">
            <w:pPr>
              <w:keepNext/>
              <w:keepLines/>
              <w:spacing w:after="0" w:line="240" w:lineRule="auto"/>
              <w:jc w:val="right"/>
              <w:rPr>
                <w:rFonts w:asciiTheme="majorHAnsi" w:eastAsia="Times New Roman" w:hAnsiTheme="majorHAnsi"/>
                <w:sz w:val="18"/>
                <w:szCs w:val="18"/>
              </w:rPr>
            </w:pPr>
            <w:r w:rsidRPr="009C67B0">
              <w:rPr>
                <w:rFonts w:asciiTheme="majorHAnsi" w:hAnsiTheme="majorHAnsi"/>
                <w:sz w:val="18"/>
                <w:szCs w:val="18"/>
              </w:rPr>
              <w:t>32,869</w:t>
            </w:r>
          </w:p>
        </w:tc>
        <w:tc>
          <w:tcPr>
            <w:tcW w:w="763" w:type="dxa"/>
            <w:shd w:val="clear" w:color="auto" w:fill="auto"/>
            <w:noWrap/>
            <w:vAlign w:val="center"/>
            <w:hideMark/>
          </w:tcPr>
          <w:p w:rsidR="00B47695" w:rsidRPr="009C67B0" w:rsidRDefault="00B47695" w:rsidP="00B47695">
            <w:pPr>
              <w:keepNext/>
              <w:keepLines/>
              <w:spacing w:after="0" w:line="240" w:lineRule="auto"/>
              <w:jc w:val="right"/>
              <w:rPr>
                <w:rFonts w:asciiTheme="majorHAnsi" w:eastAsia="Times New Roman" w:hAnsiTheme="majorHAnsi"/>
                <w:sz w:val="18"/>
                <w:szCs w:val="18"/>
              </w:rPr>
            </w:pPr>
            <w:r w:rsidRPr="009C67B0">
              <w:rPr>
                <w:rFonts w:asciiTheme="majorHAnsi" w:hAnsiTheme="majorHAnsi"/>
                <w:sz w:val="18"/>
                <w:szCs w:val="18"/>
              </w:rPr>
              <w:t>33,182</w:t>
            </w:r>
          </w:p>
        </w:tc>
        <w:tc>
          <w:tcPr>
            <w:tcW w:w="763" w:type="dxa"/>
            <w:shd w:val="clear" w:color="auto" w:fill="auto"/>
            <w:noWrap/>
            <w:vAlign w:val="center"/>
            <w:hideMark/>
          </w:tcPr>
          <w:p w:rsidR="00B47695" w:rsidRPr="009C67B0" w:rsidRDefault="00B47695" w:rsidP="00B47695">
            <w:pPr>
              <w:keepNext/>
              <w:keepLines/>
              <w:spacing w:after="0" w:line="240" w:lineRule="auto"/>
              <w:jc w:val="right"/>
              <w:rPr>
                <w:rFonts w:asciiTheme="majorHAnsi" w:eastAsia="Times New Roman" w:hAnsiTheme="majorHAnsi"/>
                <w:sz w:val="18"/>
                <w:szCs w:val="18"/>
              </w:rPr>
            </w:pPr>
            <w:r w:rsidRPr="009C67B0">
              <w:rPr>
                <w:rFonts w:asciiTheme="majorHAnsi" w:hAnsiTheme="majorHAnsi"/>
                <w:sz w:val="18"/>
                <w:szCs w:val="18"/>
              </w:rPr>
              <w:t>33,496</w:t>
            </w:r>
          </w:p>
        </w:tc>
      </w:tr>
      <w:tr w:rsidR="00B47695" w:rsidRPr="009C67B0" w:rsidTr="00F53961">
        <w:trPr>
          <w:trHeight w:val="300"/>
        </w:trPr>
        <w:tc>
          <w:tcPr>
            <w:tcW w:w="864" w:type="dxa"/>
            <w:vMerge/>
            <w:shd w:val="clear" w:color="auto" w:fill="CCEAF9" w:themeFill="accent1" w:themeFillTint="33"/>
            <w:noWrap/>
            <w:vAlign w:val="center"/>
            <w:hideMark/>
          </w:tcPr>
          <w:p w:rsidR="00B47695" w:rsidRPr="009C67B0" w:rsidRDefault="00B47695" w:rsidP="00B47695">
            <w:pPr>
              <w:keepNext/>
              <w:keepLines/>
              <w:spacing w:after="0" w:line="240" w:lineRule="auto"/>
              <w:rPr>
                <w:rFonts w:asciiTheme="majorHAnsi" w:eastAsia="Times New Roman" w:hAnsiTheme="majorHAnsi"/>
                <w:color w:val="000000"/>
                <w:sz w:val="18"/>
                <w:szCs w:val="18"/>
              </w:rPr>
            </w:pPr>
          </w:p>
        </w:tc>
        <w:tc>
          <w:tcPr>
            <w:tcW w:w="1872" w:type="dxa"/>
            <w:shd w:val="clear" w:color="auto" w:fill="auto"/>
            <w:vAlign w:val="center"/>
            <w:hideMark/>
          </w:tcPr>
          <w:p w:rsidR="00B47695" w:rsidRPr="009C67B0" w:rsidRDefault="00B47695" w:rsidP="00B47695">
            <w:pPr>
              <w:keepNext/>
              <w:keepLines/>
              <w:spacing w:after="0" w:line="240" w:lineRule="auto"/>
              <w:rPr>
                <w:rFonts w:asciiTheme="majorHAnsi" w:eastAsia="Times New Roman" w:hAnsiTheme="majorHAnsi"/>
                <w:sz w:val="18"/>
                <w:szCs w:val="18"/>
              </w:rPr>
            </w:pPr>
            <w:r w:rsidRPr="009C67B0">
              <w:rPr>
                <w:rFonts w:asciiTheme="majorHAnsi" w:eastAsia="Times New Roman" w:hAnsiTheme="majorHAnsi"/>
                <w:sz w:val="18"/>
                <w:szCs w:val="18"/>
              </w:rPr>
              <w:t>Operating reserves</w:t>
            </w:r>
            <w:r w:rsidRPr="009C67B0">
              <w:rPr>
                <w:rFonts w:asciiTheme="majorHAnsi" w:eastAsia="Times New Roman" w:hAnsiTheme="majorHAnsi"/>
                <w:sz w:val="18"/>
                <w:szCs w:val="18"/>
                <w:vertAlign w:val="superscript"/>
              </w:rPr>
              <w:t>(b)</w:t>
            </w:r>
          </w:p>
        </w:tc>
        <w:tc>
          <w:tcPr>
            <w:tcW w:w="763" w:type="dxa"/>
            <w:shd w:val="clear" w:color="auto" w:fill="auto"/>
            <w:noWrap/>
            <w:vAlign w:val="center"/>
            <w:hideMark/>
          </w:tcPr>
          <w:p w:rsidR="00B47695" w:rsidRPr="009C67B0" w:rsidRDefault="00B47695" w:rsidP="00B47695">
            <w:pPr>
              <w:keepNext/>
              <w:keepLines/>
              <w:spacing w:after="0" w:line="240" w:lineRule="auto"/>
              <w:jc w:val="right"/>
              <w:rPr>
                <w:rFonts w:asciiTheme="majorHAnsi" w:eastAsia="Times New Roman" w:hAnsiTheme="majorHAnsi"/>
                <w:sz w:val="18"/>
                <w:szCs w:val="18"/>
              </w:rPr>
            </w:pPr>
            <w:r w:rsidRPr="009C67B0">
              <w:rPr>
                <w:rFonts w:asciiTheme="majorHAnsi" w:hAnsiTheme="majorHAnsi"/>
                <w:sz w:val="18"/>
                <w:szCs w:val="18"/>
              </w:rPr>
              <w:t>2,305</w:t>
            </w:r>
          </w:p>
        </w:tc>
        <w:tc>
          <w:tcPr>
            <w:tcW w:w="763" w:type="dxa"/>
            <w:shd w:val="clear" w:color="auto" w:fill="auto"/>
            <w:noWrap/>
            <w:vAlign w:val="center"/>
            <w:hideMark/>
          </w:tcPr>
          <w:p w:rsidR="00B47695" w:rsidRPr="009C67B0" w:rsidRDefault="00B47695" w:rsidP="00B47695">
            <w:pPr>
              <w:keepNext/>
              <w:keepLines/>
              <w:spacing w:after="0" w:line="240" w:lineRule="auto"/>
              <w:jc w:val="right"/>
              <w:rPr>
                <w:rFonts w:asciiTheme="majorHAnsi" w:eastAsia="Times New Roman" w:hAnsiTheme="majorHAnsi"/>
                <w:sz w:val="18"/>
                <w:szCs w:val="18"/>
              </w:rPr>
            </w:pPr>
            <w:r w:rsidRPr="009C67B0">
              <w:rPr>
                <w:rFonts w:asciiTheme="majorHAnsi" w:hAnsiTheme="majorHAnsi"/>
                <w:sz w:val="18"/>
                <w:szCs w:val="18"/>
              </w:rPr>
              <w:t>2,305</w:t>
            </w:r>
          </w:p>
        </w:tc>
        <w:tc>
          <w:tcPr>
            <w:tcW w:w="763" w:type="dxa"/>
            <w:shd w:val="clear" w:color="auto" w:fill="auto"/>
            <w:noWrap/>
            <w:vAlign w:val="center"/>
            <w:hideMark/>
          </w:tcPr>
          <w:p w:rsidR="00B47695" w:rsidRPr="009C67B0" w:rsidRDefault="00B47695" w:rsidP="00B47695">
            <w:pPr>
              <w:keepNext/>
              <w:keepLines/>
              <w:spacing w:after="0" w:line="240" w:lineRule="auto"/>
              <w:jc w:val="right"/>
              <w:rPr>
                <w:rFonts w:asciiTheme="majorHAnsi" w:eastAsia="Times New Roman" w:hAnsiTheme="majorHAnsi"/>
                <w:sz w:val="18"/>
                <w:szCs w:val="18"/>
              </w:rPr>
            </w:pPr>
            <w:r w:rsidRPr="009C67B0">
              <w:rPr>
                <w:rFonts w:asciiTheme="majorHAnsi" w:hAnsiTheme="majorHAnsi"/>
                <w:sz w:val="18"/>
                <w:szCs w:val="18"/>
              </w:rPr>
              <w:t>2,305</w:t>
            </w:r>
          </w:p>
        </w:tc>
        <w:tc>
          <w:tcPr>
            <w:tcW w:w="763" w:type="dxa"/>
            <w:shd w:val="clear" w:color="auto" w:fill="auto"/>
            <w:noWrap/>
            <w:vAlign w:val="center"/>
            <w:hideMark/>
          </w:tcPr>
          <w:p w:rsidR="00B47695" w:rsidRPr="009C67B0" w:rsidRDefault="00B47695" w:rsidP="00B47695">
            <w:pPr>
              <w:keepNext/>
              <w:keepLines/>
              <w:spacing w:after="0" w:line="240" w:lineRule="auto"/>
              <w:jc w:val="right"/>
              <w:rPr>
                <w:rFonts w:asciiTheme="majorHAnsi" w:eastAsia="Times New Roman" w:hAnsiTheme="majorHAnsi"/>
                <w:sz w:val="18"/>
                <w:szCs w:val="18"/>
              </w:rPr>
            </w:pPr>
            <w:r w:rsidRPr="009C67B0">
              <w:rPr>
                <w:rFonts w:asciiTheme="majorHAnsi" w:hAnsiTheme="majorHAnsi"/>
                <w:sz w:val="18"/>
                <w:szCs w:val="18"/>
              </w:rPr>
              <w:t>2,305</w:t>
            </w:r>
          </w:p>
        </w:tc>
        <w:tc>
          <w:tcPr>
            <w:tcW w:w="763" w:type="dxa"/>
            <w:shd w:val="clear" w:color="auto" w:fill="auto"/>
            <w:noWrap/>
            <w:vAlign w:val="center"/>
            <w:hideMark/>
          </w:tcPr>
          <w:p w:rsidR="00B47695" w:rsidRPr="009C67B0" w:rsidRDefault="00B47695" w:rsidP="00B47695">
            <w:pPr>
              <w:keepNext/>
              <w:keepLines/>
              <w:spacing w:after="0" w:line="240" w:lineRule="auto"/>
              <w:jc w:val="right"/>
              <w:rPr>
                <w:rFonts w:asciiTheme="majorHAnsi" w:eastAsia="Times New Roman" w:hAnsiTheme="majorHAnsi"/>
                <w:sz w:val="18"/>
                <w:szCs w:val="18"/>
              </w:rPr>
            </w:pPr>
            <w:r w:rsidRPr="009C67B0">
              <w:rPr>
                <w:rFonts w:asciiTheme="majorHAnsi" w:hAnsiTheme="majorHAnsi"/>
                <w:sz w:val="18"/>
                <w:szCs w:val="18"/>
              </w:rPr>
              <w:t>2,305</w:t>
            </w:r>
          </w:p>
        </w:tc>
        <w:tc>
          <w:tcPr>
            <w:tcW w:w="763" w:type="dxa"/>
            <w:shd w:val="clear" w:color="auto" w:fill="auto"/>
            <w:noWrap/>
            <w:vAlign w:val="center"/>
            <w:hideMark/>
          </w:tcPr>
          <w:p w:rsidR="00B47695" w:rsidRPr="009C67B0" w:rsidRDefault="00B47695" w:rsidP="00B47695">
            <w:pPr>
              <w:keepNext/>
              <w:keepLines/>
              <w:spacing w:after="0" w:line="240" w:lineRule="auto"/>
              <w:jc w:val="right"/>
              <w:rPr>
                <w:rFonts w:asciiTheme="majorHAnsi" w:eastAsia="Times New Roman" w:hAnsiTheme="majorHAnsi"/>
                <w:sz w:val="18"/>
                <w:szCs w:val="18"/>
              </w:rPr>
            </w:pPr>
            <w:r w:rsidRPr="009C67B0">
              <w:rPr>
                <w:rFonts w:asciiTheme="majorHAnsi" w:hAnsiTheme="majorHAnsi"/>
                <w:sz w:val="18"/>
                <w:szCs w:val="18"/>
              </w:rPr>
              <w:t>2,305</w:t>
            </w:r>
          </w:p>
        </w:tc>
        <w:tc>
          <w:tcPr>
            <w:tcW w:w="763" w:type="dxa"/>
            <w:shd w:val="clear" w:color="auto" w:fill="auto"/>
            <w:noWrap/>
            <w:vAlign w:val="center"/>
            <w:hideMark/>
          </w:tcPr>
          <w:p w:rsidR="00B47695" w:rsidRPr="009C67B0" w:rsidRDefault="00B47695" w:rsidP="00B47695">
            <w:pPr>
              <w:keepNext/>
              <w:keepLines/>
              <w:spacing w:after="0" w:line="240" w:lineRule="auto"/>
              <w:jc w:val="right"/>
              <w:rPr>
                <w:rFonts w:asciiTheme="majorHAnsi" w:eastAsia="Times New Roman" w:hAnsiTheme="majorHAnsi"/>
                <w:sz w:val="18"/>
                <w:szCs w:val="18"/>
              </w:rPr>
            </w:pPr>
            <w:r w:rsidRPr="009C67B0">
              <w:rPr>
                <w:rFonts w:asciiTheme="majorHAnsi" w:hAnsiTheme="majorHAnsi"/>
                <w:sz w:val="18"/>
                <w:szCs w:val="18"/>
              </w:rPr>
              <w:t>2,305</w:t>
            </w:r>
          </w:p>
        </w:tc>
        <w:tc>
          <w:tcPr>
            <w:tcW w:w="763" w:type="dxa"/>
            <w:shd w:val="clear" w:color="auto" w:fill="auto"/>
            <w:noWrap/>
            <w:vAlign w:val="center"/>
            <w:hideMark/>
          </w:tcPr>
          <w:p w:rsidR="00B47695" w:rsidRPr="009C67B0" w:rsidRDefault="00B47695" w:rsidP="00B47695">
            <w:pPr>
              <w:keepNext/>
              <w:keepLines/>
              <w:spacing w:after="0" w:line="240" w:lineRule="auto"/>
              <w:jc w:val="right"/>
              <w:rPr>
                <w:rFonts w:asciiTheme="majorHAnsi" w:eastAsia="Times New Roman" w:hAnsiTheme="majorHAnsi"/>
                <w:sz w:val="18"/>
                <w:szCs w:val="18"/>
              </w:rPr>
            </w:pPr>
            <w:r w:rsidRPr="009C67B0">
              <w:rPr>
                <w:rFonts w:asciiTheme="majorHAnsi" w:hAnsiTheme="majorHAnsi"/>
                <w:sz w:val="18"/>
                <w:szCs w:val="18"/>
              </w:rPr>
              <w:t>2,305</w:t>
            </w:r>
          </w:p>
        </w:tc>
        <w:tc>
          <w:tcPr>
            <w:tcW w:w="763" w:type="dxa"/>
            <w:shd w:val="clear" w:color="auto" w:fill="auto"/>
            <w:noWrap/>
            <w:vAlign w:val="center"/>
            <w:hideMark/>
          </w:tcPr>
          <w:p w:rsidR="00B47695" w:rsidRPr="009C67B0" w:rsidRDefault="00B47695" w:rsidP="00B47695">
            <w:pPr>
              <w:keepNext/>
              <w:keepLines/>
              <w:spacing w:after="0" w:line="240" w:lineRule="auto"/>
              <w:jc w:val="right"/>
              <w:rPr>
                <w:rFonts w:asciiTheme="majorHAnsi" w:eastAsia="Times New Roman" w:hAnsiTheme="majorHAnsi"/>
                <w:sz w:val="18"/>
                <w:szCs w:val="18"/>
              </w:rPr>
            </w:pPr>
            <w:r w:rsidRPr="009C67B0">
              <w:rPr>
                <w:rFonts w:asciiTheme="majorHAnsi" w:hAnsiTheme="majorHAnsi"/>
                <w:sz w:val="18"/>
                <w:szCs w:val="18"/>
              </w:rPr>
              <w:t>2,305</w:t>
            </w:r>
          </w:p>
        </w:tc>
      </w:tr>
      <w:tr w:rsidR="00B47695" w:rsidRPr="009C67B0" w:rsidTr="00F53961">
        <w:trPr>
          <w:trHeight w:val="300"/>
        </w:trPr>
        <w:tc>
          <w:tcPr>
            <w:tcW w:w="864" w:type="dxa"/>
            <w:vMerge/>
            <w:shd w:val="clear" w:color="auto" w:fill="CCEAF9" w:themeFill="accent1" w:themeFillTint="33"/>
            <w:noWrap/>
            <w:vAlign w:val="center"/>
            <w:hideMark/>
          </w:tcPr>
          <w:p w:rsidR="00B47695" w:rsidRPr="009C67B0" w:rsidRDefault="00B47695" w:rsidP="00B47695">
            <w:pPr>
              <w:keepNext/>
              <w:keepLines/>
              <w:spacing w:after="0" w:line="240" w:lineRule="auto"/>
              <w:rPr>
                <w:rFonts w:asciiTheme="majorHAnsi" w:eastAsia="Times New Roman" w:hAnsiTheme="majorHAnsi"/>
                <w:color w:val="000000"/>
                <w:sz w:val="18"/>
                <w:szCs w:val="18"/>
              </w:rPr>
            </w:pPr>
          </w:p>
        </w:tc>
        <w:tc>
          <w:tcPr>
            <w:tcW w:w="1872" w:type="dxa"/>
            <w:shd w:val="clear" w:color="auto" w:fill="auto"/>
            <w:vAlign w:val="center"/>
            <w:hideMark/>
          </w:tcPr>
          <w:p w:rsidR="00B47695" w:rsidRPr="009C67B0" w:rsidRDefault="00B47695" w:rsidP="00B47695">
            <w:pPr>
              <w:keepNext/>
              <w:keepLines/>
              <w:spacing w:after="0" w:line="240" w:lineRule="auto"/>
              <w:rPr>
                <w:rFonts w:asciiTheme="majorHAnsi" w:eastAsia="Times New Roman" w:hAnsiTheme="majorHAnsi"/>
                <w:b/>
                <w:bCs/>
                <w:sz w:val="18"/>
                <w:szCs w:val="18"/>
              </w:rPr>
            </w:pPr>
            <w:r w:rsidRPr="009C67B0">
              <w:rPr>
                <w:rFonts w:asciiTheme="majorHAnsi" w:eastAsia="Times New Roman" w:hAnsiTheme="majorHAnsi"/>
                <w:b/>
                <w:bCs/>
                <w:sz w:val="18"/>
                <w:szCs w:val="18"/>
              </w:rPr>
              <w:t>Total requirement</w:t>
            </w:r>
          </w:p>
        </w:tc>
        <w:tc>
          <w:tcPr>
            <w:tcW w:w="763" w:type="dxa"/>
            <w:shd w:val="clear" w:color="auto" w:fill="auto"/>
            <w:noWrap/>
            <w:vAlign w:val="center"/>
            <w:hideMark/>
          </w:tcPr>
          <w:p w:rsidR="00B47695" w:rsidRPr="009C67B0" w:rsidRDefault="00B47695" w:rsidP="00B47695">
            <w:pPr>
              <w:keepNext/>
              <w:keepLines/>
              <w:spacing w:after="0" w:line="240" w:lineRule="auto"/>
              <w:jc w:val="right"/>
              <w:rPr>
                <w:rFonts w:asciiTheme="majorHAnsi" w:eastAsia="Times New Roman" w:hAnsiTheme="majorHAnsi"/>
                <w:b/>
                <w:bCs/>
                <w:sz w:val="18"/>
                <w:szCs w:val="18"/>
              </w:rPr>
            </w:pPr>
            <w:r w:rsidRPr="009C67B0">
              <w:rPr>
                <w:rFonts w:asciiTheme="majorHAnsi" w:hAnsiTheme="majorHAnsi"/>
                <w:b/>
                <w:bCs/>
                <w:sz w:val="18"/>
                <w:szCs w:val="18"/>
              </w:rPr>
              <w:t>33,488</w:t>
            </w:r>
          </w:p>
        </w:tc>
        <w:tc>
          <w:tcPr>
            <w:tcW w:w="763" w:type="dxa"/>
            <w:shd w:val="clear" w:color="auto" w:fill="auto"/>
            <w:noWrap/>
            <w:vAlign w:val="center"/>
            <w:hideMark/>
          </w:tcPr>
          <w:p w:rsidR="00B47695" w:rsidRPr="009C67B0" w:rsidRDefault="00B47695" w:rsidP="00B47695">
            <w:pPr>
              <w:keepNext/>
              <w:keepLines/>
              <w:spacing w:after="0" w:line="240" w:lineRule="auto"/>
              <w:jc w:val="right"/>
              <w:rPr>
                <w:rFonts w:asciiTheme="majorHAnsi" w:eastAsia="Times New Roman" w:hAnsiTheme="majorHAnsi"/>
                <w:b/>
                <w:bCs/>
                <w:sz w:val="18"/>
                <w:szCs w:val="18"/>
              </w:rPr>
            </w:pPr>
            <w:r w:rsidRPr="009C67B0">
              <w:rPr>
                <w:rFonts w:asciiTheme="majorHAnsi" w:hAnsiTheme="majorHAnsi"/>
                <w:b/>
                <w:bCs/>
                <w:sz w:val="18"/>
                <w:szCs w:val="18"/>
              </w:rPr>
              <w:t>33,731</w:t>
            </w:r>
          </w:p>
        </w:tc>
        <w:tc>
          <w:tcPr>
            <w:tcW w:w="763" w:type="dxa"/>
            <w:shd w:val="clear" w:color="auto" w:fill="auto"/>
            <w:noWrap/>
            <w:vAlign w:val="center"/>
            <w:hideMark/>
          </w:tcPr>
          <w:p w:rsidR="00B47695" w:rsidRPr="009C67B0" w:rsidRDefault="00B47695" w:rsidP="00B47695">
            <w:pPr>
              <w:keepNext/>
              <w:keepLines/>
              <w:spacing w:after="0" w:line="240" w:lineRule="auto"/>
              <w:jc w:val="right"/>
              <w:rPr>
                <w:rFonts w:asciiTheme="majorHAnsi" w:eastAsia="Times New Roman" w:hAnsiTheme="majorHAnsi"/>
                <w:b/>
                <w:bCs/>
                <w:sz w:val="18"/>
                <w:szCs w:val="18"/>
              </w:rPr>
            </w:pPr>
            <w:r w:rsidRPr="009C67B0">
              <w:rPr>
                <w:rFonts w:asciiTheme="majorHAnsi" w:hAnsiTheme="majorHAnsi"/>
                <w:b/>
                <w:bCs/>
                <w:sz w:val="18"/>
                <w:szCs w:val="18"/>
              </w:rPr>
              <w:t>33,988</w:t>
            </w:r>
          </w:p>
        </w:tc>
        <w:tc>
          <w:tcPr>
            <w:tcW w:w="763" w:type="dxa"/>
            <w:shd w:val="clear" w:color="auto" w:fill="auto"/>
            <w:noWrap/>
            <w:vAlign w:val="center"/>
            <w:hideMark/>
          </w:tcPr>
          <w:p w:rsidR="00B47695" w:rsidRPr="009C67B0" w:rsidRDefault="00B47695" w:rsidP="00B47695">
            <w:pPr>
              <w:keepNext/>
              <w:keepLines/>
              <w:spacing w:after="0" w:line="240" w:lineRule="auto"/>
              <w:jc w:val="right"/>
              <w:rPr>
                <w:rFonts w:asciiTheme="majorHAnsi" w:eastAsia="Times New Roman" w:hAnsiTheme="majorHAnsi"/>
                <w:b/>
                <w:bCs/>
                <w:sz w:val="18"/>
                <w:szCs w:val="18"/>
              </w:rPr>
            </w:pPr>
            <w:r w:rsidRPr="009C67B0">
              <w:rPr>
                <w:rFonts w:asciiTheme="majorHAnsi" w:hAnsiTheme="majorHAnsi"/>
                <w:b/>
                <w:bCs/>
                <w:sz w:val="18"/>
                <w:szCs w:val="18"/>
              </w:rPr>
              <w:t>34,269</w:t>
            </w:r>
          </w:p>
        </w:tc>
        <w:tc>
          <w:tcPr>
            <w:tcW w:w="763" w:type="dxa"/>
            <w:shd w:val="clear" w:color="auto" w:fill="auto"/>
            <w:noWrap/>
            <w:vAlign w:val="center"/>
            <w:hideMark/>
          </w:tcPr>
          <w:p w:rsidR="00B47695" w:rsidRPr="009C67B0" w:rsidRDefault="00B47695" w:rsidP="00B47695">
            <w:pPr>
              <w:keepNext/>
              <w:keepLines/>
              <w:spacing w:after="0" w:line="240" w:lineRule="auto"/>
              <w:jc w:val="right"/>
              <w:rPr>
                <w:rFonts w:asciiTheme="majorHAnsi" w:eastAsia="Times New Roman" w:hAnsiTheme="majorHAnsi"/>
                <w:b/>
                <w:bCs/>
                <w:sz w:val="18"/>
                <w:szCs w:val="18"/>
              </w:rPr>
            </w:pPr>
            <w:r w:rsidRPr="009C67B0">
              <w:rPr>
                <w:rFonts w:asciiTheme="majorHAnsi" w:hAnsiTheme="majorHAnsi"/>
                <w:b/>
                <w:bCs/>
                <w:sz w:val="18"/>
                <w:szCs w:val="18"/>
              </w:rPr>
              <w:t>34,564</w:t>
            </w:r>
          </w:p>
        </w:tc>
        <w:tc>
          <w:tcPr>
            <w:tcW w:w="763" w:type="dxa"/>
            <w:shd w:val="clear" w:color="auto" w:fill="auto"/>
            <w:noWrap/>
            <w:vAlign w:val="center"/>
            <w:hideMark/>
          </w:tcPr>
          <w:p w:rsidR="00B47695" w:rsidRPr="009C67B0" w:rsidRDefault="00B47695" w:rsidP="00B47695">
            <w:pPr>
              <w:keepNext/>
              <w:keepLines/>
              <w:spacing w:after="0" w:line="240" w:lineRule="auto"/>
              <w:jc w:val="right"/>
              <w:rPr>
                <w:rFonts w:asciiTheme="majorHAnsi" w:eastAsia="Times New Roman" w:hAnsiTheme="majorHAnsi"/>
                <w:b/>
                <w:bCs/>
                <w:sz w:val="18"/>
                <w:szCs w:val="18"/>
              </w:rPr>
            </w:pPr>
            <w:r w:rsidRPr="009C67B0">
              <w:rPr>
                <w:rFonts w:asciiTheme="majorHAnsi" w:hAnsiTheme="majorHAnsi"/>
                <w:b/>
                <w:bCs/>
                <w:sz w:val="18"/>
                <w:szCs w:val="18"/>
              </w:rPr>
              <w:t>34,867</w:t>
            </w:r>
          </w:p>
        </w:tc>
        <w:tc>
          <w:tcPr>
            <w:tcW w:w="763" w:type="dxa"/>
            <w:shd w:val="clear" w:color="auto" w:fill="auto"/>
            <w:noWrap/>
            <w:vAlign w:val="center"/>
            <w:hideMark/>
          </w:tcPr>
          <w:p w:rsidR="00B47695" w:rsidRPr="009C67B0" w:rsidRDefault="00B47695" w:rsidP="00B47695">
            <w:pPr>
              <w:keepNext/>
              <w:keepLines/>
              <w:spacing w:after="0" w:line="240" w:lineRule="auto"/>
              <w:jc w:val="right"/>
              <w:rPr>
                <w:rFonts w:asciiTheme="majorHAnsi" w:eastAsia="Times New Roman" w:hAnsiTheme="majorHAnsi"/>
                <w:b/>
                <w:bCs/>
                <w:sz w:val="18"/>
                <w:szCs w:val="18"/>
              </w:rPr>
            </w:pPr>
            <w:r w:rsidRPr="009C67B0">
              <w:rPr>
                <w:rFonts w:asciiTheme="majorHAnsi" w:hAnsiTheme="majorHAnsi"/>
                <w:b/>
                <w:bCs/>
                <w:sz w:val="18"/>
                <w:szCs w:val="18"/>
              </w:rPr>
              <w:t>35,174</w:t>
            </w:r>
          </w:p>
        </w:tc>
        <w:tc>
          <w:tcPr>
            <w:tcW w:w="763" w:type="dxa"/>
            <w:shd w:val="clear" w:color="auto" w:fill="auto"/>
            <w:noWrap/>
            <w:vAlign w:val="center"/>
            <w:hideMark/>
          </w:tcPr>
          <w:p w:rsidR="00B47695" w:rsidRPr="009C67B0" w:rsidRDefault="00B47695" w:rsidP="00B47695">
            <w:pPr>
              <w:keepNext/>
              <w:keepLines/>
              <w:spacing w:after="0" w:line="240" w:lineRule="auto"/>
              <w:jc w:val="right"/>
              <w:rPr>
                <w:rFonts w:asciiTheme="majorHAnsi" w:eastAsia="Times New Roman" w:hAnsiTheme="majorHAnsi"/>
                <w:b/>
                <w:bCs/>
                <w:sz w:val="18"/>
                <w:szCs w:val="18"/>
              </w:rPr>
            </w:pPr>
            <w:r w:rsidRPr="009C67B0">
              <w:rPr>
                <w:rFonts w:asciiTheme="majorHAnsi" w:hAnsiTheme="majorHAnsi"/>
                <w:b/>
                <w:bCs/>
                <w:sz w:val="18"/>
                <w:szCs w:val="18"/>
              </w:rPr>
              <w:t>35,487</w:t>
            </w:r>
          </w:p>
        </w:tc>
        <w:tc>
          <w:tcPr>
            <w:tcW w:w="763" w:type="dxa"/>
            <w:shd w:val="clear" w:color="auto" w:fill="auto"/>
            <w:noWrap/>
            <w:vAlign w:val="center"/>
            <w:hideMark/>
          </w:tcPr>
          <w:p w:rsidR="00B47695" w:rsidRPr="009C67B0" w:rsidRDefault="00B47695" w:rsidP="00B47695">
            <w:pPr>
              <w:keepNext/>
              <w:keepLines/>
              <w:spacing w:after="0" w:line="240" w:lineRule="auto"/>
              <w:jc w:val="right"/>
              <w:rPr>
                <w:rFonts w:asciiTheme="majorHAnsi" w:eastAsia="Times New Roman" w:hAnsiTheme="majorHAnsi"/>
                <w:b/>
                <w:bCs/>
                <w:sz w:val="18"/>
                <w:szCs w:val="18"/>
              </w:rPr>
            </w:pPr>
            <w:r w:rsidRPr="009C67B0">
              <w:rPr>
                <w:rFonts w:asciiTheme="majorHAnsi" w:hAnsiTheme="majorHAnsi"/>
                <w:b/>
                <w:bCs/>
                <w:sz w:val="18"/>
                <w:szCs w:val="18"/>
              </w:rPr>
              <w:t>35,801</w:t>
            </w:r>
          </w:p>
        </w:tc>
      </w:tr>
      <w:tr w:rsidR="00B47695" w:rsidRPr="009C67B0" w:rsidTr="00F53961">
        <w:trPr>
          <w:trHeight w:val="525"/>
        </w:trPr>
        <w:tc>
          <w:tcPr>
            <w:tcW w:w="864" w:type="dxa"/>
            <w:vMerge/>
            <w:shd w:val="clear" w:color="auto" w:fill="CCEAF9" w:themeFill="accent1" w:themeFillTint="33"/>
            <w:noWrap/>
            <w:vAlign w:val="center"/>
            <w:hideMark/>
          </w:tcPr>
          <w:p w:rsidR="00B47695" w:rsidRPr="009C67B0" w:rsidRDefault="00B47695" w:rsidP="00B47695">
            <w:pPr>
              <w:keepNext/>
              <w:keepLines/>
              <w:spacing w:after="0" w:line="240" w:lineRule="auto"/>
              <w:rPr>
                <w:rFonts w:asciiTheme="majorHAnsi" w:eastAsia="Times New Roman" w:hAnsiTheme="majorHAnsi"/>
                <w:color w:val="000000"/>
                <w:sz w:val="18"/>
                <w:szCs w:val="18"/>
              </w:rPr>
            </w:pPr>
          </w:p>
        </w:tc>
        <w:tc>
          <w:tcPr>
            <w:tcW w:w="1872" w:type="dxa"/>
            <w:shd w:val="clear" w:color="auto" w:fill="CCEAF9" w:themeFill="accent1" w:themeFillTint="33"/>
            <w:vAlign w:val="center"/>
            <w:hideMark/>
          </w:tcPr>
          <w:p w:rsidR="00B47695" w:rsidRPr="009C67B0" w:rsidRDefault="00B47695" w:rsidP="00B47695">
            <w:pPr>
              <w:keepNext/>
              <w:keepLines/>
              <w:spacing w:after="0" w:line="240" w:lineRule="auto"/>
              <w:rPr>
                <w:rFonts w:asciiTheme="majorHAnsi" w:eastAsia="Times New Roman" w:hAnsiTheme="majorHAnsi"/>
                <w:sz w:val="18"/>
                <w:szCs w:val="18"/>
              </w:rPr>
            </w:pPr>
            <w:r w:rsidRPr="009C67B0">
              <w:rPr>
                <w:rFonts w:asciiTheme="majorHAnsi" w:eastAsia="Times New Roman" w:hAnsiTheme="majorHAnsi"/>
                <w:sz w:val="18"/>
                <w:szCs w:val="18"/>
              </w:rPr>
              <w:t>Installed capacity</w:t>
            </w:r>
            <w:r w:rsidRPr="009C67B0">
              <w:rPr>
                <w:rFonts w:asciiTheme="majorHAnsi" w:eastAsia="Times New Roman" w:hAnsiTheme="majorHAnsi"/>
                <w:sz w:val="18"/>
                <w:szCs w:val="18"/>
              </w:rPr>
              <w:br/>
              <w:t>(net ICR)</w:t>
            </w:r>
            <w:r w:rsidRPr="009C67B0">
              <w:rPr>
                <w:rFonts w:asciiTheme="majorHAnsi" w:eastAsia="Times New Roman" w:hAnsiTheme="majorHAnsi"/>
                <w:sz w:val="18"/>
                <w:szCs w:val="18"/>
                <w:vertAlign w:val="superscript"/>
              </w:rPr>
              <w:t>(c)</w:t>
            </w:r>
          </w:p>
        </w:tc>
        <w:tc>
          <w:tcPr>
            <w:tcW w:w="763" w:type="dxa"/>
            <w:shd w:val="clear" w:color="auto" w:fill="CCEAF9" w:themeFill="accent1" w:themeFillTint="33"/>
            <w:noWrap/>
            <w:vAlign w:val="center"/>
            <w:hideMark/>
          </w:tcPr>
          <w:p w:rsidR="00B47695" w:rsidRPr="009C67B0" w:rsidRDefault="00B47695" w:rsidP="00B47695">
            <w:pPr>
              <w:keepNext/>
              <w:keepLines/>
              <w:spacing w:after="0" w:line="240" w:lineRule="auto"/>
              <w:jc w:val="right"/>
              <w:rPr>
                <w:rFonts w:asciiTheme="majorHAnsi" w:eastAsia="Times New Roman" w:hAnsiTheme="majorHAnsi"/>
                <w:sz w:val="18"/>
                <w:szCs w:val="18"/>
              </w:rPr>
            </w:pPr>
            <w:r w:rsidRPr="009C67B0">
              <w:rPr>
                <w:rFonts w:asciiTheme="majorHAnsi" w:hAnsiTheme="majorHAnsi"/>
                <w:sz w:val="18"/>
                <w:szCs w:val="18"/>
              </w:rPr>
              <w:t>33,421</w:t>
            </w:r>
          </w:p>
        </w:tc>
        <w:tc>
          <w:tcPr>
            <w:tcW w:w="763" w:type="dxa"/>
            <w:shd w:val="clear" w:color="auto" w:fill="CCEAF9" w:themeFill="accent1" w:themeFillTint="33"/>
            <w:noWrap/>
            <w:vAlign w:val="center"/>
            <w:hideMark/>
          </w:tcPr>
          <w:p w:rsidR="00B47695" w:rsidRPr="009C67B0" w:rsidRDefault="00B47695" w:rsidP="00B47695">
            <w:pPr>
              <w:keepNext/>
              <w:keepLines/>
              <w:spacing w:after="0" w:line="240" w:lineRule="auto"/>
              <w:jc w:val="right"/>
              <w:rPr>
                <w:rFonts w:asciiTheme="majorHAnsi" w:eastAsia="Times New Roman" w:hAnsiTheme="majorHAnsi"/>
                <w:sz w:val="18"/>
                <w:szCs w:val="18"/>
              </w:rPr>
            </w:pPr>
            <w:r w:rsidRPr="009C67B0">
              <w:rPr>
                <w:rFonts w:asciiTheme="majorHAnsi" w:hAnsiTheme="majorHAnsi"/>
                <w:sz w:val="18"/>
                <w:szCs w:val="18"/>
              </w:rPr>
              <w:t>33,755</w:t>
            </w:r>
          </w:p>
        </w:tc>
        <w:tc>
          <w:tcPr>
            <w:tcW w:w="763" w:type="dxa"/>
            <w:shd w:val="clear" w:color="auto" w:fill="CCEAF9" w:themeFill="accent1" w:themeFillTint="33"/>
            <w:noWrap/>
            <w:vAlign w:val="center"/>
            <w:hideMark/>
          </w:tcPr>
          <w:p w:rsidR="00B47695" w:rsidRPr="009C67B0" w:rsidRDefault="00B47695" w:rsidP="00B47695">
            <w:pPr>
              <w:keepNext/>
              <w:keepLines/>
              <w:spacing w:after="0" w:line="240" w:lineRule="auto"/>
              <w:jc w:val="right"/>
              <w:rPr>
                <w:rFonts w:asciiTheme="majorHAnsi" w:eastAsia="Times New Roman" w:hAnsiTheme="majorHAnsi"/>
                <w:sz w:val="18"/>
                <w:szCs w:val="18"/>
              </w:rPr>
            </w:pPr>
            <w:r w:rsidRPr="009C67B0">
              <w:rPr>
                <w:rFonts w:asciiTheme="majorHAnsi" w:hAnsiTheme="majorHAnsi"/>
                <w:sz w:val="18"/>
                <w:szCs w:val="18"/>
              </w:rPr>
              <w:t>34,075</w:t>
            </w:r>
          </w:p>
        </w:tc>
        <w:tc>
          <w:tcPr>
            <w:tcW w:w="763" w:type="dxa"/>
            <w:shd w:val="clear" w:color="auto" w:fill="CCEAF9" w:themeFill="accent1" w:themeFillTint="33"/>
            <w:noWrap/>
            <w:vAlign w:val="center"/>
            <w:hideMark/>
          </w:tcPr>
          <w:p w:rsidR="00B47695" w:rsidRPr="009C67B0" w:rsidRDefault="00B47695" w:rsidP="00B47695">
            <w:pPr>
              <w:keepNext/>
              <w:keepLines/>
              <w:spacing w:after="0" w:line="240" w:lineRule="auto"/>
              <w:jc w:val="right"/>
              <w:rPr>
                <w:rFonts w:asciiTheme="majorHAnsi" w:eastAsia="Times New Roman" w:hAnsiTheme="majorHAnsi"/>
                <w:sz w:val="18"/>
                <w:szCs w:val="18"/>
              </w:rPr>
            </w:pPr>
            <w:r w:rsidRPr="009C67B0">
              <w:rPr>
                <w:rFonts w:asciiTheme="majorHAnsi" w:hAnsiTheme="majorHAnsi"/>
                <w:sz w:val="18"/>
                <w:szCs w:val="18"/>
              </w:rPr>
              <w:t>N/A</w:t>
            </w:r>
          </w:p>
        </w:tc>
        <w:tc>
          <w:tcPr>
            <w:tcW w:w="763" w:type="dxa"/>
            <w:shd w:val="clear" w:color="auto" w:fill="CCEAF9" w:themeFill="accent1" w:themeFillTint="33"/>
            <w:noWrap/>
            <w:vAlign w:val="center"/>
          </w:tcPr>
          <w:p w:rsidR="00B47695" w:rsidRPr="009C67B0" w:rsidRDefault="00B47695" w:rsidP="00B47695">
            <w:pPr>
              <w:keepNext/>
              <w:keepLines/>
              <w:spacing w:after="0" w:line="240" w:lineRule="auto"/>
              <w:jc w:val="right"/>
              <w:rPr>
                <w:rFonts w:asciiTheme="majorHAnsi" w:hAnsiTheme="majorHAnsi"/>
                <w:sz w:val="18"/>
                <w:szCs w:val="18"/>
              </w:rPr>
            </w:pPr>
            <w:r w:rsidRPr="009C67B0">
              <w:rPr>
                <w:rFonts w:asciiTheme="majorHAnsi" w:hAnsiTheme="majorHAnsi"/>
                <w:sz w:val="18"/>
                <w:szCs w:val="18"/>
              </w:rPr>
              <w:t>34,300</w:t>
            </w:r>
          </w:p>
        </w:tc>
        <w:tc>
          <w:tcPr>
            <w:tcW w:w="763" w:type="dxa"/>
            <w:shd w:val="clear" w:color="auto" w:fill="CCEAF9" w:themeFill="accent1" w:themeFillTint="33"/>
            <w:noWrap/>
            <w:vAlign w:val="center"/>
          </w:tcPr>
          <w:p w:rsidR="00B47695" w:rsidRPr="009C67B0" w:rsidRDefault="00B47695" w:rsidP="00B47695">
            <w:pPr>
              <w:keepNext/>
              <w:keepLines/>
              <w:spacing w:after="0" w:line="240" w:lineRule="auto"/>
              <w:jc w:val="right"/>
              <w:rPr>
                <w:rFonts w:asciiTheme="majorHAnsi" w:hAnsiTheme="majorHAnsi"/>
                <w:sz w:val="18"/>
                <w:szCs w:val="18"/>
              </w:rPr>
            </w:pPr>
            <w:r w:rsidRPr="009C67B0">
              <w:rPr>
                <w:rFonts w:asciiTheme="majorHAnsi" w:hAnsiTheme="majorHAnsi"/>
                <w:sz w:val="18"/>
                <w:szCs w:val="18"/>
              </w:rPr>
              <w:t>34,600</w:t>
            </w:r>
          </w:p>
        </w:tc>
        <w:tc>
          <w:tcPr>
            <w:tcW w:w="763" w:type="dxa"/>
            <w:shd w:val="clear" w:color="auto" w:fill="CCEAF9" w:themeFill="accent1" w:themeFillTint="33"/>
            <w:noWrap/>
            <w:vAlign w:val="center"/>
          </w:tcPr>
          <w:p w:rsidR="00B47695" w:rsidRPr="009C67B0" w:rsidRDefault="00B47695" w:rsidP="00B47695">
            <w:pPr>
              <w:keepNext/>
              <w:keepLines/>
              <w:spacing w:after="0" w:line="240" w:lineRule="auto"/>
              <w:jc w:val="right"/>
              <w:rPr>
                <w:rFonts w:asciiTheme="majorHAnsi" w:hAnsiTheme="majorHAnsi"/>
                <w:sz w:val="18"/>
                <w:szCs w:val="18"/>
              </w:rPr>
            </w:pPr>
            <w:r w:rsidRPr="009C67B0">
              <w:rPr>
                <w:rFonts w:asciiTheme="majorHAnsi" w:hAnsiTheme="majorHAnsi"/>
                <w:sz w:val="18"/>
                <w:szCs w:val="18"/>
              </w:rPr>
              <w:t>35,000</w:t>
            </w:r>
          </w:p>
        </w:tc>
        <w:tc>
          <w:tcPr>
            <w:tcW w:w="763" w:type="dxa"/>
            <w:shd w:val="clear" w:color="auto" w:fill="CCEAF9" w:themeFill="accent1" w:themeFillTint="33"/>
            <w:noWrap/>
            <w:vAlign w:val="center"/>
          </w:tcPr>
          <w:p w:rsidR="00B47695" w:rsidRPr="009C67B0" w:rsidRDefault="00B47695" w:rsidP="00B47695">
            <w:pPr>
              <w:keepNext/>
              <w:keepLines/>
              <w:spacing w:after="0" w:line="240" w:lineRule="auto"/>
              <w:jc w:val="right"/>
              <w:rPr>
                <w:rFonts w:asciiTheme="majorHAnsi" w:hAnsiTheme="majorHAnsi"/>
                <w:sz w:val="18"/>
                <w:szCs w:val="18"/>
              </w:rPr>
            </w:pPr>
            <w:r w:rsidRPr="009C67B0">
              <w:rPr>
                <w:rFonts w:asciiTheme="majorHAnsi" w:hAnsiTheme="majorHAnsi"/>
                <w:sz w:val="18"/>
                <w:szCs w:val="18"/>
              </w:rPr>
              <w:t>35,300</w:t>
            </w:r>
          </w:p>
        </w:tc>
        <w:tc>
          <w:tcPr>
            <w:tcW w:w="763" w:type="dxa"/>
            <w:shd w:val="clear" w:color="auto" w:fill="CCEAF9" w:themeFill="accent1" w:themeFillTint="33"/>
            <w:noWrap/>
            <w:vAlign w:val="center"/>
          </w:tcPr>
          <w:p w:rsidR="00B47695" w:rsidRPr="009C67B0" w:rsidRDefault="00B47695" w:rsidP="00B47695">
            <w:pPr>
              <w:keepNext/>
              <w:keepLines/>
              <w:spacing w:after="0" w:line="240" w:lineRule="auto"/>
              <w:jc w:val="right"/>
              <w:rPr>
                <w:rFonts w:asciiTheme="majorHAnsi" w:hAnsiTheme="majorHAnsi"/>
                <w:sz w:val="18"/>
                <w:szCs w:val="18"/>
              </w:rPr>
            </w:pPr>
            <w:r w:rsidRPr="009C67B0">
              <w:rPr>
                <w:rFonts w:asciiTheme="majorHAnsi" w:hAnsiTheme="majorHAnsi"/>
                <w:sz w:val="18"/>
                <w:szCs w:val="18"/>
              </w:rPr>
              <w:t>35,700</w:t>
            </w:r>
          </w:p>
        </w:tc>
      </w:tr>
      <w:tr w:rsidR="00B47695" w:rsidRPr="009C67B0" w:rsidTr="00F53961">
        <w:trPr>
          <w:trHeight w:val="480"/>
        </w:trPr>
        <w:tc>
          <w:tcPr>
            <w:tcW w:w="864" w:type="dxa"/>
            <w:vMerge/>
            <w:shd w:val="clear" w:color="auto" w:fill="CCEAF9" w:themeFill="accent1" w:themeFillTint="33"/>
            <w:noWrap/>
            <w:vAlign w:val="center"/>
            <w:hideMark/>
          </w:tcPr>
          <w:p w:rsidR="00B47695" w:rsidRPr="009C67B0" w:rsidRDefault="00B47695" w:rsidP="00B47695">
            <w:pPr>
              <w:keepNext/>
              <w:keepLines/>
              <w:spacing w:after="0" w:line="240" w:lineRule="auto"/>
              <w:rPr>
                <w:rFonts w:asciiTheme="majorHAnsi" w:eastAsia="Times New Roman" w:hAnsiTheme="majorHAnsi"/>
                <w:color w:val="000000"/>
                <w:sz w:val="18"/>
                <w:szCs w:val="18"/>
              </w:rPr>
            </w:pPr>
          </w:p>
        </w:tc>
        <w:tc>
          <w:tcPr>
            <w:tcW w:w="1872" w:type="dxa"/>
            <w:shd w:val="clear" w:color="auto" w:fill="CCEAF9" w:themeFill="accent1" w:themeFillTint="33"/>
            <w:vAlign w:val="center"/>
            <w:hideMark/>
          </w:tcPr>
          <w:p w:rsidR="00B47695" w:rsidRPr="009C67B0" w:rsidRDefault="00B47695" w:rsidP="00B47695">
            <w:pPr>
              <w:keepNext/>
              <w:keepLines/>
              <w:spacing w:after="0" w:line="240" w:lineRule="auto"/>
              <w:rPr>
                <w:rFonts w:asciiTheme="majorHAnsi" w:eastAsia="Times New Roman" w:hAnsiTheme="majorHAnsi"/>
                <w:sz w:val="18"/>
                <w:szCs w:val="18"/>
              </w:rPr>
            </w:pPr>
            <w:r w:rsidRPr="009C67B0">
              <w:rPr>
                <w:rFonts w:asciiTheme="majorHAnsi" w:eastAsia="Times New Roman" w:hAnsiTheme="majorHAnsi"/>
                <w:sz w:val="18"/>
                <w:szCs w:val="18"/>
              </w:rPr>
              <w:t>Assumed unavailable capacity</w:t>
            </w:r>
          </w:p>
        </w:tc>
        <w:tc>
          <w:tcPr>
            <w:tcW w:w="763" w:type="dxa"/>
            <w:shd w:val="clear" w:color="auto" w:fill="CCEAF9" w:themeFill="accent1" w:themeFillTint="33"/>
            <w:noWrap/>
            <w:vAlign w:val="center"/>
            <w:hideMark/>
          </w:tcPr>
          <w:p w:rsidR="00B47695" w:rsidRPr="009C67B0" w:rsidRDefault="00B47695" w:rsidP="00B47695">
            <w:pPr>
              <w:keepNext/>
              <w:keepLines/>
              <w:spacing w:after="0" w:line="240" w:lineRule="auto"/>
              <w:jc w:val="right"/>
              <w:rPr>
                <w:rFonts w:asciiTheme="majorHAnsi" w:eastAsia="Times New Roman" w:hAnsiTheme="majorHAnsi"/>
                <w:sz w:val="18"/>
                <w:szCs w:val="18"/>
              </w:rPr>
            </w:pPr>
            <w:r w:rsidRPr="009C67B0">
              <w:rPr>
                <w:rFonts w:asciiTheme="majorHAnsi" w:hAnsiTheme="majorHAnsi"/>
                <w:sz w:val="18"/>
                <w:szCs w:val="18"/>
              </w:rPr>
              <w:t>−2,100</w:t>
            </w:r>
          </w:p>
        </w:tc>
        <w:tc>
          <w:tcPr>
            <w:tcW w:w="763" w:type="dxa"/>
            <w:shd w:val="clear" w:color="auto" w:fill="CCEAF9" w:themeFill="accent1" w:themeFillTint="33"/>
            <w:noWrap/>
            <w:vAlign w:val="center"/>
            <w:hideMark/>
          </w:tcPr>
          <w:p w:rsidR="00B47695" w:rsidRPr="009C67B0" w:rsidRDefault="00B47695" w:rsidP="00B47695">
            <w:pPr>
              <w:keepNext/>
              <w:keepLines/>
              <w:spacing w:after="0" w:line="240" w:lineRule="auto"/>
              <w:jc w:val="right"/>
              <w:rPr>
                <w:rFonts w:asciiTheme="majorHAnsi" w:eastAsia="Times New Roman" w:hAnsiTheme="majorHAnsi"/>
                <w:sz w:val="18"/>
                <w:szCs w:val="18"/>
              </w:rPr>
            </w:pPr>
            <w:r w:rsidRPr="009C67B0">
              <w:rPr>
                <w:rFonts w:asciiTheme="majorHAnsi" w:hAnsiTheme="majorHAnsi"/>
                <w:sz w:val="18"/>
                <w:szCs w:val="18"/>
              </w:rPr>
              <w:t>−2,100</w:t>
            </w:r>
          </w:p>
        </w:tc>
        <w:tc>
          <w:tcPr>
            <w:tcW w:w="763" w:type="dxa"/>
            <w:shd w:val="clear" w:color="auto" w:fill="CCEAF9" w:themeFill="accent1" w:themeFillTint="33"/>
            <w:noWrap/>
            <w:vAlign w:val="center"/>
            <w:hideMark/>
          </w:tcPr>
          <w:p w:rsidR="00B47695" w:rsidRPr="009C67B0" w:rsidRDefault="00B47695" w:rsidP="00B47695">
            <w:pPr>
              <w:keepNext/>
              <w:keepLines/>
              <w:spacing w:after="0" w:line="240" w:lineRule="auto"/>
              <w:jc w:val="right"/>
              <w:rPr>
                <w:rFonts w:asciiTheme="majorHAnsi" w:eastAsia="Times New Roman" w:hAnsiTheme="majorHAnsi"/>
                <w:sz w:val="18"/>
                <w:szCs w:val="18"/>
              </w:rPr>
            </w:pPr>
            <w:r w:rsidRPr="009C67B0">
              <w:rPr>
                <w:rFonts w:asciiTheme="majorHAnsi" w:hAnsiTheme="majorHAnsi"/>
                <w:sz w:val="18"/>
                <w:szCs w:val="18"/>
              </w:rPr>
              <w:t>−2,100</w:t>
            </w:r>
          </w:p>
        </w:tc>
        <w:tc>
          <w:tcPr>
            <w:tcW w:w="763" w:type="dxa"/>
            <w:shd w:val="clear" w:color="auto" w:fill="CCEAF9" w:themeFill="accent1" w:themeFillTint="33"/>
            <w:noWrap/>
            <w:vAlign w:val="center"/>
            <w:hideMark/>
          </w:tcPr>
          <w:p w:rsidR="00B47695" w:rsidRPr="009C67B0" w:rsidRDefault="00B47695" w:rsidP="00B47695">
            <w:pPr>
              <w:keepNext/>
              <w:keepLines/>
              <w:spacing w:after="0" w:line="240" w:lineRule="auto"/>
              <w:jc w:val="right"/>
              <w:rPr>
                <w:rFonts w:asciiTheme="majorHAnsi" w:eastAsia="Times New Roman" w:hAnsiTheme="majorHAnsi"/>
                <w:sz w:val="18"/>
                <w:szCs w:val="18"/>
              </w:rPr>
            </w:pPr>
            <w:r w:rsidRPr="009C67B0">
              <w:rPr>
                <w:rFonts w:asciiTheme="majorHAnsi" w:hAnsiTheme="majorHAnsi"/>
                <w:sz w:val="18"/>
                <w:szCs w:val="18"/>
              </w:rPr>
              <w:t>−2,100</w:t>
            </w:r>
          </w:p>
        </w:tc>
        <w:tc>
          <w:tcPr>
            <w:tcW w:w="763" w:type="dxa"/>
            <w:shd w:val="clear" w:color="auto" w:fill="CCEAF9" w:themeFill="accent1" w:themeFillTint="33"/>
            <w:noWrap/>
            <w:vAlign w:val="center"/>
            <w:hideMark/>
          </w:tcPr>
          <w:p w:rsidR="00B47695" w:rsidRPr="009C67B0" w:rsidRDefault="00B47695" w:rsidP="00B47695">
            <w:pPr>
              <w:keepNext/>
              <w:keepLines/>
              <w:spacing w:after="0" w:line="240" w:lineRule="auto"/>
              <w:jc w:val="right"/>
              <w:rPr>
                <w:rFonts w:asciiTheme="majorHAnsi" w:eastAsia="Times New Roman" w:hAnsiTheme="majorHAnsi"/>
                <w:sz w:val="18"/>
                <w:szCs w:val="18"/>
              </w:rPr>
            </w:pPr>
            <w:r w:rsidRPr="009C67B0">
              <w:rPr>
                <w:rFonts w:asciiTheme="majorHAnsi" w:hAnsiTheme="majorHAnsi"/>
                <w:sz w:val="18"/>
                <w:szCs w:val="18"/>
              </w:rPr>
              <w:t>−2,100</w:t>
            </w:r>
          </w:p>
        </w:tc>
        <w:tc>
          <w:tcPr>
            <w:tcW w:w="763" w:type="dxa"/>
            <w:shd w:val="clear" w:color="auto" w:fill="CCEAF9" w:themeFill="accent1" w:themeFillTint="33"/>
            <w:noWrap/>
            <w:vAlign w:val="center"/>
            <w:hideMark/>
          </w:tcPr>
          <w:p w:rsidR="00B47695" w:rsidRPr="009C67B0" w:rsidRDefault="00B47695" w:rsidP="00B47695">
            <w:pPr>
              <w:keepNext/>
              <w:keepLines/>
              <w:spacing w:after="0" w:line="240" w:lineRule="auto"/>
              <w:jc w:val="right"/>
              <w:rPr>
                <w:rFonts w:asciiTheme="majorHAnsi" w:eastAsia="Times New Roman" w:hAnsiTheme="majorHAnsi"/>
                <w:sz w:val="18"/>
                <w:szCs w:val="18"/>
              </w:rPr>
            </w:pPr>
            <w:r w:rsidRPr="009C67B0">
              <w:rPr>
                <w:rFonts w:asciiTheme="majorHAnsi" w:hAnsiTheme="majorHAnsi"/>
                <w:sz w:val="18"/>
                <w:szCs w:val="18"/>
              </w:rPr>
              <w:t>−2,100</w:t>
            </w:r>
          </w:p>
        </w:tc>
        <w:tc>
          <w:tcPr>
            <w:tcW w:w="763" w:type="dxa"/>
            <w:shd w:val="clear" w:color="auto" w:fill="CCEAF9" w:themeFill="accent1" w:themeFillTint="33"/>
            <w:noWrap/>
            <w:vAlign w:val="center"/>
            <w:hideMark/>
          </w:tcPr>
          <w:p w:rsidR="00B47695" w:rsidRPr="009C67B0" w:rsidRDefault="00B47695" w:rsidP="00B47695">
            <w:pPr>
              <w:keepNext/>
              <w:keepLines/>
              <w:spacing w:after="0" w:line="240" w:lineRule="auto"/>
              <w:jc w:val="right"/>
              <w:rPr>
                <w:rFonts w:asciiTheme="majorHAnsi" w:eastAsia="Times New Roman" w:hAnsiTheme="majorHAnsi"/>
                <w:sz w:val="18"/>
                <w:szCs w:val="18"/>
              </w:rPr>
            </w:pPr>
            <w:r w:rsidRPr="009C67B0">
              <w:rPr>
                <w:rFonts w:asciiTheme="majorHAnsi" w:hAnsiTheme="majorHAnsi"/>
                <w:sz w:val="18"/>
                <w:szCs w:val="18"/>
              </w:rPr>
              <w:t>−2,100</w:t>
            </w:r>
          </w:p>
        </w:tc>
        <w:tc>
          <w:tcPr>
            <w:tcW w:w="763" w:type="dxa"/>
            <w:shd w:val="clear" w:color="auto" w:fill="CCEAF9" w:themeFill="accent1" w:themeFillTint="33"/>
            <w:noWrap/>
            <w:vAlign w:val="center"/>
            <w:hideMark/>
          </w:tcPr>
          <w:p w:rsidR="00B47695" w:rsidRPr="009C67B0" w:rsidRDefault="00B47695" w:rsidP="00B47695">
            <w:pPr>
              <w:keepNext/>
              <w:keepLines/>
              <w:spacing w:after="0" w:line="240" w:lineRule="auto"/>
              <w:jc w:val="right"/>
              <w:rPr>
                <w:rFonts w:asciiTheme="majorHAnsi" w:eastAsia="Times New Roman" w:hAnsiTheme="majorHAnsi"/>
                <w:sz w:val="18"/>
                <w:szCs w:val="18"/>
              </w:rPr>
            </w:pPr>
            <w:r w:rsidRPr="009C67B0">
              <w:rPr>
                <w:rFonts w:asciiTheme="majorHAnsi" w:hAnsiTheme="majorHAnsi"/>
                <w:sz w:val="18"/>
                <w:szCs w:val="18"/>
              </w:rPr>
              <w:t>−2,100</w:t>
            </w:r>
          </w:p>
        </w:tc>
        <w:tc>
          <w:tcPr>
            <w:tcW w:w="763" w:type="dxa"/>
            <w:shd w:val="clear" w:color="auto" w:fill="CCEAF9" w:themeFill="accent1" w:themeFillTint="33"/>
            <w:noWrap/>
            <w:vAlign w:val="center"/>
            <w:hideMark/>
          </w:tcPr>
          <w:p w:rsidR="00B47695" w:rsidRPr="009C67B0" w:rsidRDefault="00B47695" w:rsidP="00B47695">
            <w:pPr>
              <w:keepNext/>
              <w:keepLines/>
              <w:spacing w:after="0" w:line="240" w:lineRule="auto"/>
              <w:jc w:val="right"/>
              <w:rPr>
                <w:rFonts w:asciiTheme="majorHAnsi" w:eastAsia="Times New Roman" w:hAnsiTheme="majorHAnsi"/>
                <w:sz w:val="18"/>
                <w:szCs w:val="18"/>
              </w:rPr>
            </w:pPr>
            <w:r w:rsidRPr="009C67B0">
              <w:rPr>
                <w:rFonts w:asciiTheme="majorHAnsi" w:hAnsiTheme="majorHAnsi"/>
                <w:sz w:val="18"/>
                <w:szCs w:val="18"/>
              </w:rPr>
              <w:t>−2,100</w:t>
            </w:r>
          </w:p>
        </w:tc>
      </w:tr>
      <w:tr w:rsidR="00B47695" w:rsidRPr="009C67B0" w:rsidTr="00F53961">
        <w:trPr>
          <w:trHeight w:val="300"/>
        </w:trPr>
        <w:tc>
          <w:tcPr>
            <w:tcW w:w="864" w:type="dxa"/>
            <w:vMerge/>
            <w:shd w:val="clear" w:color="auto" w:fill="CCEAF9" w:themeFill="accent1" w:themeFillTint="33"/>
            <w:noWrap/>
            <w:vAlign w:val="center"/>
            <w:hideMark/>
          </w:tcPr>
          <w:p w:rsidR="00B47695" w:rsidRPr="009C67B0" w:rsidRDefault="00B47695" w:rsidP="00B47695">
            <w:pPr>
              <w:keepNext/>
              <w:keepLines/>
              <w:spacing w:after="0" w:line="240" w:lineRule="auto"/>
              <w:rPr>
                <w:rFonts w:asciiTheme="majorHAnsi" w:eastAsia="Times New Roman" w:hAnsiTheme="majorHAnsi"/>
                <w:color w:val="000000"/>
                <w:sz w:val="18"/>
                <w:szCs w:val="18"/>
              </w:rPr>
            </w:pPr>
          </w:p>
        </w:tc>
        <w:tc>
          <w:tcPr>
            <w:tcW w:w="1872" w:type="dxa"/>
            <w:shd w:val="clear" w:color="auto" w:fill="CCEAF9" w:themeFill="accent1" w:themeFillTint="33"/>
            <w:vAlign w:val="center"/>
            <w:hideMark/>
          </w:tcPr>
          <w:p w:rsidR="00B47695" w:rsidRPr="009C67B0" w:rsidRDefault="00B47695" w:rsidP="00B47695">
            <w:pPr>
              <w:keepNext/>
              <w:keepLines/>
              <w:spacing w:after="0" w:line="240" w:lineRule="auto"/>
              <w:rPr>
                <w:rFonts w:asciiTheme="majorHAnsi" w:eastAsia="Times New Roman" w:hAnsiTheme="majorHAnsi"/>
                <w:b/>
                <w:bCs/>
                <w:sz w:val="18"/>
                <w:szCs w:val="18"/>
              </w:rPr>
            </w:pPr>
            <w:r w:rsidRPr="009C67B0">
              <w:rPr>
                <w:rFonts w:asciiTheme="majorHAnsi" w:eastAsia="Times New Roman" w:hAnsiTheme="majorHAnsi"/>
                <w:b/>
                <w:bCs/>
                <w:sz w:val="18"/>
                <w:szCs w:val="18"/>
              </w:rPr>
              <w:t>Total net capacity</w:t>
            </w:r>
            <w:r w:rsidRPr="009C67B0">
              <w:rPr>
                <w:rFonts w:asciiTheme="majorHAnsi" w:eastAsia="Times New Roman" w:hAnsiTheme="majorHAnsi"/>
                <w:b/>
                <w:bCs/>
                <w:sz w:val="18"/>
                <w:szCs w:val="18"/>
                <w:vertAlign w:val="superscript"/>
              </w:rPr>
              <w:t>(d)</w:t>
            </w:r>
          </w:p>
        </w:tc>
        <w:tc>
          <w:tcPr>
            <w:tcW w:w="763" w:type="dxa"/>
            <w:shd w:val="clear" w:color="auto" w:fill="CCEAF9" w:themeFill="accent1" w:themeFillTint="33"/>
            <w:noWrap/>
            <w:vAlign w:val="center"/>
            <w:hideMark/>
          </w:tcPr>
          <w:p w:rsidR="00B47695" w:rsidRPr="009C67B0" w:rsidRDefault="00B47695" w:rsidP="00B47695">
            <w:pPr>
              <w:keepNext/>
              <w:keepLines/>
              <w:spacing w:after="0" w:line="240" w:lineRule="auto"/>
              <w:jc w:val="right"/>
              <w:rPr>
                <w:rFonts w:asciiTheme="majorHAnsi" w:eastAsia="Times New Roman" w:hAnsiTheme="majorHAnsi"/>
                <w:b/>
                <w:bCs/>
                <w:sz w:val="18"/>
                <w:szCs w:val="18"/>
              </w:rPr>
            </w:pPr>
            <w:r w:rsidRPr="009C67B0">
              <w:rPr>
                <w:rFonts w:asciiTheme="majorHAnsi" w:hAnsiTheme="majorHAnsi"/>
                <w:b/>
                <w:bCs/>
                <w:sz w:val="18"/>
                <w:szCs w:val="18"/>
              </w:rPr>
              <w:t>31,321</w:t>
            </w:r>
          </w:p>
        </w:tc>
        <w:tc>
          <w:tcPr>
            <w:tcW w:w="763" w:type="dxa"/>
            <w:shd w:val="clear" w:color="auto" w:fill="CCEAF9" w:themeFill="accent1" w:themeFillTint="33"/>
            <w:noWrap/>
            <w:vAlign w:val="center"/>
            <w:hideMark/>
          </w:tcPr>
          <w:p w:rsidR="00B47695" w:rsidRPr="009C67B0" w:rsidRDefault="00B47695" w:rsidP="00B47695">
            <w:pPr>
              <w:keepNext/>
              <w:keepLines/>
              <w:spacing w:after="0" w:line="240" w:lineRule="auto"/>
              <w:jc w:val="right"/>
              <w:rPr>
                <w:rFonts w:asciiTheme="majorHAnsi" w:eastAsia="Times New Roman" w:hAnsiTheme="majorHAnsi"/>
                <w:b/>
                <w:bCs/>
                <w:sz w:val="18"/>
                <w:szCs w:val="18"/>
              </w:rPr>
            </w:pPr>
            <w:r w:rsidRPr="009C67B0">
              <w:rPr>
                <w:rFonts w:asciiTheme="majorHAnsi" w:hAnsiTheme="majorHAnsi"/>
                <w:b/>
                <w:bCs/>
                <w:sz w:val="18"/>
                <w:szCs w:val="18"/>
              </w:rPr>
              <w:t>31,655</w:t>
            </w:r>
          </w:p>
        </w:tc>
        <w:tc>
          <w:tcPr>
            <w:tcW w:w="763" w:type="dxa"/>
            <w:shd w:val="clear" w:color="auto" w:fill="CCEAF9" w:themeFill="accent1" w:themeFillTint="33"/>
            <w:noWrap/>
            <w:vAlign w:val="center"/>
            <w:hideMark/>
          </w:tcPr>
          <w:p w:rsidR="00B47695" w:rsidRPr="009C67B0" w:rsidRDefault="00B47695" w:rsidP="00B47695">
            <w:pPr>
              <w:keepNext/>
              <w:keepLines/>
              <w:spacing w:after="0" w:line="240" w:lineRule="auto"/>
              <w:jc w:val="right"/>
              <w:rPr>
                <w:rFonts w:asciiTheme="majorHAnsi" w:eastAsia="Times New Roman" w:hAnsiTheme="majorHAnsi"/>
                <w:b/>
                <w:bCs/>
                <w:sz w:val="18"/>
                <w:szCs w:val="18"/>
              </w:rPr>
            </w:pPr>
            <w:r w:rsidRPr="009C67B0">
              <w:rPr>
                <w:rFonts w:asciiTheme="majorHAnsi" w:hAnsiTheme="majorHAnsi"/>
                <w:b/>
                <w:bCs/>
                <w:sz w:val="18"/>
                <w:szCs w:val="18"/>
              </w:rPr>
              <w:t>31,975</w:t>
            </w:r>
          </w:p>
        </w:tc>
        <w:tc>
          <w:tcPr>
            <w:tcW w:w="763" w:type="dxa"/>
            <w:shd w:val="clear" w:color="auto" w:fill="CCEAF9" w:themeFill="accent1" w:themeFillTint="33"/>
            <w:noWrap/>
            <w:vAlign w:val="center"/>
            <w:hideMark/>
          </w:tcPr>
          <w:p w:rsidR="00B47695" w:rsidRPr="009C67B0" w:rsidRDefault="00B47695" w:rsidP="00B47695">
            <w:pPr>
              <w:keepNext/>
              <w:keepLines/>
              <w:spacing w:after="0" w:line="240" w:lineRule="auto"/>
              <w:jc w:val="right"/>
              <w:rPr>
                <w:rFonts w:asciiTheme="majorHAnsi" w:eastAsia="Times New Roman" w:hAnsiTheme="majorHAnsi"/>
                <w:b/>
                <w:bCs/>
                <w:sz w:val="18"/>
                <w:szCs w:val="18"/>
              </w:rPr>
            </w:pPr>
            <w:r w:rsidRPr="009C67B0">
              <w:rPr>
                <w:rFonts w:asciiTheme="majorHAnsi" w:hAnsiTheme="majorHAnsi"/>
                <w:b/>
                <w:bCs/>
                <w:sz w:val="18"/>
                <w:szCs w:val="18"/>
              </w:rPr>
              <w:t xml:space="preserve">N/A </w:t>
            </w:r>
          </w:p>
        </w:tc>
        <w:tc>
          <w:tcPr>
            <w:tcW w:w="763" w:type="dxa"/>
            <w:shd w:val="clear" w:color="auto" w:fill="CCEAF9" w:themeFill="accent1" w:themeFillTint="33"/>
            <w:noWrap/>
            <w:vAlign w:val="center"/>
          </w:tcPr>
          <w:p w:rsidR="00B47695" w:rsidRPr="009C67B0" w:rsidRDefault="00B47695" w:rsidP="00B47695">
            <w:pPr>
              <w:keepNext/>
              <w:keepLines/>
              <w:spacing w:after="0" w:line="240" w:lineRule="auto"/>
              <w:jc w:val="center"/>
              <w:rPr>
                <w:rFonts w:asciiTheme="majorHAnsi" w:hAnsiTheme="majorHAnsi"/>
                <w:b/>
                <w:bCs/>
                <w:sz w:val="18"/>
                <w:szCs w:val="18"/>
              </w:rPr>
            </w:pPr>
            <w:r w:rsidRPr="009C67B0">
              <w:rPr>
                <w:rFonts w:asciiTheme="majorHAnsi" w:hAnsiTheme="majorHAnsi"/>
                <w:b/>
                <w:bCs/>
                <w:sz w:val="18"/>
                <w:szCs w:val="18"/>
              </w:rPr>
              <w:t>32,200</w:t>
            </w:r>
          </w:p>
        </w:tc>
        <w:tc>
          <w:tcPr>
            <w:tcW w:w="763" w:type="dxa"/>
            <w:shd w:val="clear" w:color="auto" w:fill="CCEAF9" w:themeFill="accent1" w:themeFillTint="33"/>
            <w:noWrap/>
            <w:vAlign w:val="center"/>
          </w:tcPr>
          <w:p w:rsidR="00B47695" w:rsidRPr="009C67B0" w:rsidRDefault="00B47695" w:rsidP="00B47695">
            <w:pPr>
              <w:keepNext/>
              <w:keepLines/>
              <w:spacing w:after="0" w:line="240" w:lineRule="auto"/>
              <w:jc w:val="center"/>
              <w:rPr>
                <w:rFonts w:asciiTheme="majorHAnsi" w:hAnsiTheme="majorHAnsi"/>
                <w:b/>
                <w:bCs/>
                <w:sz w:val="18"/>
                <w:szCs w:val="18"/>
              </w:rPr>
            </w:pPr>
            <w:r w:rsidRPr="009C67B0">
              <w:rPr>
                <w:rFonts w:asciiTheme="majorHAnsi" w:hAnsiTheme="majorHAnsi"/>
                <w:b/>
                <w:bCs/>
                <w:sz w:val="18"/>
                <w:szCs w:val="18"/>
              </w:rPr>
              <w:t>32,500</w:t>
            </w:r>
          </w:p>
        </w:tc>
        <w:tc>
          <w:tcPr>
            <w:tcW w:w="763" w:type="dxa"/>
            <w:shd w:val="clear" w:color="auto" w:fill="CCEAF9" w:themeFill="accent1" w:themeFillTint="33"/>
            <w:noWrap/>
            <w:vAlign w:val="center"/>
          </w:tcPr>
          <w:p w:rsidR="00B47695" w:rsidRPr="009C67B0" w:rsidRDefault="00B47695" w:rsidP="00B47695">
            <w:pPr>
              <w:keepNext/>
              <w:keepLines/>
              <w:spacing w:after="0" w:line="240" w:lineRule="auto"/>
              <w:jc w:val="center"/>
              <w:rPr>
                <w:rFonts w:asciiTheme="majorHAnsi" w:hAnsiTheme="majorHAnsi"/>
                <w:b/>
                <w:bCs/>
                <w:sz w:val="18"/>
                <w:szCs w:val="18"/>
              </w:rPr>
            </w:pPr>
            <w:r w:rsidRPr="009C67B0">
              <w:rPr>
                <w:rFonts w:asciiTheme="majorHAnsi" w:hAnsiTheme="majorHAnsi"/>
                <w:b/>
                <w:bCs/>
                <w:sz w:val="18"/>
                <w:szCs w:val="18"/>
              </w:rPr>
              <w:t>32,900</w:t>
            </w:r>
          </w:p>
        </w:tc>
        <w:tc>
          <w:tcPr>
            <w:tcW w:w="763" w:type="dxa"/>
            <w:shd w:val="clear" w:color="auto" w:fill="CCEAF9" w:themeFill="accent1" w:themeFillTint="33"/>
            <w:noWrap/>
            <w:vAlign w:val="center"/>
          </w:tcPr>
          <w:p w:rsidR="00B47695" w:rsidRPr="009C67B0" w:rsidRDefault="00B47695" w:rsidP="00B47695">
            <w:pPr>
              <w:keepNext/>
              <w:keepLines/>
              <w:spacing w:after="0" w:line="240" w:lineRule="auto"/>
              <w:jc w:val="center"/>
              <w:rPr>
                <w:rFonts w:asciiTheme="majorHAnsi" w:hAnsiTheme="majorHAnsi"/>
                <w:b/>
                <w:bCs/>
                <w:sz w:val="18"/>
                <w:szCs w:val="18"/>
              </w:rPr>
            </w:pPr>
            <w:r w:rsidRPr="009C67B0">
              <w:rPr>
                <w:rFonts w:asciiTheme="majorHAnsi" w:hAnsiTheme="majorHAnsi"/>
                <w:b/>
                <w:bCs/>
                <w:sz w:val="18"/>
                <w:szCs w:val="18"/>
              </w:rPr>
              <w:t>33,200</w:t>
            </w:r>
          </w:p>
        </w:tc>
        <w:tc>
          <w:tcPr>
            <w:tcW w:w="763" w:type="dxa"/>
            <w:shd w:val="clear" w:color="auto" w:fill="CCEAF9" w:themeFill="accent1" w:themeFillTint="33"/>
            <w:noWrap/>
            <w:vAlign w:val="center"/>
          </w:tcPr>
          <w:p w:rsidR="00B47695" w:rsidRPr="009C67B0" w:rsidRDefault="00B47695" w:rsidP="00B47695">
            <w:pPr>
              <w:keepNext/>
              <w:keepLines/>
              <w:spacing w:after="0" w:line="240" w:lineRule="auto"/>
              <w:jc w:val="center"/>
              <w:rPr>
                <w:rFonts w:asciiTheme="majorHAnsi" w:hAnsiTheme="majorHAnsi"/>
                <w:b/>
                <w:bCs/>
                <w:sz w:val="18"/>
                <w:szCs w:val="18"/>
              </w:rPr>
            </w:pPr>
            <w:r w:rsidRPr="009C67B0">
              <w:rPr>
                <w:rFonts w:asciiTheme="majorHAnsi" w:hAnsiTheme="majorHAnsi"/>
                <w:b/>
                <w:bCs/>
                <w:sz w:val="18"/>
                <w:szCs w:val="18"/>
              </w:rPr>
              <w:t>33,600</w:t>
            </w:r>
          </w:p>
        </w:tc>
      </w:tr>
      <w:tr w:rsidR="00B47695" w:rsidRPr="009C67B0" w:rsidTr="00F53961">
        <w:trPr>
          <w:trHeight w:val="540"/>
        </w:trPr>
        <w:tc>
          <w:tcPr>
            <w:tcW w:w="864" w:type="dxa"/>
            <w:vMerge/>
            <w:shd w:val="clear" w:color="auto" w:fill="CCEAF9" w:themeFill="accent1" w:themeFillTint="33"/>
            <w:noWrap/>
            <w:vAlign w:val="center"/>
            <w:hideMark/>
          </w:tcPr>
          <w:p w:rsidR="00B47695" w:rsidRPr="009C67B0" w:rsidRDefault="00B47695" w:rsidP="00B47695">
            <w:pPr>
              <w:keepNext/>
              <w:keepLines/>
              <w:spacing w:after="0" w:line="240" w:lineRule="auto"/>
              <w:rPr>
                <w:rFonts w:asciiTheme="majorHAnsi" w:eastAsia="Times New Roman" w:hAnsiTheme="majorHAnsi"/>
                <w:color w:val="000000"/>
                <w:sz w:val="18"/>
                <w:szCs w:val="18"/>
              </w:rPr>
            </w:pPr>
          </w:p>
        </w:tc>
        <w:tc>
          <w:tcPr>
            <w:tcW w:w="1872" w:type="dxa"/>
            <w:shd w:val="clear" w:color="auto" w:fill="9AD6F4" w:themeFill="accent1" w:themeFillTint="66"/>
            <w:vAlign w:val="center"/>
            <w:hideMark/>
          </w:tcPr>
          <w:p w:rsidR="00B47695" w:rsidRPr="009C67B0" w:rsidRDefault="00B47695" w:rsidP="00B47695">
            <w:pPr>
              <w:keepNext/>
              <w:keepLines/>
              <w:spacing w:after="0" w:line="240" w:lineRule="auto"/>
              <w:rPr>
                <w:rFonts w:asciiTheme="majorHAnsi" w:eastAsia="Times New Roman" w:hAnsiTheme="majorHAnsi"/>
                <w:b/>
                <w:bCs/>
                <w:sz w:val="18"/>
                <w:szCs w:val="18"/>
              </w:rPr>
            </w:pPr>
            <w:r w:rsidRPr="009C67B0">
              <w:rPr>
                <w:rFonts w:asciiTheme="majorHAnsi" w:eastAsia="Times New Roman" w:hAnsiTheme="majorHAnsi"/>
                <w:b/>
                <w:bCs/>
                <w:sz w:val="18"/>
                <w:szCs w:val="18"/>
              </w:rPr>
              <w:t>Operable capacity margin</w:t>
            </w:r>
            <w:r w:rsidRPr="009C67B0">
              <w:rPr>
                <w:rFonts w:asciiTheme="majorHAnsi" w:eastAsia="Times New Roman" w:hAnsiTheme="majorHAnsi"/>
                <w:b/>
                <w:bCs/>
                <w:sz w:val="18"/>
                <w:szCs w:val="18"/>
                <w:vertAlign w:val="superscript"/>
              </w:rPr>
              <w:t>(e)</w:t>
            </w:r>
            <w:r w:rsidR="00B75A7D" w:rsidRPr="009C67B0">
              <w:rPr>
                <w:rFonts w:asciiTheme="majorHAnsi" w:eastAsia="Times New Roman" w:hAnsiTheme="majorHAnsi"/>
                <w:b/>
                <w:bCs/>
                <w:sz w:val="18"/>
                <w:szCs w:val="18"/>
              </w:rPr>
              <w:t>—</w:t>
            </w:r>
            <w:r w:rsidR="00B75A7D" w:rsidRPr="009C67B0">
              <w:rPr>
                <w:rFonts w:asciiTheme="majorHAnsi" w:eastAsia="Times New Roman" w:hAnsiTheme="majorHAnsi"/>
                <w:b/>
                <w:bCs/>
                <w:sz w:val="18"/>
                <w:szCs w:val="18"/>
              </w:rPr>
              <w:br/>
            </w:r>
            <w:r w:rsidRPr="009C67B0">
              <w:rPr>
                <w:rFonts w:asciiTheme="majorHAnsi" w:eastAsia="Times New Roman" w:hAnsiTheme="majorHAnsi"/>
                <w:b/>
                <w:bCs/>
                <w:sz w:val="18"/>
                <w:szCs w:val="18"/>
              </w:rPr>
              <w:t>90/10 forecast</w:t>
            </w:r>
          </w:p>
        </w:tc>
        <w:tc>
          <w:tcPr>
            <w:tcW w:w="763" w:type="dxa"/>
            <w:shd w:val="clear" w:color="auto" w:fill="9AD6F4" w:themeFill="accent1" w:themeFillTint="66"/>
            <w:noWrap/>
            <w:vAlign w:val="center"/>
            <w:hideMark/>
          </w:tcPr>
          <w:p w:rsidR="00B47695" w:rsidRPr="009C67B0" w:rsidRDefault="00B47695" w:rsidP="00B47695">
            <w:pPr>
              <w:keepNext/>
              <w:keepLines/>
              <w:spacing w:after="0" w:line="240" w:lineRule="auto"/>
              <w:jc w:val="right"/>
              <w:rPr>
                <w:rFonts w:asciiTheme="majorHAnsi" w:eastAsia="Times New Roman" w:hAnsiTheme="majorHAnsi"/>
                <w:b/>
                <w:bCs/>
                <w:sz w:val="18"/>
                <w:szCs w:val="18"/>
              </w:rPr>
            </w:pPr>
            <w:r w:rsidRPr="009C67B0">
              <w:rPr>
                <w:rFonts w:asciiTheme="majorHAnsi" w:hAnsiTheme="majorHAnsi"/>
                <w:sz w:val="18"/>
                <w:szCs w:val="18"/>
              </w:rPr>
              <w:t>−</w:t>
            </w:r>
            <w:r w:rsidRPr="009C67B0">
              <w:rPr>
                <w:rFonts w:asciiTheme="majorHAnsi" w:hAnsiTheme="majorHAnsi"/>
                <w:b/>
                <w:bCs/>
                <w:sz w:val="18"/>
                <w:szCs w:val="18"/>
              </w:rPr>
              <w:t>2,167</w:t>
            </w:r>
          </w:p>
        </w:tc>
        <w:tc>
          <w:tcPr>
            <w:tcW w:w="763" w:type="dxa"/>
            <w:shd w:val="clear" w:color="auto" w:fill="9AD6F4" w:themeFill="accent1" w:themeFillTint="66"/>
            <w:noWrap/>
            <w:vAlign w:val="center"/>
            <w:hideMark/>
          </w:tcPr>
          <w:p w:rsidR="00B47695" w:rsidRPr="009C67B0" w:rsidRDefault="00B47695" w:rsidP="00B47695">
            <w:pPr>
              <w:keepNext/>
              <w:keepLines/>
              <w:spacing w:after="0" w:line="240" w:lineRule="auto"/>
              <w:jc w:val="right"/>
              <w:rPr>
                <w:rFonts w:asciiTheme="majorHAnsi" w:eastAsia="Times New Roman" w:hAnsiTheme="majorHAnsi"/>
                <w:b/>
                <w:bCs/>
                <w:sz w:val="18"/>
                <w:szCs w:val="18"/>
              </w:rPr>
            </w:pPr>
            <w:r w:rsidRPr="009C67B0">
              <w:rPr>
                <w:rFonts w:asciiTheme="majorHAnsi" w:hAnsiTheme="majorHAnsi"/>
                <w:sz w:val="18"/>
                <w:szCs w:val="18"/>
              </w:rPr>
              <w:t>−</w:t>
            </w:r>
            <w:r w:rsidRPr="009C67B0">
              <w:rPr>
                <w:rFonts w:asciiTheme="majorHAnsi" w:hAnsiTheme="majorHAnsi"/>
                <w:b/>
                <w:bCs/>
                <w:sz w:val="18"/>
                <w:szCs w:val="18"/>
              </w:rPr>
              <w:t>2,076</w:t>
            </w:r>
          </w:p>
        </w:tc>
        <w:tc>
          <w:tcPr>
            <w:tcW w:w="763" w:type="dxa"/>
            <w:shd w:val="clear" w:color="auto" w:fill="9AD6F4" w:themeFill="accent1" w:themeFillTint="66"/>
            <w:noWrap/>
            <w:vAlign w:val="center"/>
            <w:hideMark/>
          </w:tcPr>
          <w:p w:rsidR="00B47695" w:rsidRPr="009C67B0" w:rsidRDefault="00B47695" w:rsidP="00B47695">
            <w:pPr>
              <w:keepNext/>
              <w:keepLines/>
              <w:spacing w:after="0" w:line="240" w:lineRule="auto"/>
              <w:jc w:val="right"/>
              <w:rPr>
                <w:rFonts w:asciiTheme="majorHAnsi" w:eastAsia="Times New Roman" w:hAnsiTheme="majorHAnsi"/>
                <w:b/>
                <w:bCs/>
                <w:sz w:val="18"/>
                <w:szCs w:val="18"/>
              </w:rPr>
            </w:pPr>
            <w:r w:rsidRPr="009C67B0">
              <w:rPr>
                <w:rFonts w:asciiTheme="majorHAnsi" w:hAnsiTheme="majorHAnsi"/>
                <w:sz w:val="18"/>
                <w:szCs w:val="18"/>
              </w:rPr>
              <w:t>−</w:t>
            </w:r>
            <w:r w:rsidRPr="009C67B0">
              <w:rPr>
                <w:rFonts w:asciiTheme="majorHAnsi" w:hAnsiTheme="majorHAnsi"/>
                <w:b/>
                <w:bCs/>
                <w:sz w:val="18"/>
                <w:szCs w:val="18"/>
              </w:rPr>
              <w:t>2,013</w:t>
            </w:r>
          </w:p>
        </w:tc>
        <w:tc>
          <w:tcPr>
            <w:tcW w:w="763" w:type="dxa"/>
            <w:shd w:val="clear" w:color="auto" w:fill="9AD6F4" w:themeFill="accent1" w:themeFillTint="66"/>
            <w:noWrap/>
            <w:vAlign w:val="center"/>
            <w:hideMark/>
          </w:tcPr>
          <w:p w:rsidR="00B47695" w:rsidRPr="009C67B0" w:rsidRDefault="00B47695" w:rsidP="00B47695">
            <w:pPr>
              <w:keepNext/>
              <w:keepLines/>
              <w:spacing w:after="0" w:line="240" w:lineRule="auto"/>
              <w:jc w:val="right"/>
              <w:rPr>
                <w:rFonts w:asciiTheme="majorHAnsi" w:eastAsia="Times New Roman" w:hAnsiTheme="majorHAnsi"/>
                <w:b/>
                <w:bCs/>
                <w:sz w:val="18"/>
                <w:szCs w:val="18"/>
              </w:rPr>
            </w:pPr>
            <w:r w:rsidRPr="009C67B0">
              <w:rPr>
                <w:rFonts w:asciiTheme="majorHAnsi" w:hAnsiTheme="majorHAnsi"/>
                <w:b/>
                <w:bCs/>
                <w:sz w:val="18"/>
                <w:szCs w:val="18"/>
              </w:rPr>
              <w:t>N/A</w:t>
            </w:r>
          </w:p>
        </w:tc>
        <w:tc>
          <w:tcPr>
            <w:tcW w:w="763" w:type="dxa"/>
            <w:shd w:val="clear" w:color="auto" w:fill="9AD6F4" w:themeFill="accent1" w:themeFillTint="66"/>
            <w:noWrap/>
            <w:vAlign w:val="center"/>
          </w:tcPr>
          <w:p w:rsidR="00B47695" w:rsidRPr="009C67B0" w:rsidRDefault="00B47695" w:rsidP="009C67B0">
            <w:pPr>
              <w:keepNext/>
              <w:keepLines/>
              <w:spacing w:after="0" w:line="240" w:lineRule="auto"/>
              <w:jc w:val="right"/>
              <w:rPr>
                <w:rFonts w:asciiTheme="majorHAnsi" w:hAnsiTheme="majorHAnsi"/>
                <w:b/>
                <w:bCs/>
                <w:sz w:val="18"/>
                <w:szCs w:val="18"/>
              </w:rPr>
            </w:pPr>
            <w:r w:rsidRPr="009C67B0">
              <w:rPr>
                <w:rFonts w:asciiTheme="majorHAnsi" w:hAnsiTheme="majorHAnsi"/>
                <w:sz w:val="18"/>
                <w:szCs w:val="18"/>
              </w:rPr>
              <w:t>−</w:t>
            </w:r>
            <w:r w:rsidRPr="009C67B0">
              <w:rPr>
                <w:rFonts w:asciiTheme="majorHAnsi" w:hAnsiTheme="majorHAnsi"/>
                <w:b/>
                <w:bCs/>
                <w:sz w:val="18"/>
                <w:szCs w:val="18"/>
              </w:rPr>
              <w:t>2,364</w:t>
            </w:r>
          </w:p>
        </w:tc>
        <w:tc>
          <w:tcPr>
            <w:tcW w:w="763" w:type="dxa"/>
            <w:shd w:val="clear" w:color="auto" w:fill="9AD6F4" w:themeFill="accent1" w:themeFillTint="66"/>
            <w:noWrap/>
            <w:vAlign w:val="center"/>
          </w:tcPr>
          <w:p w:rsidR="00B47695" w:rsidRPr="009C67B0" w:rsidRDefault="00B47695" w:rsidP="009C67B0">
            <w:pPr>
              <w:keepNext/>
              <w:keepLines/>
              <w:spacing w:after="0" w:line="240" w:lineRule="auto"/>
              <w:jc w:val="right"/>
              <w:rPr>
                <w:rFonts w:asciiTheme="majorHAnsi" w:hAnsiTheme="majorHAnsi"/>
                <w:b/>
                <w:bCs/>
                <w:sz w:val="18"/>
                <w:szCs w:val="18"/>
              </w:rPr>
            </w:pPr>
            <w:r w:rsidRPr="009C67B0">
              <w:rPr>
                <w:rFonts w:asciiTheme="majorHAnsi" w:hAnsiTheme="majorHAnsi"/>
                <w:sz w:val="18"/>
                <w:szCs w:val="18"/>
              </w:rPr>
              <w:t>−</w:t>
            </w:r>
            <w:r w:rsidRPr="009C67B0">
              <w:rPr>
                <w:rFonts w:asciiTheme="majorHAnsi" w:hAnsiTheme="majorHAnsi"/>
                <w:b/>
                <w:bCs/>
                <w:sz w:val="18"/>
                <w:szCs w:val="18"/>
              </w:rPr>
              <w:t>2,367</w:t>
            </w:r>
          </w:p>
        </w:tc>
        <w:tc>
          <w:tcPr>
            <w:tcW w:w="763" w:type="dxa"/>
            <w:shd w:val="clear" w:color="auto" w:fill="9AD6F4" w:themeFill="accent1" w:themeFillTint="66"/>
            <w:noWrap/>
            <w:vAlign w:val="center"/>
          </w:tcPr>
          <w:p w:rsidR="00B47695" w:rsidRPr="009C67B0" w:rsidRDefault="00B47695" w:rsidP="009C67B0">
            <w:pPr>
              <w:keepNext/>
              <w:keepLines/>
              <w:spacing w:after="0" w:line="240" w:lineRule="auto"/>
              <w:jc w:val="right"/>
              <w:rPr>
                <w:rFonts w:asciiTheme="majorHAnsi" w:hAnsiTheme="majorHAnsi"/>
                <w:b/>
                <w:bCs/>
                <w:sz w:val="18"/>
                <w:szCs w:val="18"/>
              </w:rPr>
            </w:pPr>
            <w:r w:rsidRPr="009C67B0">
              <w:rPr>
                <w:rFonts w:asciiTheme="majorHAnsi" w:hAnsiTheme="majorHAnsi"/>
                <w:sz w:val="18"/>
                <w:szCs w:val="18"/>
              </w:rPr>
              <w:t>−</w:t>
            </w:r>
            <w:r w:rsidRPr="009C67B0">
              <w:rPr>
                <w:rFonts w:asciiTheme="majorHAnsi" w:hAnsiTheme="majorHAnsi"/>
                <w:b/>
                <w:bCs/>
                <w:sz w:val="18"/>
                <w:szCs w:val="18"/>
              </w:rPr>
              <w:t>2,274</w:t>
            </w:r>
          </w:p>
        </w:tc>
        <w:tc>
          <w:tcPr>
            <w:tcW w:w="763" w:type="dxa"/>
            <w:shd w:val="clear" w:color="auto" w:fill="9AD6F4" w:themeFill="accent1" w:themeFillTint="66"/>
            <w:noWrap/>
            <w:vAlign w:val="center"/>
          </w:tcPr>
          <w:p w:rsidR="00B47695" w:rsidRPr="009C67B0" w:rsidRDefault="00B47695" w:rsidP="009C67B0">
            <w:pPr>
              <w:keepNext/>
              <w:keepLines/>
              <w:spacing w:after="0" w:line="240" w:lineRule="auto"/>
              <w:jc w:val="right"/>
              <w:rPr>
                <w:rFonts w:asciiTheme="majorHAnsi" w:hAnsiTheme="majorHAnsi"/>
                <w:b/>
                <w:bCs/>
                <w:sz w:val="18"/>
                <w:szCs w:val="18"/>
              </w:rPr>
            </w:pPr>
            <w:r w:rsidRPr="009C67B0">
              <w:rPr>
                <w:rFonts w:asciiTheme="majorHAnsi" w:hAnsiTheme="majorHAnsi"/>
                <w:sz w:val="18"/>
                <w:szCs w:val="18"/>
              </w:rPr>
              <w:t>−</w:t>
            </w:r>
            <w:r w:rsidRPr="009C67B0">
              <w:rPr>
                <w:rFonts w:asciiTheme="majorHAnsi" w:hAnsiTheme="majorHAnsi"/>
                <w:b/>
                <w:bCs/>
                <w:sz w:val="18"/>
                <w:szCs w:val="18"/>
              </w:rPr>
              <w:t>2,287</w:t>
            </w:r>
          </w:p>
        </w:tc>
        <w:tc>
          <w:tcPr>
            <w:tcW w:w="763" w:type="dxa"/>
            <w:shd w:val="clear" w:color="auto" w:fill="9AD6F4" w:themeFill="accent1" w:themeFillTint="66"/>
            <w:noWrap/>
            <w:vAlign w:val="center"/>
          </w:tcPr>
          <w:p w:rsidR="00B47695" w:rsidRPr="009C67B0" w:rsidRDefault="00B47695" w:rsidP="009C67B0">
            <w:pPr>
              <w:keepNext/>
              <w:keepLines/>
              <w:spacing w:after="0" w:line="240" w:lineRule="auto"/>
              <w:jc w:val="center"/>
              <w:rPr>
                <w:rFonts w:asciiTheme="majorHAnsi" w:hAnsiTheme="majorHAnsi"/>
                <w:b/>
                <w:bCs/>
                <w:sz w:val="18"/>
                <w:szCs w:val="18"/>
              </w:rPr>
            </w:pPr>
            <w:r w:rsidRPr="009C67B0">
              <w:rPr>
                <w:rFonts w:asciiTheme="majorHAnsi" w:hAnsiTheme="majorHAnsi"/>
                <w:sz w:val="18"/>
                <w:szCs w:val="18"/>
              </w:rPr>
              <w:t>−</w:t>
            </w:r>
            <w:r w:rsidRPr="009C67B0">
              <w:rPr>
                <w:rFonts w:asciiTheme="majorHAnsi" w:hAnsiTheme="majorHAnsi"/>
                <w:b/>
                <w:bCs/>
                <w:sz w:val="18"/>
                <w:szCs w:val="18"/>
              </w:rPr>
              <w:t>2,20</w:t>
            </w:r>
            <w:r w:rsidR="008B7C6A">
              <w:rPr>
                <w:rFonts w:asciiTheme="majorHAnsi" w:hAnsiTheme="majorHAnsi"/>
                <w:b/>
                <w:bCs/>
                <w:sz w:val="18"/>
                <w:szCs w:val="18"/>
              </w:rPr>
              <w:t>1</w:t>
            </w:r>
          </w:p>
        </w:tc>
      </w:tr>
    </w:tbl>
    <w:p w:rsidR="00B47695" w:rsidRPr="00B47695" w:rsidRDefault="00B47695" w:rsidP="00B47695">
      <w:pPr>
        <w:keepNext/>
        <w:keepLines/>
        <w:tabs>
          <w:tab w:val="left" w:pos="0"/>
          <w:tab w:val="left" w:pos="9450"/>
        </w:tabs>
        <w:spacing w:before="120" w:after="80" w:line="240" w:lineRule="auto"/>
        <w:ind w:right="-274" w:hanging="274"/>
        <w:rPr>
          <w:rFonts w:asciiTheme="minorHAnsi" w:eastAsia="Times New Roman" w:hAnsiTheme="minorHAnsi"/>
          <w:sz w:val="16"/>
          <w:szCs w:val="16"/>
        </w:rPr>
      </w:pPr>
      <w:r w:rsidRPr="00B47695">
        <w:rPr>
          <w:rFonts w:asciiTheme="minorHAnsi" w:eastAsia="Times New Roman" w:hAnsiTheme="minorHAnsi"/>
          <w:sz w:val="16"/>
          <w:szCs w:val="16"/>
        </w:rPr>
        <w:t>(a)</w:t>
      </w:r>
      <w:r w:rsidRPr="00B47695">
        <w:rPr>
          <w:rFonts w:asciiTheme="minorHAnsi" w:eastAsia="Times New Roman" w:hAnsiTheme="minorHAnsi"/>
          <w:sz w:val="16"/>
          <w:szCs w:val="16"/>
        </w:rPr>
        <w:tab/>
        <w:t xml:space="preserve">These values are </w:t>
      </w:r>
      <w:r w:rsidRPr="00B47695">
        <w:rPr>
          <w:rFonts w:asciiTheme="minorHAnsi" w:hAnsiTheme="minorHAnsi"/>
          <w:sz w:val="16"/>
          <w:szCs w:val="16"/>
        </w:rPr>
        <w:t xml:space="preserve">net of BTM PV, consistent with the other projections in this section. Because this table uses net ICR, the ISO does not subtract the EE forecast; EE is considered part of the resource mix meeting the ICR. </w:t>
      </w:r>
    </w:p>
    <w:p w:rsidR="00B47695" w:rsidRPr="00B47695" w:rsidRDefault="00B47695" w:rsidP="00B47695">
      <w:pPr>
        <w:keepNext/>
        <w:keepLines/>
        <w:tabs>
          <w:tab w:val="left" w:pos="0"/>
        </w:tabs>
        <w:spacing w:after="80" w:line="240" w:lineRule="auto"/>
        <w:ind w:right="-274" w:hanging="274"/>
        <w:rPr>
          <w:rFonts w:ascii="Calibri" w:eastAsia="Times New Roman" w:hAnsi="Calibri"/>
          <w:sz w:val="16"/>
          <w:szCs w:val="16"/>
        </w:rPr>
      </w:pPr>
      <w:r w:rsidRPr="00B47695">
        <w:rPr>
          <w:rFonts w:asciiTheme="minorHAnsi" w:eastAsia="Times New Roman" w:hAnsiTheme="minorHAnsi"/>
          <w:sz w:val="16"/>
          <w:szCs w:val="16"/>
        </w:rPr>
        <w:t xml:space="preserve">(b) </w:t>
      </w:r>
      <w:r w:rsidRPr="00B47695">
        <w:rPr>
          <w:rFonts w:asciiTheme="minorHAnsi" w:eastAsia="Times New Roman" w:hAnsiTheme="minorHAnsi"/>
          <w:sz w:val="16"/>
          <w:szCs w:val="16"/>
        </w:rPr>
        <w:tab/>
        <w:t xml:space="preserve">The 2,305 MW value of operating reserves is based on the following assumptions: a first contingency of 1,400 MW plus a 20% increase in the 10-minute operating reserve </w:t>
      </w:r>
      <w:r w:rsidRPr="00B47695">
        <w:rPr>
          <w:rFonts w:ascii="Calibri" w:eastAsia="Times New Roman" w:hAnsi="Calibri"/>
          <w:color w:val="1F497D"/>
          <w:sz w:val="16"/>
          <w:szCs w:val="16"/>
        </w:rPr>
        <w:t xml:space="preserve">to </w:t>
      </w:r>
      <w:r w:rsidRPr="00B47695">
        <w:rPr>
          <w:rFonts w:ascii="Calibri" w:eastAsia="Times New Roman" w:hAnsi="Calibri"/>
          <w:sz w:val="16"/>
          <w:szCs w:val="16"/>
        </w:rPr>
        <w:t xml:space="preserve">compensate for nonperformance of the reserve generating units (as discussed in Section </w:t>
      </w:r>
      <w:r w:rsidRPr="009C67B0">
        <w:rPr>
          <w:rFonts w:asciiTheme="majorHAnsi" w:eastAsia="Times New Roman" w:hAnsiTheme="majorHAnsi"/>
          <w:sz w:val="16"/>
        </w:rPr>
        <w:fldChar w:fldCharType="begin"/>
      </w:r>
      <w:r w:rsidRPr="009C67B0">
        <w:rPr>
          <w:rFonts w:asciiTheme="majorHAnsi" w:eastAsia="Times New Roman" w:hAnsiTheme="majorHAnsi"/>
          <w:sz w:val="16"/>
        </w:rPr>
        <w:instrText xml:space="preserve"> REF _Ref388642296 \r \h  \* MERGEFORMAT </w:instrText>
      </w:r>
      <w:r w:rsidRPr="009C67B0">
        <w:rPr>
          <w:rFonts w:asciiTheme="majorHAnsi" w:eastAsia="Times New Roman" w:hAnsiTheme="majorHAnsi"/>
          <w:sz w:val="16"/>
        </w:rPr>
      </w:r>
      <w:r w:rsidRPr="009C67B0">
        <w:rPr>
          <w:rFonts w:asciiTheme="majorHAnsi" w:eastAsia="Times New Roman" w:hAnsiTheme="majorHAnsi"/>
          <w:sz w:val="16"/>
        </w:rPr>
        <w:fldChar w:fldCharType="separate"/>
      </w:r>
      <w:r w:rsidR="00314781">
        <w:rPr>
          <w:rFonts w:asciiTheme="majorHAnsi" w:eastAsia="Times New Roman" w:hAnsiTheme="majorHAnsi"/>
          <w:sz w:val="16"/>
        </w:rPr>
        <w:t>4.4.1</w:t>
      </w:r>
      <w:r w:rsidRPr="009C67B0">
        <w:rPr>
          <w:rFonts w:asciiTheme="majorHAnsi" w:eastAsia="Times New Roman" w:hAnsiTheme="majorHAnsi"/>
          <w:sz w:val="16"/>
        </w:rPr>
        <w:fldChar w:fldCharType="end"/>
      </w:r>
      <w:r w:rsidRPr="00B47695">
        <w:rPr>
          <w:rFonts w:ascii="Calibri" w:eastAsia="Times New Roman" w:hAnsi="Calibri"/>
          <w:sz w:val="16"/>
          <w:szCs w:val="16"/>
        </w:rPr>
        <w:t>) equal to 280 MW, and 30-minute reserves of 625 MW (one half of 1,250 MW).</w:t>
      </w:r>
    </w:p>
    <w:p w:rsidR="00B47695" w:rsidRPr="00B47695" w:rsidRDefault="00B47695" w:rsidP="00B47695">
      <w:pPr>
        <w:keepNext/>
        <w:keepLines/>
        <w:tabs>
          <w:tab w:val="left" w:pos="0"/>
        </w:tabs>
        <w:spacing w:after="80" w:line="240" w:lineRule="auto"/>
        <w:ind w:right="-274" w:hanging="274"/>
        <w:rPr>
          <w:rFonts w:asciiTheme="minorHAnsi" w:eastAsia="Times New Roman" w:hAnsiTheme="minorHAnsi"/>
          <w:sz w:val="16"/>
          <w:szCs w:val="16"/>
        </w:rPr>
      </w:pPr>
      <w:r w:rsidRPr="00B47695">
        <w:rPr>
          <w:rFonts w:asciiTheme="minorHAnsi" w:eastAsia="Times New Roman" w:hAnsiTheme="minorHAnsi"/>
          <w:sz w:val="16"/>
          <w:szCs w:val="16"/>
        </w:rPr>
        <w:t>(c)</w:t>
      </w:r>
      <w:r w:rsidRPr="00B47695">
        <w:rPr>
          <w:rFonts w:asciiTheme="minorHAnsi" w:eastAsia="Times New Roman" w:hAnsiTheme="minorHAnsi"/>
          <w:sz w:val="16"/>
          <w:szCs w:val="16"/>
        </w:rPr>
        <w:tab/>
      </w:r>
      <w:r w:rsidRPr="00B47695">
        <w:rPr>
          <w:rFonts w:asciiTheme="minorHAnsi" w:eastAsia="Times New Roman" w:hAnsiTheme="minorHAnsi" w:cs="Arial"/>
          <w:sz w:val="16"/>
          <w:szCs w:val="16"/>
        </w:rPr>
        <w:t xml:space="preserve">Net ICR values for 2017/2018 to 2020/2021 are the latest values approved by FERC. These net ICR values were developed using 2016 CELT Report loads. The net ICR values for other years are consistent with the representative future net ICR values in </w:t>
      </w:r>
      <w:r w:rsidRPr="00B47695">
        <w:rPr>
          <w:rFonts w:asciiTheme="minorHAnsi" w:eastAsia="Times New Roman" w:hAnsiTheme="minorHAnsi" w:cs="Arial"/>
          <w:sz w:val="16"/>
          <w:szCs w:val="16"/>
        </w:rPr>
        <w:fldChar w:fldCharType="begin"/>
      </w:r>
      <w:r w:rsidRPr="00B47695">
        <w:rPr>
          <w:rFonts w:asciiTheme="minorHAnsi" w:eastAsia="Times New Roman" w:hAnsiTheme="minorHAnsi" w:cs="Arial"/>
          <w:sz w:val="16"/>
          <w:szCs w:val="16"/>
        </w:rPr>
        <w:instrText xml:space="preserve"> REF _Ref325445701 \h  \* MERGEFORMAT </w:instrText>
      </w:r>
      <w:r w:rsidRPr="00B47695">
        <w:rPr>
          <w:rFonts w:ascii="Calibri" w:hAnsi="Calibri"/>
          <w:b/>
          <w:bCs/>
          <w:szCs w:val="18"/>
        </w:rPr>
        <w:instrText>Table 4</w:instrText>
      </w:r>
      <w:r w:rsidRPr="00B47695">
        <w:rPr>
          <w:rFonts w:ascii="Calibri" w:hAnsi="Calibri"/>
          <w:b/>
          <w:bCs/>
          <w:szCs w:val="18"/>
        </w:rPr>
        <w:noBreakHyphen/>
        <w:instrText>5</w:instrText>
      </w:r>
      <w:r w:rsidRPr="00B47695">
        <w:rPr>
          <w:rFonts w:asciiTheme="minorHAnsi" w:eastAsia="Times New Roman" w:hAnsiTheme="minorHAnsi" w:cs="Arial"/>
          <w:sz w:val="16"/>
          <w:szCs w:val="16"/>
        </w:rPr>
      </w:r>
      <w:r w:rsidRPr="00B47695">
        <w:rPr>
          <w:rFonts w:asciiTheme="minorHAnsi" w:eastAsia="Times New Roman" w:hAnsiTheme="minorHAnsi" w:cs="Arial"/>
          <w:sz w:val="16"/>
          <w:szCs w:val="16"/>
        </w:rPr>
        <w:fldChar w:fldCharType="separate"/>
      </w:r>
      <w:r w:rsidR="00314781" w:rsidRPr="000162C8">
        <w:rPr>
          <w:rFonts w:ascii="Calibri" w:hAnsi="Calibri"/>
          <w:bCs/>
          <w:sz w:val="16"/>
          <w:szCs w:val="16"/>
        </w:rPr>
        <w:t>Table 4</w:t>
      </w:r>
      <w:r w:rsidR="00314781" w:rsidRPr="000162C8">
        <w:rPr>
          <w:rFonts w:ascii="Calibri" w:hAnsi="Calibri"/>
          <w:bCs/>
          <w:sz w:val="16"/>
          <w:szCs w:val="16"/>
        </w:rPr>
        <w:noBreakHyphen/>
        <w:t>5</w:t>
      </w:r>
      <w:r w:rsidRPr="00B47695">
        <w:rPr>
          <w:rFonts w:asciiTheme="minorHAnsi" w:eastAsia="Times New Roman" w:hAnsiTheme="minorHAnsi" w:cs="Arial"/>
          <w:sz w:val="16"/>
          <w:szCs w:val="16"/>
        </w:rPr>
        <w:fldChar w:fldCharType="end"/>
      </w:r>
      <w:r w:rsidRPr="00B47695">
        <w:rPr>
          <w:rFonts w:asciiTheme="minorHAnsi" w:eastAsia="Times New Roman" w:hAnsiTheme="minorHAnsi" w:cs="Arial"/>
          <w:sz w:val="16"/>
          <w:szCs w:val="16"/>
        </w:rPr>
        <w:t>.</w:t>
      </w:r>
    </w:p>
    <w:p w:rsidR="00B47695" w:rsidRPr="00B47695" w:rsidRDefault="00B47695" w:rsidP="00B47695">
      <w:pPr>
        <w:keepNext/>
        <w:keepLines/>
        <w:tabs>
          <w:tab w:val="left" w:pos="0"/>
        </w:tabs>
        <w:spacing w:after="80" w:line="240" w:lineRule="auto"/>
        <w:ind w:right="-274" w:hanging="274"/>
        <w:rPr>
          <w:rFonts w:asciiTheme="minorHAnsi" w:eastAsia="Times New Roman" w:hAnsiTheme="minorHAnsi"/>
          <w:sz w:val="16"/>
          <w:szCs w:val="16"/>
        </w:rPr>
      </w:pPr>
      <w:r w:rsidRPr="00B47695">
        <w:rPr>
          <w:rFonts w:asciiTheme="minorHAnsi" w:eastAsia="Times New Roman" w:hAnsiTheme="minorHAnsi"/>
          <w:sz w:val="16"/>
          <w:szCs w:val="16"/>
        </w:rPr>
        <w:t xml:space="preserve">(d) </w:t>
      </w:r>
      <w:r w:rsidRPr="00B47695">
        <w:rPr>
          <w:rFonts w:asciiTheme="minorHAnsi" w:eastAsia="Times New Roman" w:hAnsiTheme="minorHAnsi"/>
          <w:sz w:val="16"/>
          <w:szCs w:val="16"/>
        </w:rPr>
        <w:tab/>
      </w:r>
      <w:r w:rsidRPr="00B47695">
        <w:rPr>
          <w:rFonts w:asciiTheme="minorHAnsi" w:eastAsia="Times New Roman" w:hAnsiTheme="minorHAnsi" w:cs="Arial"/>
          <w:sz w:val="16"/>
          <w:szCs w:val="16"/>
        </w:rPr>
        <w:t>The net capacity values are equal to the net ICR minus the assumed unavailable capacity.</w:t>
      </w:r>
    </w:p>
    <w:p w:rsidR="00B47695" w:rsidRPr="00B47695" w:rsidRDefault="00B47695" w:rsidP="00B47695">
      <w:pPr>
        <w:tabs>
          <w:tab w:val="left" w:pos="0"/>
          <w:tab w:val="left" w:pos="9450"/>
        </w:tabs>
        <w:spacing w:line="240" w:lineRule="auto"/>
        <w:ind w:right="-274" w:hanging="274"/>
        <w:rPr>
          <w:rFonts w:asciiTheme="minorHAnsi" w:eastAsia="Times New Roman" w:hAnsiTheme="minorHAnsi"/>
          <w:sz w:val="16"/>
          <w:szCs w:val="16"/>
        </w:rPr>
      </w:pPr>
      <w:r w:rsidRPr="00B47695">
        <w:rPr>
          <w:rFonts w:asciiTheme="minorHAnsi" w:eastAsia="Times New Roman" w:hAnsiTheme="minorHAnsi"/>
          <w:sz w:val="16"/>
          <w:szCs w:val="16"/>
        </w:rPr>
        <w:t xml:space="preserve">(e) </w:t>
      </w:r>
      <w:r w:rsidRPr="00B47695">
        <w:rPr>
          <w:rFonts w:asciiTheme="minorHAnsi" w:eastAsia="Times New Roman" w:hAnsiTheme="minorHAnsi"/>
          <w:sz w:val="16"/>
          <w:szCs w:val="16"/>
        </w:rPr>
        <w:tab/>
        <w:t>“Operable capacity margin” equals “total net capacity” minus “total requirement.”</w:t>
      </w:r>
    </w:p>
    <w:p w:rsidR="00B47695" w:rsidRPr="00B47695" w:rsidRDefault="00B47695" w:rsidP="00B47695">
      <w:pPr>
        <w:rPr>
          <w:rFonts w:asciiTheme="minorHAnsi" w:eastAsia="Times New Roman" w:hAnsiTheme="minorHAnsi"/>
          <w:sz w:val="16"/>
          <w:szCs w:val="16"/>
        </w:rPr>
      </w:pPr>
      <w:r w:rsidRPr="00B47695">
        <w:rPr>
          <w:bCs/>
          <w:szCs w:val="18"/>
        </w:rPr>
        <w:t>Table 4</w:t>
      </w:r>
      <w:r w:rsidRPr="00B47695">
        <w:rPr>
          <w:bCs/>
          <w:szCs w:val="18"/>
        </w:rPr>
        <w:noBreakHyphen/>
        <w:t xml:space="preserve">6 also </w:t>
      </w:r>
      <w:r w:rsidRPr="00B47695">
        <w:t xml:space="preserve">shows that if the projected 90/10 peak loads occurred, New England could experience large negative operable-capacity margins from approximately 2,000 MW (2020) to a high of approximately 2,400 MW (2022 and 2023) during the study period. Due to the effects of increasing behind-the-meter PV on the load forecast, the negative operable-capacity margin decreases to approximately 2,200 MW by the end of the study period. Thus, throughout the study period, New England would have to rely on </w:t>
      </w:r>
      <w:r w:rsidR="00EE4205">
        <w:t xml:space="preserve">additional imports or </w:t>
      </w:r>
      <w:r w:rsidRPr="00B47695">
        <w:t>load and capacity relief from OP 4 actions to meet the 90/10 peak demand.</w:t>
      </w:r>
    </w:p>
    <w:p w:rsidR="00B47695" w:rsidRPr="00B47695" w:rsidRDefault="00B47695" w:rsidP="007468C2">
      <w:pPr>
        <w:pStyle w:val="Heading2"/>
      </w:pPr>
      <w:bookmarkStart w:id="385" w:name="_Toc481053259"/>
      <w:bookmarkStart w:id="386" w:name="_Toc481053260"/>
      <w:bookmarkStart w:id="387" w:name="_Toc481053261"/>
      <w:bookmarkStart w:id="388" w:name="_Toc481053262"/>
      <w:bookmarkStart w:id="389" w:name="_Toc481053263"/>
      <w:bookmarkStart w:id="390" w:name="_Ref327436621"/>
      <w:bookmarkStart w:id="391" w:name="_Ref327457751"/>
      <w:bookmarkStart w:id="392" w:name="_Toc334601033"/>
      <w:bookmarkStart w:id="393" w:name="_Toc365440996"/>
      <w:bookmarkStart w:id="394" w:name="_Toc396807626"/>
      <w:bookmarkStart w:id="395" w:name="_Ref388092299"/>
      <w:bookmarkStart w:id="396" w:name="_Ref388102898"/>
      <w:bookmarkStart w:id="397" w:name="_Ref418883599"/>
      <w:bookmarkStart w:id="398" w:name="_Toc481053264"/>
      <w:bookmarkStart w:id="399" w:name="_Toc490323030"/>
      <w:bookmarkStart w:id="400" w:name="_Toc291755113"/>
      <w:bookmarkStart w:id="401" w:name="_Toc201669939"/>
      <w:bookmarkStart w:id="402" w:name="_Ref202110477"/>
      <w:bookmarkStart w:id="403" w:name="_Ref202176759"/>
      <w:bookmarkStart w:id="404" w:name="_Ref202252734"/>
      <w:bookmarkStart w:id="405" w:name="_Ref202367538"/>
      <w:bookmarkStart w:id="406" w:name="_Toc207531838"/>
      <w:bookmarkStart w:id="407" w:name="_Ref231186439"/>
      <w:bookmarkStart w:id="408" w:name="_Ref231194402"/>
      <w:bookmarkStart w:id="409" w:name="_Toc239157074"/>
      <w:bookmarkStart w:id="410" w:name="_Ref262118248"/>
      <w:bookmarkStart w:id="411" w:name="_Ref262118276"/>
      <w:bookmarkStart w:id="412" w:name="_Ref230950481"/>
      <w:bookmarkStart w:id="413" w:name="_Ref266557523"/>
      <w:bookmarkStart w:id="414" w:name="_Ref267384581"/>
      <w:bookmarkStart w:id="415" w:name="_Ref296434832"/>
      <w:bookmarkStart w:id="416" w:name="_Ref301345694"/>
      <w:bookmarkStart w:id="417" w:name="_Ref301345706"/>
      <w:bookmarkStart w:id="418" w:name="_Toc303086387"/>
      <w:bookmarkEnd w:id="346"/>
      <w:bookmarkEnd w:id="347"/>
      <w:bookmarkEnd w:id="348"/>
      <w:bookmarkEnd w:id="349"/>
      <w:bookmarkEnd w:id="385"/>
      <w:bookmarkEnd w:id="386"/>
      <w:bookmarkEnd w:id="387"/>
      <w:bookmarkEnd w:id="388"/>
      <w:bookmarkEnd w:id="389"/>
      <w:r w:rsidRPr="00B47695">
        <w:t>Determining Operating Reserves</w:t>
      </w:r>
      <w:bookmarkEnd w:id="390"/>
      <w:r w:rsidRPr="00B47695">
        <w:t xml:space="preserve"> and Regulation</w:t>
      </w:r>
      <w:bookmarkEnd w:id="391"/>
      <w:bookmarkEnd w:id="392"/>
      <w:bookmarkEnd w:id="393"/>
      <w:bookmarkEnd w:id="394"/>
      <w:bookmarkEnd w:id="395"/>
      <w:bookmarkEnd w:id="396"/>
      <w:bookmarkEnd w:id="397"/>
      <w:bookmarkEnd w:id="398"/>
      <w:bookmarkEnd w:id="399"/>
    </w:p>
    <w:p w:rsidR="00B47695" w:rsidRPr="00B47695" w:rsidRDefault="00B47695" w:rsidP="00B47695">
      <w:pPr>
        <w:keepNext/>
      </w:pPr>
      <w:r w:rsidRPr="00B47695">
        <w:t xml:space="preserve">In addition to capacity resources being available to meet the region’s actual demand for electricity, as discussed in Section </w:t>
      </w:r>
      <w:r w:rsidRPr="00B47695">
        <w:fldChar w:fldCharType="begin"/>
      </w:r>
      <w:r w:rsidRPr="00B47695">
        <w:instrText xml:space="preserve"> REF _Ref327866184 \r \h  \* MERGEFORMAT </w:instrText>
      </w:r>
      <w:r w:rsidRPr="00B47695">
        <w:fldChar w:fldCharType="separate"/>
      </w:r>
      <w:r w:rsidR="00314781">
        <w:t>4.1</w:t>
      </w:r>
      <w:r w:rsidRPr="00B47695">
        <w:fldChar w:fldCharType="end"/>
      </w:r>
      <w:r w:rsidRPr="00B47695">
        <w:t xml:space="preserve">, the system needs a certain amount of resources that can provide operating reserves and system regulation. The overall mix of resources providing operating reserves must be able </w:t>
      </w:r>
      <w:r w:rsidRPr="00B47695">
        <w:lastRenderedPageBreak/>
        <w:t xml:space="preserve">to respond quickly to system contingencies stemming from equipment outages. The ISO may also call on these resources to provide regulation service for maintaining system frequency and external transactions with neighboring balancing authority areas or to serve load during peak demand conditions. A suboptimal mix of resources overall, with limited amounts of flexible operating characteristics, could result in the system’s dependence on more costly resources to provide these services. In the worst case, reliability would be degraded. </w:t>
      </w:r>
    </w:p>
    <w:p w:rsidR="00B47695" w:rsidRPr="00B47695" w:rsidRDefault="00B47695" w:rsidP="00B47695">
      <w:r w:rsidRPr="00B47695">
        <w:t xml:space="preserve">Several types of resources in New England have the operating characteristics to respond to contingencies, provide regulation service, and serve peak demand. The generating units that provide operating reserves can respond to contingencies within 10 or 30 minutes and can either be synchronized or not synchronized to the power system. Synchronized (i.e., </w:t>
      </w:r>
      <w:r w:rsidRPr="00B47695">
        <w:rPr>
          <w:i/>
        </w:rPr>
        <w:t>spinning</w:t>
      </w:r>
      <w:r w:rsidRPr="00B47695">
        <w:t xml:space="preserve">) operating reserves are on-line resources that can increase output. Nonsynchronized (i.e., </w:t>
      </w:r>
      <w:r w:rsidRPr="00B47695">
        <w:rPr>
          <w:i/>
        </w:rPr>
        <w:t>nonspinning</w:t>
      </w:r>
      <w:r w:rsidRPr="00B47695">
        <w:t xml:space="preserve">) operating reserves are off-line, </w:t>
      </w:r>
      <w:r w:rsidRPr="00B57937">
        <w:t>fast-start resources that can be electrically synchronized to the system quickly, reaching maximum</w:t>
      </w:r>
      <w:r w:rsidRPr="00B47695">
        <w:t xml:space="preserve"> output within 10 minutes or within 30 minutes. During real-time daily operations, the ISO determines operating-reserve requirements for the system as a whole and for major import-constrained areas.</w:t>
      </w:r>
    </w:p>
    <w:p w:rsidR="00B47695" w:rsidRPr="00B47695" w:rsidRDefault="00B47695" w:rsidP="00B47695">
      <w:pPr>
        <w:rPr>
          <w:rFonts w:asciiTheme="majorHAnsi" w:hAnsiTheme="majorHAnsi"/>
        </w:rPr>
      </w:pPr>
      <w:r w:rsidRPr="00B47695">
        <w:t xml:space="preserve">This section discusses the need for operating reserves, both systemwide and in major import areas, and the use of specific types of fast-start resources to fill these needs. An overview of the Forward Reserve </w:t>
      </w:r>
      <w:r w:rsidRPr="00843374">
        <w:t>Market and a forecast of representative future operating-reserve requirements for Greater Southwest Connecticut, Greater Connecticut, and BOSTON are provided. This section also discusses the likely need</w:t>
      </w:r>
      <w:r w:rsidRPr="00B47695">
        <w:t xml:space="preserve"> for additional flexible resources identified by the s</w:t>
      </w:r>
      <w:r w:rsidRPr="00B47695">
        <w:rPr>
          <w:rFonts w:eastAsia="Calibri" w:cs="Arial"/>
          <w:noProof/>
        </w:rPr>
        <w:t xml:space="preserve">tudies and other actions supporting the strategic </w:t>
      </w:r>
      <w:r w:rsidRPr="00361210">
        <w:rPr>
          <w:rFonts w:eastAsia="Calibri" w:cs="Arial"/>
          <w:noProof/>
        </w:rPr>
        <w:t xml:space="preserve">planning of the region, as discussed in Section </w:t>
      </w:r>
      <w:r w:rsidR="00490424" w:rsidRPr="00361210">
        <w:rPr>
          <w:rFonts w:eastAsia="Calibri" w:cs="Arial"/>
          <w:noProof/>
        </w:rPr>
        <w:fldChar w:fldCharType="begin"/>
      </w:r>
      <w:r w:rsidR="00490424" w:rsidRPr="00361210">
        <w:rPr>
          <w:rFonts w:eastAsia="Calibri" w:cs="Arial"/>
          <w:noProof/>
        </w:rPr>
        <w:instrText xml:space="preserve"> REF _Ref485730547 \r \h  \* MERGEFORMAT </w:instrText>
      </w:r>
      <w:r w:rsidR="00490424" w:rsidRPr="00361210">
        <w:rPr>
          <w:rFonts w:eastAsia="Calibri" w:cs="Arial"/>
          <w:noProof/>
        </w:rPr>
      </w:r>
      <w:r w:rsidR="00490424" w:rsidRPr="00361210">
        <w:rPr>
          <w:rFonts w:eastAsia="Calibri" w:cs="Arial"/>
          <w:noProof/>
        </w:rPr>
        <w:fldChar w:fldCharType="separate"/>
      </w:r>
      <w:r w:rsidR="00314781">
        <w:rPr>
          <w:rFonts w:eastAsia="Calibri" w:cs="Arial"/>
          <w:noProof/>
        </w:rPr>
        <w:t>9.4</w:t>
      </w:r>
      <w:r w:rsidR="00490424" w:rsidRPr="00361210">
        <w:rPr>
          <w:rFonts w:eastAsia="Calibri" w:cs="Arial"/>
          <w:noProof/>
        </w:rPr>
        <w:fldChar w:fldCharType="end"/>
      </w:r>
      <w:r w:rsidRPr="00361210">
        <w:t>.</w:t>
      </w:r>
    </w:p>
    <w:p w:rsidR="00B47695" w:rsidRPr="00B47695" w:rsidRDefault="00B47695" w:rsidP="008F549B">
      <w:pPr>
        <w:pStyle w:val="Heading3"/>
      </w:pPr>
      <w:bookmarkStart w:id="419" w:name="_Toc334601034"/>
      <w:bookmarkStart w:id="420" w:name="_Toc365440997"/>
      <w:bookmarkStart w:id="421" w:name="_Ref388642296"/>
      <w:bookmarkStart w:id="422" w:name="_Toc396807627"/>
      <w:bookmarkStart w:id="423" w:name="_Toc481053265"/>
      <w:bookmarkStart w:id="424" w:name="_Toc490323031"/>
      <w:r w:rsidRPr="00B47695">
        <w:t>Systemwide Operating-Reserve Requirements</w:t>
      </w:r>
      <w:bookmarkEnd w:id="419"/>
      <w:bookmarkEnd w:id="420"/>
      <w:bookmarkEnd w:id="421"/>
      <w:bookmarkEnd w:id="422"/>
      <w:bookmarkEnd w:id="423"/>
      <w:bookmarkEnd w:id="424"/>
      <w:r w:rsidRPr="00B47695">
        <w:t xml:space="preserve"> </w:t>
      </w:r>
    </w:p>
    <w:p w:rsidR="00B47695" w:rsidRPr="00B47695" w:rsidRDefault="00B47695" w:rsidP="00B47695">
      <w:r w:rsidRPr="00B47695">
        <w:t xml:space="preserve">The ISO’s operating-reserve requirements, as established in Operating Procedure No. 8, </w:t>
      </w:r>
      <w:r w:rsidRPr="00B47695">
        <w:rPr>
          <w:i/>
          <w:iCs/>
        </w:rPr>
        <w:t>Operating Reserve and Regulation</w:t>
      </w:r>
      <w:r w:rsidRPr="00B47695">
        <w:t xml:space="preserve"> (OP 8), are used to protect the system from the impacts associated with a loss of generating or transmission equipment within New England.</w:t>
      </w:r>
      <w:r w:rsidRPr="00B47695">
        <w:rPr>
          <w:vertAlign w:val="superscript"/>
        </w:rPr>
        <w:footnoteReference w:id="105"/>
      </w:r>
      <w:r w:rsidRPr="00B47695">
        <w:t xml:space="preserve"> A certain amount of the power system’s resources must be available to provide operating reserves to assist in addressing systemwide contingencies. </w:t>
      </w:r>
    </w:p>
    <w:p w:rsidR="00B47695" w:rsidRPr="00B47695" w:rsidRDefault="00B47695" w:rsidP="00B47695">
      <w:r w:rsidRPr="00BA2A26">
        <w:t>To comply with OP 8, the ISO must maintain sufficient reserves in its balancing authority area during</w:t>
      </w:r>
      <w:r w:rsidRPr="00B47695">
        <w:t xml:space="preserve"> normal conditions to be able to replace within 10 minutes the first-contingency loss (N</w:t>
      </w:r>
      <w:r w:rsidR="00A302DC">
        <w:t>–</w:t>
      </w:r>
      <w:r w:rsidRPr="00B47695">
        <w:t xml:space="preserve">1) in the New England Reliability Balancing Authority Area multiplied by the contingency-reserve adjustment (CRA) factor for the most recent completed quarter. The current total 10-minute operating-reserve requirement reflecting the CRA factor is 1.2% of the first-contingency loss. In addition, OP 8 requires the ISO to maintain sufficient reserves to address the uncertainties associated with resource nonperformance, as well as load-forecast error. To meet this need, the ISO must be able to replace at least 50% of the next-largest contingency </w:t>
      </w:r>
      <w:r w:rsidRPr="00A302DC">
        <w:t>loss (N</w:t>
      </w:r>
      <w:r w:rsidR="00A302DC" w:rsidRPr="00A302DC">
        <w:t>–</w:t>
      </w:r>
      <w:r w:rsidRPr="00A302DC">
        <w:t>1</w:t>
      </w:r>
      <w:r w:rsidR="00A302DC" w:rsidRPr="00A302DC">
        <w:t>–</w:t>
      </w:r>
      <w:r w:rsidRPr="00A302DC">
        <w:t>1)</w:t>
      </w:r>
      <w:r w:rsidRPr="00B47695">
        <w:t xml:space="preserve"> within 30 minutes plus a replacement reserve requirement of 180 MW during Eastern Standard Time and 160 MW during Daylight Savings Time. The higher amount set for the winter period is to accommodate the additional peak-load ramping and fuel uncertainty usually experienced during this period.</w:t>
      </w:r>
      <w:r w:rsidRPr="00B47695">
        <w:rPr>
          <w:vertAlign w:val="superscript"/>
        </w:rPr>
        <w:footnoteReference w:id="106"/>
      </w:r>
      <w:r w:rsidRPr="00B47695">
        <w:t xml:space="preserve"> </w:t>
      </w:r>
    </w:p>
    <w:p w:rsidR="00B47695" w:rsidRPr="00B47695" w:rsidRDefault="00B47695" w:rsidP="00B47695">
      <w:r w:rsidRPr="00B47695">
        <w:lastRenderedPageBreak/>
        <w:t>Typically, the largest first-contingency loss is between 1,300 and 1,700 MW, and 50% of the next-largest contingency loss is between 600 and 850 MW. These resources typically consist of some combination of the two largest on-line generating units or imports on the Phase II interconnection with Québec.</w:t>
      </w:r>
    </w:p>
    <w:p w:rsidR="00B47695" w:rsidRPr="00B47695" w:rsidRDefault="00B47695" w:rsidP="00B47695">
      <w:r w:rsidRPr="00B47695">
        <w:t xml:space="preserve">In accordance with NERC and NPCC criteria for power system operation, ISO Operating Procedure No. 19 (OP 19), </w:t>
      </w:r>
      <w:r w:rsidRPr="00B47695">
        <w:rPr>
          <w:i/>
        </w:rPr>
        <w:t>Transmission Operations</w:t>
      </w:r>
      <w:r w:rsidRPr="00B47695">
        <w:t>, requires system power flows to stay within applicable emergency limits of the power system elements that remain after the loss of any other power system element (N−1).</w:t>
      </w:r>
      <w:r w:rsidRPr="00B47695">
        <w:rPr>
          <w:vertAlign w:val="superscript"/>
        </w:rPr>
        <w:footnoteReference w:id="107"/>
      </w:r>
      <w:r w:rsidRPr="00B47695">
        <w:t xml:space="preserve"> This N−1 limit may be a thermal, voltage, or stability limit of the transmission system. OP 19 further stipulates that within 30 minutes of the loss of the first-contingency element, the system must be able to return to a normal state that can withstand a second contingency. To implement these OP 19 requirements, and as set forth in OP 8, operating reserves must be distributed throughout the system. This requirement is designed to ensure that the ISO can activate all reserves without exceeding transmission system limitations and that the operation of the system remains in accordance with NERC, NPCC, and ISO New England criteria and guidelines.</w:t>
      </w:r>
    </w:p>
    <w:p w:rsidR="00B47695" w:rsidRPr="00B47695" w:rsidRDefault="00B47695" w:rsidP="008F549B">
      <w:pPr>
        <w:pStyle w:val="Heading3"/>
      </w:pPr>
      <w:bookmarkStart w:id="425" w:name="_Toc365440998"/>
      <w:bookmarkStart w:id="426" w:name="_Ref388870530"/>
      <w:bookmarkStart w:id="427" w:name="_Toc396807628"/>
      <w:bookmarkStart w:id="428" w:name="_Toc481053266"/>
      <w:bookmarkStart w:id="429" w:name="_Toc490323032"/>
      <w:r w:rsidRPr="00B47695">
        <w:t>Locational Reserve Needs for Major Import Areas</w:t>
      </w:r>
      <w:bookmarkEnd w:id="425"/>
      <w:bookmarkEnd w:id="426"/>
      <w:bookmarkEnd w:id="427"/>
      <w:bookmarkEnd w:id="428"/>
      <w:bookmarkEnd w:id="429"/>
      <w:r w:rsidRPr="00B47695">
        <w:t xml:space="preserve"> </w:t>
      </w:r>
    </w:p>
    <w:p w:rsidR="00B47695" w:rsidRPr="00B47695" w:rsidRDefault="00B47695" w:rsidP="00B47695">
      <w:r w:rsidRPr="00B47695">
        <w:t xml:space="preserve">To maintain system reliability further, the ISO maintains certain reserve levels within major importing subareas of the system. The amount and type of operating reserves needed within these subareas depend on many factors, including load levels, the projected peak load of the subarea, and the economic and physical operating characteristics of the generating units within the subarea. The systemwide commitment and economic dispatch of generation, system topology, system reliability constraints, special operational considerations, possible resource outages, and other system conditions are additional factors that can affect the required levels of reserve within subareas. </w:t>
      </w:r>
    </w:p>
    <w:p w:rsidR="00B47695" w:rsidRPr="00B47695" w:rsidRDefault="00B47695" w:rsidP="00B47695">
      <w:r w:rsidRPr="00B47695">
        <w:t xml:space="preserve">The ISO analyzes and determines how the generating resources within the subareas must be committed to meet the following day’s operational requirements and withstand possible contingencies, including the most critical contingencies that determine the transmission import capability into the subarea. If maximizing the use of transmission import capability to meet demand is more economical, the subarea will require more local operating reserves to protect for contingencies. If using import capability to meet demand is less economical, generation located outside the subarea could provide operating reserves, thus reducing operating-reserve support needed within the subarea. </w:t>
      </w:r>
    </w:p>
    <w:p w:rsidR="00B47695" w:rsidRPr="00B47695" w:rsidRDefault="00B47695" w:rsidP="00B47695">
      <w:r w:rsidRPr="00B47695">
        <w:fldChar w:fldCharType="begin"/>
      </w:r>
      <w:r w:rsidRPr="00B47695">
        <w:instrText xml:space="preserve"> REF _Ref323310818 \h  \* MERGEFORMAT </w:instrText>
      </w:r>
      <w:r w:rsidRPr="00B47695">
        <w:fldChar w:fldCharType="separate"/>
      </w:r>
      <w:r w:rsidR="00314781" w:rsidRPr="000162C8">
        <w:rPr>
          <w:bCs/>
        </w:rPr>
        <w:t>Table 4</w:t>
      </w:r>
      <w:r w:rsidR="00314781" w:rsidRPr="000162C8">
        <w:rPr>
          <w:bCs/>
        </w:rPr>
        <w:noBreakHyphen/>
        <w:t>7</w:t>
      </w:r>
      <w:r w:rsidRPr="00B47695">
        <w:fldChar w:fldCharType="end"/>
      </w:r>
      <w:r w:rsidRPr="00B47695">
        <w:t xml:space="preserve"> shows representative future operating-reserve requirements for Greater Southwest Connecticut, Greater Connecticut, and BOSTON. These estimated requirements are based on the same methodology used to calculate the requirements for the locational FRM.</w:t>
      </w:r>
      <w:r w:rsidRPr="00B47695">
        <w:rPr>
          <w:vertAlign w:val="superscript"/>
        </w:rPr>
        <w:footnoteReference w:id="108"/>
      </w:r>
      <w:r w:rsidRPr="00B47695">
        <w:t xml:space="preserve"> The estimates account for representative future system conditions for load, economic generation, generation availability, N−1 and N−1−1 transfer limits, and normal criteria contingencies for generation and transmission in each subarea. The analysis accounts for transmission upgrades consistent with the transmission</w:t>
      </w:r>
      <w:r w:rsidR="00490424">
        <w:t>-</w:t>
      </w:r>
      <w:r w:rsidRPr="00B47695">
        <w:t xml:space="preserve">transfer </w:t>
      </w:r>
      <w:r w:rsidRPr="004C4E03">
        <w:t>capabilities presented to the PAC.</w:t>
      </w:r>
      <w:r w:rsidRPr="004C4E03">
        <w:rPr>
          <w:vertAlign w:val="superscript"/>
        </w:rPr>
        <w:footnoteReference w:id="109"/>
      </w:r>
      <w:r w:rsidRPr="00B47695">
        <w:t xml:space="preserve"> </w:t>
      </w:r>
    </w:p>
    <w:p w:rsidR="00B47695" w:rsidRPr="00B47695" w:rsidRDefault="00B47695" w:rsidP="00B47695">
      <w:r w:rsidRPr="00B47695">
        <w:lastRenderedPageBreak/>
        <w:t xml:space="preserve">The representative values show a range to reflect the load and resource uncertainties associated with future system conditions. </w:t>
      </w:r>
      <w:r w:rsidRPr="00B47695">
        <w:fldChar w:fldCharType="begin"/>
      </w:r>
      <w:r w:rsidRPr="00B47695">
        <w:instrText xml:space="preserve"> REF _Ref323310818 \h  \* MERGEFORMAT </w:instrText>
      </w:r>
      <w:r w:rsidRPr="00B47695">
        <w:fldChar w:fldCharType="separate"/>
      </w:r>
      <w:r w:rsidR="00314781" w:rsidRPr="000162C8">
        <w:rPr>
          <w:bCs/>
        </w:rPr>
        <w:t>Table 4</w:t>
      </w:r>
      <w:r w:rsidR="00314781" w:rsidRPr="000162C8">
        <w:rPr>
          <w:bCs/>
        </w:rPr>
        <w:noBreakHyphen/>
        <w:t>7</w:t>
      </w:r>
      <w:r w:rsidRPr="00B47695">
        <w:fldChar w:fldCharType="end"/>
      </w:r>
      <w:r w:rsidRPr="00B47695">
        <w:t xml:space="preserve"> also shows the existing amount of fast-start capability located in each subarea resulting from the fast-start resources offered into past FRM auctions. The total 10-minute operating</w:t>
      </w:r>
      <w:r w:rsidR="00145228">
        <w:t>-</w:t>
      </w:r>
      <w:r w:rsidRPr="00B47695">
        <w:t>reserve values associated with the FRM reflect the contingency reserve adjustment, but this adjustment does not affect the amount of reserves distributed to locations (i.e., the reserve values for BOSTON, Greater Southwest Connecticut, and Greater Connecticut did not increase).</w:t>
      </w:r>
    </w:p>
    <w:p w:rsidR="00B47695" w:rsidRPr="00B47695" w:rsidRDefault="00B47695" w:rsidP="00B47695">
      <w:pPr>
        <w:keepNext/>
        <w:keepLines/>
        <w:spacing w:after="120" w:line="240" w:lineRule="auto"/>
        <w:jc w:val="center"/>
        <w:rPr>
          <w:rFonts w:ascii="Calibri" w:hAnsi="Calibri"/>
          <w:b/>
          <w:bCs/>
        </w:rPr>
      </w:pPr>
      <w:bookmarkStart w:id="430" w:name="_Ref323310818"/>
      <w:bookmarkStart w:id="431" w:name="_Toc330401262"/>
      <w:bookmarkStart w:id="432" w:name="_Toc334541935"/>
      <w:bookmarkStart w:id="433" w:name="_Toc334541972"/>
      <w:bookmarkStart w:id="434" w:name="_Toc365440709"/>
      <w:bookmarkStart w:id="435" w:name="_Toc391985610"/>
      <w:bookmarkStart w:id="436" w:name="_Toc481053566"/>
      <w:bookmarkStart w:id="437" w:name="_Toc491244011"/>
      <w:r w:rsidRPr="00B47695">
        <w:rPr>
          <w:rFonts w:ascii="Calibri" w:hAnsi="Calibri"/>
          <w:b/>
          <w:bCs/>
          <w:szCs w:val="18"/>
        </w:rPr>
        <w:lastRenderedPageBreak/>
        <w:t>Table </w:t>
      </w:r>
      <w:r w:rsidR="00D95957">
        <w:rPr>
          <w:rFonts w:ascii="Calibri" w:hAnsi="Calibri"/>
          <w:b/>
          <w:bCs/>
          <w:szCs w:val="18"/>
        </w:rPr>
        <w:fldChar w:fldCharType="begin"/>
      </w:r>
      <w:r w:rsidR="00D95957">
        <w:rPr>
          <w:rFonts w:ascii="Calibri" w:hAnsi="Calibri"/>
          <w:b/>
          <w:bCs/>
          <w:szCs w:val="18"/>
        </w:rPr>
        <w:instrText xml:space="preserve"> STYLEREF 1 \s </w:instrText>
      </w:r>
      <w:r w:rsidR="00D95957">
        <w:rPr>
          <w:rFonts w:ascii="Calibri" w:hAnsi="Calibri"/>
          <w:b/>
          <w:bCs/>
          <w:szCs w:val="18"/>
        </w:rPr>
        <w:fldChar w:fldCharType="separate"/>
      </w:r>
      <w:r w:rsidR="00D95957">
        <w:rPr>
          <w:rFonts w:ascii="Calibri" w:hAnsi="Calibri"/>
          <w:b/>
          <w:bCs/>
          <w:noProof/>
          <w:szCs w:val="18"/>
        </w:rPr>
        <w:t>4</w:t>
      </w:r>
      <w:r w:rsidR="00D95957">
        <w:rPr>
          <w:rFonts w:ascii="Calibri" w:hAnsi="Calibri"/>
          <w:b/>
          <w:bCs/>
          <w:szCs w:val="18"/>
        </w:rPr>
        <w:fldChar w:fldCharType="end"/>
      </w:r>
      <w:r w:rsidR="00D95957">
        <w:rPr>
          <w:rFonts w:ascii="Calibri" w:hAnsi="Calibri"/>
          <w:b/>
          <w:bCs/>
          <w:szCs w:val="18"/>
        </w:rPr>
        <w:noBreakHyphen/>
      </w:r>
      <w:r w:rsidR="00D95957">
        <w:rPr>
          <w:rFonts w:ascii="Calibri" w:hAnsi="Calibri"/>
          <w:b/>
          <w:bCs/>
          <w:szCs w:val="18"/>
        </w:rPr>
        <w:fldChar w:fldCharType="begin"/>
      </w:r>
      <w:r w:rsidR="00D95957">
        <w:rPr>
          <w:rFonts w:ascii="Calibri" w:hAnsi="Calibri"/>
          <w:b/>
          <w:bCs/>
          <w:szCs w:val="18"/>
        </w:rPr>
        <w:instrText xml:space="preserve"> SEQ Table \* ARABIC \s 1 </w:instrText>
      </w:r>
      <w:r w:rsidR="00D95957">
        <w:rPr>
          <w:rFonts w:ascii="Calibri" w:hAnsi="Calibri"/>
          <w:b/>
          <w:bCs/>
          <w:szCs w:val="18"/>
        </w:rPr>
        <w:fldChar w:fldCharType="separate"/>
      </w:r>
      <w:r w:rsidR="00D95957">
        <w:rPr>
          <w:rFonts w:ascii="Calibri" w:hAnsi="Calibri"/>
          <w:b/>
          <w:bCs/>
          <w:noProof/>
          <w:szCs w:val="18"/>
        </w:rPr>
        <w:t>7</w:t>
      </w:r>
      <w:r w:rsidR="00D95957">
        <w:rPr>
          <w:rFonts w:ascii="Calibri" w:hAnsi="Calibri"/>
          <w:b/>
          <w:bCs/>
          <w:szCs w:val="18"/>
        </w:rPr>
        <w:fldChar w:fldCharType="end"/>
      </w:r>
      <w:bookmarkEnd w:id="430"/>
      <w:r w:rsidRPr="00B47695">
        <w:rPr>
          <w:rFonts w:ascii="Calibri" w:hAnsi="Calibri"/>
          <w:b/>
          <w:bCs/>
        </w:rPr>
        <w:br/>
        <w:t>Representative Future Operating-Reserve Needs in Major New England Import Areas (MW)</w:t>
      </w:r>
      <w:bookmarkEnd w:id="431"/>
      <w:bookmarkEnd w:id="432"/>
      <w:bookmarkEnd w:id="433"/>
      <w:bookmarkEnd w:id="434"/>
      <w:bookmarkEnd w:id="435"/>
      <w:bookmarkEnd w:id="436"/>
      <w:bookmarkEnd w:id="437"/>
    </w:p>
    <w:tbl>
      <w:tblPr>
        <w:tblStyle w:val="TableGrid22"/>
        <w:tblW w:w="0" w:type="auto"/>
        <w:jc w:val="center"/>
        <w:tblInd w:w="-83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3765"/>
        <w:gridCol w:w="1175"/>
        <w:gridCol w:w="1527"/>
        <w:gridCol w:w="1801"/>
        <w:gridCol w:w="1785"/>
      </w:tblGrid>
      <w:tr w:rsidR="00B47695" w:rsidRPr="00B47695" w:rsidTr="0011231A">
        <w:trPr>
          <w:jc w:val="center"/>
        </w:trPr>
        <w:tc>
          <w:tcPr>
            <w:tcW w:w="3765" w:type="dxa"/>
            <w:vMerge w:val="restart"/>
            <w:shd w:val="clear" w:color="auto" w:fill="1795D2" w:themeFill="accent1"/>
            <w:vAlign w:val="center"/>
          </w:tcPr>
          <w:p w:rsidR="00B47695" w:rsidRPr="00B47695" w:rsidRDefault="00B47695" w:rsidP="00B47695">
            <w:pPr>
              <w:keepNext/>
              <w:keepLines/>
              <w:spacing w:before="20" w:after="20" w:line="240" w:lineRule="auto"/>
              <w:jc w:val="center"/>
              <w:rPr>
                <w:rFonts w:asciiTheme="majorHAnsi" w:hAnsiTheme="majorHAnsi" w:cs="Arial"/>
                <w:b/>
                <w:color w:val="FFFFFF" w:themeColor="background1"/>
                <w:sz w:val="18"/>
                <w:szCs w:val="18"/>
              </w:rPr>
            </w:pPr>
            <w:r w:rsidRPr="00B47695">
              <w:rPr>
                <w:rFonts w:asciiTheme="majorHAnsi" w:hAnsiTheme="majorHAnsi" w:cs="Arial"/>
                <w:b/>
                <w:color w:val="FFFFFF" w:themeColor="background1"/>
                <w:sz w:val="18"/>
                <w:szCs w:val="18"/>
              </w:rPr>
              <w:t>Area/Improvement</w:t>
            </w:r>
          </w:p>
        </w:tc>
        <w:tc>
          <w:tcPr>
            <w:tcW w:w="1175" w:type="dxa"/>
            <w:vMerge w:val="restart"/>
            <w:shd w:val="clear" w:color="auto" w:fill="1795D2" w:themeFill="accent1"/>
            <w:vAlign w:val="center"/>
          </w:tcPr>
          <w:p w:rsidR="00B47695" w:rsidRPr="00B47695" w:rsidRDefault="00B47695" w:rsidP="00B47695">
            <w:pPr>
              <w:keepNext/>
              <w:keepLines/>
              <w:spacing w:before="20" w:after="20" w:line="240" w:lineRule="auto"/>
              <w:jc w:val="center"/>
              <w:rPr>
                <w:rFonts w:asciiTheme="majorHAnsi" w:hAnsiTheme="majorHAnsi" w:cs="Arial"/>
                <w:b/>
                <w:color w:val="FFFFFF" w:themeColor="background1"/>
                <w:sz w:val="18"/>
                <w:szCs w:val="18"/>
              </w:rPr>
            </w:pPr>
            <w:r w:rsidRPr="00B47695">
              <w:rPr>
                <w:rFonts w:asciiTheme="majorHAnsi" w:hAnsiTheme="majorHAnsi" w:cs="Arial"/>
                <w:b/>
                <w:color w:val="FFFFFF" w:themeColor="background1"/>
                <w:sz w:val="18"/>
                <w:szCs w:val="18"/>
              </w:rPr>
              <w:t>Market Period</w:t>
            </w:r>
            <w:r w:rsidRPr="00B47695">
              <w:rPr>
                <w:rFonts w:asciiTheme="majorHAnsi" w:hAnsiTheme="majorHAnsi" w:cs="Arial"/>
                <w:b/>
                <w:color w:val="FFFFFF" w:themeColor="background1"/>
                <w:sz w:val="18"/>
                <w:szCs w:val="18"/>
                <w:vertAlign w:val="superscript"/>
              </w:rPr>
              <w:t>(a)</w:t>
            </w:r>
          </w:p>
        </w:tc>
        <w:tc>
          <w:tcPr>
            <w:tcW w:w="1527" w:type="dxa"/>
            <w:vMerge w:val="restart"/>
            <w:shd w:val="clear" w:color="auto" w:fill="1795D2" w:themeFill="accent1"/>
            <w:vAlign w:val="center"/>
          </w:tcPr>
          <w:p w:rsidR="00B47695" w:rsidRPr="00B47695" w:rsidRDefault="00B47695" w:rsidP="00B47695">
            <w:pPr>
              <w:keepNext/>
              <w:keepLines/>
              <w:spacing w:before="20" w:after="20" w:line="240" w:lineRule="auto"/>
              <w:jc w:val="center"/>
              <w:rPr>
                <w:rFonts w:asciiTheme="majorHAnsi" w:hAnsiTheme="majorHAnsi" w:cs="Arial"/>
                <w:b/>
                <w:color w:val="FFFFFF" w:themeColor="background1"/>
                <w:sz w:val="18"/>
                <w:szCs w:val="18"/>
              </w:rPr>
            </w:pPr>
            <w:r w:rsidRPr="00B47695">
              <w:rPr>
                <w:rFonts w:asciiTheme="majorHAnsi" w:hAnsiTheme="majorHAnsi" w:cs="Arial"/>
                <w:b/>
                <w:color w:val="FFFFFF" w:themeColor="background1"/>
                <w:sz w:val="18"/>
                <w:szCs w:val="18"/>
              </w:rPr>
              <w:t>Range of Fast-Start Resources Offered into the Past Five Forward Reserve Auctions (MW)</w:t>
            </w:r>
            <w:r w:rsidRPr="00B47695">
              <w:rPr>
                <w:rFonts w:asciiTheme="majorHAnsi" w:hAnsiTheme="majorHAnsi" w:cs="Arial"/>
                <w:b/>
                <w:color w:val="FFFFFF" w:themeColor="background1"/>
                <w:sz w:val="18"/>
                <w:szCs w:val="18"/>
                <w:vertAlign w:val="superscript"/>
              </w:rPr>
              <w:t>(b)</w:t>
            </w:r>
          </w:p>
        </w:tc>
        <w:tc>
          <w:tcPr>
            <w:tcW w:w="3586" w:type="dxa"/>
            <w:gridSpan w:val="2"/>
            <w:shd w:val="clear" w:color="auto" w:fill="1795D2" w:themeFill="accent1"/>
            <w:vAlign w:val="center"/>
          </w:tcPr>
          <w:p w:rsidR="00B47695" w:rsidRPr="00B47695" w:rsidRDefault="00B47695" w:rsidP="00B47695">
            <w:pPr>
              <w:keepNext/>
              <w:keepLines/>
              <w:spacing w:before="20" w:after="20" w:line="240" w:lineRule="auto"/>
              <w:jc w:val="center"/>
              <w:rPr>
                <w:rFonts w:asciiTheme="majorHAnsi" w:hAnsiTheme="majorHAnsi" w:cs="Arial"/>
                <w:b/>
                <w:color w:val="FFFFFF" w:themeColor="background1"/>
                <w:sz w:val="18"/>
                <w:szCs w:val="18"/>
              </w:rPr>
            </w:pPr>
            <w:r w:rsidRPr="00B47695">
              <w:rPr>
                <w:rFonts w:asciiTheme="majorHAnsi" w:hAnsiTheme="majorHAnsi" w:cs="Arial"/>
                <w:b/>
                <w:color w:val="FFFFFF" w:themeColor="background1"/>
                <w:sz w:val="18"/>
                <w:szCs w:val="18"/>
              </w:rPr>
              <w:t>Representative Future Locational Forward Reserve Market Requirements (MW)</w:t>
            </w:r>
          </w:p>
        </w:tc>
      </w:tr>
      <w:tr w:rsidR="00B47695" w:rsidRPr="00B47695" w:rsidTr="0011231A">
        <w:trPr>
          <w:trHeight w:val="958"/>
          <w:jc w:val="center"/>
        </w:trPr>
        <w:tc>
          <w:tcPr>
            <w:tcW w:w="3765" w:type="dxa"/>
            <w:vMerge/>
            <w:tcBorders>
              <w:bottom w:val="single" w:sz="4" w:space="0" w:color="auto"/>
            </w:tcBorders>
            <w:shd w:val="clear" w:color="auto" w:fill="1795D2" w:themeFill="accent1"/>
            <w:vAlign w:val="center"/>
          </w:tcPr>
          <w:p w:rsidR="00B47695" w:rsidRPr="00B47695" w:rsidRDefault="00B47695" w:rsidP="00B47695">
            <w:pPr>
              <w:keepNext/>
              <w:keepLines/>
              <w:spacing w:before="20" w:after="20" w:line="240" w:lineRule="auto"/>
              <w:jc w:val="center"/>
              <w:rPr>
                <w:rFonts w:asciiTheme="majorHAnsi" w:hAnsiTheme="majorHAnsi" w:cs="Arial"/>
                <w:b/>
                <w:color w:val="FFFFFF" w:themeColor="background1"/>
                <w:sz w:val="18"/>
                <w:szCs w:val="18"/>
              </w:rPr>
            </w:pPr>
          </w:p>
        </w:tc>
        <w:tc>
          <w:tcPr>
            <w:tcW w:w="1175" w:type="dxa"/>
            <w:vMerge/>
            <w:shd w:val="clear" w:color="auto" w:fill="1795D2" w:themeFill="accent1"/>
            <w:vAlign w:val="center"/>
          </w:tcPr>
          <w:p w:rsidR="00B47695" w:rsidRPr="00B47695" w:rsidRDefault="00B47695" w:rsidP="00B47695">
            <w:pPr>
              <w:keepNext/>
              <w:keepLines/>
              <w:spacing w:before="20" w:after="20" w:line="240" w:lineRule="auto"/>
              <w:jc w:val="center"/>
              <w:rPr>
                <w:rFonts w:asciiTheme="majorHAnsi" w:hAnsiTheme="majorHAnsi" w:cs="Arial"/>
                <w:color w:val="FFFFFF" w:themeColor="background1"/>
                <w:sz w:val="18"/>
                <w:szCs w:val="18"/>
              </w:rPr>
            </w:pPr>
          </w:p>
        </w:tc>
        <w:tc>
          <w:tcPr>
            <w:tcW w:w="1527" w:type="dxa"/>
            <w:vMerge/>
            <w:shd w:val="clear" w:color="auto" w:fill="1795D2" w:themeFill="accent1"/>
            <w:vAlign w:val="center"/>
          </w:tcPr>
          <w:p w:rsidR="00B47695" w:rsidRPr="00B47695" w:rsidRDefault="00B47695" w:rsidP="00B47695">
            <w:pPr>
              <w:keepNext/>
              <w:keepLines/>
              <w:spacing w:before="20" w:after="20" w:line="240" w:lineRule="auto"/>
              <w:jc w:val="center"/>
              <w:rPr>
                <w:rFonts w:asciiTheme="majorHAnsi" w:hAnsiTheme="majorHAnsi" w:cs="Arial"/>
                <w:color w:val="FFFFFF" w:themeColor="background1"/>
                <w:sz w:val="18"/>
                <w:szCs w:val="18"/>
              </w:rPr>
            </w:pPr>
          </w:p>
        </w:tc>
        <w:tc>
          <w:tcPr>
            <w:tcW w:w="1801" w:type="dxa"/>
            <w:shd w:val="clear" w:color="auto" w:fill="1795D2" w:themeFill="accent1"/>
            <w:vAlign w:val="center"/>
          </w:tcPr>
          <w:p w:rsidR="00B47695" w:rsidRPr="00B47695" w:rsidRDefault="00B47695" w:rsidP="00B47695">
            <w:pPr>
              <w:keepNext/>
              <w:keepLines/>
              <w:spacing w:before="20" w:after="20" w:line="240" w:lineRule="auto"/>
              <w:jc w:val="center"/>
              <w:rPr>
                <w:rFonts w:asciiTheme="majorHAnsi" w:hAnsiTheme="majorHAnsi" w:cs="Arial"/>
                <w:b/>
                <w:color w:val="FFFFFF" w:themeColor="background1"/>
                <w:sz w:val="18"/>
                <w:szCs w:val="18"/>
              </w:rPr>
            </w:pPr>
            <w:r w:rsidRPr="00B47695">
              <w:rPr>
                <w:rFonts w:asciiTheme="majorHAnsi" w:hAnsiTheme="majorHAnsi" w:cs="Arial"/>
                <w:b/>
                <w:color w:val="FFFFFF" w:themeColor="background1"/>
                <w:sz w:val="18"/>
                <w:szCs w:val="18"/>
              </w:rPr>
              <w:t>Summer</w:t>
            </w:r>
            <w:r w:rsidRPr="00B47695">
              <w:rPr>
                <w:rFonts w:asciiTheme="majorHAnsi" w:hAnsiTheme="majorHAnsi" w:cs="Arial"/>
                <w:b/>
                <w:color w:val="FFFFFF" w:themeColor="background1"/>
                <w:sz w:val="18"/>
                <w:szCs w:val="18"/>
                <w:vertAlign w:val="superscript"/>
              </w:rPr>
              <w:t>(c)</w:t>
            </w:r>
          </w:p>
          <w:p w:rsidR="00B47695" w:rsidRPr="00B47695" w:rsidRDefault="00B47695" w:rsidP="00B47695">
            <w:pPr>
              <w:keepNext/>
              <w:keepLines/>
              <w:spacing w:before="20" w:after="20" w:line="240" w:lineRule="auto"/>
              <w:jc w:val="center"/>
              <w:rPr>
                <w:rFonts w:asciiTheme="majorHAnsi" w:hAnsiTheme="majorHAnsi" w:cs="Arial"/>
                <w:b/>
                <w:color w:val="FFFFFF" w:themeColor="background1"/>
                <w:sz w:val="18"/>
                <w:szCs w:val="18"/>
              </w:rPr>
            </w:pPr>
            <w:r w:rsidRPr="00B47695">
              <w:rPr>
                <w:rFonts w:asciiTheme="majorHAnsi" w:hAnsiTheme="majorHAnsi" w:cs="Arial"/>
                <w:b/>
                <w:color w:val="FFFFFF" w:themeColor="background1"/>
                <w:sz w:val="18"/>
                <w:szCs w:val="18"/>
              </w:rPr>
              <w:t>(Jun to Sep)</w:t>
            </w:r>
          </w:p>
        </w:tc>
        <w:tc>
          <w:tcPr>
            <w:tcW w:w="1785" w:type="dxa"/>
            <w:shd w:val="clear" w:color="auto" w:fill="1795D2" w:themeFill="accent1"/>
            <w:vAlign w:val="center"/>
          </w:tcPr>
          <w:p w:rsidR="00B47695" w:rsidRPr="00B47695" w:rsidRDefault="00B47695" w:rsidP="00B47695">
            <w:pPr>
              <w:keepNext/>
              <w:keepLines/>
              <w:spacing w:before="20" w:after="20" w:line="240" w:lineRule="auto"/>
              <w:jc w:val="center"/>
              <w:rPr>
                <w:rFonts w:asciiTheme="majorHAnsi" w:hAnsiTheme="majorHAnsi" w:cs="Arial"/>
                <w:b/>
                <w:color w:val="FFFFFF" w:themeColor="background1"/>
                <w:sz w:val="18"/>
                <w:szCs w:val="18"/>
              </w:rPr>
            </w:pPr>
            <w:r w:rsidRPr="00B47695">
              <w:rPr>
                <w:rFonts w:asciiTheme="majorHAnsi" w:hAnsiTheme="majorHAnsi" w:cs="Arial"/>
                <w:b/>
                <w:color w:val="FFFFFF" w:themeColor="background1"/>
                <w:sz w:val="18"/>
                <w:szCs w:val="18"/>
              </w:rPr>
              <w:t>Winter</w:t>
            </w:r>
            <w:r w:rsidRPr="00B47695">
              <w:rPr>
                <w:rFonts w:asciiTheme="majorHAnsi" w:hAnsiTheme="majorHAnsi" w:cs="Arial"/>
                <w:b/>
                <w:color w:val="FFFFFF" w:themeColor="background1"/>
                <w:sz w:val="18"/>
                <w:szCs w:val="18"/>
                <w:vertAlign w:val="superscript"/>
              </w:rPr>
              <w:t>(c)</w:t>
            </w:r>
          </w:p>
          <w:p w:rsidR="00B47695" w:rsidRPr="00B47695" w:rsidRDefault="00B47695" w:rsidP="00B47695">
            <w:pPr>
              <w:keepNext/>
              <w:keepLines/>
              <w:spacing w:before="20" w:after="20" w:line="240" w:lineRule="auto"/>
              <w:jc w:val="center"/>
              <w:rPr>
                <w:rFonts w:asciiTheme="majorHAnsi" w:hAnsiTheme="majorHAnsi" w:cs="Arial"/>
                <w:b/>
                <w:color w:val="FFFFFF" w:themeColor="background1"/>
                <w:sz w:val="18"/>
                <w:szCs w:val="18"/>
              </w:rPr>
            </w:pPr>
            <w:r w:rsidRPr="00B47695">
              <w:rPr>
                <w:rFonts w:asciiTheme="majorHAnsi" w:hAnsiTheme="majorHAnsi" w:cs="Arial"/>
                <w:b/>
                <w:color w:val="FFFFFF" w:themeColor="background1"/>
                <w:sz w:val="18"/>
                <w:szCs w:val="18"/>
              </w:rPr>
              <w:t>(Oct to May)</w:t>
            </w:r>
          </w:p>
        </w:tc>
      </w:tr>
      <w:tr w:rsidR="00B47695" w:rsidRPr="00B47695" w:rsidTr="00B47695">
        <w:trPr>
          <w:trHeight w:val="229"/>
          <w:jc w:val="center"/>
        </w:trPr>
        <w:tc>
          <w:tcPr>
            <w:tcW w:w="3765" w:type="dxa"/>
            <w:tcBorders>
              <w:top w:val="single" w:sz="4" w:space="0" w:color="auto"/>
              <w:left w:val="single" w:sz="4" w:space="0" w:color="auto"/>
              <w:bottom w:val="nil"/>
            </w:tcBorders>
            <w:vAlign w:val="center"/>
          </w:tcPr>
          <w:p w:rsidR="00B47695" w:rsidRPr="00B47695" w:rsidRDefault="00B47695" w:rsidP="00B47695">
            <w:pPr>
              <w:keepNext/>
              <w:keepLines/>
              <w:spacing w:before="40" w:after="20" w:line="240" w:lineRule="auto"/>
              <w:rPr>
                <w:rFonts w:asciiTheme="majorHAnsi" w:hAnsiTheme="majorHAnsi" w:cs="Arial"/>
                <w:b/>
                <w:sz w:val="18"/>
                <w:szCs w:val="18"/>
              </w:rPr>
            </w:pPr>
            <w:r w:rsidRPr="00B47695">
              <w:rPr>
                <w:rFonts w:asciiTheme="majorHAnsi" w:hAnsiTheme="majorHAnsi" w:cs="Arial"/>
                <w:b/>
                <w:sz w:val="18"/>
                <w:szCs w:val="18"/>
              </w:rPr>
              <w:t>Greater Southwest Connecticut</w:t>
            </w:r>
            <w:r w:rsidRPr="00B47695">
              <w:rPr>
                <w:rFonts w:asciiTheme="majorHAnsi" w:hAnsiTheme="majorHAnsi" w:cs="Arial"/>
                <w:b/>
                <w:sz w:val="18"/>
                <w:szCs w:val="18"/>
                <w:vertAlign w:val="superscript"/>
              </w:rPr>
              <w:t>(d)</w:t>
            </w:r>
          </w:p>
        </w:tc>
        <w:tc>
          <w:tcPr>
            <w:tcW w:w="1175" w:type="dxa"/>
            <w:tcBorders>
              <w:bottom w:val="single" w:sz="2" w:space="0" w:color="auto"/>
            </w:tcBorders>
            <w:vAlign w:val="center"/>
          </w:tcPr>
          <w:p w:rsidR="00B47695" w:rsidRPr="00B47695" w:rsidRDefault="00B47695" w:rsidP="00B47695">
            <w:pPr>
              <w:keepNext/>
              <w:keepLines/>
              <w:spacing w:before="40" w:after="20" w:line="240" w:lineRule="auto"/>
              <w:jc w:val="center"/>
              <w:rPr>
                <w:rFonts w:asciiTheme="majorHAnsi" w:hAnsiTheme="majorHAnsi" w:cs="Arial"/>
                <w:sz w:val="18"/>
                <w:szCs w:val="18"/>
              </w:rPr>
            </w:pPr>
            <w:r w:rsidRPr="00B47695">
              <w:rPr>
                <w:rFonts w:asciiTheme="majorHAnsi" w:hAnsiTheme="majorHAnsi" w:cs="Arial"/>
                <w:sz w:val="18"/>
                <w:szCs w:val="18"/>
              </w:rPr>
              <w:t>2017</w:t>
            </w:r>
          </w:p>
        </w:tc>
        <w:tc>
          <w:tcPr>
            <w:tcW w:w="1527" w:type="dxa"/>
            <w:vMerge w:val="restart"/>
            <w:vAlign w:val="center"/>
          </w:tcPr>
          <w:p w:rsidR="00B47695" w:rsidRPr="00B47695" w:rsidRDefault="00B47695" w:rsidP="00B47695">
            <w:pPr>
              <w:keepNext/>
              <w:keepLines/>
              <w:spacing w:before="40" w:after="20" w:line="240" w:lineRule="auto"/>
              <w:jc w:val="center"/>
              <w:rPr>
                <w:rFonts w:asciiTheme="majorHAnsi" w:hAnsiTheme="majorHAnsi" w:cs="Arial"/>
                <w:b/>
                <w:bCs/>
                <w:color w:val="0070C0"/>
                <w:sz w:val="18"/>
                <w:szCs w:val="18"/>
              </w:rPr>
            </w:pPr>
            <w:r w:rsidRPr="00B47695">
              <w:rPr>
                <w:rFonts w:asciiTheme="majorHAnsi" w:hAnsiTheme="majorHAnsi" w:cs="Arial"/>
                <w:sz w:val="18"/>
                <w:szCs w:val="18"/>
              </w:rPr>
              <w:t>191–346</w:t>
            </w:r>
          </w:p>
        </w:tc>
        <w:tc>
          <w:tcPr>
            <w:tcW w:w="1801" w:type="dxa"/>
            <w:vAlign w:val="center"/>
          </w:tcPr>
          <w:p w:rsidR="00B47695" w:rsidRPr="00B47695" w:rsidRDefault="00B47695" w:rsidP="00B47695">
            <w:pPr>
              <w:keepNext/>
              <w:keepLines/>
              <w:spacing w:before="40" w:after="20" w:line="240" w:lineRule="auto"/>
              <w:jc w:val="center"/>
              <w:rPr>
                <w:rFonts w:asciiTheme="majorHAnsi" w:hAnsiTheme="majorHAnsi" w:cs="Arial"/>
                <w:sz w:val="18"/>
                <w:szCs w:val="18"/>
              </w:rPr>
            </w:pPr>
            <w:r w:rsidRPr="00B47695">
              <w:rPr>
                <w:rFonts w:asciiTheme="majorHAnsi" w:hAnsiTheme="majorHAnsi" w:cs="Arial"/>
                <w:sz w:val="18"/>
                <w:szCs w:val="18"/>
              </w:rPr>
              <w:t>52</w:t>
            </w:r>
            <w:r w:rsidRPr="00B47695">
              <w:rPr>
                <w:rFonts w:asciiTheme="majorHAnsi" w:hAnsiTheme="majorHAnsi" w:cs="Arial"/>
                <w:sz w:val="18"/>
                <w:szCs w:val="18"/>
                <w:vertAlign w:val="superscript"/>
              </w:rPr>
              <w:t>(e)</w:t>
            </w:r>
          </w:p>
        </w:tc>
        <w:tc>
          <w:tcPr>
            <w:tcW w:w="1785" w:type="dxa"/>
            <w:vAlign w:val="center"/>
          </w:tcPr>
          <w:p w:rsidR="00B47695" w:rsidRPr="00B47695" w:rsidRDefault="00B47695" w:rsidP="00B47695">
            <w:pPr>
              <w:keepNext/>
              <w:keepLines/>
              <w:spacing w:before="40" w:after="20" w:line="240" w:lineRule="auto"/>
              <w:jc w:val="center"/>
              <w:rPr>
                <w:rFonts w:asciiTheme="majorHAnsi" w:hAnsiTheme="majorHAnsi" w:cs="Arial"/>
                <w:sz w:val="18"/>
                <w:szCs w:val="18"/>
              </w:rPr>
            </w:pPr>
            <w:r w:rsidRPr="00B47695">
              <w:rPr>
                <w:rFonts w:asciiTheme="majorHAnsi" w:hAnsiTheme="majorHAnsi" w:cs="Arial"/>
                <w:sz w:val="18"/>
                <w:szCs w:val="18"/>
              </w:rPr>
              <w:t>To be updated</w:t>
            </w:r>
          </w:p>
        </w:tc>
      </w:tr>
      <w:tr w:rsidR="00B47695" w:rsidRPr="00B47695" w:rsidTr="00B47695">
        <w:trPr>
          <w:jc w:val="center"/>
        </w:trPr>
        <w:tc>
          <w:tcPr>
            <w:tcW w:w="3765" w:type="dxa"/>
            <w:tcBorders>
              <w:top w:val="nil"/>
              <w:left w:val="single" w:sz="4" w:space="0" w:color="auto"/>
              <w:bottom w:val="single" w:sz="4" w:space="0" w:color="auto"/>
              <w:right w:val="single" w:sz="4" w:space="0" w:color="auto"/>
            </w:tcBorders>
            <w:vAlign w:val="center"/>
          </w:tcPr>
          <w:p w:rsidR="00B47695" w:rsidRPr="00B47695" w:rsidRDefault="00B47695" w:rsidP="00B47695">
            <w:pPr>
              <w:keepNext/>
              <w:keepLines/>
              <w:spacing w:before="40" w:after="20" w:line="240" w:lineRule="auto"/>
              <w:rPr>
                <w:rFonts w:asciiTheme="majorHAnsi" w:hAnsiTheme="majorHAnsi" w:cs="Arial"/>
                <w:b/>
                <w:sz w:val="18"/>
                <w:szCs w:val="18"/>
              </w:rPr>
            </w:pPr>
          </w:p>
        </w:tc>
        <w:tc>
          <w:tcPr>
            <w:tcW w:w="1175" w:type="dxa"/>
            <w:tcBorders>
              <w:left w:val="single" w:sz="4" w:space="0" w:color="auto"/>
            </w:tcBorders>
            <w:vAlign w:val="center"/>
          </w:tcPr>
          <w:p w:rsidR="00B47695" w:rsidRPr="00B47695" w:rsidRDefault="00B47695" w:rsidP="00B47695">
            <w:pPr>
              <w:keepNext/>
              <w:keepLines/>
              <w:spacing w:before="40" w:after="20" w:line="240" w:lineRule="auto"/>
              <w:jc w:val="center"/>
              <w:rPr>
                <w:rFonts w:asciiTheme="majorHAnsi" w:hAnsiTheme="majorHAnsi" w:cs="Arial"/>
                <w:sz w:val="18"/>
                <w:szCs w:val="18"/>
              </w:rPr>
            </w:pPr>
            <w:r w:rsidRPr="00B47695">
              <w:rPr>
                <w:rFonts w:asciiTheme="majorHAnsi" w:hAnsiTheme="majorHAnsi" w:cs="Arial"/>
                <w:sz w:val="18"/>
                <w:szCs w:val="18"/>
              </w:rPr>
              <w:t>2018</w:t>
            </w:r>
          </w:p>
        </w:tc>
        <w:tc>
          <w:tcPr>
            <w:tcW w:w="1527" w:type="dxa"/>
            <w:vMerge/>
            <w:vAlign w:val="center"/>
          </w:tcPr>
          <w:p w:rsidR="00B47695" w:rsidRPr="00B47695" w:rsidRDefault="00B47695" w:rsidP="00B47695">
            <w:pPr>
              <w:keepNext/>
              <w:keepLines/>
              <w:spacing w:before="40" w:after="20" w:line="240" w:lineRule="auto"/>
              <w:jc w:val="center"/>
              <w:rPr>
                <w:rFonts w:asciiTheme="majorHAnsi" w:hAnsiTheme="majorHAnsi" w:cs="Arial"/>
                <w:sz w:val="18"/>
                <w:szCs w:val="18"/>
              </w:rPr>
            </w:pPr>
          </w:p>
        </w:tc>
        <w:tc>
          <w:tcPr>
            <w:tcW w:w="1801" w:type="dxa"/>
            <w:vAlign w:val="center"/>
          </w:tcPr>
          <w:p w:rsidR="00B47695" w:rsidRPr="00B47695" w:rsidRDefault="00B47695" w:rsidP="00B47695">
            <w:pPr>
              <w:keepNext/>
              <w:keepLines/>
              <w:spacing w:before="40" w:after="20" w:line="240" w:lineRule="auto"/>
              <w:jc w:val="center"/>
              <w:rPr>
                <w:rFonts w:asciiTheme="majorHAnsi" w:hAnsiTheme="majorHAnsi" w:cs="Arial"/>
                <w:sz w:val="18"/>
                <w:szCs w:val="18"/>
              </w:rPr>
            </w:pPr>
            <w:r w:rsidRPr="00B47695">
              <w:rPr>
                <w:rFonts w:asciiTheme="majorHAnsi" w:hAnsiTheme="majorHAnsi" w:cs="Arial"/>
                <w:sz w:val="18"/>
                <w:szCs w:val="18"/>
              </w:rPr>
              <w:t>50–400</w:t>
            </w:r>
          </w:p>
        </w:tc>
        <w:tc>
          <w:tcPr>
            <w:tcW w:w="1785" w:type="dxa"/>
            <w:vAlign w:val="center"/>
          </w:tcPr>
          <w:p w:rsidR="00B47695" w:rsidRPr="00B47695" w:rsidRDefault="00B47695" w:rsidP="00B47695">
            <w:pPr>
              <w:keepNext/>
              <w:keepLines/>
              <w:spacing w:before="40" w:after="20" w:line="240" w:lineRule="auto"/>
              <w:jc w:val="center"/>
              <w:rPr>
                <w:rFonts w:asciiTheme="majorHAnsi" w:hAnsiTheme="majorHAnsi" w:cs="Arial"/>
                <w:sz w:val="18"/>
                <w:szCs w:val="18"/>
              </w:rPr>
            </w:pPr>
            <w:r w:rsidRPr="00B47695">
              <w:rPr>
                <w:rFonts w:asciiTheme="majorHAnsi" w:hAnsiTheme="majorHAnsi" w:cs="Arial"/>
                <w:sz w:val="18"/>
                <w:szCs w:val="18"/>
              </w:rPr>
              <w:t>0–200</w:t>
            </w:r>
          </w:p>
        </w:tc>
      </w:tr>
      <w:tr w:rsidR="00B47695" w:rsidRPr="00B47695" w:rsidTr="00B47695">
        <w:trPr>
          <w:jc w:val="center"/>
        </w:trPr>
        <w:tc>
          <w:tcPr>
            <w:tcW w:w="3765" w:type="dxa"/>
            <w:tcBorders>
              <w:top w:val="single" w:sz="4" w:space="0" w:color="auto"/>
              <w:left w:val="single" w:sz="4" w:space="0" w:color="auto"/>
              <w:bottom w:val="single" w:sz="4" w:space="0" w:color="auto"/>
              <w:right w:val="single" w:sz="4" w:space="0" w:color="auto"/>
            </w:tcBorders>
            <w:vAlign w:val="center"/>
          </w:tcPr>
          <w:p w:rsidR="00B47695" w:rsidRPr="00B47695" w:rsidRDefault="00B47695" w:rsidP="0042189D">
            <w:pPr>
              <w:keepNext/>
              <w:keepLines/>
              <w:spacing w:before="40" w:after="20" w:line="240" w:lineRule="auto"/>
              <w:ind w:firstLine="149"/>
              <w:rPr>
                <w:rFonts w:asciiTheme="majorHAnsi" w:hAnsiTheme="majorHAnsi" w:cs="Arial"/>
                <w:sz w:val="18"/>
                <w:szCs w:val="18"/>
              </w:rPr>
            </w:pPr>
            <w:r w:rsidRPr="00B47695">
              <w:rPr>
                <w:rFonts w:asciiTheme="majorHAnsi" w:hAnsiTheme="majorHAnsi" w:cs="Arial"/>
                <w:sz w:val="18"/>
                <w:szCs w:val="18"/>
              </w:rPr>
              <w:t>Reflecting impact of CPV</w:t>
            </w:r>
            <w:r w:rsidR="0042189D">
              <w:rPr>
                <w:rFonts w:asciiTheme="majorHAnsi" w:hAnsiTheme="majorHAnsi" w:cs="Arial"/>
                <w:sz w:val="18"/>
                <w:szCs w:val="18"/>
              </w:rPr>
              <w:t xml:space="preserve"> </w:t>
            </w:r>
            <w:r w:rsidRPr="00B47695">
              <w:rPr>
                <w:rFonts w:asciiTheme="majorHAnsi" w:hAnsiTheme="majorHAnsi" w:cs="Arial"/>
                <w:sz w:val="18"/>
                <w:szCs w:val="18"/>
              </w:rPr>
              <w:t>Towantic</w:t>
            </w:r>
          </w:p>
        </w:tc>
        <w:tc>
          <w:tcPr>
            <w:tcW w:w="1175" w:type="dxa"/>
            <w:tcBorders>
              <w:left w:val="single" w:sz="4" w:space="0" w:color="auto"/>
            </w:tcBorders>
            <w:vAlign w:val="center"/>
          </w:tcPr>
          <w:p w:rsidR="00B47695" w:rsidRPr="00B47695" w:rsidRDefault="00B47695" w:rsidP="00B47695">
            <w:pPr>
              <w:keepNext/>
              <w:keepLines/>
              <w:spacing w:before="40" w:after="20" w:line="240" w:lineRule="auto"/>
              <w:jc w:val="center"/>
              <w:rPr>
                <w:rFonts w:asciiTheme="majorHAnsi" w:hAnsiTheme="majorHAnsi" w:cs="Arial"/>
                <w:sz w:val="18"/>
                <w:szCs w:val="18"/>
              </w:rPr>
            </w:pPr>
            <w:r w:rsidRPr="00B47695">
              <w:rPr>
                <w:rFonts w:asciiTheme="majorHAnsi" w:hAnsiTheme="majorHAnsi" w:cs="Arial"/>
                <w:sz w:val="18"/>
                <w:szCs w:val="18"/>
              </w:rPr>
              <w:t>2019</w:t>
            </w:r>
          </w:p>
        </w:tc>
        <w:tc>
          <w:tcPr>
            <w:tcW w:w="1527" w:type="dxa"/>
            <w:vMerge/>
            <w:vAlign w:val="center"/>
          </w:tcPr>
          <w:p w:rsidR="00B47695" w:rsidRPr="00B47695" w:rsidRDefault="00B47695" w:rsidP="00B47695">
            <w:pPr>
              <w:keepNext/>
              <w:keepLines/>
              <w:spacing w:before="40" w:after="20" w:line="240" w:lineRule="auto"/>
              <w:jc w:val="center"/>
              <w:rPr>
                <w:rFonts w:asciiTheme="majorHAnsi" w:hAnsiTheme="majorHAnsi" w:cs="Arial"/>
                <w:sz w:val="18"/>
                <w:szCs w:val="18"/>
              </w:rPr>
            </w:pPr>
          </w:p>
        </w:tc>
        <w:tc>
          <w:tcPr>
            <w:tcW w:w="1801" w:type="dxa"/>
            <w:vAlign w:val="center"/>
          </w:tcPr>
          <w:p w:rsidR="00B47695" w:rsidRPr="00B47695" w:rsidRDefault="00B47695" w:rsidP="00B47695">
            <w:pPr>
              <w:keepNext/>
              <w:keepLines/>
              <w:spacing w:before="40" w:after="20" w:line="240" w:lineRule="auto"/>
              <w:jc w:val="center"/>
              <w:rPr>
                <w:rFonts w:asciiTheme="majorHAnsi" w:hAnsiTheme="majorHAnsi" w:cs="Arial"/>
                <w:sz w:val="18"/>
                <w:szCs w:val="18"/>
              </w:rPr>
            </w:pPr>
            <w:r w:rsidRPr="00B47695">
              <w:rPr>
                <w:rFonts w:asciiTheme="majorHAnsi" w:hAnsiTheme="majorHAnsi" w:cs="Arial"/>
                <w:sz w:val="18"/>
                <w:szCs w:val="18"/>
              </w:rPr>
              <w:t>50–400</w:t>
            </w:r>
          </w:p>
          <w:p w:rsidR="00B47695" w:rsidRPr="00B47695" w:rsidRDefault="00B47695" w:rsidP="00B47695">
            <w:pPr>
              <w:keepNext/>
              <w:keepLines/>
              <w:spacing w:before="40" w:after="20" w:line="240" w:lineRule="auto"/>
              <w:jc w:val="center"/>
              <w:rPr>
                <w:rFonts w:asciiTheme="majorHAnsi" w:hAnsiTheme="majorHAnsi" w:cs="Arial"/>
                <w:sz w:val="18"/>
                <w:szCs w:val="18"/>
              </w:rPr>
            </w:pPr>
            <w:r w:rsidRPr="00B47695">
              <w:rPr>
                <w:rFonts w:asciiTheme="majorHAnsi" w:hAnsiTheme="majorHAnsi" w:cs="Arial"/>
                <w:sz w:val="18"/>
                <w:szCs w:val="18"/>
              </w:rPr>
              <w:t>0 with CPV in service</w:t>
            </w:r>
          </w:p>
        </w:tc>
        <w:tc>
          <w:tcPr>
            <w:tcW w:w="1785" w:type="dxa"/>
            <w:vAlign w:val="center"/>
          </w:tcPr>
          <w:p w:rsidR="00B47695" w:rsidRPr="00B47695" w:rsidRDefault="00B47695" w:rsidP="00B47695">
            <w:pPr>
              <w:keepNext/>
              <w:keepLines/>
              <w:spacing w:before="40" w:after="20" w:line="240" w:lineRule="auto"/>
              <w:jc w:val="center"/>
              <w:rPr>
                <w:rFonts w:asciiTheme="majorHAnsi" w:hAnsiTheme="majorHAnsi" w:cs="Arial"/>
                <w:sz w:val="18"/>
                <w:szCs w:val="18"/>
              </w:rPr>
            </w:pPr>
            <w:r w:rsidRPr="00B47695">
              <w:rPr>
                <w:rFonts w:asciiTheme="majorHAnsi" w:hAnsiTheme="majorHAnsi" w:cs="Arial"/>
                <w:sz w:val="18"/>
                <w:szCs w:val="18"/>
              </w:rPr>
              <w:t>0-150</w:t>
            </w:r>
          </w:p>
          <w:p w:rsidR="00B47695" w:rsidRPr="00B47695" w:rsidRDefault="00B47695" w:rsidP="00B47695">
            <w:pPr>
              <w:keepNext/>
              <w:keepLines/>
              <w:spacing w:before="40" w:after="20" w:line="240" w:lineRule="auto"/>
              <w:jc w:val="center"/>
              <w:rPr>
                <w:rFonts w:asciiTheme="majorHAnsi" w:hAnsiTheme="majorHAnsi" w:cs="Arial"/>
                <w:sz w:val="18"/>
                <w:szCs w:val="18"/>
              </w:rPr>
            </w:pPr>
            <w:r w:rsidRPr="00B47695">
              <w:rPr>
                <w:rFonts w:asciiTheme="majorHAnsi" w:hAnsiTheme="majorHAnsi" w:cs="Arial"/>
                <w:sz w:val="18"/>
                <w:szCs w:val="18"/>
              </w:rPr>
              <w:t>0 with CPV in service</w:t>
            </w:r>
          </w:p>
        </w:tc>
      </w:tr>
      <w:tr w:rsidR="00B47695" w:rsidRPr="00B47695" w:rsidTr="00B47695">
        <w:trPr>
          <w:jc w:val="center"/>
        </w:trPr>
        <w:tc>
          <w:tcPr>
            <w:tcW w:w="3765" w:type="dxa"/>
            <w:tcBorders>
              <w:top w:val="single" w:sz="4" w:space="0" w:color="auto"/>
              <w:left w:val="single" w:sz="4" w:space="0" w:color="auto"/>
              <w:bottom w:val="nil"/>
              <w:right w:val="single" w:sz="4" w:space="0" w:color="auto"/>
            </w:tcBorders>
            <w:vAlign w:val="center"/>
          </w:tcPr>
          <w:p w:rsidR="00B47695" w:rsidRPr="00B47695" w:rsidRDefault="00B47695" w:rsidP="00B47695">
            <w:pPr>
              <w:keepNext/>
              <w:keepLines/>
              <w:spacing w:before="40" w:after="20" w:line="240" w:lineRule="auto"/>
              <w:ind w:firstLine="149"/>
              <w:rPr>
                <w:rFonts w:asciiTheme="majorHAnsi" w:hAnsiTheme="majorHAnsi" w:cs="Arial"/>
                <w:sz w:val="18"/>
                <w:szCs w:val="18"/>
              </w:rPr>
            </w:pPr>
            <w:r w:rsidRPr="00B47695">
              <w:rPr>
                <w:rFonts w:asciiTheme="majorHAnsi" w:hAnsiTheme="majorHAnsi" w:cs="Arial"/>
                <w:sz w:val="18"/>
                <w:szCs w:val="18"/>
              </w:rPr>
              <w:t>Reflecting impact of Bridgeport Harbor 5</w:t>
            </w:r>
          </w:p>
        </w:tc>
        <w:tc>
          <w:tcPr>
            <w:tcW w:w="1175" w:type="dxa"/>
            <w:tcBorders>
              <w:left w:val="single" w:sz="4" w:space="0" w:color="auto"/>
            </w:tcBorders>
            <w:vAlign w:val="center"/>
          </w:tcPr>
          <w:p w:rsidR="00B47695" w:rsidRPr="00B47695" w:rsidRDefault="00B47695" w:rsidP="00B47695">
            <w:pPr>
              <w:keepNext/>
              <w:keepLines/>
              <w:spacing w:before="40" w:after="20" w:line="240" w:lineRule="auto"/>
              <w:jc w:val="center"/>
              <w:rPr>
                <w:rFonts w:asciiTheme="majorHAnsi" w:hAnsiTheme="majorHAnsi" w:cs="Arial"/>
                <w:sz w:val="18"/>
                <w:szCs w:val="18"/>
              </w:rPr>
            </w:pPr>
            <w:r w:rsidRPr="00B47695">
              <w:rPr>
                <w:rFonts w:asciiTheme="majorHAnsi" w:hAnsiTheme="majorHAnsi" w:cs="Arial"/>
                <w:sz w:val="18"/>
                <w:szCs w:val="18"/>
              </w:rPr>
              <w:t>2020</w:t>
            </w:r>
          </w:p>
        </w:tc>
        <w:tc>
          <w:tcPr>
            <w:tcW w:w="1527" w:type="dxa"/>
            <w:vMerge/>
            <w:vAlign w:val="center"/>
          </w:tcPr>
          <w:p w:rsidR="00B47695" w:rsidRPr="00B47695" w:rsidRDefault="00B47695" w:rsidP="00B47695">
            <w:pPr>
              <w:keepNext/>
              <w:keepLines/>
              <w:spacing w:before="40" w:after="20" w:line="240" w:lineRule="auto"/>
              <w:jc w:val="center"/>
              <w:rPr>
                <w:rFonts w:asciiTheme="majorHAnsi" w:hAnsiTheme="majorHAnsi" w:cs="Arial"/>
                <w:sz w:val="18"/>
                <w:szCs w:val="18"/>
              </w:rPr>
            </w:pPr>
          </w:p>
        </w:tc>
        <w:tc>
          <w:tcPr>
            <w:tcW w:w="1801" w:type="dxa"/>
            <w:vAlign w:val="center"/>
          </w:tcPr>
          <w:p w:rsidR="00B47695" w:rsidRPr="00B47695" w:rsidRDefault="00B47695" w:rsidP="00B47695">
            <w:pPr>
              <w:keepNext/>
              <w:keepLines/>
              <w:spacing w:before="40" w:after="20" w:line="240" w:lineRule="auto"/>
              <w:jc w:val="center"/>
              <w:rPr>
                <w:rFonts w:asciiTheme="majorHAnsi" w:hAnsiTheme="majorHAnsi" w:cs="Arial"/>
                <w:sz w:val="18"/>
                <w:szCs w:val="18"/>
              </w:rPr>
            </w:pPr>
            <w:r w:rsidRPr="00B47695">
              <w:rPr>
                <w:rFonts w:asciiTheme="majorHAnsi" w:hAnsiTheme="majorHAnsi" w:cs="Arial"/>
                <w:sz w:val="18"/>
                <w:szCs w:val="18"/>
              </w:rPr>
              <w:t>0</w:t>
            </w:r>
          </w:p>
        </w:tc>
        <w:tc>
          <w:tcPr>
            <w:tcW w:w="1785" w:type="dxa"/>
            <w:vAlign w:val="center"/>
          </w:tcPr>
          <w:p w:rsidR="00B47695" w:rsidRPr="00B47695" w:rsidRDefault="00B47695" w:rsidP="00B47695">
            <w:pPr>
              <w:keepNext/>
              <w:keepLines/>
              <w:spacing w:before="40" w:after="20" w:line="240" w:lineRule="auto"/>
              <w:jc w:val="center"/>
              <w:rPr>
                <w:rFonts w:asciiTheme="majorHAnsi" w:hAnsiTheme="majorHAnsi" w:cs="Arial"/>
                <w:sz w:val="18"/>
                <w:szCs w:val="18"/>
              </w:rPr>
            </w:pPr>
            <w:r w:rsidRPr="00B47695">
              <w:rPr>
                <w:rFonts w:asciiTheme="majorHAnsi" w:hAnsiTheme="majorHAnsi" w:cs="Arial"/>
                <w:sz w:val="18"/>
                <w:szCs w:val="18"/>
              </w:rPr>
              <w:t>0</w:t>
            </w:r>
          </w:p>
        </w:tc>
      </w:tr>
      <w:tr w:rsidR="00B47695" w:rsidRPr="00B47695" w:rsidTr="00B47695">
        <w:trPr>
          <w:jc w:val="center"/>
        </w:trPr>
        <w:tc>
          <w:tcPr>
            <w:tcW w:w="3765" w:type="dxa"/>
            <w:tcBorders>
              <w:top w:val="nil"/>
              <w:left w:val="single" w:sz="4" w:space="0" w:color="auto"/>
              <w:bottom w:val="single" w:sz="2" w:space="0" w:color="auto"/>
              <w:right w:val="single" w:sz="4" w:space="0" w:color="auto"/>
            </w:tcBorders>
            <w:vAlign w:val="center"/>
          </w:tcPr>
          <w:p w:rsidR="00B47695" w:rsidRPr="00B47695" w:rsidRDefault="00B47695" w:rsidP="00B47695">
            <w:pPr>
              <w:keepNext/>
              <w:keepLines/>
              <w:spacing w:before="40" w:after="20" w:line="240" w:lineRule="auto"/>
              <w:rPr>
                <w:rFonts w:asciiTheme="majorHAnsi" w:hAnsiTheme="majorHAnsi" w:cs="Arial"/>
                <w:b/>
                <w:sz w:val="18"/>
                <w:szCs w:val="18"/>
              </w:rPr>
            </w:pPr>
          </w:p>
        </w:tc>
        <w:tc>
          <w:tcPr>
            <w:tcW w:w="1175" w:type="dxa"/>
            <w:tcBorders>
              <w:left w:val="single" w:sz="4" w:space="0" w:color="auto"/>
            </w:tcBorders>
            <w:vAlign w:val="center"/>
          </w:tcPr>
          <w:p w:rsidR="00B47695" w:rsidRPr="00B47695" w:rsidRDefault="00B47695" w:rsidP="00B47695">
            <w:pPr>
              <w:keepNext/>
              <w:keepLines/>
              <w:spacing w:before="40" w:after="20" w:line="240" w:lineRule="auto"/>
              <w:jc w:val="center"/>
              <w:rPr>
                <w:rFonts w:asciiTheme="majorHAnsi" w:hAnsiTheme="majorHAnsi" w:cs="Arial"/>
                <w:sz w:val="18"/>
                <w:szCs w:val="18"/>
              </w:rPr>
            </w:pPr>
            <w:r w:rsidRPr="00B47695">
              <w:rPr>
                <w:rFonts w:asciiTheme="majorHAnsi" w:hAnsiTheme="majorHAnsi" w:cs="Arial"/>
                <w:sz w:val="18"/>
                <w:szCs w:val="18"/>
              </w:rPr>
              <w:t>2021</w:t>
            </w:r>
          </w:p>
        </w:tc>
        <w:tc>
          <w:tcPr>
            <w:tcW w:w="1527" w:type="dxa"/>
            <w:vMerge/>
            <w:vAlign w:val="center"/>
          </w:tcPr>
          <w:p w:rsidR="00B47695" w:rsidRPr="00B47695" w:rsidRDefault="00B47695" w:rsidP="00B47695">
            <w:pPr>
              <w:keepNext/>
              <w:keepLines/>
              <w:spacing w:before="40" w:after="20" w:line="240" w:lineRule="auto"/>
              <w:jc w:val="center"/>
              <w:rPr>
                <w:rFonts w:asciiTheme="majorHAnsi" w:hAnsiTheme="majorHAnsi" w:cs="Arial"/>
                <w:sz w:val="18"/>
                <w:szCs w:val="18"/>
              </w:rPr>
            </w:pPr>
          </w:p>
        </w:tc>
        <w:tc>
          <w:tcPr>
            <w:tcW w:w="1801" w:type="dxa"/>
            <w:vAlign w:val="center"/>
          </w:tcPr>
          <w:p w:rsidR="00B47695" w:rsidRPr="00B47695" w:rsidRDefault="00B47695" w:rsidP="00B47695">
            <w:pPr>
              <w:keepNext/>
              <w:keepLines/>
              <w:spacing w:before="40" w:after="20" w:line="240" w:lineRule="auto"/>
              <w:jc w:val="center"/>
              <w:rPr>
                <w:rFonts w:asciiTheme="majorHAnsi" w:hAnsiTheme="majorHAnsi" w:cs="Arial"/>
                <w:sz w:val="18"/>
                <w:szCs w:val="18"/>
              </w:rPr>
            </w:pPr>
            <w:r w:rsidRPr="00B47695">
              <w:rPr>
                <w:rFonts w:asciiTheme="majorHAnsi" w:hAnsiTheme="majorHAnsi" w:cs="Arial"/>
                <w:sz w:val="18"/>
                <w:szCs w:val="18"/>
              </w:rPr>
              <w:t>0</w:t>
            </w:r>
          </w:p>
        </w:tc>
        <w:tc>
          <w:tcPr>
            <w:tcW w:w="1785" w:type="dxa"/>
            <w:vAlign w:val="center"/>
          </w:tcPr>
          <w:p w:rsidR="00B47695" w:rsidRPr="00B47695" w:rsidRDefault="00B47695" w:rsidP="00B47695">
            <w:pPr>
              <w:keepNext/>
              <w:keepLines/>
              <w:spacing w:before="40" w:after="20" w:line="240" w:lineRule="auto"/>
              <w:jc w:val="center"/>
              <w:rPr>
                <w:rFonts w:asciiTheme="majorHAnsi" w:hAnsiTheme="majorHAnsi" w:cs="Arial"/>
                <w:sz w:val="18"/>
                <w:szCs w:val="18"/>
              </w:rPr>
            </w:pPr>
            <w:r w:rsidRPr="00B47695">
              <w:rPr>
                <w:rFonts w:asciiTheme="majorHAnsi" w:hAnsiTheme="majorHAnsi" w:cs="Arial"/>
                <w:sz w:val="18"/>
                <w:szCs w:val="18"/>
              </w:rPr>
              <w:t>0</w:t>
            </w:r>
          </w:p>
        </w:tc>
      </w:tr>
      <w:tr w:rsidR="00B47695" w:rsidRPr="00B47695" w:rsidTr="0011231A">
        <w:trPr>
          <w:trHeight w:val="230"/>
          <w:jc w:val="center"/>
        </w:trPr>
        <w:tc>
          <w:tcPr>
            <w:tcW w:w="3765" w:type="dxa"/>
            <w:tcBorders>
              <w:left w:val="single" w:sz="4" w:space="0" w:color="auto"/>
              <w:bottom w:val="nil"/>
            </w:tcBorders>
            <w:shd w:val="clear" w:color="auto" w:fill="CCEAF9" w:themeFill="accent1" w:themeFillTint="33"/>
            <w:vAlign w:val="center"/>
          </w:tcPr>
          <w:p w:rsidR="00B47695" w:rsidRPr="00B47695" w:rsidRDefault="00B47695" w:rsidP="00B47695">
            <w:pPr>
              <w:keepNext/>
              <w:keepLines/>
              <w:spacing w:before="40" w:after="20" w:line="240" w:lineRule="auto"/>
              <w:rPr>
                <w:rFonts w:asciiTheme="majorHAnsi" w:hAnsiTheme="majorHAnsi" w:cs="Arial"/>
                <w:b/>
                <w:sz w:val="18"/>
                <w:szCs w:val="18"/>
              </w:rPr>
            </w:pPr>
            <w:r w:rsidRPr="00B47695">
              <w:rPr>
                <w:rFonts w:asciiTheme="majorHAnsi" w:hAnsiTheme="majorHAnsi" w:cs="Arial"/>
                <w:b/>
                <w:sz w:val="18"/>
                <w:szCs w:val="18"/>
              </w:rPr>
              <w:t>Greater Connecticut</w:t>
            </w:r>
            <w:r w:rsidRPr="00B47695">
              <w:rPr>
                <w:rFonts w:asciiTheme="majorHAnsi" w:hAnsiTheme="majorHAnsi" w:cs="Arial"/>
                <w:b/>
                <w:sz w:val="18"/>
                <w:szCs w:val="18"/>
                <w:vertAlign w:val="superscript"/>
              </w:rPr>
              <w:t>(f, g)</w:t>
            </w:r>
          </w:p>
        </w:tc>
        <w:tc>
          <w:tcPr>
            <w:tcW w:w="1175" w:type="dxa"/>
            <w:shd w:val="clear" w:color="auto" w:fill="CCEAF9" w:themeFill="accent1" w:themeFillTint="33"/>
            <w:vAlign w:val="center"/>
          </w:tcPr>
          <w:p w:rsidR="00B47695" w:rsidRPr="00B47695" w:rsidRDefault="00B47695" w:rsidP="00B47695">
            <w:pPr>
              <w:keepNext/>
              <w:keepLines/>
              <w:spacing w:before="40" w:after="20" w:line="240" w:lineRule="auto"/>
              <w:jc w:val="center"/>
              <w:rPr>
                <w:rFonts w:asciiTheme="majorHAnsi" w:hAnsiTheme="majorHAnsi" w:cs="Arial"/>
                <w:sz w:val="18"/>
                <w:szCs w:val="18"/>
              </w:rPr>
            </w:pPr>
            <w:r w:rsidRPr="00B47695">
              <w:rPr>
                <w:rFonts w:asciiTheme="majorHAnsi" w:hAnsiTheme="majorHAnsi" w:cs="Arial"/>
                <w:sz w:val="18"/>
                <w:szCs w:val="18"/>
              </w:rPr>
              <w:t>2017</w:t>
            </w:r>
          </w:p>
        </w:tc>
        <w:tc>
          <w:tcPr>
            <w:tcW w:w="1527" w:type="dxa"/>
            <w:vMerge w:val="restart"/>
            <w:shd w:val="clear" w:color="auto" w:fill="CCEAF9" w:themeFill="accent1" w:themeFillTint="33"/>
            <w:vAlign w:val="center"/>
          </w:tcPr>
          <w:p w:rsidR="00B47695" w:rsidRPr="00B47695" w:rsidRDefault="00B47695" w:rsidP="00B47695">
            <w:pPr>
              <w:keepNext/>
              <w:keepLines/>
              <w:spacing w:before="40" w:after="20" w:line="240" w:lineRule="auto"/>
              <w:jc w:val="center"/>
              <w:rPr>
                <w:rFonts w:asciiTheme="majorHAnsi" w:hAnsiTheme="majorHAnsi" w:cs="Arial"/>
                <w:b/>
                <w:bCs/>
                <w:color w:val="0070C0"/>
                <w:sz w:val="18"/>
                <w:szCs w:val="18"/>
              </w:rPr>
            </w:pPr>
            <w:r w:rsidRPr="00B47695">
              <w:rPr>
                <w:rFonts w:asciiTheme="majorHAnsi" w:hAnsiTheme="majorHAnsi" w:cs="Arial"/>
                <w:sz w:val="18"/>
                <w:szCs w:val="18"/>
              </w:rPr>
              <w:t>0–1,188</w:t>
            </w:r>
            <w:r w:rsidRPr="00B47695">
              <w:rPr>
                <w:rFonts w:asciiTheme="majorHAnsi" w:hAnsiTheme="majorHAnsi" w:cs="Arial"/>
                <w:sz w:val="18"/>
                <w:szCs w:val="18"/>
                <w:vertAlign w:val="superscript"/>
              </w:rPr>
              <w:t>(h)</w:t>
            </w:r>
          </w:p>
        </w:tc>
        <w:tc>
          <w:tcPr>
            <w:tcW w:w="1801" w:type="dxa"/>
            <w:shd w:val="clear" w:color="auto" w:fill="CCEAF9" w:themeFill="accent1" w:themeFillTint="33"/>
            <w:vAlign w:val="center"/>
          </w:tcPr>
          <w:p w:rsidR="00B47695" w:rsidRPr="00B47695" w:rsidRDefault="00B47695" w:rsidP="00B47695">
            <w:pPr>
              <w:keepNext/>
              <w:keepLines/>
              <w:spacing w:before="40" w:after="20" w:line="240" w:lineRule="auto"/>
              <w:jc w:val="center"/>
              <w:rPr>
                <w:rFonts w:asciiTheme="majorHAnsi" w:hAnsiTheme="majorHAnsi" w:cs="Arial"/>
                <w:sz w:val="18"/>
                <w:szCs w:val="18"/>
              </w:rPr>
            </w:pPr>
            <w:r w:rsidRPr="00B47695">
              <w:rPr>
                <w:rFonts w:asciiTheme="majorHAnsi" w:hAnsiTheme="majorHAnsi" w:cs="Arial"/>
                <w:sz w:val="18"/>
                <w:szCs w:val="18"/>
              </w:rPr>
              <w:t>0</w:t>
            </w:r>
            <w:r w:rsidRPr="00B47695">
              <w:rPr>
                <w:rFonts w:asciiTheme="majorHAnsi" w:hAnsiTheme="majorHAnsi" w:cs="Arial"/>
                <w:sz w:val="18"/>
                <w:szCs w:val="18"/>
                <w:vertAlign w:val="superscript"/>
              </w:rPr>
              <w:t>(e)</w:t>
            </w:r>
          </w:p>
        </w:tc>
        <w:tc>
          <w:tcPr>
            <w:tcW w:w="1785" w:type="dxa"/>
            <w:shd w:val="clear" w:color="auto" w:fill="CCEAF9" w:themeFill="accent1" w:themeFillTint="33"/>
            <w:vAlign w:val="center"/>
          </w:tcPr>
          <w:p w:rsidR="00B47695" w:rsidRPr="00B47695" w:rsidRDefault="00B47695" w:rsidP="00B47695">
            <w:pPr>
              <w:keepNext/>
              <w:keepLines/>
              <w:spacing w:before="40" w:after="20" w:line="240" w:lineRule="auto"/>
              <w:jc w:val="center"/>
              <w:rPr>
                <w:rFonts w:asciiTheme="majorHAnsi" w:hAnsiTheme="majorHAnsi" w:cs="Arial"/>
                <w:sz w:val="18"/>
                <w:szCs w:val="18"/>
              </w:rPr>
            </w:pPr>
            <w:r w:rsidRPr="00B47695">
              <w:rPr>
                <w:rFonts w:asciiTheme="majorHAnsi" w:hAnsiTheme="majorHAnsi" w:cs="Arial"/>
                <w:sz w:val="18"/>
                <w:szCs w:val="18"/>
              </w:rPr>
              <w:t>To be updated</w:t>
            </w:r>
          </w:p>
        </w:tc>
      </w:tr>
      <w:tr w:rsidR="00B47695" w:rsidRPr="00B47695" w:rsidTr="0011231A">
        <w:trPr>
          <w:jc w:val="center"/>
        </w:trPr>
        <w:tc>
          <w:tcPr>
            <w:tcW w:w="3765" w:type="dxa"/>
            <w:tcBorders>
              <w:top w:val="nil"/>
              <w:left w:val="single" w:sz="4" w:space="0" w:color="auto"/>
              <w:bottom w:val="single" w:sz="4" w:space="0" w:color="auto"/>
              <w:right w:val="single" w:sz="4" w:space="0" w:color="auto"/>
            </w:tcBorders>
            <w:shd w:val="clear" w:color="auto" w:fill="CCEAF9" w:themeFill="accent1" w:themeFillTint="33"/>
            <w:vAlign w:val="center"/>
          </w:tcPr>
          <w:p w:rsidR="00B47695" w:rsidRPr="00B47695" w:rsidRDefault="00B47695" w:rsidP="00B47695">
            <w:pPr>
              <w:keepNext/>
              <w:keepLines/>
              <w:spacing w:before="40" w:after="20" w:line="240" w:lineRule="auto"/>
              <w:rPr>
                <w:rFonts w:asciiTheme="majorHAnsi" w:hAnsiTheme="majorHAnsi" w:cs="Arial"/>
                <w:b/>
                <w:sz w:val="18"/>
                <w:szCs w:val="18"/>
              </w:rPr>
            </w:pPr>
          </w:p>
        </w:tc>
        <w:tc>
          <w:tcPr>
            <w:tcW w:w="1175" w:type="dxa"/>
            <w:tcBorders>
              <w:left w:val="single" w:sz="4" w:space="0" w:color="auto"/>
            </w:tcBorders>
            <w:shd w:val="clear" w:color="auto" w:fill="CCEAF9" w:themeFill="accent1" w:themeFillTint="33"/>
            <w:vAlign w:val="center"/>
          </w:tcPr>
          <w:p w:rsidR="00B47695" w:rsidRPr="00B47695" w:rsidRDefault="00B47695" w:rsidP="00B47695">
            <w:pPr>
              <w:keepNext/>
              <w:keepLines/>
              <w:spacing w:before="40" w:after="20" w:line="240" w:lineRule="auto"/>
              <w:jc w:val="center"/>
              <w:rPr>
                <w:rFonts w:asciiTheme="majorHAnsi" w:hAnsiTheme="majorHAnsi" w:cs="Arial"/>
                <w:sz w:val="18"/>
                <w:szCs w:val="18"/>
              </w:rPr>
            </w:pPr>
            <w:r w:rsidRPr="00B47695">
              <w:rPr>
                <w:rFonts w:asciiTheme="majorHAnsi" w:hAnsiTheme="majorHAnsi" w:cs="Arial"/>
                <w:sz w:val="18"/>
                <w:szCs w:val="18"/>
              </w:rPr>
              <w:t>2018</w:t>
            </w:r>
          </w:p>
        </w:tc>
        <w:tc>
          <w:tcPr>
            <w:tcW w:w="1527" w:type="dxa"/>
            <w:vMerge/>
            <w:shd w:val="clear" w:color="auto" w:fill="CCEAF9" w:themeFill="accent1" w:themeFillTint="33"/>
            <w:vAlign w:val="center"/>
          </w:tcPr>
          <w:p w:rsidR="00B47695" w:rsidRPr="00B47695" w:rsidRDefault="00B47695" w:rsidP="00B47695">
            <w:pPr>
              <w:keepNext/>
              <w:keepLines/>
              <w:spacing w:before="40" w:after="20" w:line="240" w:lineRule="auto"/>
              <w:jc w:val="center"/>
              <w:rPr>
                <w:rFonts w:asciiTheme="majorHAnsi" w:hAnsiTheme="majorHAnsi" w:cs="Arial"/>
                <w:sz w:val="18"/>
                <w:szCs w:val="18"/>
              </w:rPr>
            </w:pPr>
          </w:p>
        </w:tc>
        <w:tc>
          <w:tcPr>
            <w:tcW w:w="1801" w:type="dxa"/>
            <w:shd w:val="clear" w:color="auto" w:fill="CCEAF9" w:themeFill="accent1" w:themeFillTint="33"/>
            <w:vAlign w:val="center"/>
          </w:tcPr>
          <w:p w:rsidR="00B47695" w:rsidRPr="00B47695" w:rsidRDefault="00B47695" w:rsidP="00B47695">
            <w:pPr>
              <w:keepNext/>
              <w:keepLines/>
              <w:spacing w:before="40" w:after="20" w:line="240" w:lineRule="auto"/>
              <w:jc w:val="center"/>
              <w:rPr>
                <w:rFonts w:asciiTheme="majorHAnsi" w:hAnsiTheme="majorHAnsi" w:cs="Arial"/>
                <w:b/>
                <w:bCs/>
                <w:color w:val="0070C0"/>
                <w:sz w:val="18"/>
                <w:szCs w:val="18"/>
              </w:rPr>
            </w:pPr>
            <w:r w:rsidRPr="00B47695">
              <w:rPr>
                <w:rFonts w:asciiTheme="majorHAnsi" w:hAnsiTheme="majorHAnsi" w:cs="Arial"/>
                <w:sz w:val="18"/>
                <w:szCs w:val="18"/>
              </w:rPr>
              <w:t>0–100</w:t>
            </w:r>
          </w:p>
        </w:tc>
        <w:tc>
          <w:tcPr>
            <w:tcW w:w="1785" w:type="dxa"/>
            <w:shd w:val="clear" w:color="auto" w:fill="CCEAF9" w:themeFill="accent1" w:themeFillTint="33"/>
            <w:vAlign w:val="center"/>
          </w:tcPr>
          <w:p w:rsidR="00B47695" w:rsidRPr="00B47695" w:rsidRDefault="00B47695" w:rsidP="00B47695">
            <w:pPr>
              <w:keepNext/>
              <w:keepLines/>
              <w:spacing w:before="40" w:after="20" w:line="240" w:lineRule="auto"/>
              <w:jc w:val="center"/>
              <w:rPr>
                <w:rFonts w:asciiTheme="majorHAnsi" w:hAnsiTheme="majorHAnsi" w:cs="Arial"/>
                <w:sz w:val="18"/>
                <w:szCs w:val="18"/>
              </w:rPr>
            </w:pPr>
            <w:r w:rsidRPr="00B47695">
              <w:rPr>
                <w:rFonts w:asciiTheme="majorHAnsi" w:hAnsiTheme="majorHAnsi" w:cs="Arial"/>
                <w:sz w:val="18"/>
                <w:szCs w:val="18"/>
              </w:rPr>
              <w:t>0</w:t>
            </w:r>
          </w:p>
        </w:tc>
      </w:tr>
      <w:tr w:rsidR="00B47695" w:rsidRPr="00B47695" w:rsidTr="0011231A">
        <w:trPr>
          <w:jc w:val="center"/>
        </w:trPr>
        <w:tc>
          <w:tcPr>
            <w:tcW w:w="3765" w:type="dxa"/>
            <w:tcBorders>
              <w:top w:val="single" w:sz="4" w:space="0" w:color="auto"/>
            </w:tcBorders>
            <w:shd w:val="clear" w:color="auto" w:fill="CCEAF9" w:themeFill="accent1" w:themeFillTint="33"/>
            <w:vAlign w:val="center"/>
          </w:tcPr>
          <w:p w:rsidR="00B47695" w:rsidRPr="00B47695" w:rsidRDefault="00B47695" w:rsidP="0042189D">
            <w:pPr>
              <w:keepNext/>
              <w:keepLines/>
              <w:spacing w:before="40" w:after="20" w:line="240" w:lineRule="auto"/>
              <w:ind w:firstLine="149"/>
              <w:rPr>
                <w:rFonts w:asciiTheme="majorHAnsi" w:hAnsiTheme="majorHAnsi" w:cs="Arial"/>
                <w:sz w:val="18"/>
                <w:szCs w:val="18"/>
              </w:rPr>
            </w:pPr>
            <w:r w:rsidRPr="00B47695">
              <w:rPr>
                <w:rFonts w:asciiTheme="majorHAnsi" w:hAnsiTheme="majorHAnsi" w:cs="Arial"/>
                <w:sz w:val="18"/>
                <w:szCs w:val="18"/>
              </w:rPr>
              <w:t>Reflecting impact of CPV</w:t>
            </w:r>
            <w:r w:rsidR="0042189D">
              <w:rPr>
                <w:rFonts w:asciiTheme="majorHAnsi" w:hAnsiTheme="majorHAnsi" w:cs="Arial"/>
                <w:sz w:val="18"/>
                <w:szCs w:val="18"/>
              </w:rPr>
              <w:t xml:space="preserve"> </w:t>
            </w:r>
            <w:r w:rsidRPr="00B47695">
              <w:rPr>
                <w:rFonts w:asciiTheme="majorHAnsi" w:hAnsiTheme="majorHAnsi" w:cs="Arial"/>
                <w:sz w:val="18"/>
                <w:szCs w:val="18"/>
              </w:rPr>
              <w:t>Towantic</w:t>
            </w:r>
          </w:p>
        </w:tc>
        <w:tc>
          <w:tcPr>
            <w:tcW w:w="1175" w:type="dxa"/>
            <w:shd w:val="clear" w:color="auto" w:fill="CCEAF9" w:themeFill="accent1" w:themeFillTint="33"/>
            <w:vAlign w:val="center"/>
          </w:tcPr>
          <w:p w:rsidR="00B47695" w:rsidRPr="00B47695" w:rsidRDefault="00B47695" w:rsidP="00B47695">
            <w:pPr>
              <w:keepNext/>
              <w:keepLines/>
              <w:spacing w:before="40" w:after="20" w:line="240" w:lineRule="auto"/>
              <w:jc w:val="center"/>
              <w:rPr>
                <w:rFonts w:asciiTheme="majorHAnsi" w:hAnsiTheme="majorHAnsi" w:cs="Arial"/>
                <w:sz w:val="18"/>
                <w:szCs w:val="18"/>
              </w:rPr>
            </w:pPr>
            <w:r w:rsidRPr="00B47695">
              <w:rPr>
                <w:rFonts w:asciiTheme="majorHAnsi" w:hAnsiTheme="majorHAnsi" w:cs="Arial"/>
                <w:sz w:val="18"/>
                <w:szCs w:val="18"/>
              </w:rPr>
              <w:t>2019</w:t>
            </w:r>
          </w:p>
        </w:tc>
        <w:tc>
          <w:tcPr>
            <w:tcW w:w="1527" w:type="dxa"/>
            <w:vMerge/>
            <w:shd w:val="clear" w:color="auto" w:fill="CCEAF9" w:themeFill="accent1" w:themeFillTint="33"/>
            <w:vAlign w:val="center"/>
          </w:tcPr>
          <w:p w:rsidR="00B47695" w:rsidRPr="00B47695" w:rsidRDefault="00B47695" w:rsidP="00B47695">
            <w:pPr>
              <w:keepNext/>
              <w:keepLines/>
              <w:spacing w:before="40" w:after="20" w:line="240" w:lineRule="auto"/>
              <w:jc w:val="center"/>
              <w:rPr>
                <w:rFonts w:asciiTheme="majorHAnsi" w:hAnsiTheme="majorHAnsi" w:cs="Arial"/>
                <w:sz w:val="18"/>
                <w:szCs w:val="18"/>
              </w:rPr>
            </w:pPr>
          </w:p>
        </w:tc>
        <w:tc>
          <w:tcPr>
            <w:tcW w:w="1801" w:type="dxa"/>
            <w:shd w:val="clear" w:color="auto" w:fill="CCEAF9" w:themeFill="accent1" w:themeFillTint="33"/>
            <w:vAlign w:val="center"/>
          </w:tcPr>
          <w:p w:rsidR="00B47695" w:rsidRPr="00B47695" w:rsidRDefault="00B47695" w:rsidP="00B47695">
            <w:pPr>
              <w:keepNext/>
              <w:keepLines/>
              <w:spacing w:before="40" w:after="20" w:line="240" w:lineRule="auto"/>
              <w:jc w:val="center"/>
              <w:rPr>
                <w:rFonts w:asciiTheme="majorHAnsi" w:hAnsiTheme="majorHAnsi" w:cs="Arial"/>
                <w:sz w:val="18"/>
                <w:szCs w:val="18"/>
              </w:rPr>
            </w:pPr>
            <w:r w:rsidRPr="00B47695">
              <w:rPr>
                <w:rFonts w:asciiTheme="majorHAnsi" w:hAnsiTheme="majorHAnsi" w:cs="Arial"/>
                <w:sz w:val="18"/>
                <w:szCs w:val="18"/>
              </w:rPr>
              <w:t>0–100</w:t>
            </w:r>
          </w:p>
          <w:p w:rsidR="00B47695" w:rsidRPr="00B47695" w:rsidRDefault="00B47695" w:rsidP="00B47695">
            <w:pPr>
              <w:keepNext/>
              <w:keepLines/>
              <w:spacing w:before="40" w:after="20" w:line="240" w:lineRule="auto"/>
              <w:jc w:val="center"/>
              <w:rPr>
                <w:rFonts w:asciiTheme="majorHAnsi" w:hAnsiTheme="majorHAnsi" w:cs="Arial"/>
                <w:sz w:val="18"/>
                <w:szCs w:val="18"/>
              </w:rPr>
            </w:pPr>
            <w:r w:rsidRPr="00B47695">
              <w:rPr>
                <w:rFonts w:asciiTheme="majorHAnsi" w:hAnsiTheme="majorHAnsi" w:cs="Arial"/>
                <w:sz w:val="18"/>
                <w:szCs w:val="18"/>
              </w:rPr>
              <w:t>0 with CPV in service</w:t>
            </w:r>
          </w:p>
        </w:tc>
        <w:tc>
          <w:tcPr>
            <w:tcW w:w="1785" w:type="dxa"/>
            <w:shd w:val="clear" w:color="auto" w:fill="CCEAF9" w:themeFill="accent1" w:themeFillTint="33"/>
            <w:vAlign w:val="center"/>
          </w:tcPr>
          <w:p w:rsidR="00B47695" w:rsidRPr="00B47695" w:rsidRDefault="00B47695" w:rsidP="00B47695">
            <w:pPr>
              <w:keepNext/>
              <w:keepLines/>
              <w:spacing w:before="40" w:after="20" w:line="240" w:lineRule="auto"/>
              <w:jc w:val="center"/>
              <w:rPr>
                <w:rFonts w:asciiTheme="majorHAnsi" w:hAnsiTheme="majorHAnsi" w:cs="Arial"/>
                <w:sz w:val="18"/>
                <w:szCs w:val="18"/>
              </w:rPr>
            </w:pPr>
            <w:r w:rsidRPr="00B47695">
              <w:rPr>
                <w:rFonts w:asciiTheme="majorHAnsi" w:hAnsiTheme="majorHAnsi" w:cs="Arial"/>
                <w:sz w:val="18"/>
                <w:szCs w:val="18"/>
              </w:rPr>
              <w:t>0</w:t>
            </w:r>
          </w:p>
        </w:tc>
      </w:tr>
      <w:tr w:rsidR="00B47695" w:rsidRPr="00B47695" w:rsidTr="0011231A">
        <w:trPr>
          <w:jc w:val="center"/>
        </w:trPr>
        <w:tc>
          <w:tcPr>
            <w:tcW w:w="3765" w:type="dxa"/>
            <w:shd w:val="clear" w:color="auto" w:fill="CCEAF9" w:themeFill="accent1" w:themeFillTint="33"/>
            <w:vAlign w:val="center"/>
          </w:tcPr>
          <w:p w:rsidR="00B47695" w:rsidRPr="00B47695" w:rsidRDefault="00B47695" w:rsidP="00B47695">
            <w:pPr>
              <w:keepNext/>
              <w:keepLines/>
              <w:spacing w:before="40" w:after="20" w:line="240" w:lineRule="auto"/>
              <w:ind w:firstLine="149"/>
              <w:rPr>
                <w:rFonts w:asciiTheme="majorHAnsi" w:hAnsiTheme="majorHAnsi" w:cs="Arial"/>
                <w:sz w:val="18"/>
                <w:szCs w:val="18"/>
              </w:rPr>
            </w:pPr>
            <w:r w:rsidRPr="00B47695">
              <w:rPr>
                <w:rFonts w:asciiTheme="majorHAnsi" w:hAnsiTheme="majorHAnsi" w:cs="Arial"/>
                <w:sz w:val="18"/>
                <w:szCs w:val="18"/>
              </w:rPr>
              <w:t>Reflecting impact of Bridgeport Harbor 5</w:t>
            </w:r>
          </w:p>
        </w:tc>
        <w:tc>
          <w:tcPr>
            <w:tcW w:w="1175" w:type="dxa"/>
            <w:shd w:val="clear" w:color="auto" w:fill="CCEAF9" w:themeFill="accent1" w:themeFillTint="33"/>
            <w:vAlign w:val="center"/>
          </w:tcPr>
          <w:p w:rsidR="00B47695" w:rsidRPr="00B47695" w:rsidRDefault="00B47695" w:rsidP="00B47695">
            <w:pPr>
              <w:keepNext/>
              <w:keepLines/>
              <w:spacing w:before="40" w:after="20" w:line="240" w:lineRule="auto"/>
              <w:jc w:val="center"/>
              <w:rPr>
                <w:rFonts w:asciiTheme="majorHAnsi" w:hAnsiTheme="majorHAnsi" w:cs="Arial"/>
                <w:sz w:val="18"/>
                <w:szCs w:val="18"/>
              </w:rPr>
            </w:pPr>
            <w:r w:rsidRPr="00B47695">
              <w:rPr>
                <w:rFonts w:asciiTheme="majorHAnsi" w:hAnsiTheme="majorHAnsi" w:cs="Arial"/>
                <w:sz w:val="18"/>
                <w:szCs w:val="18"/>
              </w:rPr>
              <w:t>2020</w:t>
            </w:r>
          </w:p>
        </w:tc>
        <w:tc>
          <w:tcPr>
            <w:tcW w:w="1527" w:type="dxa"/>
            <w:vMerge/>
            <w:shd w:val="clear" w:color="auto" w:fill="CCEAF9" w:themeFill="accent1" w:themeFillTint="33"/>
            <w:vAlign w:val="center"/>
          </w:tcPr>
          <w:p w:rsidR="00B47695" w:rsidRPr="00B47695" w:rsidRDefault="00B47695" w:rsidP="00B47695">
            <w:pPr>
              <w:keepNext/>
              <w:keepLines/>
              <w:spacing w:before="40" w:after="20" w:line="240" w:lineRule="auto"/>
              <w:jc w:val="center"/>
              <w:rPr>
                <w:rFonts w:asciiTheme="majorHAnsi" w:hAnsiTheme="majorHAnsi" w:cs="Arial"/>
                <w:sz w:val="18"/>
                <w:szCs w:val="18"/>
              </w:rPr>
            </w:pPr>
          </w:p>
        </w:tc>
        <w:tc>
          <w:tcPr>
            <w:tcW w:w="1801" w:type="dxa"/>
            <w:shd w:val="clear" w:color="auto" w:fill="CCEAF9" w:themeFill="accent1" w:themeFillTint="33"/>
            <w:vAlign w:val="center"/>
          </w:tcPr>
          <w:p w:rsidR="00B47695" w:rsidRPr="00B47695" w:rsidRDefault="00B47695" w:rsidP="00B47695">
            <w:pPr>
              <w:keepNext/>
              <w:keepLines/>
              <w:spacing w:before="40" w:after="20" w:line="240" w:lineRule="auto"/>
              <w:jc w:val="center"/>
              <w:rPr>
                <w:rFonts w:asciiTheme="majorHAnsi" w:hAnsiTheme="majorHAnsi" w:cs="Arial"/>
                <w:sz w:val="18"/>
                <w:szCs w:val="18"/>
              </w:rPr>
            </w:pPr>
            <w:r w:rsidRPr="00B47695">
              <w:rPr>
                <w:rFonts w:asciiTheme="majorHAnsi" w:hAnsiTheme="majorHAnsi" w:cs="Arial"/>
                <w:sz w:val="18"/>
                <w:szCs w:val="18"/>
              </w:rPr>
              <w:t>0</w:t>
            </w:r>
          </w:p>
        </w:tc>
        <w:tc>
          <w:tcPr>
            <w:tcW w:w="1785" w:type="dxa"/>
            <w:shd w:val="clear" w:color="auto" w:fill="CCEAF9" w:themeFill="accent1" w:themeFillTint="33"/>
            <w:vAlign w:val="center"/>
          </w:tcPr>
          <w:p w:rsidR="00B47695" w:rsidRPr="00B47695" w:rsidRDefault="00B47695" w:rsidP="00B47695">
            <w:pPr>
              <w:keepNext/>
              <w:keepLines/>
              <w:spacing w:before="40" w:after="20" w:line="240" w:lineRule="auto"/>
              <w:jc w:val="center"/>
              <w:rPr>
                <w:rFonts w:asciiTheme="majorHAnsi" w:hAnsiTheme="majorHAnsi" w:cs="Arial"/>
                <w:sz w:val="18"/>
                <w:szCs w:val="18"/>
              </w:rPr>
            </w:pPr>
            <w:r w:rsidRPr="00B47695">
              <w:rPr>
                <w:rFonts w:asciiTheme="majorHAnsi" w:hAnsiTheme="majorHAnsi" w:cs="Arial"/>
                <w:sz w:val="18"/>
                <w:szCs w:val="18"/>
              </w:rPr>
              <w:t>0</w:t>
            </w:r>
          </w:p>
        </w:tc>
      </w:tr>
      <w:tr w:rsidR="00B47695" w:rsidRPr="00B47695" w:rsidTr="0011231A">
        <w:trPr>
          <w:trHeight w:val="229"/>
          <w:jc w:val="center"/>
        </w:trPr>
        <w:tc>
          <w:tcPr>
            <w:tcW w:w="3765" w:type="dxa"/>
            <w:tcBorders>
              <w:bottom w:val="single" w:sz="2" w:space="0" w:color="auto"/>
            </w:tcBorders>
            <w:shd w:val="clear" w:color="auto" w:fill="CCEAF9" w:themeFill="accent1" w:themeFillTint="33"/>
            <w:vAlign w:val="center"/>
          </w:tcPr>
          <w:p w:rsidR="00B47695" w:rsidRPr="00B47695" w:rsidRDefault="00B47695" w:rsidP="00B47695">
            <w:pPr>
              <w:keepNext/>
              <w:keepLines/>
              <w:spacing w:before="40" w:after="20" w:line="240" w:lineRule="auto"/>
              <w:ind w:left="149"/>
              <w:rPr>
                <w:rFonts w:asciiTheme="majorHAnsi" w:hAnsiTheme="majorHAnsi" w:cs="Arial"/>
                <w:sz w:val="18"/>
                <w:szCs w:val="18"/>
              </w:rPr>
            </w:pPr>
            <w:r w:rsidRPr="00B47695">
              <w:rPr>
                <w:rFonts w:asciiTheme="majorHAnsi" w:hAnsiTheme="majorHAnsi" w:cs="Arial"/>
                <w:sz w:val="18"/>
                <w:szCs w:val="18"/>
              </w:rPr>
              <w:t>Reflecting impact of Greater Hartford/Central Connecticut upgrades</w:t>
            </w:r>
          </w:p>
        </w:tc>
        <w:tc>
          <w:tcPr>
            <w:tcW w:w="1175" w:type="dxa"/>
            <w:shd w:val="clear" w:color="auto" w:fill="CCEAF9" w:themeFill="accent1" w:themeFillTint="33"/>
            <w:vAlign w:val="center"/>
          </w:tcPr>
          <w:p w:rsidR="00B47695" w:rsidRPr="00B47695" w:rsidRDefault="00B47695" w:rsidP="00B47695">
            <w:pPr>
              <w:keepNext/>
              <w:keepLines/>
              <w:spacing w:before="40" w:after="20" w:line="240" w:lineRule="auto"/>
              <w:jc w:val="center"/>
              <w:rPr>
                <w:rFonts w:asciiTheme="majorHAnsi" w:hAnsiTheme="majorHAnsi" w:cs="Arial"/>
                <w:sz w:val="18"/>
                <w:szCs w:val="18"/>
              </w:rPr>
            </w:pPr>
            <w:r w:rsidRPr="00B47695">
              <w:rPr>
                <w:rFonts w:asciiTheme="majorHAnsi" w:hAnsiTheme="majorHAnsi" w:cs="Arial"/>
                <w:sz w:val="18"/>
                <w:szCs w:val="18"/>
              </w:rPr>
              <w:t>2021</w:t>
            </w:r>
          </w:p>
        </w:tc>
        <w:tc>
          <w:tcPr>
            <w:tcW w:w="1527" w:type="dxa"/>
            <w:vMerge/>
            <w:shd w:val="clear" w:color="auto" w:fill="CCEAF9" w:themeFill="accent1" w:themeFillTint="33"/>
            <w:vAlign w:val="center"/>
          </w:tcPr>
          <w:p w:rsidR="00B47695" w:rsidRPr="00B47695" w:rsidRDefault="00B47695" w:rsidP="00B47695">
            <w:pPr>
              <w:keepNext/>
              <w:keepLines/>
              <w:spacing w:before="40" w:after="20" w:line="240" w:lineRule="auto"/>
              <w:jc w:val="center"/>
              <w:rPr>
                <w:rFonts w:asciiTheme="majorHAnsi" w:hAnsiTheme="majorHAnsi" w:cs="Arial"/>
                <w:sz w:val="18"/>
                <w:szCs w:val="18"/>
              </w:rPr>
            </w:pPr>
          </w:p>
        </w:tc>
        <w:tc>
          <w:tcPr>
            <w:tcW w:w="1801" w:type="dxa"/>
            <w:shd w:val="clear" w:color="auto" w:fill="CCEAF9" w:themeFill="accent1" w:themeFillTint="33"/>
            <w:vAlign w:val="center"/>
          </w:tcPr>
          <w:p w:rsidR="00B47695" w:rsidRPr="00B47695" w:rsidRDefault="00B47695" w:rsidP="00B47695">
            <w:pPr>
              <w:keepNext/>
              <w:keepLines/>
              <w:spacing w:before="40" w:after="20" w:line="240" w:lineRule="auto"/>
              <w:jc w:val="center"/>
              <w:rPr>
                <w:rFonts w:asciiTheme="majorHAnsi" w:hAnsiTheme="majorHAnsi" w:cs="Arial"/>
                <w:sz w:val="18"/>
                <w:szCs w:val="18"/>
              </w:rPr>
            </w:pPr>
            <w:r w:rsidRPr="00B47695">
              <w:rPr>
                <w:rFonts w:asciiTheme="majorHAnsi" w:hAnsiTheme="majorHAnsi" w:cs="Arial"/>
                <w:sz w:val="18"/>
                <w:szCs w:val="18"/>
              </w:rPr>
              <w:t>0</w:t>
            </w:r>
          </w:p>
        </w:tc>
        <w:tc>
          <w:tcPr>
            <w:tcW w:w="1785" w:type="dxa"/>
            <w:shd w:val="clear" w:color="auto" w:fill="CCEAF9" w:themeFill="accent1" w:themeFillTint="33"/>
            <w:vAlign w:val="center"/>
          </w:tcPr>
          <w:p w:rsidR="00B47695" w:rsidRPr="00B47695" w:rsidRDefault="00B47695" w:rsidP="00B47695">
            <w:pPr>
              <w:keepNext/>
              <w:keepLines/>
              <w:spacing w:before="40" w:after="20" w:line="240" w:lineRule="auto"/>
              <w:jc w:val="center"/>
              <w:rPr>
                <w:rFonts w:asciiTheme="majorHAnsi" w:hAnsiTheme="majorHAnsi" w:cs="Arial"/>
                <w:sz w:val="18"/>
                <w:szCs w:val="18"/>
              </w:rPr>
            </w:pPr>
            <w:r w:rsidRPr="00B47695">
              <w:rPr>
                <w:rFonts w:asciiTheme="majorHAnsi" w:hAnsiTheme="majorHAnsi" w:cs="Arial"/>
                <w:sz w:val="18"/>
                <w:szCs w:val="18"/>
              </w:rPr>
              <w:t>0</w:t>
            </w:r>
          </w:p>
        </w:tc>
      </w:tr>
      <w:tr w:rsidR="00B47695" w:rsidRPr="00B47695" w:rsidTr="00B47695">
        <w:trPr>
          <w:trHeight w:val="265"/>
          <w:jc w:val="center"/>
        </w:trPr>
        <w:tc>
          <w:tcPr>
            <w:tcW w:w="3765" w:type="dxa"/>
            <w:tcBorders>
              <w:left w:val="single" w:sz="4" w:space="0" w:color="auto"/>
              <w:bottom w:val="single" w:sz="4" w:space="0" w:color="auto"/>
              <w:right w:val="single" w:sz="4" w:space="0" w:color="auto"/>
            </w:tcBorders>
            <w:vAlign w:val="center"/>
          </w:tcPr>
          <w:p w:rsidR="00B47695" w:rsidRPr="00B47695" w:rsidRDefault="00B47695" w:rsidP="00B47695">
            <w:pPr>
              <w:keepNext/>
              <w:keepLines/>
              <w:spacing w:before="40" w:after="20" w:line="240" w:lineRule="auto"/>
              <w:rPr>
                <w:rFonts w:asciiTheme="majorHAnsi" w:hAnsiTheme="majorHAnsi" w:cs="Arial"/>
                <w:b/>
                <w:sz w:val="18"/>
                <w:szCs w:val="18"/>
              </w:rPr>
            </w:pPr>
            <w:r w:rsidRPr="00B47695">
              <w:rPr>
                <w:rFonts w:asciiTheme="majorHAnsi" w:hAnsiTheme="majorHAnsi" w:cs="Arial"/>
                <w:b/>
                <w:sz w:val="18"/>
                <w:szCs w:val="18"/>
              </w:rPr>
              <w:t>NEMA/Boston</w:t>
            </w:r>
            <w:r w:rsidRPr="00B47695">
              <w:rPr>
                <w:rFonts w:asciiTheme="majorHAnsi" w:hAnsiTheme="majorHAnsi" w:cs="Arial"/>
                <w:b/>
                <w:sz w:val="18"/>
                <w:szCs w:val="18"/>
                <w:vertAlign w:val="superscript"/>
              </w:rPr>
              <w:t>(g, i)</w:t>
            </w:r>
          </w:p>
        </w:tc>
        <w:tc>
          <w:tcPr>
            <w:tcW w:w="1175" w:type="dxa"/>
            <w:tcBorders>
              <w:left w:val="single" w:sz="4" w:space="0" w:color="auto"/>
            </w:tcBorders>
            <w:vAlign w:val="center"/>
          </w:tcPr>
          <w:p w:rsidR="00B47695" w:rsidRPr="00B47695" w:rsidRDefault="00B47695" w:rsidP="00B47695">
            <w:pPr>
              <w:keepNext/>
              <w:keepLines/>
              <w:spacing w:before="40" w:after="20" w:line="240" w:lineRule="auto"/>
              <w:jc w:val="center"/>
              <w:rPr>
                <w:rFonts w:asciiTheme="majorHAnsi" w:hAnsiTheme="majorHAnsi" w:cs="Arial"/>
                <w:sz w:val="18"/>
                <w:szCs w:val="18"/>
              </w:rPr>
            </w:pPr>
            <w:r w:rsidRPr="00B47695">
              <w:rPr>
                <w:rFonts w:asciiTheme="majorHAnsi" w:hAnsiTheme="majorHAnsi" w:cs="Arial"/>
                <w:sz w:val="18"/>
                <w:szCs w:val="18"/>
              </w:rPr>
              <w:t>2017</w:t>
            </w:r>
          </w:p>
        </w:tc>
        <w:tc>
          <w:tcPr>
            <w:tcW w:w="1527" w:type="dxa"/>
            <w:vMerge w:val="restart"/>
            <w:vAlign w:val="center"/>
          </w:tcPr>
          <w:p w:rsidR="00B47695" w:rsidRPr="00B47695" w:rsidRDefault="00B47695" w:rsidP="00B47695">
            <w:pPr>
              <w:keepNext/>
              <w:keepLines/>
              <w:spacing w:before="40" w:after="20" w:line="240" w:lineRule="auto"/>
              <w:jc w:val="center"/>
              <w:rPr>
                <w:rFonts w:asciiTheme="majorHAnsi" w:hAnsiTheme="majorHAnsi" w:cs="Arial"/>
                <w:sz w:val="18"/>
                <w:szCs w:val="18"/>
              </w:rPr>
            </w:pPr>
            <w:r w:rsidRPr="00B47695">
              <w:rPr>
                <w:rFonts w:asciiTheme="majorHAnsi" w:hAnsiTheme="majorHAnsi" w:cs="Arial"/>
                <w:sz w:val="18"/>
                <w:szCs w:val="18"/>
              </w:rPr>
              <w:t>0–318</w:t>
            </w:r>
          </w:p>
        </w:tc>
        <w:tc>
          <w:tcPr>
            <w:tcW w:w="1801" w:type="dxa"/>
            <w:vAlign w:val="center"/>
          </w:tcPr>
          <w:p w:rsidR="00B47695" w:rsidRPr="00B47695" w:rsidRDefault="00B47695" w:rsidP="00B47695">
            <w:pPr>
              <w:keepNext/>
              <w:keepLines/>
              <w:spacing w:before="40" w:after="20" w:line="240" w:lineRule="auto"/>
              <w:jc w:val="center"/>
              <w:rPr>
                <w:rFonts w:asciiTheme="majorHAnsi" w:hAnsiTheme="majorHAnsi" w:cs="Arial"/>
                <w:sz w:val="18"/>
                <w:szCs w:val="18"/>
              </w:rPr>
            </w:pPr>
            <w:r w:rsidRPr="00B47695">
              <w:rPr>
                <w:rFonts w:asciiTheme="majorHAnsi" w:hAnsiTheme="majorHAnsi" w:cs="Arial"/>
                <w:sz w:val="18"/>
                <w:szCs w:val="18"/>
              </w:rPr>
              <w:t>279</w:t>
            </w:r>
            <w:r w:rsidRPr="00B47695">
              <w:rPr>
                <w:rFonts w:asciiTheme="majorHAnsi" w:hAnsiTheme="majorHAnsi" w:cs="Arial"/>
                <w:sz w:val="18"/>
                <w:szCs w:val="18"/>
                <w:vertAlign w:val="superscript"/>
              </w:rPr>
              <w:t>(e)</w:t>
            </w:r>
          </w:p>
        </w:tc>
        <w:tc>
          <w:tcPr>
            <w:tcW w:w="1785" w:type="dxa"/>
            <w:vAlign w:val="center"/>
          </w:tcPr>
          <w:p w:rsidR="00B47695" w:rsidRPr="00B47695" w:rsidRDefault="00B47695" w:rsidP="00B47695">
            <w:pPr>
              <w:keepNext/>
              <w:keepLines/>
              <w:spacing w:before="40" w:after="20" w:line="240" w:lineRule="auto"/>
              <w:jc w:val="center"/>
              <w:rPr>
                <w:rFonts w:asciiTheme="majorHAnsi" w:hAnsiTheme="majorHAnsi" w:cs="Arial"/>
                <w:sz w:val="18"/>
                <w:szCs w:val="18"/>
              </w:rPr>
            </w:pPr>
            <w:r w:rsidRPr="00B47695">
              <w:rPr>
                <w:rFonts w:asciiTheme="majorHAnsi" w:hAnsiTheme="majorHAnsi" w:cs="Arial"/>
                <w:sz w:val="18"/>
                <w:szCs w:val="18"/>
              </w:rPr>
              <w:t>To be updated</w:t>
            </w:r>
          </w:p>
        </w:tc>
      </w:tr>
      <w:tr w:rsidR="00B47695" w:rsidRPr="00B47695" w:rsidTr="00B47695">
        <w:trPr>
          <w:jc w:val="center"/>
        </w:trPr>
        <w:tc>
          <w:tcPr>
            <w:tcW w:w="3765" w:type="dxa"/>
            <w:tcBorders>
              <w:top w:val="single" w:sz="4" w:space="0" w:color="auto"/>
              <w:left w:val="single" w:sz="4" w:space="0" w:color="auto"/>
              <w:bottom w:val="nil"/>
              <w:right w:val="single" w:sz="4" w:space="0" w:color="auto"/>
            </w:tcBorders>
            <w:vAlign w:val="center"/>
          </w:tcPr>
          <w:p w:rsidR="00B47695" w:rsidRPr="00B47695" w:rsidRDefault="00B47695" w:rsidP="00B47695">
            <w:pPr>
              <w:keepNext/>
              <w:keepLines/>
              <w:spacing w:before="40" w:after="20" w:line="240" w:lineRule="auto"/>
              <w:ind w:firstLine="149"/>
              <w:rPr>
                <w:rFonts w:asciiTheme="majorHAnsi" w:hAnsiTheme="majorHAnsi" w:cs="Arial"/>
                <w:sz w:val="18"/>
                <w:szCs w:val="18"/>
              </w:rPr>
            </w:pPr>
            <w:r w:rsidRPr="00B47695">
              <w:rPr>
                <w:rFonts w:asciiTheme="majorHAnsi" w:hAnsiTheme="majorHAnsi" w:cs="Arial"/>
                <w:sz w:val="18"/>
                <w:szCs w:val="18"/>
              </w:rPr>
              <w:t>Reflecting impact of Footprint</w:t>
            </w:r>
          </w:p>
        </w:tc>
        <w:tc>
          <w:tcPr>
            <w:tcW w:w="1175" w:type="dxa"/>
            <w:tcBorders>
              <w:left w:val="single" w:sz="4" w:space="0" w:color="auto"/>
            </w:tcBorders>
            <w:vAlign w:val="center"/>
          </w:tcPr>
          <w:p w:rsidR="00B47695" w:rsidRPr="00B47695" w:rsidRDefault="00B47695" w:rsidP="00B47695">
            <w:pPr>
              <w:keepNext/>
              <w:keepLines/>
              <w:spacing w:before="40" w:after="20" w:line="240" w:lineRule="auto"/>
              <w:jc w:val="center"/>
              <w:rPr>
                <w:rFonts w:asciiTheme="majorHAnsi" w:hAnsiTheme="majorHAnsi" w:cs="Arial"/>
                <w:sz w:val="18"/>
                <w:szCs w:val="18"/>
              </w:rPr>
            </w:pPr>
            <w:r w:rsidRPr="00B47695">
              <w:rPr>
                <w:rFonts w:asciiTheme="majorHAnsi" w:hAnsiTheme="majorHAnsi" w:cs="Arial"/>
                <w:sz w:val="18"/>
                <w:szCs w:val="18"/>
              </w:rPr>
              <w:t>2018</w:t>
            </w:r>
          </w:p>
        </w:tc>
        <w:tc>
          <w:tcPr>
            <w:tcW w:w="1527" w:type="dxa"/>
            <w:vMerge/>
            <w:vAlign w:val="center"/>
          </w:tcPr>
          <w:p w:rsidR="00B47695" w:rsidRPr="00B47695" w:rsidRDefault="00B47695" w:rsidP="00B47695">
            <w:pPr>
              <w:keepNext/>
              <w:keepLines/>
              <w:spacing w:before="40" w:after="20" w:line="240" w:lineRule="auto"/>
              <w:rPr>
                <w:rFonts w:asciiTheme="majorHAnsi" w:hAnsiTheme="majorHAnsi" w:cs="Arial"/>
                <w:sz w:val="18"/>
                <w:szCs w:val="18"/>
              </w:rPr>
            </w:pPr>
          </w:p>
        </w:tc>
        <w:tc>
          <w:tcPr>
            <w:tcW w:w="1801" w:type="dxa"/>
            <w:shd w:val="clear" w:color="auto" w:fill="auto"/>
            <w:vAlign w:val="center"/>
          </w:tcPr>
          <w:p w:rsidR="00B47695" w:rsidRPr="00B47695" w:rsidRDefault="00B47695" w:rsidP="00B47695">
            <w:pPr>
              <w:keepNext/>
              <w:keepLines/>
              <w:spacing w:before="40" w:after="20" w:line="240" w:lineRule="auto"/>
              <w:jc w:val="center"/>
              <w:rPr>
                <w:rFonts w:asciiTheme="majorHAnsi" w:hAnsiTheme="majorHAnsi" w:cs="Arial"/>
                <w:sz w:val="18"/>
                <w:szCs w:val="18"/>
              </w:rPr>
            </w:pPr>
            <w:r w:rsidRPr="00B47695">
              <w:rPr>
                <w:rFonts w:asciiTheme="majorHAnsi" w:hAnsiTheme="majorHAnsi" w:cs="Arial"/>
                <w:sz w:val="18"/>
                <w:szCs w:val="18"/>
              </w:rPr>
              <w:t>200–650</w:t>
            </w:r>
          </w:p>
          <w:p w:rsidR="00B47695" w:rsidRPr="00B47695" w:rsidRDefault="00B47695" w:rsidP="00B47695">
            <w:pPr>
              <w:keepNext/>
              <w:keepLines/>
              <w:spacing w:before="40" w:after="20" w:line="240" w:lineRule="auto"/>
              <w:jc w:val="center"/>
              <w:rPr>
                <w:rFonts w:asciiTheme="majorHAnsi" w:hAnsiTheme="majorHAnsi" w:cs="Arial"/>
                <w:sz w:val="18"/>
                <w:szCs w:val="18"/>
              </w:rPr>
            </w:pPr>
            <w:r w:rsidRPr="00B47695">
              <w:rPr>
                <w:rFonts w:asciiTheme="majorHAnsi" w:hAnsiTheme="majorHAnsi" w:cs="Arial"/>
                <w:sz w:val="18"/>
                <w:szCs w:val="18"/>
              </w:rPr>
              <w:t>0-50 with Footprint</w:t>
            </w:r>
          </w:p>
        </w:tc>
        <w:tc>
          <w:tcPr>
            <w:tcW w:w="1785" w:type="dxa"/>
            <w:vAlign w:val="center"/>
          </w:tcPr>
          <w:p w:rsidR="00B47695" w:rsidRPr="00B47695" w:rsidRDefault="00B47695" w:rsidP="00B47695">
            <w:pPr>
              <w:keepNext/>
              <w:keepLines/>
              <w:spacing w:before="40" w:after="20" w:line="240" w:lineRule="auto"/>
              <w:jc w:val="center"/>
              <w:rPr>
                <w:rFonts w:asciiTheme="majorHAnsi" w:hAnsiTheme="majorHAnsi" w:cs="Arial"/>
                <w:sz w:val="18"/>
                <w:szCs w:val="18"/>
              </w:rPr>
            </w:pPr>
            <w:r w:rsidRPr="00B47695">
              <w:rPr>
                <w:rFonts w:asciiTheme="majorHAnsi" w:hAnsiTheme="majorHAnsi" w:cs="Arial"/>
                <w:sz w:val="18"/>
                <w:szCs w:val="18"/>
              </w:rPr>
              <w:t>0</w:t>
            </w:r>
          </w:p>
        </w:tc>
      </w:tr>
      <w:tr w:rsidR="00B47695" w:rsidRPr="00B47695" w:rsidTr="00B47695">
        <w:trPr>
          <w:jc w:val="center"/>
        </w:trPr>
        <w:tc>
          <w:tcPr>
            <w:tcW w:w="3765" w:type="dxa"/>
            <w:tcBorders>
              <w:top w:val="nil"/>
              <w:left w:val="single" w:sz="4" w:space="0" w:color="auto"/>
              <w:bottom w:val="single" w:sz="4" w:space="0" w:color="auto"/>
              <w:right w:val="single" w:sz="4" w:space="0" w:color="auto"/>
            </w:tcBorders>
            <w:vAlign w:val="center"/>
          </w:tcPr>
          <w:p w:rsidR="00B47695" w:rsidRPr="00B47695" w:rsidRDefault="00B47695" w:rsidP="00B47695">
            <w:pPr>
              <w:keepNext/>
              <w:keepLines/>
              <w:spacing w:before="40" w:after="20" w:line="240" w:lineRule="auto"/>
              <w:rPr>
                <w:rFonts w:asciiTheme="majorHAnsi" w:hAnsiTheme="majorHAnsi" w:cs="Arial"/>
                <w:sz w:val="18"/>
                <w:szCs w:val="18"/>
              </w:rPr>
            </w:pPr>
          </w:p>
        </w:tc>
        <w:tc>
          <w:tcPr>
            <w:tcW w:w="1175" w:type="dxa"/>
            <w:tcBorders>
              <w:left w:val="single" w:sz="4" w:space="0" w:color="auto"/>
            </w:tcBorders>
            <w:vAlign w:val="center"/>
          </w:tcPr>
          <w:p w:rsidR="00B47695" w:rsidRPr="00B47695" w:rsidRDefault="00B47695" w:rsidP="00B47695">
            <w:pPr>
              <w:keepNext/>
              <w:keepLines/>
              <w:spacing w:before="40" w:after="20" w:line="240" w:lineRule="auto"/>
              <w:jc w:val="center"/>
              <w:rPr>
                <w:rFonts w:asciiTheme="majorHAnsi" w:hAnsiTheme="majorHAnsi" w:cs="Arial"/>
                <w:sz w:val="18"/>
                <w:szCs w:val="18"/>
              </w:rPr>
            </w:pPr>
            <w:r w:rsidRPr="00B47695">
              <w:rPr>
                <w:rFonts w:asciiTheme="majorHAnsi" w:hAnsiTheme="majorHAnsi" w:cs="Arial"/>
                <w:sz w:val="18"/>
                <w:szCs w:val="18"/>
              </w:rPr>
              <w:t>2019</w:t>
            </w:r>
          </w:p>
        </w:tc>
        <w:tc>
          <w:tcPr>
            <w:tcW w:w="1527" w:type="dxa"/>
            <w:vMerge/>
            <w:vAlign w:val="center"/>
          </w:tcPr>
          <w:p w:rsidR="00B47695" w:rsidRPr="00B47695" w:rsidRDefault="00B47695" w:rsidP="00B47695">
            <w:pPr>
              <w:keepNext/>
              <w:keepLines/>
              <w:spacing w:before="40" w:after="20" w:line="240" w:lineRule="auto"/>
              <w:rPr>
                <w:rFonts w:asciiTheme="majorHAnsi" w:hAnsiTheme="majorHAnsi" w:cs="Arial"/>
                <w:sz w:val="18"/>
                <w:szCs w:val="18"/>
              </w:rPr>
            </w:pPr>
          </w:p>
        </w:tc>
        <w:tc>
          <w:tcPr>
            <w:tcW w:w="1801" w:type="dxa"/>
            <w:vAlign w:val="center"/>
          </w:tcPr>
          <w:p w:rsidR="00B47695" w:rsidRPr="00B47695" w:rsidRDefault="00B47695" w:rsidP="00B47695">
            <w:pPr>
              <w:keepNext/>
              <w:keepLines/>
              <w:spacing w:before="40" w:after="20" w:line="240" w:lineRule="auto"/>
              <w:jc w:val="center"/>
              <w:rPr>
                <w:rFonts w:asciiTheme="majorHAnsi" w:hAnsiTheme="majorHAnsi" w:cs="Arial"/>
                <w:sz w:val="18"/>
                <w:szCs w:val="18"/>
              </w:rPr>
            </w:pPr>
            <w:r w:rsidRPr="00B47695">
              <w:rPr>
                <w:rFonts w:asciiTheme="majorHAnsi" w:hAnsiTheme="majorHAnsi" w:cs="Arial"/>
                <w:sz w:val="18"/>
                <w:szCs w:val="18"/>
              </w:rPr>
              <w:t>0–50</w:t>
            </w:r>
          </w:p>
        </w:tc>
        <w:tc>
          <w:tcPr>
            <w:tcW w:w="1785" w:type="dxa"/>
            <w:vAlign w:val="center"/>
          </w:tcPr>
          <w:p w:rsidR="00B47695" w:rsidRPr="00B47695" w:rsidRDefault="00B47695" w:rsidP="00B47695">
            <w:pPr>
              <w:keepNext/>
              <w:keepLines/>
              <w:spacing w:before="40" w:after="20" w:line="240" w:lineRule="auto"/>
              <w:jc w:val="center"/>
              <w:rPr>
                <w:rFonts w:asciiTheme="majorHAnsi" w:hAnsiTheme="majorHAnsi" w:cs="Arial"/>
                <w:sz w:val="18"/>
                <w:szCs w:val="18"/>
              </w:rPr>
            </w:pPr>
            <w:r w:rsidRPr="00B47695">
              <w:rPr>
                <w:rFonts w:asciiTheme="majorHAnsi" w:hAnsiTheme="majorHAnsi" w:cs="Arial"/>
                <w:sz w:val="18"/>
                <w:szCs w:val="18"/>
              </w:rPr>
              <w:t>0</w:t>
            </w:r>
          </w:p>
        </w:tc>
      </w:tr>
      <w:tr w:rsidR="00B47695" w:rsidRPr="00B47695" w:rsidTr="00B47695">
        <w:trPr>
          <w:trHeight w:val="301"/>
          <w:jc w:val="center"/>
        </w:trPr>
        <w:tc>
          <w:tcPr>
            <w:tcW w:w="3765" w:type="dxa"/>
            <w:tcBorders>
              <w:top w:val="single" w:sz="4" w:space="0" w:color="auto"/>
              <w:left w:val="single" w:sz="4" w:space="0" w:color="auto"/>
              <w:bottom w:val="nil"/>
              <w:right w:val="single" w:sz="4" w:space="0" w:color="auto"/>
            </w:tcBorders>
            <w:vAlign w:val="center"/>
          </w:tcPr>
          <w:p w:rsidR="00B47695" w:rsidRPr="00B47695" w:rsidRDefault="00B47695" w:rsidP="00B47695">
            <w:pPr>
              <w:keepNext/>
              <w:keepLines/>
              <w:spacing w:before="40" w:after="20" w:line="240" w:lineRule="auto"/>
              <w:ind w:firstLine="149"/>
              <w:rPr>
                <w:rFonts w:asciiTheme="majorHAnsi" w:hAnsiTheme="majorHAnsi" w:cs="Arial"/>
                <w:sz w:val="18"/>
                <w:szCs w:val="18"/>
              </w:rPr>
            </w:pPr>
            <w:r w:rsidRPr="00B47695">
              <w:rPr>
                <w:rFonts w:asciiTheme="majorHAnsi" w:hAnsiTheme="majorHAnsi" w:cs="Arial"/>
                <w:sz w:val="18"/>
                <w:szCs w:val="18"/>
              </w:rPr>
              <w:t>Reflecting impact of Greater Boston Upgrades</w:t>
            </w:r>
          </w:p>
        </w:tc>
        <w:tc>
          <w:tcPr>
            <w:tcW w:w="1175" w:type="dxa"/>
            <w:tcBorders>
              <w:left w:val="single" w:sz="4" w:space="0" w:color="auto"/>
            </w:tcBorders>
            <w:vAlign w:val="center"/>
          </w:tcPr>
          <w:p w:rsidR="00B47695" w:rsidRPr="00B47695" w:rsidRDefault="00B47695" w:rsidP="00B47695">
            <w:pPr>
              <w:keepNext/>
              <w:keepLines/>
              <w:spacing w:before="40" w:after="20" w:line="240" w:lineRule="auto"/>
              <w:jc w:val="center"/>
              <w:rPr>
                <w:rFonts w:asciiTheme="majorHAnsi" w:hAnsiTheme="majorHAnsi" w:cs="Arial"/>
                <w:sz w:val="18"/>
                <w:szCs w:val="18"/>
              </w:rPr>
            </w:pPr>
            <w:r w:rsidRPr="00B47695">
              <w:rPr>
                <w:rFonts w:asciiTheme="majorHAnsi" w:hAnsiTheme="majorHAnsi" w:cs="Arial"/>
                <w:sz w:val="18"/>
                <w:szCs w:val="18"/>
              </w:rPr>
              <w:t>2020</w:t>
            </w:r>
          </w:p>
        </w:tc>
        <w:tc>
          <w:tcPr>
            <w:tcW w:w="1527" w:type="dxa"/>
            <w:vMerge/>
            <w:vAlign w:val="center"/>
          </w:tcPr>
          <w:p w:rsidR="00B47695" w:rsidRPr="00B47695" w:rsidRDefault="00B47695" w:rsidP="00B47695">
            <w:pPr>
              <w:keepNext/>
              <w:keepLines/>
              <w:spacing w:before="40" w:after="20" w:line="240" w:lineRule="auto"/>
              <w:rPr>
                <w:rFonts w:asciiTheme="majorHAnsi" w:hAnsiTheme="majorHAnsi" w:cs="Arial"/>
                <w:sz w:val="18"/>
                <w:szCs w:val="18"/>
              </w:rPr>
            </w:pPr>
          </w:p>
        </w:tc>
        <w:tc>
          <w:tcPr>
            <w:tcW w:w="1801" w:type="dxa"/>
            <w:vAlign w:val="center"/>
          </w:tcPr>
          <w:p w:rsidR="00B47695" w:rsidRPr="00B47695" w:rsidRDefault="00B47695" w:rsidP="00B47695">
            <w:pPr>
              <w:keepNext/>
              <w:keepLines/>
              <w:spacing w:before="40" w:after="20" w:line="240" w:lineRule="auto"/>
              <w:jc w:val="center"/>
              <w:rPr>
                <w:rFonts w:asciiTheme="majorHAnsi" w:hAnsiTheme="majorHAnsi" w:cs="Arial"/>
                <w:sz w:val="18"/>
                <w:szCs w:val="18"/>
              </w:rPr>
            </w:pPr>
            <w:r w:rsidRPr="00B47695">
              <w:rPr>
                <w:rFonts w:asciiTheme="majorHAnsi" w:hAnsiTheme="majorHAnsi" w:cs="Arial"/>
                <w:sz w:val="18"/>
                <w:szCs w:val="18"/>
              </w:rPr>
              <w:t>0</w:t>
            </w:r>
          </w:p>
        </w:tc>
        <w:tc>
          <w:tcPr>
            <w:tcW w:w="1785" w:type="dxa"/>
            <w:vAlign w:val="center"/>
          </w:tcPr>
          <w:p w:rsidR="00B47695" w:rsidRPr="00B47695" w:rsidRDefault="00B47695" w:rsidP="00B47695">
            <w:pPr>
              <w:keepNext/>
              <w:keepLines/>
              <w:spacing w:before="40" w:after="20" w:line="240" w:lineRule="auto"/>
              <w:jc w:val="center"/>
              <w:rPr>
                <w:rFonts w:asciiTheme="majorHAnsi" w:hAnsiTheme="majorHAnsi" w:cs="Arial"/>
                <w:sz w:val="18"/>
                <w:szCs w:val="18"/>
              </w:rPr>
            </w:pPr>
            <w:r w:rsidRPr="00B47695">
              <w:rPr>
                <w:rFonts w:asciiTheme="majorHAnsi" w:hAnsiTheme="majorHAnsi" w:cs="Arial"/>
                <w:sz w:val="18"/>
                <w:szCs w:val="18"/>
              </w:rPr>
              <w:t>0</w:t>
            </w:r>
          </w:p>
        </w:tc>
      </w:tr>
      <w:tr w:rsidR="00B47695" w:rsidRPr="00B47695" w:rsidTr="00B47695">
        <w:trPr>
          <w:jc w:val="center"/>
        </w:trPr>
        <w:tc>
          <w:tcPr>
            <w:tcW w:w="3765" w:type="dxa"/>
            <w:tcBorders>
              <w:top w:val="nil"/>
              <w:left w:val="single" w:sz="4" w:space="0" w:color="auto"/>
              <w:right w:val="single" w:sz="4" w:space="0" w:color="auto"/>
            </w:tcBorders>
            <w:vAlign w:val="center"/>
          </w:tcPr>
          <w:p w:rsidR="00B47695" w:rsidRPr="00B47695" w:rsidRDefault="00B47695" w:rsidP="00B47695">
            <w:pPr>
              <w:keepNext/>
              <w:keepLines/>
              <w:spacing w:before="40" w:after="20" w:line="240" w:lineRule="auto"/>
              <w:rPr>
                <w:rFonts w:asciiTheme="majorHAnsi" w:hAnsiTheme="majorHAnsi" w:cs="Arial"/>
                <w:b/>
                <w:sz w:val="18"/>
                <w:szCs w:val="18"/>
              </w:rPr>
            </w:pPr>
          </w:p>
        </w:tc>
        <w:tc>
          <w:tcPr>
            <w:tcW w:w="1175" w:type="dxa"/>
            <w:tcBorders>
              <w:left w:val="single" w:sz="4" w:space="0" w:color="auto"/>
            </w:tcBorders>
            <w:vAlign w:val="center"/>
          </w:tcPr>
          <w:p w:rsidR="00B47695" w:rsidRPr="00B47695" w:rsidRDefault="00B47695" w:rsidP="00B47695">
            <w:pPr>
              <w:keepNext/>
              <w:keepLines/>
              <w:spacing w:before="40" w:after="20" w:line="240" w:lineRule="auto"/>
              <w:jc w:val="center"/>
              <w:rPr>
                <w:rFonts w:asciiTheme="majorHAnsi" w:hAnsiTheme="majorHAnsi" w:cs="Arial"/>
                <w:sz w:val="18"/>
                <w:szCs w:val="18"/>
              </w:rPr>
            </w:pPr>
            <w:r w:rsidRPr="00B47695">
              <w:rPr>
                <w:rFonts w:asciiTheme="majorHAnsi" w:hAnsiTheme="majorHAnsi" w:cs="Arial"/>
                <w:sz w:val="18"/>
                <w:szCs w:val="18"/>
              </w:rPr>
              <w:t>2021</w:t>
            </w:r>
          </w:p>
        </w:tc>
        <w:tc>
          <w:tcPr>
            <w:tcW w:w="1527" w:type="dxa"/>
            <w:vMerge/>
            <w:vAlign w:val="center"/>
          </w:tcPr>
          <w:p w:rsidR="00B47695" w:rsidRPr="00B47695" w:rsidRDefault="00B47695" w:rsidP="00B47695">
            <w:pPr>
              <w:keepNext/>
              <w:keepLines/>
              <w:spacing w:before="40" w:after="20" w:line="240" w:lineRule="auto"/>
              <w:rPr>
                <w:rFonts w:asciiTheme="majorHAnsi" w:hAnsiTheme="majorHAnsi" w:cs="Arial"/>
                <w:sz w:val="18"/>
                <w:szCs w:val="18"/>
              </w:rPr>
            </w:pPr>
          </w:p>
        </w:tc>
        <w:tc>
          <w:tcPr>
            <w:tcW w:w="1801" w:type="dxa"/>
            <w:vAlign w:val="center"/>
          </w:tcPr>
          <w:p w:rsidR="00B47695" w:rsidRPr="00B47695" w:rsidRDefault="00B47695" w:rsidP="00B47695">
            <w:pPr>
              <w:keepNext/>
              <w:keepLines/>
              <w:spacing w:before="40" w:after="20" w:line="240" w:lineRule="auto"/>
              <w:jc w:val="center"/>
              <w:rPr>
                <w:rFonts w:asciiTheme="majorHAnsi" w:hAnsiTheme="majorHAnsi" w:cs="Arial"/>
                <w:sz w:val="18"/>
                <w:szCs w:val="18"/>
              </w:rPr>
            </w:pPr>
            <w:r w:rsidRPr="00B47695">
              <w:rPr>
                <w:rFonts w:asciiTheme="majorHAnsi" w:hAnsiTheme="majorHAnsi" w:cs="Arial"/>
                <w:sz w:val="18"/>
                <w:szCs w:val="18"/>
              </w:rPr>
              <w:t>0</w:t>
            </w:r>
          </w:p>
        </w:tc>
        <w:tc>
          <w:tcPr>
            <w:tcW w:w="1785" w:type="dxa"/>
            <w:vAlign w:val="center"/>
          </w:tcPr>
          <w:p w:rsidR="00B47695" w:rsidRPr="00B47695" w:rsidRDefault="00B47695" w:rsidP="00B47695">
            <w:pPr>
              <w:keepNext/>
              <w:keepLines/>
              <w:spacing w:before="40" w:after="20" w:line="240" w:lineRule="auto"/>
              <w:jc w:val="center"/>
              <w:rPr>
                <w:rFonts w:asciiTheme="majorHAnsi" w:hAnsiTheme="majorHAnsi" w:cs="Arial"/>
                <w:sz w:val="18"/>
                <w:szCs w:val="18"/>
              </w:rPr>
            </w:pPr>
            <w:r w:rsidRPr="00B47695">
              <w:rPr>
                <w:rFonts w:asciiTheme="majorHAnsi" w:hAnsiTheme="majorHAnsi" w:cs="Arial"/>
                <w:sz w:val="18"/>
                <w:szCs w:val="18"/>
              </w:rPr>
              <w:t>0</w:t>
            </w:r>
          </w:p>
        </w:tc>
      </w:tr>
    </w:tbl>
    <w:p w:rsidR="00B47695" w:rsidRPr="00B47695" w:rsidRDefault="00B47695" w:rsidP="00361210">
      <w:pPr>
        <w:keepNext/>
        <w:keepLines/>
        <w:numPr>
          <w:ilvl w:val="0"/>
          <w:numId w:val="36"/>
        </w:numPr>
        <w:spacing w:before="120" w:after="80" w:line="240" w:lineRule="auto"/>
        <w:ind w:left="-270" w:right="-540" w:hanging="270"/>
        <w:rPr>
          <w:rFonts w:asciiTheme="minorHAnsi" w:hAnsiTheme="minorHAnsi" w:cs="Arial"/>
          <w:sz w:val="16"/>
          <w:szCs w:val="16"/>
        </w:rPr>
      </w:pPr>
      <w:r w:rsidRPr="00B47695">
        <w:rPr>
          <w:rFonts w:asciiTheme="minorHAnsi" w:hAnsiTheme="minorHAnsi" w:cs="Arial"/>
          <w:sz w:val="16"/>
          <w:szCs w:val="16"/>
        </w:rPr>
        <w:t>The market year is from June 1 through May 31 of the following year.</w:t>
      </w:r>
    </w:p>
    <w:p w:rsidR="00B47695" w:rsidRPr="00B47695" w:rsidRDefault="00B47695" w:rsidP="00361210">
      <w:pPr>
        <w:keepNext/>
        <w:keepLines/>
        <w:numPr>
          <w:ilvl w:val="0"/>
          <w:numId w:val="36"/>
        </w:numPr>
        <w:spacing w:after="80" w:line="240" w:lineRule="auto"/>
        <w:ind w:left="-270" w:right="-540" w:hanging="270"/>
        <w:rPr>
          <w:rFonts w:asciiTheme="minorHAnsi" w:hAnsiTheme="minorHAnsi" w:cs="Arial"/>
          <w:sz w:val="16"/>
          <w:szCs w:val="16"/>
        </w:rPr>
      </w:pPr>
      <w:r w:rsidRPr="00B47695">
        <w:rPr>
          <w:rFonts w:asciiTheme="minorHAnsi" w:hAnsiTheme="minorHAnsi" w:cs="Arial"/>
          <w:sz w:val="16"/>
          <w:szCs w:val="16"/>
        </w:rPr>
        <w:t>These values are the range of the megawatts of resources offered into the past forward-reserve auctions. A summary of the forward-reserve offers for the past auctions is available at http://www.iso-ne.com/markets-operations/markets/reserves.</w:t>
      </w:r>
    </w:p>
    <w:p w:rsidR="00B47695" w:rsidRPr="00B47695" w:rsidRDefault="00B47695" w:rsidP="00361210">
      <w:pPr>
        <w:keepNext/>
        <w:keepLines/>
        <w:numPr>
          <w:ilvl w:val="0"/>
          <w:numId w:val="36"/>
        </w:numPr>
        <w:spacing w:after="80" w:line="240" w:lineRule="auto"/>
        <w:ind w:left="-270" w:right="-540" w:hanging="270"/>
        <w:rPr>
          <w:rFonts w:asciiTheme="minorHAnsi" w:hAnsiTheme="minorHAnsi" w:cs="Arial"/>
          <w:sz w:val="16"/>
          <w:szCs w:val="16"/>
        </w:rPr>
      </w:pPr>
      <w:r w:rsidRPr="00B47695">
        <w:rPr>
          <w:rFonts w:asciiTheme="minorHAnsi" w:hAnsiTheme="minorHAnsi" w:cs="Arial"/>
          <w:sz w:val="16"/>
          <w:szCs w:val="16"/>
        </w:rPr>
        <w:t>“Summer” means June through September of a Capacity Commitment Period; “winter” means October of the associated year through May of the following year (e.g., the 2017 winter values are for October 2017 through May 2018). The representative values show a range to reflect uncertainties associated with the future system conditions. The operating limits shown below reflect those assumed at the time of the analysis.</w:t>
      </w:r>
    </w:p>
    <w:p w:rsidR="00B47695" w:rsidRPr="00B47695" w:rsidRDefault="00B47695" w:rsidP="00361210">
      <w:pPr>
        <w:keepNext/>
        <w:keepLines/>
        <w:numPr>
          <w:ilvl w:val="0"/>
          <w:numId w:val="36"/>
        </w:numPr>
        <w:spacing w:after="80" w:line="240" w:lineRule="auto"/>
        <w:ind w:left="-270" w:right="-540" w:hanging="270"/>
        <w:rPr>
          <w:rFonts w:asciiTheme="minorHAnsi" w:hAnsiTheme="minorHAnsi" w:cs="Arial"/>
          <w:sz w:val="16"/>
          <w:szCs w:val="16"/>
        </w:rPr>
      </w:pPr>
      <w:r w:rsidRPr="00B47695">
        <w:rPr>
          <w:rFonts w:asciiTheme="minorHAnsi" w:hAnsiTheme="minorHAnsi" w:cs="Arial"/>
          <w:sz w:val="16"/>
          <w:szCs w:val="16"/>
        </w:rPr>
        <w:t>The assumed N−1 and N−1−1 values that reflect transmission import limits into Greater SWCT are 2,500 MW and 1,750 MW, respectively. The 2019 values for Greater Southwest Connecticut also show the forward-reserve needs, assuming that the 725 MW CPV</w:t>
      </w:r>
      <w:r w:rsidR="00D71CDF">
        <w:rPr>
          <w:rFonts w:asciiTheme="minorHAnsi" w:hAnsiTheme="minorHAnsi" w:cs="Arial"/>
          <w:sz w:val="16"/>
          <w:szCs w:val="16"/>
        </w:rPr>
        <w:t xml:space="preserve"> </w:t>
      </w:r>
      <w:r w:rsidRPr="00B47695">
        <w:rPr>
          <w:rFonts w:asciiTheme="minorHAnsi" w:hAnsiTheme="minorHAnsi" w:cs="Arial"/>
          <w:sz w:val="16"/>
          <w:szCs w:val="16"/>
        </w:rPr>
        <w:t>Towantic generating station will be in service by June 2018.</w:t>
      </w:r>
    </w:p>
    <w:p w:rsidR="00B47695" w:rsidRPr="00B47695" w:rsidRDefault="00B47695" w:rsidP="00361210">
      <w:pPr>
        <w:keepNext/>
        <w:keepLines/>
        <w:numPr>
          <w:ilvl w:val="0"/>
          <w:numId w:val="36"/>
        </w:numPr>
        <w:spacing w:after="80" w:line="240" w:lineRule="auto"/>
        <w:ind w:left="-270" w:right="-540" w:hanging="270"/>
        <w:rPr>
          <w:rFonts w:asciiTheme="minorHAnsi" w:hAnsiTheme="minorHAnsi" w:cs="Arial"/>
          <w:sz w:val="16"/>
          <w:szCs w:val="16"/>
        </w:rPr>
      </w:pPr>
      <w:r w:rsidRPr="00B47695">
        <w:rPr>
          <w:rFonts w:asciiTheme="minorHAnsi" w:hAnsiTheme="minorHAnsi" w:cs="Arial"/>
          <w:sz w:val="16"/>
          <w:szCs w:val="16"/>
        </w:rPr>
        <w:t>These values are actual locational forward-reserve requirements. The projections of the requirements for future years are based on assumed contingencies.</w:t>
      </w:r>
    </w:p>
    <w:p w:rsidR="00B47695" w:rsidRPr="00B47695" w:rsidRDefault="00B47695" w:rsidP="00361210">
      <w:pPr>
        <w:keepNext/>
        <w:keepLines/>
        <w:numPr>
          <w:ilvl w:val="0"/>
          <w:numId w:val="36"/>
        </w:numPr>
        <w:spacing w:after="80" w:line="240" w:lineRule="auto"/>
        <w:ind w:left="-270" w:right="-540" w:hanging="270"/>
        <w:rPr>
          <w:rFonts w:asciiTheme="minorHAnsi" w:hAnsiTheme="minorHAnsi" w:cs="Arial"/>
          <w:sz w:val="16"/>
          <w:szCs w:val="16"/>
        </w:rPr>
      </w:pPr>
      <w:r w:rsidRPr="00B47695">
        <w:rPr>
          <w:rFonts w:asciiTheme="minorHAnsi" w:hAnsiTheme="minorHAnsi" w:cs="Arial"/>
          <w:sz w:val="16"/>
          <w:szCs w:val="16"/>
        </w:rPr>
        <w:t>For Greater Connecticut, the assumed import limits reflect an N−1 value of 2,950 MW and an N−1−1 value of 1,750 MW. With the Greater Hartford/Cen</w:t>
      </w:r>
      <w:r w:rsidR="0011231A">
        <w:rPr>
          <w:rFonts w:asciiTheme="minorHAnsi" w:hAnsiTheme="minorHAnsi" w:cs="Arial"/>
          <w:sz w:val="16"/>
          <w:szCs w:val="16"/>
        </w:rPr>
        <w:t>t</w:t>
      </w:r>
      <w:r w:rsidRPr="00B47695">
        <w:rPr>
          <w:rFonts w:asciiTheme="minorHAnsi" w:hAnsiTheme="minorHAnsi" w:cs="Arial"/>
          <w:sz w:val="16"/>
          <w:szCs w:val="16"/>
        </w:rPr>
        <w:t>ral Connecticut Upgrades assumed in service in 2020, the N−1 and N−1−1 import limits will increase to 3,400 and 2,200 MW, respectively.</w:t>
      </w:r>
    </w:p>
    <w:p w:rsidR="00B47695" w:rsidRPr="00B47695" w:rsidRDefault="00B47695" w:rsidP="00361210">
      <w:pPr>
        <w:keepNext/>
        <w:keepLines/>
        <w:numPr>
          <w:ilvl w:val="0"/>
          <w:numId w:val="36"/>
        </w:numPr>
        <w:spacing w:after="80" w:line="240" w:lineRule="auto"/>
        <w:ind w:left="-270" w:right="-540" w:hanging="270"/>
        <w:rPr>
          <w:rFonts w:asciiTheme="minorHAnsi" w:hAnsiTheme="minorHAnsi" w:cs="Arial"/>
          <w:sz w:val="16"/>
          <w:szCs w:val="16"/>
        </w:rPr>
      </w:pPr>
      <w:r w:rsidRPr="00B47695">
        <w:rPr>
          <w:rFonts w:asciiTheme="minorHAnsi" w:hAnsiTheme="minorHAnsi" w:cs="Arial"/>
          <w:sz w:val="16"/>
          <w:szCs w:val="16"/>
        </w:rPr>
        <w:t>In some circumstances when transmission contingencies are more severe than generation contingencies, shedding some nonconsequential load (i.e., load shed that is not the direct result of the contingency) may be acceptable.</w:t>
      </w:r>
    </w:p>
    <w:p w:rsidR="00B47695" w:rsidRPr="00B47695" w:rsidRDefault="00B47695" w:rsidP="00361210">
      <w:pPr>
        <w:keepNext/>
        <w:keepLines/>
        <w:numPr>
          <w:ilvl w:val="0"/>
          <w:numId w:val="36"/>
        </w:numPr>
        <w:spacing w:after="80" w:line="240" w:lineRule="auto"/>
        <w:ind w:left="-270" w:right="-540" w:hanging="270"/>
        <w:rPr>
          <w:rFonts w:asciiTheme="minorHAnsi" w:hAnsiTheme="minorHAnsi" w:cs="Arial"/>
          <w:sz w:val="16"/>
          <w:szCs w:val="16"/>
        </w:rPr>
      </w:pPr>
      <w:r w:rsidRPr="00B47695">
        <w:rPr>
          <w:rFonts w:asciiTheme="minorHAnsi" w:hAnsiTheme="minorHAnsi" w:cs="Arial"/>
          <w:sz w:val="16"/>
          <w:szCs w:val="16"/>
        </w:rPr>
        <w:t>These values include resources in Greater Southwest Connecticut.</w:t>
      </w:r>
    </w:p>
    <w:p w:rsidR="00B47695" w:rsidRPr="00B47695" w:rsidRDefault="00B47695" w:rsidP="00361210">
      <w:pPr>
        <w:numPr>
          <w:ilvl w:val="0"/>
          <w:numId w:val="36"/>
        </w:numPr>
        <w:spacing w:after="0" w:line="240" w:lineRule="auto"/>
        <w:ind w:left="-270" w:right="-540" w:hanging="270"/>
        <w:rPr>
          <w:rFonts w:asciiTheme="minorHAnsi" w:hAnsiTheme="minorHAnsi" w:cs="Arial"/>
          <w:sz w:val="16"/>
          <w:szCs w:val="16"/>
        </w:rPr>
      </w:pPr>
      <w:r w:rsidRPr="00B47695">
        <w:rPr>
          <w:rFonts w:asciiTheme="minorHAnsi" w:hAnsiTheme="minorHAnsi" w:cs="Arial"/>
          <w:sz w:val="16"/>
          <w:szCs w:val="16"/>
        </w:rPr>
        <w:t>The assumed N−1 and N−1−1 values reflecting the transmission import limits into Boston are 4,850 MW and 4,175 MW, respectively, which reflect the impacts of the retirement of Salem Harbor units #1–#4 and the North Shore Upgrade. These limits will increase to 5,700 MW and 4,600 MW, respectively, after the Greater Boston Upgrades, which are assumed in service by June 2019. The operating-reserve values for BOSTON would be lower with transmission upgrades or without consideration of the common-mode failure of Mystic units #8 and #9 assumed to trip up to 1,400 MW because of exposure to a common-mode failure of the fuel supply to the units. The values also show the forward-reserve requirements assuming that Footprint Power, 674 MW, will be in service by 2017.</w:t>
      </w:r>
    </w:p>
    <w:p w:rsidR="00B47695" w:rsidRPr="00B47695" w:rsidRDefault="00B47695" w:rsidP="00B47695">
      <w:pPr>
        <w:rPr>
          <w:snapToGrid w:val="0"/>
        </w:rPr>
      </w:pPr>
      <w:r w:rsidRPr="00B47695">
        <w:lastRenderedPageBreak/>
        <w:t>Because the local contingency needs in Greater Southwest Connecticut are nested within Connecticut</w:t>
      </w:r>
      <w:r w:rsidRPr="009607CD">
        <w:t>,</w:t>
      </w:r>
      <w:r w:rsidRPr="00B47695">
        <w:t xml:space="preserve"> </w:t>
      </w:r>
      <w:r w:rsidRPr="00361210">
        <w:t xml:space="preserve">resources installed in the Greater Southwest Connecticut area also would satisfy the </w:t>
      </w:r>
      <w:r w:rsidR="009607CD" w:rsidRPr="00361210">
        <w:t>operating reserve</w:t>
      </w:r>
      <w:r w:rsidR="009607CD">
        <w:t xml:space="preserve"> </w:t>
      </w:r>
      <w:r w:rsidRPr="00B47695">
        <w:t>need for resources located anywhere in Greater Connecticut.</w:t>
      </w:r>
      <w:r w:rsidRPr="00B47695">
        <w:rPr>
          <w:vertAlign w:val="superscript"/>
        </w:rPr>
        <w:footnoteReference w:id="110"/>
      </w:r>
    </w:p>
    <w:p w:rsidR="00B47695" w:rsidRPr="00B47695" w:rsidRDefault="00B47695" w:rsidP="008F549B">
      <w:pPr>
        <w:pStyle w:val="Heading4"/>
      </w:pPr>
      <w:r w:rsidRPr="00B47695">
        <w:t>Greater Southwest Connecticut</w:t>
      </w:r>
    </w:p>
    <w:p w:rsidR="00B47695" w:rsidRPr="00B47695" w:rsidRDefault="00B47695" w:rsidP="00B47695">
      <w:r w:rsidRPr="00B47695">
        <w:t xml:space="preserve">As shown in </w:t>
      </w:r>
      <w:r w:rsidRPr="00B47695">
        <w:fldChar w:fldCharType="begin"/>
      </w:r>
      <w:r w:rsidRPr="00B47695">
        <w:instrText xml:space="preserve"> REF _Ref323310818 \h  \* MERGEFORMAT </w:instrText>
      </w:r>
      <w:r w:rsidRPr="00B47695">
        <w:fldChar w:fldCharType="separate"/>
      </w:r>
      <w:r w:rsidR="00314781" w:rsidRPr="000162C8">
        <w:rPr>
          <w:bCs/>
        </w:rPr>
        <w:t>Table 4</w:t>
      </w:r>
      <w:r w:rsidR="00314781" w:rsidRPr="000162C8">
        <w:rPr>
          <w:bCs/>
        </w:rPr>
        <w:noBreakHyphen/>
        <w:t>7</w:t>
      </w:r>
      <w:r w:rsidRPr="00B47695">
        <w:fldChar w:fldCharType="end"/>
      </w:r>
      <w:r w:rsidRPr="00B47695">
        <w:t>, Greater Southwest Connecticut is expected to require as much as 400 MW of operating reserves in the area before the CPV</w:t>
      </w:r>
      <w:r w:rsidR="0042189D">
        <w:t xml:space="preserve"> </w:t>
      </w:r>
      <w:r w:rsidRPr="00B47695">
        <w:t>Towantic generating unit is in service. Consistent with ISO’s operating experience of recent years, the interface into Greater Southwest Connecticut could be heavily loaded because of economical transfers into the area. As a result of the heavy loading of the interface capability, more reserves must be carried locally within Greater Southwest Connecticut. The CPV</w:t>
      </w:r>
      <w:r w:rsidR="0042189D">
        <w:t xml:space="preserve"> </w:t>
      </w:r>
      <w:r w:rsidRPr="00B47695">
        <w:t>Towantic and Bridgeport Harbor 5 generation, when in service, is expected to eliminate the local reserve need starting as early as 2019.</w:t>
      </w:r>
    </w:p>
    <w:p w:rsidR="00B47695" w:rsidRPr="00B47695" w:rsidRDefault="00B47695" w:rsidP="008F549B">
      <w:pPr>
        <w:pStyle w:val="Heading4"/>
      </w:pPr>
      <w:r w:rsidRPr="00B47695">
        <w:t>Greater Connecticut</w:t>
      </w:r>
    </w:p>
    <w:p w:rsidR="00B47695" w:rsidRPr="00B47695" w:rsidRDefault="00B47695" w:rsidP="00B47695">
      <w:pPr>
        <w:rPr>
          <w:rFonts w:ascii="Arial Narrow" w:hAnsi="Arial Narrow"/>
          <w:sz w:val="18"/>
          <w:szCs w:val="18"/>
        </w:rPr>
      </w:pPr>
      <w:r w:rsidRPr="00B47695">
        <w:t>Past RSPs and market signals had identified the need for in-merit and fast-start resources in Greater Connecticut to meet reliability needs and reduce out-of-merit market costs.</w:t>
      </w:r>
      <w:r w:rsidRPr="00B47695">
        <w:rPr>
          <w:sz w:val="22"/>
          <w:vertAlign w:val="superscript"/>
        </w:rPr>
        <w:footnoteReference w:id="111"/>
      </w:r>
      <w:r w:rsidRPr="00B47695">
        <w:t xml:space="preserve"> As a result of resource development, Greater Connecticut is now projected to have adequate fast-start resources, and the economic performance of this area is expected to improve. Forward Reserve Market requirements in</w:t>
      </w:r>
      <w:r w:rsidR="00145228">
        <w:t xml:space="preserve"> </w:t>
      </w:r>
      <w:r w:rsidRPr="00B47695">
        <w:t>Greater Connecticut will depend on local economic generation. The operating</w:t>
      </w:r>
      <w:r w:rsidR="00145228">
        <w:t>-</w:t>
      </w:r>
      <w:r w:rsidRPr="00B47695">
        <w:t xml:space="preserve">reserve needs are expected </w:t>
      </w:r>
      <w:r w:rsidRPr="0042189D">
        <w:t>to be eliminated starting as early as 2019 once the CPV</w:t>
      </w:r>
      <w:r w:rsidR="0042189D" w:rsidRPr="0042189D">
        <w:t xml:space="preserve"> </w:t>
      </w:r>
      <w:r w:rsidRPr="0042189D">
        <w:t>Towantic is completed. The installation of the</w:t>
      </w:r>
      <w:r w:rsidRPr="00B47695">
        <w:t xml:space="preserve"> Bridgeport 5 and the Greater Hartford/Central Connecticut transmission upgrades will further help eliminate </w:t>
      </w:r>
      <w:r w:rsidR="009607CD">
        <w:t xml:space="preserve">locational </w:t>
      </w:r>
      <w:r w:rsidRPr="00B47695">
        <w:t xml:space="preserve">reserve needs in Greater Connecticut beyond 2019. </w:t>
      </w:r>
    </w:p>
    <w:p w:rsidR="00B47695" w:rsidRPr="00B47695" w:rsidRDefault="00B47695" w:rsidP="008F549B">
      <w:pPr>
        <w:pStyle w:val="Heading4"/>
      </w:pPr>
      <w:r w:rsidRPr="00B47695">
        <w:t>BOSTON</w:t>
      </w:r>
    </w:p>
    <w:p w:rsidR="00B47695" w:rsidRPr="00B47695" w:rsidRDefault="00B47695" w:rsidP="00B47695">
      <w:r w:rsidRPr="00B47695">
        <w:t xml:space="preserve">The operating-reserve needs for the BOSTON subarea shown in </w:t>
      </w:r>
      <w:r w:rsidRPr="00B47695">
        <w:fldChar w:fldCharType="begin"/>
      </w:r>
      <w:r w:rsidRPr="00B47695">
        <w:instrText xml:space="preserve"> REF _Ref323310818 \h  \* MERGEFORMAT </w:instrText>
      </w:r>
      <w:r w:rsidRPr="00B47695">
        <w:fldChar w:fldCharType="separate"/>
      </w:r>
      <w:r w:rsidR="00314781" w:rsidRPr="000162C8">
        <w:rPr>
          <w:bCs/>
        </w:rPr>
        <w:t>Table 4</w:t>
      </w:r>
      <w:r w:rsidR="00314781" w:rsidRPr="000162C8">
        <w:rPr>
          <w:bCs/>
        </w:rPr>
        <w:noBreakHyphen/>
        <w:t>7</w:t>
      </w:r>
      <w:r w:rsidRPr="00B47695">
        <w:fldChar w:fldCharType="end"/>
      </w:r>
      <w:r w:rsidRPr="00B47695">
        <w:t xml:space="preserve"> reflect the possible simultaneous contingency loss of Mystic units #8 and #9. The retirement of the Salem Harbor units in 2014 has reduced the ability to serve load economically within the BOSTON subarea. As a result, lower-cost generation is imported into BOSTON and local operating reserve is needed to protect against the larger of 1) the loss of the largest generation source within the subarea and a transmission line or 2) the loss of two transmission lines into the subarea.</w:t>
      </w:r>
      <w:r w:rsidRPr="00B47695">
        <w:rPr>
          <w:vertAlign w:val="superscript"/>
        </w:rPr>
        <w:footnoteReference w:id="112"/>
      </w:r>
      <w:r w:rsidRPr="00B47695">
        <w:t xml:space="preserve"> With the addition of Footprint Power (which increases local generation in this area), the local reserve needs are expected to decrease starting in 2018 (refer to </w:t>
      </w:r>
      <w:r w:rsidRPr="00B47695">
        <w:fldChar w:fldCharType="begin"/>
      </w:r>
      <w:r w:rsidRPr="00B47695">
        <w:instrText xml:space="preserve"> REF _Ref323310818 \h  \* MERGEFORMAT </w:instrText>
      </w:r>
      <w:r w:rsidRPr="00B47695">
        <w:fldChar w:fldCharType="separate"/>
      </w:r>
      <w:r w:rsidR="00314781" w:rsidRPr="000162C8">
        <w:rPr>
          <w:bCs/>
        </w:rPr>
        <w:t>Table 4</w:t>
      </w:r>
      <w:r w:rsidR="00314781" w:rsidRPr="000162C8">
        <w:rPr>
          <w:bCs/>
        </w:rPr>
        <w:noBreakHyphen/>
        <w:t>7</w:t>
      </w:r>
      <w:r w:rsidRPr="00B47695">
        <w:fldChar w:fldCharType="end"/>
      </w:r>
      <w:r w:rsidRPr="00B47695">
        <w:t>, note i).</w:t>
      </w:r>
    </w:p>
    <w:p w:rsidR="00B47695" w:rsidRPr="00B47695" w:rsidRDefault="00B47695" w:rsidP="008F549B">
      <w:pPr>
        <w:pStyle w:val="Heading4"/>
      </w:pPr>
      <w:r w:rsidRPr="00B47695">
        <w:t>Summary of Operating-Reserve Needs in Major Subareas</w:t>
      </w:r>
    </w:p>
    <w:p w:rsidR="00B47695" w:rsidRPr="00B47695" w:rsidRDefault="00B47695" w:rsidP="00B47695">
      <w:pPr>
        <w:rPr>
          <w:rFonts w:ascii="Arial Narrow" w:hAnsi="Arial Narrow"/>
          <w:color w:val="1F497D"/>
          <w:sz w:val="28"/>
          <w:szCs w:val="28"/>
        </w:rPr>
      </w:pPr>
      <w:r w:rsidRPr="00B47695">
        <w:t xml:space="preserve">New England must meet its overall operating-reserve needs and have sufficient reserves in subareas to meet reliability requirements. The need for operating reserves in local subareas has been decreasing, and the reduction is expected to continue. Future requirements may be completely eliminated starting as early as 2019, with the completion of proposed transmission upgrades, additional lower-cost generating </w:t>
      </w:r>
      <w:r w:rsidRPr="008B7C6A">
        <w:lastRenderedPageBreak/>
        <w:t>resources in service in the subareas, and the expected installation of BTM PV. Any reduction in traditional</w:t>
      </w:r>
      <w:r w:rsidRPr="00B47695">
        <w:t xml:space="preserve"> baseload resources in these subareas would increase the operating-reserve need</w:t>
      </w:r>
      <w:bookmarkStart w:id="438" w:name="_Toc365440999"/>
      <w:bookmarkStart w:id="439" w:name="_Ref366586003"/>
      <w:bookmarkStart w:id="440" w:name="_Toc396807629"/>
      <w:bookmarkStart w:id="441" w:name="_Ref356557755"/>
      <w:r w:rsidRPr="00B47695">
        <w:t>.</w:t>
      </w:r>
    </w:p>
    <w:p w:rsidR="00B47695" w:rsidRPr="00B47695" w:rsidRDefault="00B47695" w:rsidP="008F549B">
      <w:pPr>
        <w:pStyle w:val="Heading2"/>
      </w:pPr>
      <w:bookmarkStart w:id="442" w:name="_Ref418772064"/>
      <w:bookmarkStart w:id="443" w:name="_Ref419300248"/>
      <w:bookmarkStart w:id="444" w:name="_Toc429063401"/>
      <w:bookmarkStart w:id="445" w:name="_Toc481053267"/>
      <w:bookmarkStart w:id="446" w:name="_Toc490323033"/>
      <w:r w:rsidRPr="00B47695">
        <w:t>Existing and Future Resource Development</w:t>
      </w:r>
      <w:bookmarkEnd w:id="442"/>
      <w:r w:rsidRPr="00B47695">
        <w:t xml:space="preserve"> in Areas of Need</w:t>
      </w:r>
      <w:bookmarkEnd w:id="443"/>
      <w:bookmarkEnd w:id="444"/>
      <w:bookmarkEnd w:id="445"/>
      <w:bookmarkEnd w:id="446"/>
    </w:p>
    <w:p w:rsidR="00B47695" w:rsidRPr="00B47695" w:rsidRDefault="00B47695" w:rsidP="00B47695">
      <w:r w:rsidRPr="00B47695">
        <w:t xml:space="preserve">The development of resources can help meet the long-term needs of the system. This section reviews existing and future generating resources, including the capacity and claimed capability of existing resources, projects proposed through the ISO’s interconnection queue, and generator retirements. </w:t>
      </w:r>
    </w:p>
    <w:p w:rsidR="00B47695" w:rsidRPr="00B47695" w:rsidRDefault="00B47695" w:rsidP="008F549B">
      <w:pPr>
        <w:pStyle w:val="Heading3"/>
      </w:pPr>
      <w:bookmarkStart w:id="447" w:name="_Toc429063402"/>
      <w:bookmarkStart w:id="448" w:name="_Toc481053268"/>
      <w:bookmarkStart w:id="449" w:name="_Toc490323034"/>
      <w:r w:rsidRPr="00B47695">
        <w:t>Existing Generating Capacity by Subarea, Load Zone, and State</w:t>
      </w:r>
      <w:bookmarkEnd w:id="447"/>
      <w:bookmarkEnd w:id="448"/>
      <w:bookmarkEnd w:id="449"/>
    </w:p>
    <w:p w:rsidR="00B47695" w:rsidRPr="00B47695" w:rsidRDefault="00B47695" w:rsidP="00B47695">
      <w:r w:rsidRPr="00B47695">
        <w:t xml:space="preserve">Generating units located close to load centers typically reduce the need for transmission system </w:t>
      </w:r>
      <w:r w:rsidRPr="00B1771D">
        <w:t xml:space="preserve">improvements. </w:t>
      </w:r>
      <w:r w:rsidRPr="00B1771D">
        <w:fldChar w:fldCharType="begin"/>
      </w:r>
      <w:r w:rsidRPr="00B1771D">
        <w:instrText xml:space="preserve"> REF _Ref421694695 \h </w:instrText>
      </w:r>
      <w:r w:rsidR="00B1771D" w:rsidRPr="00B1771D">
        <w:instrText xml:space="preserve"> \* MERGEFORMAT </w:instrText>
      </w:r>
      <w:r w:rsidRPr="00B1771D">
        <w:fldChar w:fldCharType="separate"/>
      </w:r>
      <w:r w:rsidR="00314781" w:rsidRPr="000162C8">
        <w:rPr>
          <w:bCs/>
          <w:szCs w:val="18"/>
        </w:rPr>
        <w:t xml:space="preserve">Table </w:t>
      </w:r>
      <w:r w:rsidR="00314781" w:rsidRPr="000162C8">
        <w:rPr>
          <w:bCs/>
          <w:noProof/>
          <w:szCs w:val="18"/>
        </w:rPr>
        <w:t>4</w:t>
      </w:r>
      <w:r w:rsidR="00314781" w:rsidRPr="000162C8">
        <w:rPr>
          <w:bCs/>
          <w:noProof/>
          <w:szCs w:val="18"/>
        </w:rPr>
        <w:noBreakHyphen/>
        <w:t>8</w:t>
      </w:r>
      <w:r w:rsidRPr="00B1771D">
        <w:fldChar w:fldCharType="end"/>
      </w:r>
      <w:r w:rsidRPr="00B1771D">
        <w:t xml:space="preserve"> tabulates the existing generating amounts and locations by RSP</w:t>
      </w:r>
      <w:r w:rsidRPr="00B47695">
        <w:t xml:space="preserve"> subarea, load zone, and state.</w:t>
      </w:r>
      <w:r w:rsidR="00DB20B1" w:rsidRPr="00DB20B1">
        <w:t xml:space="preserve"> </w:t>
      </w:r>
      <w:r w:rsidR="00DB20B1">
        <w:t>Some RSP subareas comprise multiple states or multiple load zones.</w:t>
      </w:r>
    </w:p>
    <w:p w:rsidR="00B47695" w:rsidRDefault="00B47695" w:rsidP="00B47695">
      <w:pPr>
        <w:keepNext/>
        <w:keepLines/>
        <w:spacing w:after="120" w:line="240" w:lineRule="auto"/>
        <w:jc w:val="center"/>
        <w:rPr>
          <w:rFonts w:ascii="Calibri" w:hAnsi="Calibri"/>
          <w:b/>
          <w:bCs/>
          <w:szCs w:val="18"/>
          <w:vertAlign w:val="superscript"/>
        </w:rPr>
      </w:pPr>
      <w:bookmarkStart w:id="450" w:name="_Ref421694695"/>
      <w:bookmarkStart w:id="451" w:name="_Toc429063564"/>
      <w:bookmarkStart w:id="452" w:name="_Toc481053567"/>
      <w:bookmarkStart w:id="453" w:name="_Toc491244012"/>
      <w:r w:rsidRPr="00B47695">
        <w:rPr>
          <w:rFonts w:ascii="Calibri" w:hAnsi="Calibri"/>
          <w:b/>
          <w:bCs/>
          <w:szCs w:val="18"/>
        </w:rPr>
        <w:lastRenderedPageBreak/>
        <w:t xml:space="preserve">Table </w:t>
      </w:r>
      <w:r w:rsidR="00D95957">
        <w:rPr>
          <w:rFonts w:ascii="Calibri" w:hAnsi="Calibri"/>
          <w:b/>
          <w:bCs/>
          <w:szCs w:val="18"/>
        </w:rPr>
        <w:fldChar w:fldCharType="begin"/>
      </w:r>
      <w:r w:rsidR="00D95957">
        <w:rPr>
          <w:rFonts w:ascii="Calibri" w:hAnsi="Calibri"/>
          <w:b/>
          <w:bCs/>
          <w:szCs w:val="18"/>
        </w:rPr>
        <w:instrText xml:space="preserve"> STYLEREF 1 \s </w:instrText>
      </w:r>
      <w:r w:rsidR="00D95957">
        <w:rPr>
          <w:rFonts w:ascii="Calibri" w:hAnsi="Calibri"/>
          <w:b/>
          <w:bCs/>
          <w:szCs w:val="18"/>
        </w:rPr>
        <w:fldChar w:fldCharType="separate"/>
      </w:r>
      <w:r w:rsidR="00D95957">
        <w:rPr>
          <w:rFonts w:ascii="Calibri" w:hAnsi="Calibri"/>
          <w:b/>
          <w:bCs/>
          <w:noProof/>
          <w:szCs w:val="18"/>
        </w:rPr>
        <w:t>4</w:t>
      </w:r>
      <w:r w:rsidR="00D95957">
        <w:rPr>
          <w:rFonts w:ascii="Calibri" w:hAnsi="Calibri"/>
          <w:b/>
          <w:bCs/>
          <w:szCs w:val="18"/>
        </w:rPr>
        <w:fldChar w:fldCharType="end"/>
      </w:r>
      <w:r w:rsidR="00D95957">
        <w:rPr>
          <w:rFonts w:ascii="Calibri" w:hAnsi="Calibri"/>
          <w:b/>
          <w:bCs/>
          <w:szCs w:val="18"/>
        </w:rPr>
        <w:noBreakHyphen/>
      </w:r>
      <w:r w:rsidR="00D95957">
        <w:rPr>
          <w:rFonts w:ascii="Calibri" w:hAnsi="Calibri"/>
          <w:b/>
          <w:bCs/>
          <w:szCs w:val="18"/>
        </w:rPr>
        <w:fldChar w:fldCharType="begin"/>
      </w:r>
      <w:r w:rsidR="00D95957">
        <w:rPr>
          <w:rFonts w:ascii="Calibri" w:hAnsi="Calibri"/>
          <w:b/>
          <w:bCs/>
          <w:szCs w:val="18"/>
        </w:rPr>
        <w:instrText xml:space="preserve"> SEQ Table \* ARABIC \s 1 </w:instrText>
      </w:r>
      <w:r w:rsidR="00D95957">
        <w:rPr>
          <w:rFonts w:ascii="Calibri" w:hAnsi="Calibri"/>
          <w:b/>
          <w:bCs/>
          <w:szCs w:val="18"/>
        </w:rPr>
        <w:fldChar w:fldCharType="separate"/>
      </w:r>
      <w:r w:rsidR="00D95957">
        <w:rPr>
          <w:rFonts w:ascii="Calibri" w:hAnsi="Calibri"/>
          <w:b/>
          <w:bCs/>
          <w:noProof/>
          <w:szCs w:val="18"/>
        </w:rPr>
        <w:t>8</w:t>
      </w:r>
      <w:r w:rsidR="00D95957">
        <w:rPr>
          <w:rFonts w:ascii="Calibri" w:hAnsi="Calibri"/>
          <w:b/>
          <w:bCs/>
          <w:szCs w:val="18"/>
        </w:rPr>
        <w:fldChar w:fldCharType="end"/>
      </w:r>
      <w:bookmarkEnd w:id="450"/>
      <w:r w:rsidRPr="00B47695">
        <w:rPr>
          <w:rFonts w:ascii="Calibri" w:hAnsi="Calibri"/>
          <w:b/>
          <w:bCs/>
          <w:szCs w:val="18"/>
        </w:rPr>
        <w:br/>
        <w:t>2017 Generating Capacity by Subarea, State, and Load Zone (MW, %)</w:t>
      </w:r>
      <w:r w:rsidRPr="00B47695">
        <w:rPr>
          <w:rFonts w:ascii="Calibri" w:hAnsi="Calibri"/>
          <w:b/>
          <w:bCs/>
          <w:szCs w:val="18"/>
          <w:vertAlign w:val="superscript"/>
        </w:rPr>
        <w:t>(a, b)</w:t>
      </w:r>
      <w:bookmarkEnd w:id="451"/>
      <w:bookmarkEnd w:id="452"/>
      <w:bookmarkEnd w:id="453"/>
    </w:p>
    <w:tbl>
      <w:tblPr>
        <w:tblStyle w:val="TableGrid56"/>
        <w:tblW w:w="9447" w:type="dxa"/>
        <w:jc w:val="righ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115" w:type="dxa"/>
          <w:right w:w="115" w:type="dxa"/>
        </w:tblCellMar>
        <w:tblLook w:val="04A0" w:firstRow="1" w:lastRow="0" w:firstColumn="1" w:lastColumn="0" w:noHBand="0" w:noVBand="1"/>
      </w:tblPr>
      <w:tblGrid>
        <w:gridCol w:w="1285"/>
        <w:gridCol w:w="1395"/>
        <w:gridCol w:w="942"/>
        <w:gridCol w:w="1061"/>
        <w:gridCol w:w="958"/>
        <w:gridCol w:w="958"/>
        <w:gridCol w:w="1061"/>
        <w:gridCol w:w="958"/>
        <w:gridCol w:w="958"/>
      </w:tblGrid>
      <w:tr w:rsidR="00DB20B1" w:rsidRPr="00CA0EA9" w:rsidTr="0011231A">
        <w:trPr>
          <w:cantSplit/>
          <w:trHeight w:val="20"/>
          <w:tblHeader/>
          <w:jc w:val="right"/>
        </w:trPr>
        <w:tc>
          <w:tcPr>
            <w:tcW w:w="1285" w:type="dxa"/>
            <w:vMerge w:val="restart"/>
            <w:tcBorders>
              <w:left w:val="single" w:sz="2" w:space="0" w:color="62777F" w:themeColor="text1"/>
            </w:tcBorders>
            <w:shd w:val="clear" w:color="auto" w:fill="1795D2" w:themeFill="accent1"/>
            <w:noWrap/>
            <w:tcMar>
              <w:left w:w="115" w:type="dxa"/>
              <w:right w:w="115" w:type="dxa"/>
            </w:tcMar>
            <w:vAlign w:val="center"/>
            <w:hideMark/>
          </w:tcPr>
          <w:p w:rsidR="00DB20B1" w:rsidRPr="00CA0EA9" w:rsidRDefault="00DB20B1" w:rsidP="00DB20B1">
            <w:pPr>
              <w:keepNext/>
              <w:keepLines/>
              <w:spacing w:before="20" w:after="20" w:line="240" w:lineRule="auto"/>
              <w:jc w:val="center"/>
              <w:rPr>
                <w:rFonts w:asciiTheme="minorHAnsi" w:hAnsiTheme="minorHAnsi"/>
                <w:b/>
                <w:bCs/>
                <w:color w:val="FFFFFF" w:themeColor="background1"/>
                <w:sz w:val="18"/>
                <w:szCs w:val="18"/>
              </w:rPr>
            </w:pPr>
          </w:p>
          <w:p w:rsidR="00DB20B1" w:rsidRPr="00CA0EA9" w:rsidRDefault="00DB20B1" w:rsidP="00DB20B1">
            <w:pPr>
              <w:keepNext/>
              <w:keepLines/>
              <w:spacing w:before="20" w:after="20" w:line="240" w:lineRule="auto"/>
              <w:jc w:val="center"/>
              <w:rPr>
                <w:rFonts w:asciiTheme="minorHAnsi" w:hAnsiTheme="minorHAnsi"/>
                <w:b/>
                <w:bCs/>
                <w:color w:val="FFFFFF" w:themeColor="background1"/>
                <w:sz w:val="18"/>
                <w:szCs w:val="18"/>
              </w:rPr>
            </w:pPr>
            <w:r w:rsidRPr="00CA0EA9">
              <w:rPr>
                <w:rFonts w:asciiTheme="minorHAnsi" w:hAnsiTheme="minorHAnsi"/>
                <w:b/>
                <w:color w:val="FFFFFF" w:themeColor="background1"/>
                <w:sz w:val="18"/>
                <w:szCs w:val="18"/>
              </w:rPr>
              <w:t>RSP Area</w:t>
            </w:r>
          </w:p>
        </w:tc>
        <w:tc>
          <w:tcPr>
            <w:tcW w:w="1266" w:type="dxa"/>
            <w:vMerge w:val="restart"/>
            <w:shd w:val="clear" w:color="auto" w:fill="1795D2" w:themeFill="accent1"/>
            <w:noWrap/>
            <w:tcMar>
              <w:left w:w="115" w:type="dxa"/>
              <w:right w:w="115" w:type="dxa"/>
            </w:tcMar>
            <w:vAlign w:val="center"/>
            <w:hideMark/>
          </w:tcPr>
          <w:p w:rsidR="00DB20B1" w:rsidRPr="00CA0EA9" w:rsidRDefault="00DB20B1" w:rsidP="00DB20B1">
            <w:pPr>
              <w:keepNext/>
              <w:keepLines/>
              <w:spacing w:before="20" w:after="20" w:line="240" w:lineRule="auto"/>
              <w:jc w:val="center"/>
              <w:rPr>
                <w:rFonts w:asciiTheme="minorHAnsi" w:hAnsiTheme="minorHAnsi"/>
                <w:b/>
                <w:bCs/>
                <w:color w:val="FFFFFF" w:themeColor="background1"/>
                <w:sz w:val="18"/>
                <w:szCs w:val="18"/>
              </w:rPr>
            </w:pPr>
          </w:p>
          <w:p w:rsidR="00DB20B1" w:rsidRPr="00CA0EA9" w:rsidRDefault="00DB20B1" w:rsidP="00DB20B1">
            <w:pPr>
              <w:keepNext/>
              <w:keepLines/>
              <w:spacing w:before="20" w:after="20" w:line="240" w:lineRule="auto"/>
              <w:jc w:val="center"/>
              <w:rPr>
                <w:rFonts w:asciiTheme="minorHAnsi" w:hAnsiTheme="minorHAnsi"/>
                <w:b/>
                <w:bCs/>
                <w:color w:val="FFFFFF" w:themeColor="background1"/>
                <w:sz w:val="18"/>
                <w:szCs w:val="18"/>
              </w:rPr>
            </w:pPr>
            <w:r w:rsidRPr="00CA0EA9">
              <w:rPr>
                <w:rFonts w:asciiTheme="minorHAnsi" w:hAnsiTheme="minorHAnsi"/>
                <w:b/>
                <w:color w:val="FFFFFF" w:themeColor="background1"/>
                <w:sz w:val="18"/>
                <w:szCs w:val="18"/>
              </w:rPr>
              <w:t>State</w:t>
            </w:r>
          </w:p>
        </w:tc>
        <w:tc>
          <w:tcPr>
            <w:tcW w:w="942" w:type="dxa"/>
            <w:vMerge w:val="restart"/>
            <w:shd w:val="clear" w:color="auto" w:fill="1795D2" w:themeFill="accent1"/>
            <w:noWrap/>
            <w:tcMar>
              <w:left w:w="115" w:type="dxa"/>
              <w:right w:w="115" w:type="dxa"/>
            </w:tcMar>
            <w:vAlign w:val="center"/>
            <w:hideMark/>
          </w:tcPr>
          <w:p w:rsidR="00DB20B1" w:rsidRPr="00CA0EA9" w:rsidRDefault="00DB20B1" w:rsidP="00DB20B1">
            <w:pPr>
              <w:keepNext/>
              <w:keepLines/>
              <w:spacing w:before="20" w:after="20" w:line="240" w:lineRule="auto"/>
              <w:jc w:val="center"/>
              <w:rPr>
                <w:rFonts w:asciiTheme="minorHAnsi" w:hAnsiTheme="minorHAnsi"/>
                <w:b/>
                <w:bCs/>
                <w:color w:val="FFFFFF" w:themeColor="background1"/>
                <w:sz w:val="18"/>
                <w:szCs w:val="18"/>
              </w:rPr>
            </w:pPr>
          </w:p>
          <w:p w:rsidR="00DB20B1" w:rsidRPr="00CA0EA9" w:rsidRDefault="00DB20B1" w:rsidP="00DB20B1">
            <w:pPr>
              <w:keepNext/>
              <w:keepLines/>
              <w:spacing w:before="20" w:after="20" w:line="240" w:lineRule="auto"/>
              <w:jc w:val="center"/>
              <w:rPr>
                <w:rFonts w:asciiTheme="minorHAnsi" w:hAnsiTheme="minorHAnsi"/>
                <w:b/>
                <w:bCs/>
                <w:color w:val="FFFFFF" w:themeColor="background1"/>
                <w:sz w:val="18"/>
                <w:szCs w:val="18"/>
              </w:rPr>
            </w:pPr>
            <w:r w:rsidRPr="00CA0EA9">
              <w:rPr>
                <w:rFonts w:asciiTheme="minorHAnsi" w:hAnsiTheme="minorHAnsi"/>
                <w:b/>
                <w:color w:val="FFFFFF" w:themeColor="background1"/>
                <w:sz w:val="18"/>
                <w:szCs w:val="18"/>
              </w:rPr>
              <w:t>Load Zone</w:t>
            </w:r>
          </w:p>
        </w:tc>
        <w:tc>
          <w:tcPr>
            <w:tcW w:w="2977" w:type="dxa"/>
            <w:gridSpan w:val="3"/>
            <w:shd w:val="clear" w:color="auto" w:fill="1795D2" w:themeFill="accent1"/>
            <w:noWrap/>
            <w:tcMar>
              <w:left w:w="115" w:type="dxa"/>
              <w:right w:w="115" w:type="dxa"/>
            </w:tcMar>
            <w:vAlign w:val="center"/>
            <w:hideMark/>
          </w:tcPr>
          <w:p w:rsidR="00DB20B1" w:rsidRPr="00CA0EA9" w:rsidRDefault="00DB20B1" w:rsidP="00DB20B1">
            <w:pPr>
              <w:keepNext/>
              <w:keepLines/>
              <w:spacing w:before="20" w:after="20" w:line="240" w:lineRule="auto"/>
              <w:jc w:val="center"/>
              <w:rPr>
                <w:rFonts w:asciiTheme="minorHAnsi" w:hAnsiTheme="minorHAnsi"/>
                <w:b/>
                <w:color w:val="FFFFFF" w:themeColor="background1"/>
                <w:sz w:val="18"/>
                <w:szCs w:val="18"/>
              </w:rPr>
            </w:pPr>
            <w:r w:rsidRPr="00CA0EA9">
              <w:rPr>
                <w:rFonts w:asciiTheme="minorHAnsi" w:hAnsiTheme="minorHAnsi"/>
                <w:b/>
                <w:color w:val="FFFFFF" w:themeColor="background1"/>
                <w:sz w:val="18"/>
                <w:szCs w:val="18"/>
              </w:rPr>
              <w:t>Summer</w:t>
            </w:r>
          </w:p>
        </w:tc>
        <w:tc>
          <w:tcPr>
            <w:tcW w:w="2977" w:type="dxa"/>
            <w:gridSpan w:val="3"/>
            <w:shd w:val="clear" w:color="auto" w:fill="1795D2" w:themeFill="accent1"/>
            <w:noWrap/>
            <w:tcMar>
              <w:left w:w="115" w:type="dxa"/>
              <w:right w:w="115" w:type="dxa"/>
            </w:tcMar>
            <w:vAlign w:val="center"/>
            <w:hideMark/>
          </w:tcPr>
          <w:p w:rsidR="00DB20B1" w:rsidRPr="00CA0EA9" w:rsidRDefault="00DB20B1" w:rsidP="00DB20B1">
            <w:pPr>
              <w:keepNext/>
              <w:keepLines/>
              <w:spacing w:before="20" w:after="20" w:line="240" w:lineRule="auto"/>
              <w:jc w:val="center"/>
              <w:rPr>
                <w:rFonts w:asciiTheme="minorHAnsi" w:hAnsiTheme="minorHAnsi"/>
                <w:b/>
                <w:color w:val="FFFFFF" w:themeColor="background1"/>
                <w:sz w:val="18"/>
                <w:szCs w:val="18"/>
              </w:rPr>
            </w:pPr>
            <w:r w:rsidRPr="00CA0EA9">
              <w:rPr>
                <w:rFonts w:asciiTheme="minorHAnsi" w:hAnsiTheme="minorHAnsi"/>
                <w:b/>
                <w:color w:val="FFFFFF" w:themeColor="background1"/>
                <w:sz w:val="18"/>
                <w:szCs w:val="18"/>
              </w:rPr>
              <w:t>Winter</w:t>
            </w:r>
          </w:p>
        </w:tc>
      </w:tr>
      <w:tr w:rsidR="00DB20B1" w:rsidRPr="00CA0EA9" w:rsidTr="0011231A">
        <w:trPr>
          <w:cantSplit/>
          <w:trHeight w:val="20"/>
          <w:tblHeader/>
          <w:jc w:val="right"/>
        </w:trPr>
        <w:tc>
          <w:tcPr>
            <w:tcW w:w="1285" w:type="dxa"/>
            <w:vMerge/>
            <w:tcBorders>
              <w:left w:val="single" w:sz="2" w:space="0" w:color="62777F" w:themeColor="text1"/>
            </w:tcBorders>
            <w:shd w:val="clear" w:color="auto" w:fill="1795D2" w:themeFill="accent1"/>
            <w:noWrap/>
            <w:tcMar>
              <w:left w:w="115" w:type="dxa"/>
              <w:right w:w="115" w:type="dxa"/>
            </w:tcMar>
            <w:vAlign w:val="center"/>
            <w:hideMark/>
          </w:tcPr>
          <w:p w:rsidR="00DB20B1" w:rsidRPr="00CA0EA9" w:rsidRDefault="00DB20B1" w:rsidP="00DB20B1">
            <w:pPr>
              <w:keepNext/>
              <w:keepLines/>
              <w:spacing w:before="20" w:after="20" w:line="240" w:lineRule="auto"/>
              <w:jc w:val="center"/>
              <w:rPr>
                <w:rFonts w:asciiTheme="minorHAnsi" w:hAnsiTheme="minorHAnsi"/>
                <w:b/>
                <w:color w:val="FFFFFF" w:themeColor="background1"/>
                <w:sz w:val="18"/>
                <w:szCs w:val="18"/>
              </w:rPr>
            </w:pPr>
          </w:p>
        </w:tc>
        <w:tc>
          <w:tcPr>
            <w:tcW w:w="1266" w:type="dxa"/>
            <w:vMerge/>
            <w:shd w:val="clear" w:color="auto" w:fill="1795D2" w:themeFill="accent1"/>
            <w:noWrap/>
            <w:tcMar>
              <w:left w:w="115" w:type="dxa"/>
              <w:right w:w="115" w:type="dxa"/>
            </w:tcMar>
            <w:vAlign w:val="center"/>
            <w:hideMark/>
          </w:tcPr>
          <w:p w:rsidR="00DB20B1" w:rsidRPr="00CA0EA9" w:rsidRDefault="00DB20B1" w:rsidP="00DB20B1">
            <w:pPr>
              <w:keepNext/>
              <w:keepLines/>
              <w:spacing w:before="20" w:after="20" w:line="240" w:lineRule="auto"/>
              <w:jc w:val="center"/>
              <w:rPr>
                <w:rFonts w:asciiTheme="minorHAnsi" w:hAnsiTheme="minorHAnsi"/>
                <w:b/>
                <w:color w:val="FFFFFF" w:themeColor="background1"/>
                <w:sz w:val="18"/>
                <w:szCs w:val="18"/>
              </w:rPr>
            </w:pPr>
          </w:p>
        </w:tc>
        <w:tc>
          <w:tcPr>
            <w:tcW w:w="942" w:type="dxa"/>
            <w:vMerge/>
            <w:shd w:val="clear" w:color="auto" w:fill="1795D2" w:themeFill="accent1"/>
            <w:noWrap/>
            <w:tcMar>
              <w:left w:w="115" w:type="dxa"/>
              <w:right w:w="115" w:type="dxa"/>
            </w:tcMar>
            <w:vAlign w:val="center"/>
            <w:hideMark/>
          </w:tcPr>
          <w:p w:rsidR="00DB20B1" w:rsidRPr="00CA0EA9" w:rsidRDefault="00DB20B1" w:rsidP="00DB20B1">
            <w:pPr>
              <w:keepNext/>
              <w:keepLines/>
              <w:spacing w:before="20" w:after="20" w:line="240" w:lineRule="auto"/>
              <w:jc w:val="center"/>
              <w:rPr>
                <w:rFonts w:asciiTheme="minorHAnsi" w:hAnsiTheme="minorHAnsi"/>
                <w:b/>
                <w:color w:val="FFFFFF" w:themeColor="background1"/>
                <w:sz w:val="18"/>
                <w:szCs w:val="18"/>
              </w:rPr>
            </w:pPr>
          </w:p>
        </w:tc>
        <w:tc>
          <w:tcPr>
            <w:tcW w:w="1061" w:type="dxa"/>
            <w:shd w:val="clear" w:color="auto" w:fill="1795D2" w:themeFill="accent1"/>
            <w:tcMar>
              <w:left w:w="115" w:type="dxa"/>
              <w:right w:w="115" w:type="dxa"/>
            </w:tcMar>
            <w:vAlign w:val="center"/>
            <w:hideMark/>
          </w:tcPr>
          <w:p w:rsidR="00DB20B1" w:rsidRPr="00CA0EA9" w:rsidRDefault="00DB20B1" w:rsidP="00DB20B1">
            <w:pPr>
              <w:keepNext/>
              <w:keepLines/>
              <w:spacing w:before="20" w:after="20" w:line="240" w:lineRule="auto"/>
              <w:jc w:val="center"/>
              <w:rPr>
                <w:rFonts w:asciiTheme="minorHAnsi" w:hAnsiTheme="minorHAnsi"/>
                <w:b/>
                <w:color w:val="FFFFFF" w:themeColor="background1"/>
                <w:sz w:val="18"/>
                <w:szCs w:val="18"/>
              </w:rPr>
            </w:pPr>
            <w:r w:rsidRPr="00CA0EA9">
              <w:rPr>
                <w:rFonts w:asciiTheme="minorHAnsi" w:hAnsiTheme="minorHAnsi"/>
                <w:b/>
                <w:color w:val="FFFFFF" w:themeColor="background1"/>
                <w:sz w:val="18"/>
                <w:szCs w:val="18"/>
              </w:rPr>
              <w:t>Capacity Rating</w:t>
            </w:r>
            <w:r w:rsidRPr="00CA0EA9">
              <w:rPr>
                <w:rFonts w:asciiTheme="minorHAnsi" w:hAnsiTheme="minorHAnsi"/>
                <w:b/>
                <w:color w:val="FFFFFF" w:themeColor="background1"/>
                <w:sz w:val="18"/>
                <w:szCs w:val="18"/>
                <w:vertAlign w:val="superscript"/>
              </w:rPr>
              <w:t>(b)</w:t>
            </w:r>
            <w:r w:rsidRPr="00CA0EA9">
              <w:rPr>
                <w:rFonts w:asciiTheme="minorHAnsi" w:hAnsiTheme="minorHAnsi"/>
                <w:b/>
                <w:color w:val="FFFFFF" w:themeColor="background1"/>
                <w:sz w:val="18"/>
                <w:szCs w:val="18"/>
              </w:rPr>
              <w:t xml:space="preserve"> (MW)</w:t>
            </w:r>
          </w:p>
        </w:tc>
        <w:tc>
          <w:tcPr>
            <w:tcW w:w="958" w:type="dxa"/>
            <w:shd w:val="clear" w:color="auto" w:fill="1795D2" w:themeFill="accent1"/>
            <w:tcMar>
              <w:left w:w="115" w:type="dxa"/>
              <w:right w:w="115" w:type="dxa"/>
            </w:tcMar>
            <w:vAlign w:val="center"/>
            <w:hideMark/>
          </w:tcPr>
          <w:p w:rsidR="00DB20B1" w:rsidRPr="00CA0EA9" w:rsidRDefault="00DB20B1" w:rsidP="00DB20B1">
            <w:pPr>
              <w:keepNext/>
              <w:keepLines/>
              <w:spacing w:before="20" w:after="20" w:line="240" w:lineRule="auto"/>
              <w:jc w:val="center"/>
              <w:rPr>
                <w:rFonts w:asciiTheme="minorHAnsi" w:hAnsiTheme="minorHAnsi"/>
                <w:b/>
                <w:color w:val="FFFFFF" w:themeColor="background1"/>
                <w:sz w:val="18"/>
                <w:szCs w:val="18"/>
              </w:rPr>
            </w:pPr>
            <w:r w:rsidRPr="00CA0EA9">
              <w:rPr>
                <w:rFonts w:asciiTheme="minorHAnsi" w:hAnsiTheme="minorHAnsi"/>
                <w:b/>
                <w:color w:val="FFFFFF" w:themeColor="background1"/>
                <w:sz w:val="18"/>
                <w:szCs w:val="18"/>
              </w:rPr>
              <w:t>% of RSP Subarea</w:t>
            </w:r>
          </w:p>
        </w:tc>
        <w:tc>
          <w:tcPr>
            <w:tcW w:w="958" w:type="dxa"/>
            <w:shd w:val="clear" w:color="auto" w:fill="1795D2" w:themeFill="accent1"/>
            <w:tcMar>
              <w:left w:w="115" w:type="dxa"/>
              <w:right w:w="115" w:type="dxa"/>
            </w:tcMar>
            <w:vAlign w:val="center"/>
            <w:hideMark/>
          </w:tcPr>
          <w:p w:rsidR="00DB20B1" w:rsidRPr="00CA0EA9" w:rsidRDefault="00DB20B1" w:rsidP="00DB20B1">
            <w:pPr>
              <w:keepNext/>
              <w:keepLines/>
              <w:spacing w:before="20" w:after="20" w:line="240" w:lineRule="auto"/>
              <w:jc w:val="center"/>
              <w:rPr>
                <w:rFonts w:asciiTheme="minorHAnsi" w:hAnsiTheme="minorHAnsi"/>
                <w:b/>
                <w:color w:val="FFFFFF" w:themeColor="background1"/>
                <w:sz w:val="18"/>
                <w:szCs w:val="18"/>
              </w:rPr>
            </w:pPr>
            <w:r w:rsidRPr="00CA0EA9">
              <w:rPr>
                <w:rFonts w:asciiTheme="minorHAnsi" w:hAnsiTheme="minorHAnsi"/>
                <w:b/>
                <w:color w:val="FFFFFF" w:themeColor="background1"/>
                <w:sz w:val="18"/>
                <w:szCs w:val="18"/>
              </w:rPr>
              <w:t>% of</w:t>
            </w:r>
            <w:r w:rsidRPr="00CA0EA9">
              <w:rPr>
                <w:rFonts w:asciiTheme="minorHAnsi" w:hAnsiTheme="minorHAnsi"/>
                <w:b/>
                <w:color w:val="FFFFFF" w:themeColor="background1"/>
                <w:sz w:val="18"/>
                <w:szCs w:val="18"/>
              </w:rPr>
              <w:br/>
              <w:t xml:space="preserve"> State</w:t>
            </w:r>
          </w:p>
        </w:tc>
        <w:tc>
          <w:tcPr>
            <w:tcW w:w="1061" w:type="dxa"/>
            <w:shd w:val="clear" w:color="auto" w:fill="1795D2" w:themeFill="accent1"/>
            <w:tcMar>
              <w:left w:w="115" w:type="dxa"/>
              <w:right w:w="115" w:type="dxa"/>
            </w:tcMar>
            <w:vAlign w:val="center"/>
            <w:hideMark/>
          </w:tcPr>
          <w:p w:rsidR="00DB20B1" w:rsidRPr="00CA0EA9" w:rsidRDefault="00DB20B1" w:rsidP="00DB20B1">
            <w:pPr>
              <w:keepNext/>
              <w:keepLines/>
              <w:spacing w:before="20" w:after="20" w:line="240" w:lineRule="auto"/>
              <w:jc w:val="center"/>
              <w:rPr>
                <w:rFonts w:asciiTheme="minorHAnsi" w:hAnsiTheme="minorHAnsi"/>
                <w:b/>
                <w:color w:val="FFFFFF" w:themeColor="background1"/>
                <w:sz w:val="18"/>
                <w:szCs w:val="18"/>
              </w:rPr>
            </w:pPr>
            <w:r w:rsidRPr="00CA0EA9">
              <w:rPr>
                <w:rFonts w:asciiTheme="minorHAnsi" w:hAnsiTheme="minorHAnsi"/>
                <w:b/>
                <w:color w:val="FFFFFF" w:themeColor="background1"/>
                <w:sz w:val="18"/>
                <w:szCs w:val="18"/>
              </w:rPr>
              <w:t>Capacity Rating</w:t>
            </w:r>
            <w:r w:rsidRPr="00CA0EA9">
              <w:rPr>
                <w:rFonts w:asciiTheme="minorHAnsi" w:hAnsiTheme="minorHAnsi"/>
                <w:b/>
                <w:color w:val="FFFFFF" w:themeColor="background1"/>
                <w:sz w:val="18"/>
                <w:szCs w:val="18"/>
                <w:vertAlign w:val="superscript"/>
              </w:rPr>
              <w:t xml:space="preserve">(b) </w:t>
            </w:r>
            <w:r w:rsidRPr="00CA0EA9">
              <w:rPr>
                <w:rFonts w:asciiTheme="minorHAnsi" w:hAnsiTheme="minorHAnsi"/>
                <w:b/>
                <w:color w:val="FFFFFF" w:themeColor="background1"/>
                <w:sz w:val="18"/>
                <w:szCs w:val="18"/>
              </w:rPr>
              <w:t>(MW)</w:t>
            </w:r>
          </w:p>
        </w:tc>
        <w:tc>
          <w:tcPr>
            <w:tcW w:w="958" w:type="dxa"/>
            <w:shd w:val="clear" w:color="auto" w:fill="1795D2" w:themeFill="accent1"/>
            <w:tcMar>
              <w:left w:w="115" w:type="dxa"/>
              <w:right w:w="115" w:type="dxa"/>
            </w:tcMar>
            <w:vAlign w:val="center"/>
            <w:hideMark/>
          </w:tcPr>
          <w:p w:rsidR="00DB20B1" w:rsidRPr="00CA0EA9" w:rsidRDefault="00DB20B1" w:rsidP="00DB20B1">
            <w:pPr>
              <w:keepNext/>
              <w:keepLines/>
              <w:spacing w:before="20" w:after="20" w:line="240" w:lineRule="auto"/>
              <w:jc w:val="center"/>
              <w:rPr>
                <w:rFonts w:asciiTheme="minorHAnsi" w:hAnsiTheme="minorHAnsi"/>
                <w:b/>
                <w:color w:val="FFFFFF" w:themeColor="background1"/>
                <w:sz w:val="18"/>
                <w:szCs w:val="18"/>
              </w:rPr>
            </w:pPr>
            <w:r w:rsidRPr="00CA0EA9">
              <w:rPr>
                <w:rFonts w:asciiTheme="minorHAnsi" w:hAnsiTheme="minorHAnsi"/>
                <w:b/>
                <w:color w:val="FFFFFF" w:themeColor="background1"/>
                <w:sz w:val="18"/>
                <w:szCs w:val="18"/>
              </w:rPr>
              <w:t>% of RSP Subarea</w:t>
            </w:r>
          </w:p>
        </w:tc>
        <w:tc>
          <w:tcPr>
            <w:tcW w:w="958" w:type="dxa"/>
            <w:shd w:val="clear" w:color="auto" w:fill="1795D2" w:themeFill="accent1"/>
            <w:tcMar>
              <w:left w:w="115" w:type="dxa"/>
              <w:right w:w="115" w:type="dxa"/>
            </w:tcMar>
            <w:vAlign w:val="center"/>
            <w:hideMark/>
          </w:tcPr>
          <w:p w:rsidR="00DB20B1" w:rsidRPr="00CA0EA9" w:rsidRDefault="00DB20B1" w:rsidP="00DB20B1">
            <w:pPr>
              <w:keepNext/>
              <w:keepLines/>
              <w:spacing w:before="20" w:after="20" w:line="240" w:lineRule="auto"/>
              <w:jc w:val="center"/>
              <w:rPr>
                <w:rFonts w:asciiTheme="minorHAnsi" w:hAnsiTheme="minorHAnsi"/>
                <w:b/>
                <w:color w:val="FFFFFF" w:themeColor="background1"/>
                <w:sz w:val="18"/>
                <w:szCs w:val="18"/>
              </w:rPr>
            </w:pPr>
            <w:r w:rsidRPr="00CA0EA9">
              <w:rPr>
                <w:rFonts w:asciiTheme="minorHAnsi" w:hAnsiTheme="minorHAnsi"/>
                <w:b/>
                <w:color w:val="FFFFFF" w:themeColor="background1"/>
                <w:sz w:val="18"/>
                <w:szCs w:val="18"/>
              </w:rPr>
              <w:t>% of</w:t>
            </w:r>
            <w:r w:rsidRPr="00CA0EA9">
              <w:rPr>
                <w:rFonts w:asciiTheme="minorHAnsi" w:hAnsiTheme="minorHAnsi"/>
                <w:b/>
                <w:color w:val="FFFFFF" w:themeColor="background1"/>
                <w:sz w:val="18"/>
                <w:szCs w:val="18"/>
              </w:rPr>
              <w:br/>
              <w:t>State</w:t>
            </w:r>
          </w:p>
        </w:tc>
      </w:tr>
      <w:tr w:rsidR="00DB20B1" w:rsidRPr="00CA0EA9" w:rsidTr="00CA0EA9">
        <w:trPr>
          <w:trHeight w:val="144"/>
          <w:jc w:val="right"/>
        </w:trPr>
        <w:tc>
          <w:tcPr>
            <w:tcW w:w="1285" w:type="dxa"/>
            <w:tcBorders>
              <w:left w:val="single" w:sz="2" w:space="0" w:color="62777F" w:themeColor="text1"/>
            </w:tcBorders>
            <w:noWrap/>
            <w:tcMar>
              <w:left w:w="115" w:type="dxa"/>
              <w:right w:w="115" w:type="dxa"/>
            </w:tcMar>
            <w:vAlign w:val="center"/>
            <w:hideMark/>
          </w:tcPr>
          <w:p w:rsidR="00DB20B1" w:rsidRPr="00CA0EA9" w:rsidRDefault="00DB20B1" w:rsidP="00DB20B1">
            <w:pPr>
              <w:keepNext/>
              <w:keepLines/>
              <w:spacing w:before="20" w:after="20" w:line="240" w:lineRule="auto"/>
              <w:rPr>
                <w:rFonts w:asciiTheme="minorHAnsi" w:hAnsiTheme="minorHAnsi"/>
                <w:b/>
                <w:color w:val="000000"/>
                <w:sz w:val="18"/>
                <w:szCs w:val="18"/>
              </w:rPr>
            </w:pPr>
            <w:r w:rsidRPr="00CA0EA9">
              <w:rPr>
                <w:rFonts w:asciiTheme="minorHAnsi" w:hAnsiTheme="minorHAnsi"/>
                <w:b/>
                <w:color w:val="000000"/>
                <w:sz w:val="18"/>
                <w:szCs w:val="18"/>
              </w:rPr>
              <w:t>BHE</w:t>
            </w:r>
          </w:p>
        </w:tc>
        <w:tc>
          <w:tcPr>
            <w:tcW w:w="1266" w:type="dxa"/>
            <w:noWrap/>
            <w:tcMar>
              <w:left w:w="115" w:type="dxa"/>
              <w:right w:w="115" w:type="dxa"/>
            </w:tcMar>
            <w:vAlign w:val="center"/>
            <w:hideMark/>
          </w:tcPr>
          <w:p w:rsidR="00DB20B1" w:rsidRPr="00CA0EA9" w:rsidRDefault="00DB20B1" w:rsidP="00DB20B1">
            <w:pPr>
              <w:keepNext/>
              <w:keepLines/>
              <w:spacing w:before="20" w:after="20" w:line="240" w:lineRule="auto"/>
              <w:rPr>
                <w:rFonts w:asciiTheme="minorHAnsi" w:hAnsiTheme="minorHAnsi"/>
                <w:color w:val="000000"/>
                <w:sz w:val="18"/>
                <w:szCs w:val="18"/>
              </w:rPr>
            </w:pPr>
            <w:r w:rsidRPr="00CA0EA9">
              <w:rPr>
                <w:rFonts w:asciiTheme="minorHAnsi" w:hAnsiTheme="minorHAnsi"/>
                <w:color w:val="000000"/>
                <w:sz w:val="18"/>
                <w:szCs w:val="18"/>
              </w:rPr>
              <w:t>Maine</w:t>
            </w:r>
          </w:p>
        </w:tc>
        <w:tc>
          <w:tcPr>
            <w:tcW w:w="942" w:type="dxa"/>
            <w:noWrap/>
            <w:tcMar>
              <w:left w:w="115" w:type="dxa"/>
              <w:right w:w="115" w:type="dxa"/>
            </w:tcMar>
            <w:vAlign w:val="center"/>
            <w:hideMark/>
          </w:tcPr>
          <w:p w:rsidR="00DB20B1" w:rsidRPr="00CA0EA9" w:rsidRDefault="00DB20B1" w:rsidP="00DB20B1">
            <w:pPr>
              <w:keepNext/>
              <w:keepLines/>
              <w:spacing w:before="20" w:after="20" w:line="240" w:lineRule="auto"/>
              <w:rPr>
                <w:rFonts w:asciiTheme="minorHAnsi" w:hAnsiTheme="minorHAnsi"/>
                <w:color w:val="000000"/>
                <w:sz w:val="18"/>
                <w:szCs w:val="18"/>
              </w:rPr>
            </w:pPr>
            <w:r w:rsidRPr="00CA0EA9">
              <w:rPr>
                <w:rFonts w:asciiTheme="minorHAnsi" w:hAnsiTheme="minorHAnsi"/>
                <w:color w:val="000000"/>
                <w:sz w:val="18"/>
                <w:szCs w:val="18"/>
              </w:rPr>
              <w:t>ME</w:t>
            </w:r>
          </w:p>
        </w:tc>
        <w:tc>
          <w:tcPr>
            <w:tcW w:w="1061" w:type="dxa"/>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i/>
                <w:color w:val="000000"/>
                <w:sz w:val="18"/>
                <w:szCs w:val="18"/>
              </w:rPr>
              <w:t>854</w:t>
            </w:r>
          </w:p>
        </w:tc>
        <w:tc>
          <w:tcPr>
            <w:tcW w:w="958" w:type="dxa"/>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i/>
                <w:color w:val="000000"/>
                <w:sz w:val="18"/>
                <w:szCs w:val="18"/>
              </w:rPr>
              <w:t>100</w:t>
            </w:r>
          </w:p>
        </w:tc>
        <w:tc>
          <w:tcPr>
            <w:tcW w:w="958" w:type="dxa"/>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i/>
                <w:color w:val="000000"/>
                <w:sz w:val="18"/>
                <w:szCs w:val="18"/>
              </w:rPr>
              <w:t>27</w:t>
            </w:r>
          </w:p>
        </w:tc>
        <w:tc>
          <w:tcPr>
            <w:tcW w:w="1061" w:type="dxa"/>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i/>
                <w:color w:val="000000"/>
                <w:sz w:val="18"/>
                <w:szCs w:val="18"/>
              </w:rPr>
              <w:t>1,050</w:t>
            </w:r>
          </w:p>
        </w:tc>
        <w:tc>
          <w:tcPr>
            <w:tcW w:w="958" w:type="dxa"/>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i/>
                <w:color w:val="000000"/>
                <w:sz w:val="18"/>
                <w:szCs w:val="18"/>
              </w:rPr>
              <w:t>100</w:t>
            </w:r>
          </w:p>
        </w:tc>
        <w:tc>
          <w:tcPr>
            <w:tcW w:w="958" w:type="dxa"/>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i/>
                <w:color w:val="000000"/>
                <w:sz w:val="18"/>
                <w:szCs w:val="18"/>
              </w:rPr>
              <w:t>30</w:t>
            </w:r>
          </w:p>
        </w:tc>
      </w:tr>
      <w:tr w:rsidR="00DB20B1" w:rsidRPr="00CA0EA9" w:rsidTr="0011231A">
        <w:trPr>
          <w:trHeight w:val="144"/>
          <w:jc w:val="right"/>
        </w:trPr>
        <w:tc>
          <w:tcPr>
            <w:tcW w:w="1285" w:type="dxa"/>
            <w:tcBorders>
              <w:left w:val="single" w:sz="2" w:space="0" w:color="62777F" w:themeColor="text1"/>
            </w:tcBorders>
            <w:shd w:val="clear" w:color="auto" w:fill="CCEAF9" w:themeFill="accent1" w:themeFillTint="33"/>
            <w:noWrap/>
            <w:tcMar>
              <w:left w:w="115" w:type="dxa"/>
              <w:right w:w="115" w:type="dxa"/>
            </w:tcMar>
            <w:vAlign w:val="center"/>
            <w:hideMark/>
          </w:tcPr>
          <w:p w:rsidR="00DB20B1" w:rsidRPr="00CA0EA9" w:rsidRDefault="00DB20B1" w:rsidP="00DB20B1">
            <w:pPr>
              <w:keepNext/>
              <w:keepLines/>
              <w:spacing w:before="20" w:after="20" w:line="240" w:lineRule="auto"/>
              <w:rPr>
                <w:rFonts w:asciiTheme="minorHAnsi" w:hAnsiTheme="minorHAnsi"/>
                <w:b/>
                <w:color w:val="000000"/>
                <w:sz w:val="18"/>
                <w:szCs w:val="18"/>
              </w:rPr>
            </w:pPr>
            <w:r w:rsidRPr="00CA0EA9">
              <w:rPr>
                <w:rFonts w:asciiTheme="minorHAnsi" w:hAnsiTheme="minorHAnsi"/>
                <w:b/>
                <w:color w:val="000000"/>
                <w:sz w:val="18"/>
                <w:szCs w:val="18"/>
              </w:rPr>
              <w:t>ME</w:t>
            </w:r>
          </w:p>
        </w:tc>
        <w:tc>
          <w:tcPr>
            <w:tcW w:w="1266" w:type="dxa"/>
            <w:shd w:val="clear" w:color="auto" w:fill="CCEAF9" w:themeFill="accent1" w:themeFillTint="33"/>
            <w:noWrap/>
            <w:tcMar>
              <w:left w:w="115" w:type="dxa"/>
              <w:right w:w="115" w:type="dxa"/>
            </w:tcMar>
            <w:vAlign w:val="center"/>
            <w:hideMark/>
          </w:tcPr>
          <w:p w:rsidR="00DB20B1" w:rsidRPr="00CA0EA9" w:rsidRDefault="00DB20B1" w:rsidP="00DB20B1">
            <w:pPr>
              <w:keepNext/>
              <w:keepLines/>
              <w:spacing w:before="20" w:after="20" w:line="240" w:lineRule="auto"/>
              <w:rPr>
                <w:rFonts w:asciiTheme="minorHAnsi" w:hAnsiTheme="minorHAnsi"/>
                <w:color w:val="000000"/>
                <w:sz w:val="18"/>
                <w:szCs w:val="18"/>
              </w:rPr>
            </w:pPr>
            <w:r w:rsidRPr="00CA0EA9">
              <w:rPr>
                <w:rFonts w:asciiTheme="minorHAnsi" w:hAnsiTheme="minorHAnsi"/>
                <w:color w:val="000000"/>
                <w:sz w:val="18"/>
                <w:szCs w:val="18"/>
              </w:rPr>
              <w:t>Maine</w:t>
            </w:r>
          </w:p>
        </w:tc>
        <w:tc>
          <w:tcPr>
            <w:tcW w:w="942" w:type="dxa"/>
            <w:shd w:val="clear" w:color="auto" w:fill="CCEAF9" w:themeFill="accent1" w:themeFillTint="33"/>
            <w:noWrap/>
            <w:tcMar>
              <w:left w:w="115" w:type="dxa"/>
              <w:right w:w="115" w:type="dxa"/>
            </w:tcMar>
            <w:vAlign w:val="center"/>
            <w:hideMark/>
          </w:tcPr>
          <w:p w:rsidR="00DB20B1" w:rsidRPr="00CA0EA9" w:rsidRDefault="00DB20B1" w:rsidP="00DB20B1">
            <w:pPr>
              <w:keepNext/>
              <w:keepLines/>
              <w:spacing w:before="20" w:after="20" w:line="240" w:lineRule="auto"/>
              <w:rPr>
                <w:rFonts w:asciiTheme="minorHAnsi" w:hAnsiTheme="minorHAnsi"/>
                <w:color w:val="000000"/>
                <w:sz w:val="18"/>
                <w:szCs w:val="18"/>
              </w:rPr>
            </w:pPr>
            <w:r w:rsidRPr="00CA0EA9">
              <w:rPr>
                <w:rFonts w:asciiTheme="minorHAnsi" w:hAnsiTheme="minorHAnsi"/>
                <w:color w:val="000000"/>
                <w:sz w:val="18"/>
                <w:szCs w:val="18"/>
              </w:rPr>
              <w:t>ME</w:t>
            </w:r>
          </w:p>
        </w:tc>
        <w:tc>
          <w:tcPr>
            <w:tcW w:w="1061" w:type="dxa"/>
            <w:shd w:val="clear" w:color="auto" w:fill="CCEAF9" w:themeFill="accent1" w:themeFillTint="33"/>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i/>
                <w:color w:val="000000"/>
                <w:sz w:val="18"/>
                <w:szCs w:val="18"/>
              </w:rPr>
              <w:t>851</w:t>
            </w:r>
          </w:p>
        </w:tc>
        <w:tc>
          <w:tcPr>
            <w:tcW w:w="958" w:type="dxa"/>
            <w:shd w:val="clear" w:color="auto" w:fill="CCEAF9" w:themeFill="accent1" w:themeFillTint="33"/>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i/>
                <w:color w:val="000000"/>
                <w:sz w:val="18"/>
                <w:szCs w:val="18"/>
              </w:rPr>
              <w:t>100</w:t>
            </w:r>
          </w:p>
        </w:tc>
        <w:tc>
          <w:tcPr>
            <w:tcW w:w="958" w:type="dxa"/>
            <w:shd w:val="clear" w:color="auto" w:fill="CCEAF9" w:themeFill="accent1" w:themeFillTint="33"/>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i/>
                <w:color w:val="000000"/>
                <w:sz w:val="18"/>
                <w:szCs w:val="18"/>
              </w:rPr>
              <w:t>27</w:t>
            </w:r>
          </w:p>
        </w:tc>
        <w:tc>
          <w:tcPr>
            <w:tcW w:w="1061" w:type="dxa"/>
            <w:shd w:val="clear" w:color="auto" w:fill="CCEAF9" w:themeFill="accent1" w:themeFillTint="33"/>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i/>
                <w:color w:val="000000"/>
                <w:sz w:val="18"/>
                <w:szCs w:val="18"/>
              </w:rPr>
              <w:t>956</w:t>
            </w:r>
          </w:p>
        </w:tc>
        <w:tc>
          <w:tcPr>
            <w:tcW w:w="958" w:type="dxa"/>
            <w:shd w:val="clear" w:color="auto" w:fill="CCEAF9" w:themeFill="accent1" w:themeFillTint="33"/>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i/>
                <w:color w:val="000000"/>
                <w:sz w:val="18"/>
                <w:szCs w:val="18"/>
              </w:rPr>
              <w:t>100</w:t>
            </w:r>
          </w:p>
        </w:tc>
        <w:tc>
          <w:tcPr>
            <w:tcW w:w="958" w:type="dxa"/>
            <w:shd w:val="clear" w:color="auto" w:fill="CCEAF9" w:themeFill="accent1" w:themeFillTint="33"/>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i/>
                <w:color w:val="000000"/>
                <w:sz w:val="18"/>
                <w:szCs w:val="18"/>
              </w:rPr>
              <w:t>27</w:t>
            </w:r>
          </w:p>
        </w:tc>
      </w:tr>
      <w:tr w:rsidR="00DB20B1" w:rsidRPr="00CA0EA9" w:rsidTr="00CA0EA9">
        <w:trPr>
          <w:trHeight w:val="144"/>
          <w:jc w:val="right"/>
        </w:trPr>
        <w:tc>
          <w:tcPr>
            <w:tcW w:w="1285" w:type="dxa"/>
            <w:vMerge w:val="restart"/>
            <w:tcBorders>
              <w:left w:val="single" w:sz="2" w:space="0" w:color="62777F" w:themeColor="text1"/>
            </w:tcBorders>
            <w:noWrap/>
            <w:tcMar>
              <w:left w:w="115" w:type="dxa"/>
              <w:right w:w="115" w:type="dxa"/>
            </w:tcMar>
            <w:vAlign w:val="center"/>
            <w:hideMark/>
          </w:tcPr>
          <w:p w:rsidR="00DB20B1" w:rsidRPr="00CA0EA9" w:rsidRDefault="00DB20B1" w:rsidP="00DB20B1">
            <w:pPr>
              <w:keepNext/>
              <w:keepLines/>
              <w:spacing w:before="20" w:after="20" w:line="240" w:lineRule="auto"/>
              <w:rPr>
                <w:rFonts w:asciiTheme="minorHAnsi" w:hAnsiTheme="minorHAnsi"/>
                <w:b/>
                <w:color w:val="000000"/>
                <w:sz w:val="18"/>
                <w:szCs w:val="18"/>
              </w:rPr>
            </w:pPr>
            <w:r w:rsidRPr="00CA0EA9">
              <w:rPr>
                <w:rFonts w:asciiTheme="minorHAnsi" w:hAnsiTheme="minorHAnsi"/>
                <w:b/>
                <w:color w:val="000000"/>
                <w:sz w:val="18"/>
                <w:szCs w:val="18"/>
              </w:rPr>
              <w:t>SME </w:t>
            </w:r>
          </w:p>
        </w:tc>
        <w:tc>
          <w:tcPr>
            <w:tcW w:w="1266" w:type="dxa"/>
            <w:shd w:val="clear" w:color="auto" w:fill="auto"/>
            <w:noWrap/>
            <w:tcMar>
              <w:left w:w="115" w:type="dxa"/>
              <w:right w:w="115" w:type="dxa"/>
            </w:tcMar>
            <w:vAlign w:val="center"/>
            <w:hideMark/>
          </w:tcPr>
          <w:p w:rsidR="00DB20B1" w:rsidRPr="00CA0EA9" w:rsidRDefault="00DB20B1" w:rsidP="00DB20B1">
            <w:pPr>
              <w:keepNext/>
              <w:keepLines/>
              <w:spacing w:before="20" w:after="20" w:line="240" w:lineRule="auto"/>
              <w:rPr>
                <w:rFonts w:asciiTheme="minorHAnsi" w:hAnsiTheme="minorHAnsi"/>
                <w:color w:val="000000"/>
                <w:sz w:val="18"/>
                <w:szCs w:val="18"/>
              </w:rPr>
            </w:pPr>
            <w:r w:rsidRPr="00CA0EA9">
              <w:rPr>
                <w:rFonts w:asciiTheme="minorHAnsi" w:hAnsiTheme="minorHAnsi"/>
                <w:color w:val="000000"/>
                <w:sz w:val="18"/>
                <w:szCs w:val="18"/>
              </w:rPr>
              <w:t>Maine</w:t>
            </w:r>
          </w:p>
        </w:tc>
        <w:tc>
          <w:tcPr>
            <w:tcW w:w="942" w:type="dxa"/>
            <w:shd w:val="clear" w:color="auto" w:fill="auto"/>
            <w:noWrap/>
            <w:tcMar>
              <w:left w:w="115" w:type="dxa"/>
              <w:right w:w="115" w:type="dxa"/>
            </w:tcMar>
            <w:vAlign w:val="center"/>
            <w:hideMark/>
          </w:tcPr>
          <w:p w:rsidR="00DB20B1" w:rsidRPr="00CA0EA9" w:rsidRDefault="00DB20B1" w:rsidP="00DB20B1">
            <w:pPr>
              <w:keepNext/>
              <w:keepLines/>
              <w:spacing w:before="20" w:after="20" w:line="240" w:lineRule="auto"/>
              <w:rPr>
                <w:rFonts w:asciiTheme="minorHAnsi" w:hAnsiTheme="minorHAnsi"/>
                <w:color w:val="000000"/>
                <w:sz w:val="18"/>
                <w:szCs w:val="18"/>
              </w:rPr>
            </w:pPr>
            <w:r w:rsidRPr="00CA0EA9">
              <w:rPr>
                <w:rFonts w:asciiTheme="minorHAnsi" w:hAnsiTheme="minorHAnsi"/>
                <w:color w:val="000000"/>
                <w:sz w:val="18"/>
                <w:szCs w:val="18"/>
              </w:rPr>
              <w:t>ME</w:t>
            </w:r>
          </w:p>
        </w:tc>
        <w:tc>
          <w:tcPr>
            <w:tcW w:w="1061" w:type="dxa"/>
            <w:shd w:val="clear" w:color="auto" w:fill="auto"/>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1,470</w:t>
            </w:r>
          </w:p>
        </w:tc>
        <w:tc>
          <w:tcPr>
            <w:tcW w:w="958" w:type="dxa"/>
            <w:shd w:val="clear" w:color="auto" w:fill="auto"/>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100</w:t>
            </w:r>
          </w:p>
        </w:tc>
        <w:tc>
          <w:tcPr>
            <w:tcW w:w="958" w:type="dxa"/>
            <w:shd w:val="clear" w:color="auto" w:fill="auto"/>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46</w:t>
            </w:r>
          </w:p>
        </w:tc>
        <w:tc>
          <w:tcPr>
            <w:tcW w:w="1061" w:type="dxa"/>
            <w:shd w:val="clear" w:color="auto" w:fill="auto"/>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1,544</w:t>
            </w:r>
          </w:p>
        </w:tc>
        <w:tc>
          <w:tcPr>
            <w:tcW w:w="958" w:type="dxa"/>
            <w:shd w:val="clear" w:color="auto" w:fill="auto"/>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100</w:t>
            </w:r>
          </w:p>
        </w:tc>
        <w:tc>
          <w:tcPr>
            <w:tcW w:w="958" w:type="dxa"/>
            <w:shd w:val="clear" w:color="auto" w:fill="auto"/>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43</w:t>
            </w:r>
          </w:p>
        </w:tc>
      </w:tr>
      <w:tr w:rsidR="00DB20B1" w:rsidRPr="00CA0EA9" w:rsidTr="00CA0EA9">
        <w:trPr>
          <w:trHeight w:val="144"/>
          <w:jc w:val="right"/>
        </w:trPr>
        <w:tc>
          <w:tcPr>
            <w:tcW w:w="1285" w:type="dxa"/>
            <w:vMerge/>
            <w:tcBorders>
              <w:left w:val="single" w:sz="2" w:space="0" w:color="62777F" w:themeColor="text1"/>
            </w:tcBorders>
            <w:noWrap/>
            <w:tcMar>
              <w:left w:w="115" w:type="dxa"/>
              <w:right w:w="115" w:type="dxa"/>
            </w:tcMar>
            <w:vAlign w:val="center"/>
            <w:hideMark/>
          </w:tcPr>
          <w:p w:rsidR="00DB20B1" w:rsidRPr="00CA0EA9" w:rsidRDefault="00DB20B1" w:rsidP="00DB20B1">
            <w:pPr>
              <w:keepNext/>
              <w:keepLines/>
              <w:spacing w:before="20" w:after="20" w:line="240" w:lineRule="auto"/>
              <w:rPr>
                <w:rFonts w:asciiTheme="minorHAnsi" w:hAnsiTheme="minorHAnsi"/>
                <w:b/>
                <w:color w:val="000000"/>
                <w:sz w:val="18"/>
                <w:szCs w:val="18"/>
              </w:rPr>
            </w:pPr>
          </w:p>
        </w:tc>
        <w:tc>
          <w:tcPr>
            <w:tcW w:w="1266" w:type="dxa"/>
            <w:tcBorders>
              <w:bottom w:val="single" w:sz="2" w:space="0" w:color="auto"/>
            </w:tcBorders>
            <w:shd w:val="clear" w:color="auto" w:fill="auto"/>
            <w:noWrap/>
            <w:tcMar>
              <w:left w:w="115" w:type="dxa"/>
              <w:right w:w="115" w:type="dxa"/>
            </w:tcMar>
            <w:vAlign w:val="center"/>
            <w:hideMark/>
          </w:tcPr>
          <w:p w:rsidR="00DB20B1" w:rsidRPr="00CA0EA9" w:rsidRDefault="00DB20B1" w:rsidP="00DB20B1">
            <w:pPr>
              <w:keepNext/>
              <w:keepLines/>
              <w:spacing w:before="20" w:after="20" w:line="240" w:lineRule="auto"/>
              <w:rPr>
                <w:rFonts w:asciiTheme="minorHAnsi" w:hAnsiTheme="minorHAnsi"/>
                <w:color w:val="000000"/>
                <w:sz w:val="18"/>
                <w:szCs w:val="18"/>
              </w:rPr>
            </w:pPr>
            <w:r w:rsidRPr="00CA0EA9">
              <w:rPr>
                <w:rFonts w:asciiTheme="minorHAnsi" w:hAnsiTheme="minorHAnsi"/>
                <w:color w:val="000000"/>
                <w:sz w:val="18"/>
                <w:szCs w:val="18"/>
              </w:rPr>
              <w:t>New Hampshire</w:t>
            </w:r>
          </w:p>
        </w:tc>
        <w:tc>
          <w:tcPr>
            <w:tcW w:w="942" w:type="dxa"/>
            <w:tcBorders>
              <w:bottom w:val="single" w:sz="2" w:space="0" w:color="auto"/>
            </w:tcBorders>
            <w:shd w:val="clear" w:color="auto" w:fill="auto"/>
            <w:noWrap/>
            <w:tcMar>
              <w:left w:w="115" w:type="dxa"/>
              <w:right w:w="115" w:type="dxa"/>
            </w:tcMar>
            <w:vAlign w:val="center"/>
            <w:hideMark/>
          </w:tcPr>
          <w:p w:rsidR="00DB20B1" w:rsidRPr="00CA0EA9" w:rsidRDefault="00DB20B1" w:rsidP="00DB20B1">
            <w:pPr>
              <w:keepNext/>
              <w:keepLines/>
              <w:spacing w:before="20" w:after="20" w:line="240" w:lineRule="auto"/>
              <w:rPr>
                <w:rFonts w:asciiTheme="minorHAnsi" w:hAnsiTheme="minorHAnsi"/>
                <w:color w:val="000000"/>
                <w:sz w:val="18"/>
                <w:szCs w:val="18"/>
              </w:rPr>
            </w:pPr>
            <w:r w:rsidRPr="00CA0EA9">
              <w:rPr>
                <w:rFonts w:asciiTheme="minorHAnsi" w:hAnsiTheme="minorHAnsi"/>
                <w:color w:val="000000"/>
                <w:sz w:val="18"/>
                <w:szCs w:val="18"/>
              </w:rPr>
              <w:t>ME</w:t>
            </w:r>
          </w:p>
        </w:tc>
        <w:tc>
          <w:tcPr>
            <w:tcW w:w="1061" w:type="dxa"/>
            <w:shd w:val="clear" w:color="auto" w:fill="auto"/>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0</w:t>
            </w:r>
          </w:p>
        </w:tc>
        <w:tc>
          <w:tcPr>
            <w:tcW w:w="958" w:type="dxa"/>
            <w:shd w:val="clear" w:color="auto" w:fill="auto"/>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0</w:t>
            </w:r>
          </w:p>
        </w:tc>
        <w:tc>
          <w:tcPr>
            <w:tcW w:w="958" w:type="dxa"/>
            <w:shd w:val="clear" w:color="auto" w:fill="auto"/>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0</w:t>
            </w:r>
          </w:p>
        </w:tc>
        <w:tc>
          <w:tcPr>
            <w:tcW w:w="1061" w:type="dxa"/>
            <w:shd w:val="clear" w:color="auto" w:fill="auto"/>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&lt;1</w:t>
            </w:r>
          </w:p>
        </w:tc>
        <w:tc>
          <w:tcPr>
            <w:tcW w:w="958" w:type="dxa"/>
            <w:shd w:val="clear" w:color="auto" w:fill="auto"/>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0</w:t>
            </w:r>
          </w:p>
        </w:tc>
        <w:tc>
          <w:tcPr>
            <w:tcW w:w="958" w:type="dxa"/>
            <w:shd w:val="clear" w:color="auto" w:fill="auto"/>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&lt;1</w:t>
            </w:r>
          </w:p>
        </w:tc>
      </w:tr>
      <w:tr w:rsidR="00DB20B1" w:rsidRPr="00CA0EA9" w:rsidTr="00CA0EA9">
        <w:trPr>
          <w:trHeight w:val="144"/>
          <w:jc w:val="right"/>
        </w:trPr>
        <w:tc>
          <w:tcPr>
            <w:tcW w:w="1285" w:type="dxa"/>
            <w:vMerge/>
            <w:tcBorders>
              <w:left w:val="single" w:sz="2" w:space="0" w:color="62777F" w:themeColor="text1"/>
              <w:right w:val="nil"/>
            </w:tcBorders>
            <w:noWrap/>
            <w:tcMar>
              <w:left w:w="115" w:type="dxa"/>
              <w:right w:w="115" w:type="dxa"/>
            </w:tcMar>
            <w:vAlign w:val="center"/>
          </w:tcPr>
          <w:p w:rsidR="00DB20B1" w:rsidRPr="00CA0EA9" w:rsidRDefault="00DB20B1" w:rsidP="00DB20B1">
            <w:pPr>
              <w:keepNext/>
              <w:keepLines/>
              <w:spacing w:before="20" w:after="20" w:line="240" w:lineRule="auto"/>
              <w:rPr>
                <w:rFonts w:asciiTheme="minorHAnsi" w:hAnsiTheme="minorHAnsi"/>
                <w:b/>
                <w:color w:val="000000"/>
                <w:sz w:val="18"/>
                <w:szCs w:val="18"/>
              </w:rPr>
            </w:pPr>
          </w:p>
        </w:tc>
        <w:tc>
          <w:tcPr>
            <w:tcW w:w="2208" w:type="dxa"/>
            <w:gridSpan w:val="2"/>
            <w:tcBorders>
              <w:left w:val="nil"/>
            </w:tcBorders>
            <w:noWrap/>
            <w:tcMar>
              <w:left w:w="115" w:type="dxa"/>
              <w:right w:w="115" w:type="dxa"/>
            </w:tcMar>
            <w:vAlign w:val="center"/>
          </w:tcPr>
          <w:p w:rsidR="00DB20B1" w:rsidRPr="00CA0EA9" w:rsidRDefault="00DB20B1" w:rsidP="00DB20B1">
            <w:pPr>
              <w:keepNext/>
              <w:keepLines/>
              <w:spacing w:before="20" w:after="20" w:line="240" w:lineRule="auto"/>
              <w:rPr>
                <w:rFonts w:asciiTheme="minorHAnsi" w:hAnsiTheme="minorHAnsi"/>
                <w:color w:val="000000"/>
                <w:sz w:val="18"/>
                <w:szCs w:val="18"/>
              </w:rPr>
            </w:pPr>
          </w:p>
        </w:tc>
        <w:tc>
          <w:tcPr>
            <w:tcW w:w="1061" w:type="dxa"/>
            <w:noWrap/>
            <w:tcMar>
              <w:left w:w="115" w:type="dxa"/>
              <w:right w:w="115" w:type="dxa"/>
            </w:tcMar>
            <w:vAlign w:val="center"/>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i/>
                <w:color w:val="000000"/>
                <w:sz w:val="18"/>
                <w:szCs w:val="18"/>
              </w:rPr>
              <w:t>1,470</w:t>
            </w:r>
          </w:p>
        </w:tc>
        <w:tc>
          <w:tcPr>
            <w:tcW w:w="958" w:type="dxa"/>
            <w:noWrap/>
            <w:tcMar>
              <w:left w:w="115" w:type="dxa"/>
              <w:right w:w="115" w:type="dxa"/>
            </w:tcMar>
            <w:vAlign w:val="bottom"/>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i/>
                <w:color w:val="000000"/>
                <w:sz w:val="18"/>
                <w:szCs w:val="18"/>
              </w:rPr>
              <w:t>100</w:t>
            </w:r>
          </w:p>
        </w:tc>
        <w:tc>
          <w:tcPr>
            <w:tcW w:w="958" w:type="dxa"/>
            <w:noWrap/>
            <w:tcMar>
              <w:left w:w="115" w:type="dxa"/>
              <w:right w:w="115" w:type="dxa"/>
            </w:tcMar>
            <w:vAlign w:val="bottom"/>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i/>
                <w:color w:val="000000"/>
                <w:sz w:val="18"/>
                <w:szCs w:val="18"/>
              </w:rPr>
              <w:t>46</w:t>
            </w:r>
          </w:p>
        </w:tc>
        <w:tc>
          <w:tcPr>
            <w:tcW w:w="1061" w:type="dxa"/>
            <w:noWrap/>
            <w:tcMar>
              <w:left w:w="115" w:type="dxa"/>
              <w:right w:w="115" w:type="dxa"/>
            </w:tcMar>
            <w:vAlign w:val="bottom"/>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i/>
                <w:color w:val="000000"/>
                <w:sz w:val="18"/>
                <w:szCs w:val="18"/>
              </w:rPr>
              <w:t>1,545</w:t>
            </w:r>
          </w:p>
        </w:tc>
        <w:tc>
          <w:tcPr>
            <w:tcW w:w="958" w:type="dxa"/>
            <w:noWrap/>
            <w:tcMar>
              <w:left w:w="115" w:type="dxa"/>
              <w:right w:w="115" w:type="dxa"/>
            </w:tcMar>
            <w:vAlign w:val="bottom"/>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i/>
                <w:color w:val="000000"/>
                <w:sz w:val="18"/>
                <w:szCs w:val="18"/>
              </w:rPr>
              <w:t>100</w:t>
            </w:r>
          </w:p>
        </w:tc>
        <w:tc>
          <w:tcPr>
            <w:tcW w:w="958" w:type="dxa"/>
            <w:noWrap/>
            <w:tcMar>
              <w:left w:w="115" w:type="dxa"/>
              <w:right w:w="115" w:type="dxa"/>
            </w:tcMar>
            <w:vAlign w:val="bottom"/>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i/>
                <w:color w:val="000000"/>
                <w:sz w:val="18"/>
                <w:szCs w:val="18"/>
              </w:rPr>
              <w:t>44</w:t>
            </w:r>
          </w:p>
        </w:tc>
      </w:tr>
      <w:tr w:rsidR="00DB20B1" w:rsidRPr="00CA0EA9" w:rsidTr="0011231A">
        <w:trPr>
          <w:trHeight w:val="144"/>
          <w:jc w:val="right"/>
        </w:trPr>
        <w:tc>
          <w:tcPr>
            <w:tcW w:w="1285" w:type="dxa"/>
            <w:vMerge w:val="restart"/>
            <w:tcBorders>
              <w:left w:val="single" w:sz="2" w:space="0" w:color="62777F" w:themeColor="text1"/>
            </w:tcBorders>
            <w:shd w:val="clear" w:color="auto" w:fill="CCEAF9" w:themeFill="accent1" w:themeFillTint="33"/>
            <w:noWrap/>
            <w:tcMar>
              <w:left w:w="115" w:type="dxa"/>
              <w:right w:w="115" w:type="dxa"/>
            </w:tcMar>
            <w:vAlign w:val="center"/>
            <w:hideMark/>
          </w:tcPr>
          <w:p w:rsidR="00DB20B1" w:rsidRPr="00CA0EA9" w:rsidRDefault="00DB20B1" w:rsidP="00DB20B1">
            <w:pPr>
              <w:keepNext/>
              <w:keepLines/>
              <w:spacing w:before="20" w:after="20" w:line="240" w:lineRule="auto"/>
              <w:rPr>
                <w:rFonts w:asciiTheme="minorHAnsi" w:hAnsiTheme="minorHAnsi"/>
                <w:b/>
                <w:color w:val="000000"/>
                <w:sz w:val="18"/>
                <w:szCs w:val="18"/>
              </w:rPr>
            </w:pPr>
            <w:r w:rsidRPr="00CA0EA9">
              <w:rPr>
                <w:rFonts w:asciiTheme="minorHAnsi" w:hAnsiTheme="minorHAnsi"/>
                <w:b/>
                <w:color w:val="000000"/>
                <w:sz w:val="18"/>
                <w:szCs w:val="18"/>
              </w:rPr>
              <w:t> NH</w:t>
            </w:r>
          </w:p>
        </w:tc>
        <w:tc>
          <w:tcPr>
            <w:tcW w:w="1266" w:type="dxa"/>
            <w:shd w:val="clear" w:color="auto" w:fill="CCEAF9" w:themeFill="accent1" w:themeFillTint="33"/>
            <w:noWrap/>
            <w:tcMar>
              <w:left w:w="115" w:type="dxa"/>
              <w:right w:w="115" w:type="dxa"/>
            </w:tcMar>
            <w:vAlign w:val="center"/>
            <w:hideMark/>
          </w:tcPr>
          <w:p w:rsidR="00DB20B1" w:rsidRPr="00CA0EA9" w:rsidRDefault="00DB20B1" w:rsidP="00DB20B1">
            <w:pPr>
              <w:keepNext/>
              <w:keepLines/>
              <w:spacing w:before="20" w:after="20" w:line="240" w:lineRule="auto"/>
              <w:rPr>
                <w:rFonts w:asciiTheme="minorHAnsi" w:hAnsiTheme="minorHAnsi"/>
                <w:color w:val="000000"/>
                <w:sz w:val="18"/>
                <w:szCs w:val="18"/>
              </w:rPr>
            </w:pPr>
            <w:r w:rsidRPr="00CA0EA9">
              <w:rPr>
                <w:rFonts w:asciiTheme="minorHAnsi" w:hAnsiTheme="minorHAnsi"/>
                <w:color w:val="000000"/>
                <w:sz w:val="18"/>
                <w:szCs w:val="18"/>
              </w:rPr>
              <w:t>Maine</w:t>
            </w:r>
          </w:p>
        </w:tc>
        <w:tc>
          <w:tcPr>
            <w:tcW w:w="942" w:type="dxa"/>
            <w:shd w:val="clear" w:color="auto" w:fill="CCEAF9" w:themeFill="accent1" w:themeFillTint="33"/>
            <w:noWrap/>
            <w:tcMar>
              <w:left w:w="115" w:type="dxa"/>
              <w:right w:w="115" w:type="dxa"/>
            </w:tcMar>
            <w:vAlign w:val="center"/>
            <w:hideMark/>
          </w:tcPr>
          <w:p w:rsidR="00DB20B1" w:rsidRPr="00CA0EA9" w:rsidRDefault="00DB20B1" w:rsidP="00DB20B1">
            <w:pPr>
              <w:keepNext/>
              <w:keepLines/>
              <w:spacing w:before="20" w:after="20" w:line="240" w:lineRule="auto"/>
              <w:rPr>
                <w:rFonts w:asciiTheme="minorHAnsi" w:hAnsiTheme="minorHAnsi"/>
                <w:color w:val="000000"/>
                <w:sz w:val="18"/>
                <w:szCs w:val="18"/>
              </w:rPr>
            </w:pPr>
            <w:r w:rsidRPr="00CA0EA9">
              <w:rPr>
                <w:rFonts w:asciiTheme="minorHAnsi" w:hAnsiTheme="minorHAnsi"/>
                <w:color w:val="000000"/>
                <w:sz w:val="18"/>
                <w:szCs w:val="18"/>
              </w:rPr>
              <w:t>NH</w:t>
            </w:r>
          </w:p>
        </w:tc>
        <w:tc>
          <w:tcPr>
            <w:tcW w:w="1061" w:type="dxa"/>
            <w:shd w:val="clear" w:color="auto" w:fill="CCEAF9" w:themeFill="accent1" w:themeFillTint="33"/>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&lt;1</w:t>
            </w:r>
          </w:p>
        </w:tc>
        <w:tc>
          <w:tcPr>
            <w:tcW w:w="958" w:type="dxa"/>
            <w:shd w:val="clear" w:color="auto" w:fill="CCEAF9" w:themeFill="accent1" w:themeFillTint="33"/>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0</w:t>
            </w:r>
          </w:p>
        </w:tc>
        <w:tc>
          <w:tcPr>
            <w:tcW w:w="958" w:type="dxa"/>
            <w:shd w:val="clear" w:color="auto" w:fill="CCEAF9" w:themeFill="accent1" w:themeFillTint="33"/>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&lt;1</w:t>
            </w:r>
          </w:p>
        </w:tc>
        <w:tc>
          <w:tcPr>
            <w:tcW w:w="1061" w:type="dxa"/>
            <w:shd w:val="clear" w:color="auto" w:fill="CCEAF9" w:themeFill="accent1" w:themeFillTint="33"/>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&lt;1</w:t>
            </w:r>
          </w:p>
        </w:tc>
        <w:tc>
          <w:tcPr>
            <w:tcW w:w="958" w:type="dxa"/>
            <w:shd w:val="clear" w:color="auto" w:fill="CCEAF9" w:themeFill="accent1" w:themeFillTint="33"/>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0</w:t>
            </w:r>
          </w:p>
        </w:tc>
        <w:tc>
          <w:tcPr>
            <w:tcW w:w="958" w:type="dxa"/>
            <w:shd w:val="clear" w:color="auto" w:fill="CCEAF9" w:themeFill="accent1" w:themeFillTint="33"/>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&lt;1</w:t>
            </w:r>
          </w:p>
        </w:tc>
      </w:tr>
      <w:tr w:rsidR="00DB20B1" w:rsidRPr="00CA0EA9" w:rsidTr="0011231A">
        <w:trPr>
          <w:trHeight w:val="144"/>
          <w:jc w:val="right"/>
        </w:trPr>
        <w:tc>
          <w:tcPr>
            <w:tcW w:w="1285" w:type="dxa"/>
            <w:vMerge/>
            <w:tcBorders>
              <w:left w:val="single" w:sz="2" w:space="0" w:color="62777F" w:themeColor="text1"/>
            </w:tcBorders>
            <w:shd w:val="clear" w:color="auto" w:fill="CCEAF9" w:themeFill="accent1" w:themeFillTint="33"/>
            <w:noWrap/>
            <w:tcMar>
              <w:left w:w="115" w:type="dxa"/>
              <w:right w:w="115" w:type="dxa"/>
            </w:tcMar>
            <w:vAlign w:val="center"/>
            <w:hideMark/>
          </w:tcPr>
          <w:p w:rsidR="00DB20B1" w:rsidRPr="00CA0EA9" w:rsidRDefault="00DB20B1" w:rsidP="00DB20B1">
            <w:pPr>
              <w:keepNext/>
              <w:keepLines/>
              <w:spacing w:before="20" w:after="20" w:line="240" w:lineRule="auto"/>
              <w:rPr>
                <w:rFonts w:asciiTheme="minorHAnsi" w:hAnsiTheme="minorHAnsi"/>
                <w:b/>
                <w:color w:val="000000"/>
                <w:sz w:val="18"/>
                <w:szCs w:val="18"/>
              </w:rPr>
            </w:pPr>
          </w:p>
        </w:tc>
        <w:tc>
          <w:tcPr>
            <w:tcW w:w="1266" w:type="dxa"/>
            <w:shd w:val="clear" w:color="auto" w:fill="CCEAF9" w:themeFill="accent1" w:themeFillTint="33"/>
            <w:noWrap/>
            <w:tcMar>
              <w:left w:w="115" w:type="dxa"/>
              <w:right w:w="115" w:type="dxa"/>
            </w:tcMar>
            <w:vAlign w:val="center"/>
            <w:hideMark/>
          </w:tcPr>
          <w:p w:rsidR="00DB20B1" w:rsidRPr="00CA0EA9" w:rsidRDefault="00DB20B1" w:rsidP="00DB20B1">
            <w:pPr>
              <w:keepNext/>
              <w:keepLines/>
              <w:spacing w:before="20" w:after="20" w:line="240" w:lineRule="auto"/>
              <w:rPr>
                <w:rFonts w:asciiTheme="minorHAnsi" w:hAnsiTheme="minorHAnsi"/>
                <w:color w:val="000000"/>
                <w:sz w:val="18"/>
                <w:szCs w:val="18"/>
              </w:rPr>
            </w:pPr>
            <w:r w:rsidRPr="00CA0EA9">
              <w:rPr>
                <w:rFonts w:asciiTheme="minorHAnsi" w:hAnsiTheme="minorHAnsi"/>
                <w:color w:val="000000"/>
                <w:sz w:val="18"/>
                <w:szCs w:val="18"/>
              </w:rPr>
              <w:t>New Hampshire</w:t>
            </w:r>
          </w:p>
        </w:tc>
        <w:tc>
          <w:tcPr>
            <w:tcW w:w="942" w:type="dxa"/>
            <w:shd w:val="clear" w:color="auto" w:fill="CCEAF9" w:themeFill="accent1" w:themeFillTint="33"/>
            <w:noWrap/>
            <w:tcMar>
              <w:left w:w="115" w:type="dxa"/>
              <w:right w:w="115" w:type="dxa"/>
            </w:tcMar>
            <w:vAlign w:val="center"/>
            <w:hideMark/>
          </w:tcPr>
          <w:p w:rsidR="00DB20B1" w:rsidRPr="00CA0EA9" w:rsidRDefault="00DB20B1" w:rsidP="00DB20B1">
            <w:pPr>
              <w:keepNext/>
              <w:keepLines/>
              <w:spacing w:before="20" w:after="20" w:line="240" w:lineRule="auto"/>
              <w:rPr>
                <w:rFonts w:asciiTheme="minorHAnsi" w:hAnsiTheme="minorHAnsi"/>
                <w:color w:val="000000"/>
                <w:sz w:val="18"/>
                <w:szCs w:val="18"/>
              </w:rPr>
            </w:pPr>
            <w:r w:rsidRPr="00CA0EA9">
              <w:rPr>
                <w:rFonts w:asciiTheme="minorHAnsi" w:hAnsiTheme="minorHAnsi"/>
                <w:color w:val="000000"/>
                <w:sz w:val="18"/>
                <w:szCs w:val="18"/>
              </w:rPr>
              <w:t>NH</w:t>
            </w:r>
          </w:p>
        </w:tc>
        <w:tc>
          <w:tcPr>
            <w:tcW w:w="1061" w:type="dxa"/>
            <w:shd w:val="clear" w:color="auto" w:fill="CCEAF9" w:themeFill="accent1" w:themeFillTint="33"/>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4,179</w:t>
            </w:r>
          </w:p>
        </w:tc>
        <w:tc>
          <w:tcPr>
            <w:tcW w:w="958" w:type="dxa"/>
            <w:shd w:val="clear" w:color="auto" w:fill="CCEAF9" w:themeFill="accent1" w:themeFillTint="33"/>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99</w:t>
            </w:r>
          </w:p>
        </w:tc>
        <w:tc>
          <w:tcPr>
            <w:tcW w:w="958" w:type="dxa"/>
            <w:shd w:val="clear" w:color="auto" w:fill="CCEAF9" w:themeFill="accent1" w:themeFillTint="33"/>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100</w:t>
            </w:r>
          </w:p>
        </w:tc>
        <w:tc>
          <w:tcPr>
            <w:tcW w:w="1061" w:type="dxa"/>
            <w:shd w:val="clear" w:color="auto" w:fill="CCEAF9" w:themeFill="accent1" w:themeFillTint="33"/>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4,430</w:t>
            </w:r>
          </w:p>
        </w:tc>
        <w:tc>
          <w:tcPr>
            <w:tcW w:w="958" w:type="dxa"/>
            <w:shd w:val="clear" w:color="auto" w:fill="CCEAF9" w:themeFill="accent1" w:themeFillTint="33"/>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99</w:t>
            </w:r>
          </w:p>
        </w:tc>
        <w:tc>
          <w:tcPr>
            <w:tcW w:w="958" w:type="dxa"/>
            <w:shd w:val="clear" w:color="auto" w:fill="CCEAF9" w:themeFill="accent1" w:themeFillTint="33"/>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100</w:t>
            </w:r>
          </w:p>
        </w:tc>
      </w:tr>
      <w:tr w:rsidR="00DB20B1" w:rsidRPr="00CA0EA9" w:rsidTr="0011231A">
        <w:trPr>
          <w:trHeight w:val="144"/>
          <w:jc w:val="right"/>
        </w:trPr>
        <w:tc>
          <w:tcPr>
            <w:tcW w:w="1285" w:type="dxa"/>
            <w:vMerge/>
            <w:tcBorders>
              <w:left w:val="single" w:sz="2" w:space="0" w:color="62777F" w:themeColor="text1"/>
            </w:tcBorders>
            <w:shd w:val="clear" w:color="auto" w:fill="CCEAF9" w:themeFill="accent1" w:themeFillTint="33"/>
            <w:noWrap/>
            <w:tcMar>
              <w:left w:w="115" w:type="dxa"/>
              <w:right w:w="115" w:type="dxa"/>
            </w:tcMar>
            <w:vAlign w:val="center"/>
            <w:hideMark/>
          </w:tcPr>
          <w:p w:rsidR="00DB20B1" w:rsidRPr="00CA0EA9" w:rsidRDefault="00DB20B1" w:rsidP="00DB20B1">
            <w:pPr>
              <w:keepNext/>
              <w:keepLines/>
              <w:spacing w:before="20" w:after="20" w:line="240" w:lineRule="auto"/>
              <w:rPr>
                <w:rFonts w:asciiTheme="minorHAnsi" w:hAnsiTheme="minorHAnsi"/>
                <w:b/>
                <w:color w:val="000000"/>
                <w:sz w:val="18"/>
                <w:szCs w:val="18"/>
              </w:rPr>
            </w:pPr>
          </w:p>
        </w:tc>
        <w:tc>
          <w:tcPr>
            <w:tcW w:w="1266" w:type="dxa"/>
            <w:vMerge w:val="restart"/>
            <w:shd w:val="clear" w:color="auto" w:fill="CCEAF9" w:themeFill="accent1" w:themeFillTint="33"/>
            <w:noWrap/>
            <w:tcMar>
              <w:left w:w="115" w:type="dxa"/>
              <w:right w:w="115" w:type="dxa"/>
            </w:tcMar>
            <w:vAlign w:val="center"/>
            <w:hideMark/>
          </w:tcPr>
          <w:p w:rsidR="00DB20B1" w:rsidRPr="00CA0EA9" w:rsidRDefault="00DB20B1" w:rsidP="00DB20B1">
            <w:pPr>
              <w:keepNext/>
              <w:keepLines/>
              <w:spacing w:before="20" w:after="20" w:line="240" w:lineRule="auto"/>
              <w:rPr>
                <w:rFonts w:asciiTheme="minorHAnsi" w:hAnsiTheme="minorHAnsi"/>
                <w:color w:val="000000"/>
                <w:sz w:val="18"/>
                <w:szCs w:val="18"/>
              </w:rPr>
            </w:pPr>
            <w:r w:rsidRPr="00CA0EA9">
              <w:rPr>
                <w:rFonts w:asciiTheme="minorHAnsi" w:hAnsiTheme="minorHAnsi"/>
                <w:color w:val="000000"/>
                <w:sz w:val="18"/>
                <w:szCs w:val="18"/>
              </w:rPr>
              <w:t> Vermont </w:t>
            </w:r>
          </w:p>
        </w:tc>
        <w:tc>
          <w:tcPr>
            <w:tcW w:w="942" w:type="dxa"/>
            <w:shd w:val="clear" w:color="auto" w:fill="CCEAF9" w:themeFill="accent1" w:themeFillTint="33"/>
            <w:noWrap/>
            <w:tcMar>
              <w:left w:w="115" w:type="dxa"/>
              <w:right w:w="115" w:type="dxa"/>
            </w:tcMar>
            <w:vAlign w:val="center"/>
            <w:hideMark/>
          </w:tcPr>
          <w:p w:rsidR="00DB20B1" w:rsidRPr="00CA0EA9" w:rsidRDefault="00DB20B1" w:rsidP="00DB20B1">
            <w:pPr>
              <w:keepNext/>
              <w:keepLines/>
              <w:spacing w:before="20" w:after="20" w:line="240" w:lineRule="auto"/>
              <w:rPr>
                <w:rFonts w:asciiTheme="minorHAnsi" w:hAnsiTheme="minorHAnsi"/>
                <w:color w:val="000000"/>
                <w:sz w:val="18"/>
                <w:szCs w:val="18"/>
              </w:rPr>
            </w:pPr>
            <w:r w:rsidRPr="00CA0EA9">
              <w:rPr>
                <w:rFonts w:asciiTheme="minorHAnsi" w:hAnsiTheme="minorHAnsi"/>
                <w:color w:val="000000"/>
                <w:sz w:val="18"/>
                <w:szCs w:val="18"/>
              </w:rPr>
              <w:t>NH</w:t>
            </w:r>
          </w:p>
        </w:tc>
        <w:tc>
          <w:tcPr>
            <w:tcW w:w="1061" w:type="dxa"/>
            <w:shd w:val="clear" w:color="auto" w:fill="CCEAF9" w:themeFill="accent1" w:themeFillTint="33"/>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0.3</w:t>
            </w:r>
          </w:p>
        </w:tc>
        <w:tc>
          <w:tcPr>
            <w:tcW w:w="958" w:type="dxa"/>
            <w:shd w:val="clear" w:color="auto" w:fill="CCEAF9" w:themeFill="accent1" w:themeFillTint="33"/>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0</w:t>
            </w:r>
          </w:p>
        </w:tc>
        <w:tc>
          <w:tcPr>
            <w:tcW w:w="958" w:type="dxa"/>
            <w:shd w:val="clear" w:color="auto" w:fill="CCEAF9" w:themeFill="accent1" w:themeFillTint="33"/>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&lt;1</w:t>
            </w:r>
          </w:p>
        </w:tc>
        <w:tc>
          <w:tcPr>
            <w:tcW w:w="1061" w:type="dxa"/>
            <w:shd w:val="clear" w:color="auto" w:fill="CCEAF9" w:themeFill="accent1" w:themeFillTint="33"/>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1</w:t>
            </w:r>
          </w:p>
        </w:tc>
        <w:tc>
          <w:tcPr>
            <w:tcW w:w="958" w:type="dxa"/>
            <w:shd w:val="clear" w:color="auto" w:fill="CCEAF9" w:themeFill="accent1" w:themeFillTint="33"/>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0</w:t>
            </w:r>
          </w:p>
        </w:tc>
        <w:tc>
          <w:tcPr>
            <w:tcW w:w="958" w:type="dxa"/>
            <w:shd w:val="clear" w:color="auto" w:fill="CCEAF9" w:themeFill="accent1" w:themeFillTint="33"/>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&lt;1</w:t>
            </w:r>
          </w:p>
        </w:tc>
      </w:tr>
      <w:tr w:rsidR="00DB20B1" w:rsidRPr="00CA0EA9" w:rsidTr="0011231A">
        <w:trPr>
          <w:trHeight w:val="144"/>
          <w:jc w:val="right"/>
        </w:trPr>
        <w:tc>
          <w:tcPr>
            <w:tcW w:w="1285" w:type="dxa"/>
            <w:vMerge/>
            <w:tcBorders>
              <w:left w:val="single" w:sz="2" w:space="0" w:color="62777F" w:themeColor="text1"/>
            </w:tcBorders>
            <w:shd w:val="clear" w:color="auto" w:fill="CCEAF9" w:themeFill="accent1" w:themeFillTint="33"/>
            <w:noWrap/>
            <w:tcMar>
              <w:left w:w="115" w:type="dxa"/>
              <w:right w:w="115" w:type="dxa"/>
            </w:tcMar>
            <w:vAlign w:val="center"/>
            <w:hideMark/>
          </w:tcPr>
          <w:p w:rsidR="00DB20B1" w:rsidRPr="00CA0EA9" w:rsidRDefault="00DB20B1" w:rsidP="00DB20B1">
            <w:pPr>
              <w:keepNext/>
              <w:keepLines/>
              <w:spacing w:before="20" w:after="20" w:line="240" w:lineRule="auto"/>
              <w:rPr>
                <w:rFonts w:asciiTheme="minorHAnsi" w:hAnsiTheme="minorHAnsi"/>
                <w:b/>
                <w:color w:val="000000"/>
                <w:sz w:val="18"/>
                <w:szCs w:val="18"/>
              </w:rPr>
            </w:pPr>
          </w:p>
        </w:tc>
        <w:tc>
          <w:tcPr>
            <w:tcW w:w="1266" w:type="dxa"/>
            <w:vMerge/>
            <w:shd w:val="clear" w:color="auto" w:fill="CCEAF9" w:themeFill="accent1" w:themeFillTint="33"/>
            <w:noWrap/>
            <w:tcMar>
              <w:left w:w="115" w:type="dxa"/>
              <w:right w:w="115" w:type="dxa"/>
            </w:tcMar>
            <w:vAlign w:val="center"/>
            <w:hideMark/>
          </w:tcPr>
          <w:p w:rsidR="00DB20B1" w:rsidRPr="00CA0EA9" w:rsidRDefault="00DB20B1" w:rsidP="00DB20B1">
            <w:pPr>
              <w:keepNext/>
              <w:keepLines/>
              <w:spacing w:before="20" w:after="20" w:line="240" w:lineRule="auto"/>
              <w:rPr>
                <w:rFonts w:asciiTheme="minorHAnsi" w:hAnsiTheme="minorHAnsi"/>
                <w:color w:val="000000"/>
                <w:sz w:val="18"/>
                <w:szCs w:val="18"/>
              </w:rPr>
            </w:pPr>
          </w:p>
        </w:tc>
        <w:tc>
          <w:tcPr>
            <w:tcW w:w="942" w:type="dxa"/>
            <w:tcBorders>
              <w:bottom w:val="single" w:sz="2" w:space="0" w:color="auto"/>
            </w:tcBorders>
            <w:shd w:val="clear" w:color="auto" w:fill="CCEAF9" w:themeFill="accent1" w:themeFillTint="33"/>
            <w:noWrap/>
            <w:tcMar>
              <w:left w:w="115" w:type="dxa"/>
              <w:right w:w="115" w:type="dxa"/>
            </w:tcMar>
            <w:vAlign w:val="center"/>
            <w:hideMark/>
          </w:tcPr>
          <w:p w:rsidR="00DB20B1" w:rsidRPr="00CA0EA9" w:rsidRDefault="00DB20B1" w:rsidP="00DB20B1">
            <w:pPr>
              <w:keepNext/>
              <w:keepLines/>
              <w:spacing w:before="20" w:after="20" w:line="240" w:lineRule="auto"/>
              <w:rPr>
                <w:rFonts w:asciiTheme="minorHAnsi" w:hAnsiTheme="minorHAnsi"/>
                <w:color w:val="000000"/>
                <w:sz w:val="18"/>
                <w:szCs w:val="18"/>
              </w:rPr>
            </w:pPr>
            <w:r w:rsidRPr="00CA0EA9">
              <w:rPr>
                <w:rFonts w:asciiTheme="minorHAnsi" w:hAnsiTheme="minorHAnsi"/>
                <w:color w:val="000000"/>
                <w:sz w:val="18"/>
                <w:szCs w:val="18"/>
              </w:rPr>
              <w:t>VT</w:t>
            </w:r>
          </w:p>
        </w:tc>
        <w:tc>
          <w:tcPr>
            <w:tcW w:w="1061" w:type="dxa"/>
            <w:shd w:val="clear" w:color="auto" w:fill="CCEAF9" w:themeFill="accent1" w:themeFillTint="33"/>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33</w:t>
            </w:r>
          </w:p>
        </w:tc>
        <w:tc>
          <w:tcPr>
            <w:tcW w:w="958" w:type="dxa"/>
            <w:shd w:val="clear" w:color="auto" w:fill="CCEAF9" w:themeFill="accent1" w:themeFillTint="33"/>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1</w:t>
            </w:r>
          </w:p>
        </w:tc>
        <w:tc>
          <w:tcPr>
            <w:tcW w:w="958" w:type="dxa"/>
            <w:shd w:val="clear" w:color="auto" w:fill="CCEAF9" w:themeFill="accent1" w:themeFillTint="33"/>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8</w:t>
            </w:r>
          </w:p>
        </w:tc>
        <w:tc>
          <w:tcPr>
            <w:tcW w:w="1061" w:type="dxa"/>
            <w:shd w:val="clear" w:color="auto" w:fill="CCEAF9" w:themeFill="accent1" w:themeFillTint="33"/>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39</w:t>
            </w:r>
          </w:p>
        </w:tc>
        <w:tc>
          <w:tcPr>
            <w:tcW w:w="958" w:type="dxa"/>
            <w:shd w:val="clear" w:color="auto" w:fill="CCEAF9" w:themeFill="accent1" w:themeFillTint="33"/>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1</w:t>
            </w:r>
          </w:p>
        </w:tc>
        <w:tc>
          <w:tcPr>
            <w:tcW w:w="958" w:type="dxa"/>
            <w:shd w:val="clear" w:color="auto" w:fill="CCEAF9" w:themeFill="accent1" w:themeFillTint="33"/>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7</w:t>
            </w:r>
          </w:p>
        </w:tc>
      </w:tr>
      <w:tr w:rsidR="00DB20B1" w:rsidRPr="00CA0EA9" w:rsidTr="0011231A">
        <w:trPr>
          <w:trHeight w:val="144"/>
          <w:jc w:val="right"/>
        </w:trPr>
        <w:tc>
          <w:tcPr>
            <w:tcW w:w="1285" w:type="dxa"/>
            <w:vMerge/>
            <w:tcBorders>
              <w:left w:val="single" w:sz="2" w:space="0" w:color="62777F" w:themeColor="text1"/>
            </w:tcBorders>
            <w:shd w:val="clear" w:color="auto" w:fill="CCEAF9" w:themeFill="accent1" w:themeFillTint="33"/>
            <w:noWrap/>
            <w:tcMar>
              <w:left w:w="115" w:type="dxa"/>
              <w:right w:w="115" w:type="dxa"/>
            </w:tcMar>
            <w:vAlign w:val="center"/>
          </w:tcPr>
          <w:p w:rsidR="00DB20B1" w:rsidRPr="00CA0EA9" w:rsidRDefault="00DB20B1" w:rsidP="00DB20B1">
            <w:pPr>
              <w:keepNext/>
              <w:keepLines/>
              <w:spacing w:before="20" w:after="20" w:line="240" w:lineRule="auto"/>
              <w:rPr>
                <w:rFonts w:asciiTheme="minorHAnsi" w:hAnsiTheme="minorHAnsi"/>
                <w:b/>
                <w:color w:val="000000"/>
                <w:sz w:val="18"/>
                <w:szCs w:val="18"/>
              </w:rPr>
            </w:pPr>
          </w:p>
        </w:tc>
        <w:tc>
          <w:tcPr>
            <w:tcW w:w="1266" w:type="dxa"/>
            <w:vMerge/>
            <w:tcBorders>
              <w:bottom w:val="single" w:sz="2" w:space="0" w:color="auto"/>
              <w:right w:val="single" w:sz="2" w:space="0" w:color="C8E3F4" w:themeColor="text2" w:themeTint="33"/>
            </w:tcBorders>
            <w:shd w:val="clear" w:color="auto" w:fill="CCEAF9" w:themeFill="accent1" w:themeFillTint="33"/>
            <w:noWrap/>
            <w:tcMar>
              <w:left w:w="115" w:type="dxa"/>
              <w:right w:w="115" w:type="dxa"/>
            </w:tcMar>
            <w:vAlign w:val="center"/>
          </w:tcPr>
          <w:p w:rsidR="00DB20B1" w:rsidRPr="00CA0EA9" w:rsidRDefault="00DB20B1" w:rsidP="00DB20B1">
            <w:pPr>
              <w:keepNext/>
              <w:keepLines/>
              <w:spacing w:before="20" w:after="20" w:line="240" w:lineRule="auto"/>
              <w:rPr>
                <w:rFonts w:asciiTheme="minorHAnsi" w:hAnsiTheme="minorHAnsi"/>
                <w:color w:val="000000"/>
                <w:sz w:val="18"/>
                <w:szCs w:val="18"/>
              </w:rPr>
            </w:pPr>
          </w:p>
        </w:tc>
        <w:tc>
          <w:tcPr>
            <w:tcW w:w="942" w:type="dxa"/>
            <w:tcBorders>
              <w:left w:val="single" w:sz="2" w:space="0" w:color="C8E3F4" w:themeColor="text2" w:themeTint="33"/>
              <w:bottom w:val="single" w:sz="2" w:space="0" w:color="auto"/>
            </w:tcBorders>
            <w:shd w:val="clear" w:color="auto" w:fill="CCEAF9" w:themeFill="accent1" w:themeFillTint="33"/>
            <w:noWrap/>
            <w:tcMar>
              <w:left w:w="115" w:type="dxa"/>
              <w:right w:w="115" w:type="dxa"/>
            </w:tcMar>
            <w:vAlign w:val="center"/>
          </w:tcPr>
          <w:p w:rsidR="00DB20B1" w:rsidRPr="00CA0EA9" w:rsidRDefault="00DB20B1" w:rsidP="00DB20B1">
            <w:pPr>
              <w:keepNext/>
              <w:keepLines/>
              <w:spacing w:before="20" w:after="20" w:line="240" w:lineRule="auto"/>
              <w:rPr>
                <w:rFonts w:asciiTheme="minorHAnsi" w:hAnsiTheme="minorHAnsi"/>
                <w:color w:val="000000"/>
                <w:sz w:val="18"/>
                <w:szCs w:val="18"/>
              </w:rPr>
            </w:pPr>
          </w:p>
        </w:tc>
        <w:tc>
          <w:tcPr>
            <w:tcW w:w="1061" w:type="dxa"/>
            <w:shd w:val="clear" w:color="auto" w:fill="CCEAF9" w:themeFill="accent1" w:themeFillTint="33"/>
            <w:noWrap/>
            <w:tcMar>
              <w:left w:w="115" w:type="dxa"/>
              <w:right w:w="115" w:type="dxa"/>
            </w:tcMar>
            <w:vAlign w:val="bottom"/>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33</w:t>
            </w:r>
          </w:p>
        </w:tc>
        <w:tc>
          <w:tcPr>
            <w:tcW w:w="958" w:type="dxa"/>
            <w:shd w:val="clear" w:color="auto" w:fill="CCEAF9" w:themeFill="accent1" w:themeFillTint="33"/>
            <w:noWrap/>
            <w:tcMar>
              <w:left w:w="115" w:type="dxa"/>
              <w:right w:w="115" w:type="dxa"/>
            </w:tcMar>
            <w:vAlign w:val="bottom"/>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1</w:t>
            </w:r>
          </w:p>
        </w:tc>
        <w:tc>
          <w:tcPr>
            <w:tcW w:w="958" w:type="dxa"/>
            <w:shd w:val="clear" w:color="auto" w:fill="CCEAF9" w:themeFill="accent1" w:themeFillTint="33"/>
            <w:noWrap/>
            <w:tcMar>
              <w:left w:w="115" w:type="dxa"/>
              <w:right w:w="115" w:type="dxa"/>
            </w:tcMar>
            <w:vAlign w:val="bottom"/>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8</w:t>
            </w:r>
          </w:p>
        </w:tc>
        <w:tc>
          <w:tcPr>
            <w:tcW w:w="1061" w:type="dxa"/>
            <w:shd w:val="clear" w:color="auto" w:fill="CCEAF9" w:themeFill="accent1" w:themeFillTint="33"/>
            <w:noWrap/>
            <w:tcMar>
              <w:left w:w="115" w:type="dxa"/>
              <w:right w:w="115" w:type="dxa"/>
            </w:tcMar>
            <w:vAlign w:val="bottom"/>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40</w:t>
            </w:r>
          </w:p>
        </w:tc>
        <w:tc>
          <w:tcPr>
            <w:tcW w:w="958" w:type="dxa"/>
            <w:shd w:val="clear" w:color="auto" w:fill="CCEAF9" w:themeFill="accent1" w:themeFillTint="33"/>
            <w:noWrap/>
            <w:tcMar>
              <w:left w:w="115" w:type="dxa"/>
              <w:right w:w="115" w:type="dxa"/>
            </w:tcMar>
            <w:vAlign w:val="bottom"/>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1</w:t>
            </w:r>
          </w:p>
        </w:tc>
        <w:tc>
          <w:tcPr>
            <w:tcW w:w="958" w:type="dxa"/>
            <w:shd w:val="clear" w:color="auto" w:fill="CCEAF9" w:themeFill="accent1" w:themeFillTint="33"/>
            <w:noWrap/>
            <w:tcMar>
              <w:left w:w="115" w:type="dxa"/>
              <w:right w:w="115" w:type="dxa"/>
            </w:tcMar>
            <w:vAlign w:val="bottom"/>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7</w:t>
            </w:r>
          </w:p>
        </w:tc>
      </w:tr>
      <w:tr w:rsidR="00DB20B1" w:rsidRPr="00CA0EA9" w:rsidTr="0011231A">
        <w:trPr>
          <w:trHeight w:val="144"/>
          <w:jc w:val="right"/>
        </w:trPr>
        <w:tc>
          <w:tcPr>
            <w:tcW w:w="1285" w:type="dxa"/>
            <w:vMerge/>
            <w:tcBorders>
              <w:left w:val="single" w:sz="2" w:space="0" w:color="62777F" w:themeColor="text1"/>
              <w:right w:val="single" w:sz="2" w:space="0" w:color="C8E3F4" w:themeColor="text2" w:themeTint="33"/>
            </w:tcBorders>
            <w:shd w:val="clear" w:color="auto" w:fill="CCEAF9" w:themeFill="accent1" w:themeFillTint="33"/>
            <w:noWrap/>
            <w:tcMar>
              <w:left w:w="115" w:type="dxa"/>
              <w:right w:w="115" w:type="dxa"/>
            </w:tcMar>
            <w:vAlign w:val="center"/>
          </w:tcPr>
          <w:p w:rsidR="00DB20B1" w:rsidRPr="00CA0EA9" w:rsidRDefault="00DB20B1" w:rsidP="00DB20B1">
            <w:pPr>
              <w:keepNext/>
              <w:keepLines/>
              <w:spacing w:before="20" w:after="20" w:line="240" w:lineRule="auto"/>
              <w:rPr>
                <w:rFonts w:asciiTheme="minorHAnsi" w:hAnsiTheme="minorHAnsi"/>
                <w:b/>
                <w:color w:val="000000"/>
                <w:sz w:val="18"/>
                <w:szCs w:val="18"/>
              </w:rPr>
            </w:pPr>
          </w:p>
        </w:tc>
        <w:tc>
          <w:tcPr>
            <w:tcW w:w="2208" w:type="dxa"/>
            <w:gridSpan w:val="2"/>
            <w:tcBorders>
              <w:left w:val="single" w:sz="2" w:space="0" w:color="C8E3F4" w:themeColor="text2" w:themeTint="33"/>
            </w:tcBorders>
            <w:shd w:val="clear" w:color="auto" w:fill="CCEAF9" w:themeFill="accent1" w:themeFillTint="33"/>
            <w:noWrap/>
            <w:tcMar>
              <w:left w:w="115" w:type="dxa"/>
              <w:right w:w="115" w:type="dxa"/>
            </w:tcMar>
            <w:vAlign w:val="center"/>
          </w:tcPr>
          <w:p w:rsidR="00DB20B1" w:rsidRPr="00CA0EA9" w:rsidRDefault="00DB20B1" w:rsidP="00DB20B1">
            <w:pPr>
              <w:keepNext/>
              <w:keepLines/>
              <w:spacing w:before="20" w:after="20" w:line="240" w:lineRule="auto"/>
              <w:rPr>
                <w:rFonts w:asciiTheme="minorHAnsi" w:hAnsiTheme="minorHAnsi"/>
                <w:color w:val="000000"/>
                <w:sz w:val="18"/>
                <w:szCs w:val="18"/>
              </w:rPr>
            </w:pPr>
          </w:p>
        </w:tc>
        <w:tc>
          <w:tcPr>
            <w:tcW w:w="1061" w:type="dxa"/>
            <w:shd w:val="clear" w:color="auto" w:fill="CCEAF9" w:themeFill="accent1" w:themeFillTint="33"/>
            <w:noWrap/>
            <w:tcMar>
              <w:left w:w="115" w:type="dxa"/>
              <w:right w:w="115" w:type="dxa"/>
            </w:tcMar>
            <w:vAlign w:val="center"/>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i/>
                <w:color w:val="000000"/>
                <w:sz w:val="18"/>
                <w:szCs w:val="18"/>
              </w:rPr>
              <w:t>4,212</w:t>
            </w:r>
          </w:p>
        </w:tc>
        <w:tc>
          <w:tcPr>
            <w:tcW w:w="958" w:type="dxa"/>
            <w:shd w:val="clear" w:color="auto" w:fill="CCEAF9" w:themeFill="accent1" w:themeFillTint="33"/>
            <w:noWrap/>
            <w:tcMar>
              <w:left w:w="115" w:type="dxa"/>
              <w:right w:w="115" w:type="dxa"/>
            </w:tcMar>
            <w:vAlign w:val="bottom"/>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i/>
                <w:color w:val="000000"/>
                <w:sz w:val="18"/>
                <w:szCs w:val="18"/>
              </w:rPr>
              <w:t>100</w:t>
            </w:r>
          </w:p>
        </w:tc>
        <w:tc>
          <w:tcPr>
            <w:tcW w:w="958" w:type="dxa"/>
            <w:shd w:val="clear" w:color="auto" w:fill="CCEAF9" w:themeFill="accent1" w:themeFillTint="33"/>
            <w:noWrap/>
            <w:tcMar>
              <w:left w:w="115" w:type="dxa"/>
              <w:right w:w="115" w:type="dxa"/>
            </w:tcMar>
            <w:vAlign w:val="bottom"/>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i/>
                <w:color w:val="000000"/>
                <w:sz w:val="18"/>
                <w:szCs w:val="18"/>
              </w:rPr>
              <w:t>108</w:t>
            </w:r>
          </w:p>
        </w:tc>
        <w:tc>
          <w:tcPr>
            <w:tcW w:w="1061" w:type="dxa"/>
            <w:shd w:val="clear" w:color="auto" w:fill="CCEAF9" w:themeFill="accent1" w:themeFillTint="33"/>
            <w:noWrap/>
            <w:tcMar>
              <w:left w:w="115" w:type="dxa"/>
              <w:right w:w="115" w:type="dxa"/>
            </w:tcMar>
            <w:vAlign w:val="bottom"/>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i/>
                <w:color w:val="000000"/>
                <w:sz w:val="18"/>
                <w:szCs w:val="18"/>
              </w:rPr>
              <w:t>4,471</w:t>
            </w:r>
          </w:p>
        </w:tc>
        <w:tc>
          <w:tcPr>
            <w:tcW w:w="958" w:type="dxa"/>
            <w:shd w:val="clear" w:color="auto" w:fill="CCEAF9" w:themeFill="accent1" w:themeFillTint="33"/>
            <w:noWrap/>
            <w:tcMar>
              <w:left w:w="115" w:type="dxa"/>
              <w:right w:w="115" w:type="dxa"/>
            </w:tcMar>
            <w:vAlign w:val="bottom"/>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i/>
                <w:color w:val="000000"/>
                <w:sz w:val="18"/>
                <w:szCs w:val="18"/>
              </w:rPr>
              <w:t>100</w:t>
            </w:r>
          </w:p>
        </w:tc>
        <w:tc>
          <w:tcPr>
            <w:tcW w:w="958" w:type="dxa"/>
            <w:shd w:val="clear" w:color="auto" w:fill="CCEAF9" w:themeFill="accent1" w:themeFillTint="33"/>
            <w:noWrap/>
            <w:tcMar>
              <w:left w:w="115" w:type="dxa"/>
              <w:right w:w="115" w:type="dxa"/>
            </w:tcMar>
            <w:vAlign w:val="bottom"/>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i/>
                <w:color w:val="000000"/>
                <w:sz w:val="18"/>
                <w:szCs w:val="18"/>
              </w:rPr>
              <w:t>107</w:t>
            </w:r>
          </w:p>
        </w:tc>
      </w:tr>
      <w:tr w:rsidR="00DB20B1" w:rsidRPr="00CA0EA9" w:rsidTr="00CA0EA9">
        <w:trPr>
          <w:trHeight w:val="144"/>
          <w:jc w:val="right"/>
        </w:trPr>
        <w:tc>
          <w:tcPr>
            <w:tcW w:w="1285" w:type="dxa"/>
            <w:vMerge w:val="restart"/>
            <w:tcBorders>
              <w:left w:val="single" w:sz="2" w:space="0" w:color="62777F" w:themeColor="text1"/>
            </w:tcBorders>
            <w:noWrap/>
            <w:tcMar>
              <w:left w:w="115" w:type="dxa"/>
              <w:right w:w="115" w:type="dxa"/>
            </w:tcMar>
            <w:vAlign w:val="center"/>
            <w:hideMark/>
          </w:tcPr>
          <w:p w:rsidR="00DB20B1" w:rsidRPr="00CA0EA9" w:rsidRDefault="00DB20B1" w:rsidP="00DB20B1">
            <w:pPr>
              <w:keepNext/>
              <w:keepLines/>
              <w:spacing w:before="20" w:after="20" w:line="240" w:lineRule="auto"/>
              <w:rPr>
                <w:rFonts w:asciiTheme="minorHAnsi" w:hAnsiTheme="minorHAnsi"/>
                <w:b/>
                <w:color w:val="000000"/>
                <w:sz w:val="18"/>
                <w:szCs w:val="18"/>
              </w:rPr>
            </w:pPr>
            <w:r w:rsidRPr="00CA0EA9">
              <w:rPr>
                <w:rFonts w:asciiTheme="minorHAnsi" w:hAnsiTheme="minorHAnsi"/>
                <w:b/>
                <w:color w:val="000000"/>
                <w:sz w:val="18"/>
                <w:szCs w:val="18"/>
              </w:rPr>
              <w:t> VT </w:t>
            </w:r>
          </w:p>
        </w:tc>
        <w:tc>
          <w:tcPr>
            <w:tcW w:w="1266" w:type="dxa"/>
            <w:vMerge w:val="restart"/>
            <w:shd w:val="clear" w:color="auto" w:fill="auto"/>
            <w:noWrap/>
            <w:tcMar>
              <w:left w:w="115" w:type="dxa"/>
              <w:right w:w="115" w:type="dxa"/>
            </w:tcMar>
            <w:vAlign w:val="center"/>
            <w:hideMark/>
          </w:tcPr>
          <w:p w:rsidR="00DB20B1" w:rsidRPr="00CA0EA9" w:rsidRDefault="00DB20B1" w:rsidP="00DB20B1">
            <w:pPr>
              <w:keepNext/>
              <w:keepLines/>
              <w:spacing w:before="20" w:after="20" w:line="240" w:lineRule="auto"/>
              <w:rPr>
                <w:rFonts w:asciiTheme="minorHAnsi" w:hAnsiTheme="minorHAnsi"/>
                <w:color w:val="000000"/>
                <w:sz w:val="18"/>
                <w:szCs w:val="18"/>
              </w:rPr>
            </w:pPr>
            <w:r w:rsidRPr="00CA0EA9">
              <w:rPr>
                <w:rFonts w:asciiTheme="minorHAnsi" w:hAnsiTheme="minorHAnsi"/>
                <w:color w:val="000000"/>
                <w:sz w:val="18"/>
                <w:szCs w:val="18"/>
              </w:rPr>
              <w:t>New Hampshire </w:t>
            </w:r>
          </w:p>
        </w:tc>
        <w:tc>
          <w:tcPr>
            <w:tcW w:w="942" w:type="dxa"/>
            <w:shd w:val="clear" w:color="auto" w:fill="auto"/>
            <w:noWrap/>
            <w:tcMar>
              <w:left w:w="115" w:type="dxa"/>
              <w:right w:w="115" w:type="dxa"/>
            </w:tcMar>
            <w:vAlign w:val="center"/>
            <w:hideMark/>
          </w:tcPr>
          <w:p w:rsidR="00DB20B1" w:rsidRPr="00CA0EA9" w:rsidRDefault="00DB20B1" w:rsidP="00DB20B1">
            <w:pPr>
              <w:keepNext/>
              <w:keepLines/>
              <w:spacing w:before="20" w:after="20" w:line="240" w:lineRule="auto"/>
              <w:rPr>
                <w:rFonts w:asciiTheme="minorHAnsi" w:hAnsiTheme="minorHAnsi"/>
                <w:color w:val="000000"/>
                <w:sz w:val="18"/>
                <w:szCs w:val="18"/>
              </w:rPr>
            </w:pPr>
            <w:r w:rsidRPr="00CA0EA9">
              <w:rPr>
                <w:rFonts w:asciiTheme="minorHAnsi" w:hAnsiTheme="minorHAnsi"/>
                <w:color w:val="000000"/>
                <w:sz w:val="18"/>
                <w:szCs w:val="18"/>
              </w:rPr>
              <w:t>NH</w:t>
            </w:r>
          </w:p>
        </w:tc>
        <w:tc>
          <w:tcPr>
            <w:tcW w:w="1061" w:type="dxa"/>
            <w:shd w:val="clear" w:color="auto" w:fill="auto"/>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1</w:t>
            </w:r>
          </w:p>
        </w:tc>
        <w:tc>
          <w:tcPr>
            <w:tcW w:w="958" w:type="dxa"/>
            <w:shd w:val="clear" w:color="auto" w:fill="auto"/>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0</w:t>
            </w:r>
          </w:p>
        </w:tc>
        <w:tc>
          <w:tcPr>
            <w:tcW w:w="958" w:type="dxa"/>
            <w:shd w:val="clear" w:color="auto" w:fill="auto"/>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&lt;1</w:t>
            </w:r>
          </w:p>
        </w:tc>
        <w:tc>
          <w:tcPr>
            <w:tcW w:w="1061" w:type="dxa"/>
            <w:shd w:val="clear" w:color="auto" w:fill="auto"/>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3</w:t>
            </w:r>
          </w:p>
        </w:tc>
        <w:tc>
          <w:tcPr>
            <w:tcW w:w="958" w:type="dxa"/>
            <w:shd w:val="clear" w:color="auto" w:fill="auto"/>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1</w:t>
            </w:r>
          </w:p>
        </w:tc>
        <w:tc>
          <w:tcPr>
            <w:tcW w:w="958" w:type="dxa"/>
            <w:shd w:val="clear" w:color="auto" w:fill="auto"/>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&lt;1</w:t>
            </w:r>
          </w:p>
        </w:tc>
      </w:tr>
      <w:tr w:rsidR="00DB20B1" w:rsidRPr="00CA0EA9" w:rsidTr="00CA0EA9">
        <w:trPr>
          <w:trHeight w:val="144"/>
          <w:jc w:val="right"/>
        </w:trPr>
        <w:tc>
          <w:tcPr>
            <w:tcW w:w="1285" w:type="dxa"/>
            <w:vMerge/>
            <w:tcBorders>
              <w:left w:val="single" w:sz="2" w:space="0" w:color="62777F" w:themeColor="text1"/>
            </w:tcBorders>
            <w:noWrap/>
            <w:tcMar>
              <w:left w:w="115" w:type="dxa"/>
              <w:right w:w="115" w:type="dxa"/>
            </w:tcMar>
            <w:vAlign w:val="center"/>
            <w:hideMark/>
          </w:tcPr>
          <w:p w:rsidR="00DB20B1" w:rsidRPr="00CA0EA9" w:rsidRDefault="00DB20B1" w:rsidP="00DB20B1">
            <w:pPr>
              <w:keepNext/>
              <w:keepLines/>
              <w:spacing w:before="20" w:after="20" w:line="240" w:lineRule="auto"/>
              <w:rPr>
                <w:rFonts w:asciiTheme="minorHAnsi" w:hAnsiTheme="minorHAnsi"/>
                <w:b/>
                <w:color w:val="000000"/>
                <w:sz w:val="18"/>
                <w:szCs w:val="18"/>
              </w:rPr>
            </w:pPr>
          </w:p>
        </w:tc>
        <w:tc>
          <w:tcPr>
            <w:tcW w:w="1266" w:type="dxa"/>
            <w:vMerge/>
            <w:shd w:val="clear" w:color="auto" w:fill="auto"/>
            <w:noWrap/>
            <w:tcMar>
              <w:left w:w="115" w:type="dxa"/>
              <w:right w:w="115" w:type="dxa"/>
            </w:tcMar>
            <w:vAlign w:val="center"/>
            <w:hideMark/>
          </w:tcPr>
          <w:p w:rsidR="00DB20B1" w:rsidRPr="00CA0EA9" w:rsidRDefault="00DB20B1" w:rsidP="00DB20B1">
            <w:pPr>
              <w:keepNext/>
              <w:keepLines/>
              <w:spacing w:before="20" w:after="20" w:line="240" w:lineRule="auto"/>
              <w:rPr>
                <w:rFonts w:asciiTheme="minorHAnsi" w:hAnsiTheme="minorHAnsi"/>
                <w:color w:val="000000"/>
                <w:sz w:val="18"/>
                <w:szCs w:val="18"/>
              </w:rPr>
            </w:pPr>
          </w:p>
        </w:tc>
        <w:tc>
          <w:tcPr>
            <w:tcW w:w="942" w:type="dxa"/>
            <w:tcBorders>
              <w:bottom w:val="single" w:sz="2" w:space="0" w:color="auto"/>
            </w:tcBorders>
            <w:shd w:val="clear" w:color="auto" w:fill="auto"/>
            <w:noWrap/>
            <w:tcMar>
              <w:left w:w="115" w:type="dxa"/>
              <w:right w:w="115" w:type="dxa"/>
            </w:tcMar>
            <w:vAlign w:val="center"/>
            <w:hideMark/>
          </w:tcPr>
          <w:p w:rsidR="00DB20B1" w:rsidRPr="00CA0EA9" w:rsidRDefault="00DB20B1" w:rsidP="00DB20B1">
            <w:pPr>
              <w:keepNext/>
              <w:keepLines/>
              <w:spacing w:before="20" w:after="20" w:line="240" w:lineRule="auto"/>
              <w:rPr>
                <w:rFonts w:asciiTheme="minorHAnsi" w:hAnsiTheme="minorHAnsi"/>
                <w:color w:val="000000"/>
                <w:sz w:val="18"/>
                <w:szCs w:val="18"/>
              </w:rPr>
            </w:pPr>
            <w:r w:rsidRPr="00CA0EA9">
              <w:rPr>
                <w:rFonts w:asciiTheme="minorHAnsi" w:hAnsiTheme="minorHAnsi"/>
                <w:color w:val="000000"/>
                <w:sz w:val="18"/>
                <w:szCs w:val="18"/>
              </w:rPr>
              <w:t>VT</w:t>
            </w:r>
          </w:p>
        </w:tc>
        <w:tc>
          <w:tcPr>
            <w:tcW w:w="1061" w:type="dxa"/>
            <w:shd w:val="clear" w:color="auto" w:fill="auto"/>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1</w:t>
            </w:r>
          </w:p>
        </w:tc>
        <w:tc>
          <w:tcPr>
            <w:tcW w:w="958" w:type="dxa"/>
            <w:shd w:val="clear" w:color="auto" w:fill="auto"/>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0</w:t>
            </w:r>
          </w:p>
        </w:tc>
        <w:tc>
          <w:tcPr>
            <w:tcW w:w="958" w:type="dxa"/>
            <w:shd w:val="clear" w:color="auto" w:fill="auto"/>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&lt;1</w:t>
            </w:r>
          </w:p>
        </w:tc>
        <w:tc>
          <w:tcPr>
            <w:tcW w:w="1061" w:type="dxa"/>
            <w:shd w:val="clear" w:color="auto" w:fill="auto"/>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4</w:t>
            </w:r>
          </w:p>
        </w:tc>
        <w:tc>
          <w:tcPr>
            <w:tcW w:w="958" w:type="dxa"/>
            <w:shd w:val="clear" w:color="auto" w:fill="auto"/>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1</w:t>
            </w:r>
          </w:p>
        </w:tc>
        <w:tc>
          <w:tcPr>
            <w:tcW w:w="958" w:type="dxa"/>
            <w:shd w:val="clear" w:color="auto" w:fill="auto"/>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&lt;1</w:t>
            </w:r>
          </w:p>
        </w:tc>
      </w:tr>
      <w:tr w:rsidR="00DB20B1" w:rsidRPr="00CA0EA9" w:rsidTr="00CA0EA9">
        <w:trPr>
          <w:trHeight w:val="144"/>
          <w:jc w:val="right"/>
        </w:trPr>
        <w:tc>
          <w:tcPr>
            <w:tcW w:w="1285" w:type="dxa"/>
            <w:vMerge/>
            <w:tcBorders>
              <w:left w:val="single" w:sz="2" w:space="0" w:color="62777F" w:themeColor="text1"/>
            </w:tcBorders>
            <w:noWrap/>
            <w:tcMar>
              <w:left w:w="115" w:type="dxa"/>
              <w:right w:w="115" w:type="dxa"/>
            </w:tcMar>
            <w:vAlign w:val="center"/>
          </w:tcPr>
          <w:p w:rsidR="00DB20B1" w:rsidRPr="00CA0EA9" w:rsidRDefault="00DB20B1" w:rsidP="00DB20B1">
            <w:pPr>
              <w:keepNext/>
              <w:keepLines/>
              <w:spacing w:before="20" w:after="20" w:line="240" w:lineRule="auto"/>
              <w:rPr>
                <w:rFonts w:asciiTheme="minorHAnsi" w:hAnsiTheme="minorHAnsi"/>
                <w:b/>
                <w:color w:val="000000"/>
                <w:sz w:val="18"/>
                <w:szCs w:val="18"/>
              </w:rPr>
            </w:pPr>
          </w:p>
        </w:tc>
        <w:tc>
          <w:tcPr>
            <w:tcW w:w="1266" w:type="dxa"/>
            <w:vMerge/>
            <w:tcBorders>
              <w:right w:val="nil"/>
            </w:tcBorders>
            <w:shd w:val="clear" w:color="auto" w:fill="auto"/>
            <w:noWrap/>
            <w:tcMar>
              <w:left w:w="115" w:type="dxa"/>
              <w:right w:w="115" w:type="dxa"/>
            </w:tcMar>
            <w:vAlign w:val="center"/>
          </w:tcPr>
          <w:p w:rsidR="00DB20B1" w:rsidRPr="00CA0EA9" w:rsidRDefault="00DB20B1" w:rsidP="00DB20B1">
            <w:pPr>
              <w:keepNext/>
              <w:keepLines/>
              <w:spacing w:before="20" w:after="20" w:line="240" w:lineRule="auto"/>
              <w:rPr>
                <w:rFonts w:asciiTheme="minorHAnsi" w:hAnsiTheme="minorHAnsi"/>
                <w:color w:val="000000"/>
                <w:sz w:val="18"/>
                <w:szCs w:val="18"/>
              </w:rPr>
            </w:pPr>
          </w:p>
        </w:tc>
        <w:tc>
          <w:tcPr>
            <w:tcW w:w="942" w:type="dxa"/>
            <w:tcBorders>
              <w:left w:val="nil"/>
            </w:tcBorders>
            <w:shd w:val="clear" w:color="auto" w:fill="auto"/>
            <w:noWrap/>
            <w:tcMar>
              <w:left w:w="115" w:type="dxa"/>
              <w:right w:w="115" w:type="dxa"/>
            </w:tcMar>
            <w:vAlign w:val="center"/>
          </w:tcPr>
          <w:p w:rsidR="00DB20B1" w:rsidRPr="00CA0EA9" w:rsidRDefault="00DB20B1" w:rsidP="00DB20B1">
            <w:pPr>
              <w:keepNext/>
              <w:keepLines/>
              <w:spacing w:before="20" w:after="20" w:line="240" w:lineRule="auto"/>
              <w:rPr>
                <w:rFonts w:asciiTheme="minorHAnsi" w:hAnsiTheme="minorHAnsi"/>
                <w:color w:val="000000"/>
                <w:sz w:val="18"/>
                <w:szCs w:val="18"/>
              </w:rPr>
            </w:pPr>
          </w:p>
        </w:tc>
        <w:tc>
          <w:tcPr>
            <w:tcW w:w="1061" w:type="dxa"/>
            <w:shd w:val="clear" w:color="auto" w:fill="auto"/>
            <w:noWrap/>
            <w:tcMar>
              <w:left w:w="115" w:type="dxa"/>
              <w:right w:w="115" w:type="dxa"/>
            </w:tcMar>
            <w:vAlign w:val="bottom"/>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2</w:t>
            </w:r>
          </w:p>
        </w:tc>
        <w:tc>
          <w:tcPr>
            <w:tcW w:w="958" w:type="dxa"/>
            <w:shd w:val="clear" w:color="auto" w:fill="auto"/>
            <w:noWrap/>
            <w:tcMar>
              <w:left w:w="115" w:type="dxa"/>
              <w:right w:w="115" w:type="dxa"/>
            </w:tcMar>
            <w:vAlign w:val="bottom"/>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1</w:t>
            </w:r>
          </w:p>
        </w:tc>
        <w:tc>
          <w:tcPr>
            <w:tcW w:w="958" w:type="dxa"/>
            <w:shd w:val="clear" w:color="auto" w:fill="auto"/>
            <w:noWrap/>
            <w:tcMar>
              <w:left w:w="115" w:type="dxa"/>
              <w:right w:w="115" w:type="dxa"/>
            </w:tcMar>
            <w:vAlign w:val="bottom"/>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0</w:t>
            </w:r>
          </w:p>
        </w:tc>
        <w:tc>
          <w:tcPr>
            <w:tcW w:w="1061" w:type="dxa"/>
            <w:shd w:val="clear" w:color="auto" w:fill="auto"/>
            <w:noWrap/>
            <w:tcMar>
              <w:left w:w="115" w:type="dxa"/>
              <w:right w:w="115" w:type="dxa"/>
            </w:tcMar>
            <w:vAlign w:val="bottom"/>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7</w:t>
            </w:r>
          </w:p>
        </w:tc>
        <w:tc>
          <w:tcPr>
            <w:tcW w:w="958" w:type="dxa"/>
            <w:shd w:val="clear" w:color="auto" w:fill="auto"/>
            <w:noWrap/>
            <w:tcMar>
              <w:left w:w="115" w:type="dxa"/>
              <w:right w:w="115" w:type="dxa"/>
            </w:tcMar>
            <w:vAlign w:val="bottom"/>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2</w:t>
            </w:r>
          </w:p>
        </w:tc>
        <w:tc>
          <w:tcPr>
            <w:tcW w:w="958" w:type="dxa"/>
            <w:shd w:val="clear" w:color="auto" w:fill="auto"/>
            <w:noWrap/>
            <w:tcMar>
              <w:left w:w="115" w:type="dxa"/>
              <w:right w:w="115" w:type="dxa"/>
            </w:tcMar>
            <w:vAlign w:val="bottom"/>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&lt;1</w:t>
            </w:r>
          </w:p>
        </w:tc>
      </w:tr>
      <w:tr w:rsidR="00DB20B1" w:rsidRPr="00CA0EA9" w:rsidTr="00CA0EA9">
        <w:trPr>
          <w:trHeight w:val="144"/>
          <w:jc w:val="right"/>
        </w:trPr>
        <w:tc>
          <w:tcPr>
            <w:tcW w:w="1285" w:type="dxa"/>
            <w:vMerge/>
            <w:tcBorders>
              <w:left w:val="single" w:sz="2" w:space="0" w:color="62777F" w:themeColor="text1"/>
            </w:tcBorders>
            <w:noWrap/>
            <w:tcMar>
              <w:left w:w="115" w:type="dxa"/>
              <w:right w:w="115" w:type="dxa"/>
            </w:tcMar>
            <w:vAlign w:val="center"/>
            <w:hideMark/>
          </w:tcPr>
          <w:p w:rsidR="00DB20B1" w:rsidRPr="00CA0EA9" w:rsidRDefault="00DB20B1" w:rsidP="00DB20B1">
            <w:pPr>
              <w:keepNext/>
              <w:keepLines/>
              <w:spacing w:before="20" w:after="20" w:line="240" w:lineRule="auto"/>
              <w:rPr>
                <w:rFonts w:asciiTheme="minorHAnsi" w:hAnsiTheme="minorHAnsi"/>
                <w:b/>
                <w:color w:val="000000"/>
                <w:sz w:val="18"/>
                <w:szCs w:val="18"/>
              </w:rPr>
            </w:pPr>
          </w:p>
        </w:tc>
        <w:tc>
          <w:tcPr>
            <w:tcW w:w="1266" w:type="dxa"/>
            <w:vMerge w:val="restart"/>
            <w:shd w:val="clear" w:color="auto" w:fill="auto"/>
            <w:noWrap/>
            <w:tcMar>
              <w:left w:w="115" w:type="dxa"/>
              <w:right w:w="115" w:type="dxa"/>
            </w:tcMar>
            <w:vAlign w:val="center"/>
            <w:hideMark/>
          </w:tcPr>
          <w:p w:rsidR="00DB20B1" w:rsidRPr="00CA0EA9" w:rsidRDefault="00DB20B1" w:rsidP="00DB20B1">
            <w:pPr>
              <w:keepNext/>
              <w:keepLines/>
              <w:spacing w:before="20" w:after="20" w:line="240" w:lineRule="auto"/>
              <w:rPr>
                <w:rFonts w:asciiTheme="minorHAnsi" w:hAnsiTheme="minorHAnsi"/>
                <w:color w:val="000000"/>
                <w:sz w:val="18"/>
                <w:szCs w:val="18"/>
              </w:rPr>
            </w:pPr>
            <w:r w:rsidRPr="00CA0EA9">
              <w:rPr>
                <w:rFonts w:asciiTheme="minorHAnsi" w:hAnsiTheme="minorHAnsi"/>
                <w:color w:val="000000"/>
                <w:sz w:val="18"/>
                <w:szCs w:val="18"/>
              </w:rPr>
              <w:t> Vermont </w:t>
            </w:r>
          </w:p>
        </w:tc>
        <w:tc>
          <w:tcPr>
            <w:tcW w:w="942" w:type="dxa"/>
            <w:shd w:val="clear" w:color="auto" w:fill="auto"/>
            <w:noWrap/>
            <w:tcMar>
              <w:left w:w="115" w:type="dxa"/>
              <w:right w:w="115" w:type="dxa"/>
            </w:tcMar>
            <w:vAlign w:val="center"/>
            <w:hideMark/>
          </w:tcPr>
          <w:p w:rsidR="00DB20B1" w:rsidRPr="00CA0EA9" w:rsidRDefault="00DB20B1" w:rsidP="00DB20B1">
            <w:pPr>
              <w:keepNext/>
              <w:keepLines/>
              <w:spacing w:before="20" w:after="20" w:line="240" w:lineRule="auto"/>
              <w:rPr>
                <w:rFonts w:asciiTheme="minorHAnsi" w:hAnsiTheme="minorHAnsi"/>
                <w:color w:val="000000"/>
                <w:sz w:val="18"/>
                <w:szCs w:val="18"/>
              </w:rPr>
            </w:pPr>
            <w:r w:rsidRPr="00CA0EA9">
              <w:rPr>
                <w:rFonts w:asciiTheme="minorHAnsi" w:hAnsiTheme="minorHAnsi"/>
                <w:color w:val="000000"/>
                <w:sz w:val="18"/>
                <w:szCs w:val="18"/>
              </w:rPr>
              <w:t>NH</w:t>
            </w:r>
          </w:p>
        </w:tc>
        <w:tc>
          <w:tcPr>
            <w:tcW w:w="1061" w:type="dxa"/>
            <w:shd w:val="clear" w:color="auto" w:fill="auto"/>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86</w:t>
            </w:r>
          </w:p>
        </w:tc>
        <w:tc>
          <w:tcPr>
            <w:tcW w:w="958" w:type="dxa"/>
            <w:shd w:val="clear" w:color="auto" w:fill="auto"/>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27</w:t>
            </w:r>
          </w:p>
        </w:tc>
        <w:tc>
          <w:tcPr>
            <w:tcW w:w="958" w:type="dxa"/>
            <w:shd w:val="clear" w:color="auto" w:fill="auto"/>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20</w:t>
            </w:r>
          </w:p>
        </w:tc>
        <w:tc>
          <w:tcPr>
            <w:tcW w:w="1061" w:type="dxa"/>
            <w:shd w:val="clear" w:color="auto" w:fill="auto"/>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88</w:t>
            </w:r>
          </w:p>
        </w:tc>
        <w:tc>
          <w:tcPr>
            <w:tcW w:w="958" w:type="dxa"/>
            <w:shd w:val="clear" w:color="auto" w:fill="auto"/>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20</w:t>
            </w:r>
          </w:p>
        </w:tc>
        <w:tc>
          <w:tcPr>
            <w:tcW w:w="958" w:type="dxa"/>
            <w:shd w:val="clear" w:color="auto" w:fill="auto"/>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16</w:t>
            </w:r>
          </w:p>
        </w:tc>
      </w:tr>
      <w:tr w:rsidR="00DB20B1" w:rsidRPr="00CA0EA9" w:rsidTr="00CA0EA9">
        <w:trPr>
          <w:trHeight w:val="144"/>
          <w:jc w:val="right"/>
        </w:trPr>
        <w:tc>
          <w:tcPr>
            <w:tcW w:w="1285" w:type="dxa"/>
            <w:vMerge/>
            <w:tcBorders>
              <w:left w:val="single" w:sz="2" w:space="0" w:color="62777F" w:themeColor="text1"/>
            </w:tcBorders>
            <w:noWrap/>
            <w:tcMar>
              <w:left w:w="115" w:type="dxa"/>
              <w:right w:w="115" w:type="dxa"/>
            </w:tcMar>
            <w:vAlign w:val="center"/>
            <w:hideMark/>
          </w:tcPr>
          <w:p w:rsidR="00DB20B1" w:rsidRPr="00CA0EA9" w:rsidRDefault="00DB20B1" w:rsidP="00DB20B1">
            <w:pPr>
              <w:keepNext/>
              <w:keepLines/>
              <w:spacing w:before="20" w:after="20" w:line="240" w:lineRule="auto"/>
              <w:rPr>
                <w:rFonts w:asciiTheme="minorHAnsi" w:hAnsiTheme="minorHAnsi"/>
                <w:b/>
                <w:color w:val="000000"/>
                <w:sz w:val="18"/>
                <w:szCs w:val="18"/>
              </w:rPr>
            </w:pPr>
          </w:p>
        </w:tc>
        <w:tc>
          <w:tcPr>
            <w:tcW w:w="1266" w:type="dxa"/>
            <w:vMerge/>
            <w:shd w:val="clear" w:color="auto" w:fill="auto"/>
            <w:noWrap/>
            <w:tcMar>
              <w:left w:w="115" w:type="dxa"/>
              <w:right w:w="115" w:type="dxa"/>
            </w:tcMar>
            <w:vAlign w:val="center"/>
            <w:hideMark/>
          </w:tcPr>
          <w:p w:rsidR="00DB20B1" w:rsidRPr="00CA0EA9" w:rsidRDefault="00DB20B1" w:rsidP="00DB20B1">
            <w:pPr>
              <w:keepNext/>
              <w:keepLines/>
              <w:spacing w:before="20" w:after="20" w:line="240" w:lineRule="auto"/>
              <w:rPr>
                <w:rFonts w:asciiTheme="minorHAnsi" w:hAnsiTheme="minorHAnsi"/>
                <w:color w:val="000000"/>
                <w:sz w:val="18"/>
                <w:szCs w:val="18"/>
              </w:rPr>
            </w:pPr>
          </w:p>
        </w:tc>
        <w:tc>
          <w:tcPr>
            <w:tcW w:w="942" w:type="dxa"/>
            <w:tcBorders>
              <w:bottom w:val="single" w:sz="2" w:space="0" w:color="auto"/>
            </w:tcBorders>
            <w:shd w:val="clear" w:color="auto" w:fill="auto"/>
            <w:noWrap/>
            <w:tcMar>
              <w:left w:w="115" w:type="dxa"/>
              <w:right w:w="115" w:type="dxa"/>
            </w:tcMar>
            <w:vAlign w:val="center"/>
            <w:hideMark/>
          </w:tcPr>
          <w:p w:rsidR="00DB20B1" w:rsidRPr="00CA0EA9" w:rsidRDefault="00DB20B1" w:rsidP="00DB20B1">
            <w:pPr>
              <w:keepNext/>
              <w:keepLines/>
              <w:spacing w:before="20" w:after="20" w:line="240" w:lineRule="auto"/>
              <w:rPr>
                <w:rFonts w:asciiTheme="minorHAnsi" w:hAnsiTheme="minorHAnsi"/>
                <w:color w:val="000000"/>
                <w:sz w:val="18"/>
                <w:szCs w:val="18"/>
              </w:rPr>
            </w:pPr>
            <w:r w:rsidRPr="00CA0EA9">
              <w:rPr>
                <w:rFonts w:asciiTheme="minorHAnsi" w:hAnsiTheme="minorHAnsi"/>
                <w:color w:val="000000"/>
                <w:sz w:val="18"/>
                <w:szCs w:val="18"/>
              </w:rPr>
              <w:t>VT</w:t>
            </w:r>
          </w:p>
        </w:tc>
        <w:tc>
          <w:tcPr>
            <w:tcW w:w="1061" w:type="dxa"/>
            <w:shd w:val="clear" w:color="auto" w:fill="auto"/>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234</w:t>
            </w:r>
          </w:p>
        </w:tc>
        <w:tc>
          <w:tcPr>
            <w:tcW w:w="958" w:type="dxa"/>
            <w:shd w:val="clear" w:color="auto" w:fill="auto"/>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73</w:t>
            </w:r>
          </w:p>
        </w:tc>
        <w:tc>
          <w:tcPr>
            <w:tcW w:w="958" w:type="dxa"/>
            <w:shd w:val="clear" w:color="auto" w:fill="auto"/>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54</w:t>
            </w:r>
          </w:p>
        </w:tc>
        <w:tc>
          <w:tcPr>
            <w:tcW w:w="1061" w:type="dxa"/>
            <w:shd w:val="clear" w:color="auto" w:fill="auto"/>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350</w:t>
            </w:r>
          </w:p>
        </w:tc>
        <w:tc>
          <w:tcPr>
            <w:tcW w:w="958" w:type="dxa"/>
            <w:shd w:val="clear" w:color="auto" w:fill="auto"/>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79</w:t>
            </w:r>
          </w:p>
        </w:tc>
        <w:tc>
          <w:tcPr>
            <w:tcW w:w="958" w:type="dxa"/>
            <w:shd w:val="clear" w:color="auto" w:fill="auto"/>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63</w:t>
            </w:r>
          </w:p>
        </w:tc>
      </w:tr>
      <w:tr w:rsidR="00DB20B1" w:rsidRPr="00CA0EA9" w:rsidTr="00CA0EA9">
        <w:trPr>
          <w:trHeight w:val="144"/>
          <w:jc w:val="right"/>
        </w:trPr>
        <w:tc>
          <w:tcPr>
            <w:tcW w:w="1285" w:type="dxa"/>
            <w:vMerge/>
            <w:tcBorders>
              <w:left w:val="single" w:sz="2" w:space="0" w:color="62777F" w:themeColor="text1"/>
            </w:tcBorders>
            <w:noWrap/>
            <w:tcMar>
              <w:left w:w="115" w:type="dxa"/>
              <w:right w:w="115" w:type="dxa"/>
            </w:tcMar>
            <w:vAlign w:val="center"/>
          </w:tcPr>
          <w:p w:rsidR="00DB20B1" w:rsidRPr="00CA0EA9" w:rsidRDefault="00DB20B1" w:rsidP="00DB20B1">
            <w:pPr>
              <w:keepNext/>
              <w:keepLines/>
              <w:spacing w:before="20" w:after="20" w:line="240" w:lineRule="auto"/>
              <w:rPr>
                <w:rFonts w:asciiTheme="minorHAnsi" w:hAnsiTheme="minorHAnsi"/>
                <w:b/>
                <w:color w:val="000000"/>
                <w:sz w:val="18"/>
                <w:szCs w:val="18"/>
              </w:rPr>
            </w:pPr>
          </w:p>
        </w:tc>
        <w:tc>
          <w:tcPr>
            <w:tcW w:w="1266" w:type="dxa"/>
            <w:vMerge/>
            <w:tcBorders>
              <w:bottom w:val="single" w:sz="2" w:space="0" w:color="auto"/>
              <w:right w:val="nil"/>
            </w:tcBorders>
            <w:shd w:val="clear" w:color="auto" w:fill="auto"/>
            <w:noWrap/>
            <w:tcMar>
              <w:left w:w="115" w:type="dxa"/>
              <w:right w:w="115" w:type="dxa"/>
            </w:tcMar>
            <w:vAlign w:val="center"/>
          </w:tcPr>
          <w:p w:rsidR="00DB20B1" w:rsidRPr="00CA0EA9" w:rsidRDefault="00DB20B1" w:rsidP="00DB20B1">
            <w:pPr>
              <w:keepNext/>
              <w:keepLines/>
              <w:spacing w:before="20" w:after="20" w:line="240" w:lineRule="auto"/>
              <w:rPr>
                <w:rFonts w:asciiTheme="minorHAnsi" w:hAnsiTheme="minorHAnsi"/>
                <w:color w:val="000000"/>
                <w:sz w:val="18"/>
                <w:szCs w:val="18"/>
              </w:rPr>
            </w:pPr>
          </w:p>
        </w:tc>
        <w:tc>
          <w:tcPr>
            <w:tcW w:w="942" w:type="dxa"/>
            <w:tcBorders>
              <w:left w:val="nil"/>
              <w:bottom w:val="single" w:sz="2" w:space="0" w:color="auto"/>
            </w:tcBorders>
            <w:shd w:val="clear" w:color="auto" w:fill="auto"/>
            <w:noWrap/>
            <w:tcMar>
              <w:left w:w="115" w:type="dxa"/>
              <w:right w:w="115" w:type="dxa"/>
            </w:tcMar>
            <w:vAlign w:val="center"/>
          </w:tcPr>
          <w:p w:rsidR="00DB20B1" w:rsidRPr="00CA0EA9" w:rsidRDefault="00DB20B1" w:rsidP="00DB20B1">
            <w:pPr>
              <w:keepNext/>
              <w:keepLines/>
              <w:spacing w:before="20" w:after="20" w:line="240" w:lineRule="auto"/>
              <w:rPr>
                <w:rFonts w:asciiTheme="minorHAnsi" w:hAnsiTheme="minorHAnsi"/>
                <w:color w:val="000000"/>
                <w:sz w:val="18"/>
                <w:szCs w:val="18"/>
              </w:rPr>
            </w:pPr>
          </w:p>
        </w:tc>
        <w:tc>
          <w:tcPr>
            <w:tcW w:w="1061" w:type="dxa"/>
            <w:shd w:val="clear" w:color="auto" w:fill="auto"/>
            <w:noWrap/>
            <w:tcMar>
              <w:left w:w="115" w:type="dxa"/>
              <w:right w:w="115" w:type="dxa"/>
            </w:tcMar>
            <w:vAlign w:val="bottom"/>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321</w:t>
            </w:r>
          </w:p>
        </w:tc>
        <w:tc>
          <w:tcPr>
            <w:tcW w:w="958" w:type="dxa"/>
            <w:shd w:val="clear" w:color="auto" w:fill="auto"/>
            <w:noWrap/>
            <w:tcMar>
              <w:left w:w="115" w:type="dxa"/>
              <w:right w:w="115" w:type="dxa"/>
            </w:tcMar>
            <w:vAlign w:val="bottom"/>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99</w:t>
            </w:r>
          </w:p>
        </w:tc>
        <w:tc>
          <w:tcPr>
            <w:tcW w:w="958" w:type="dxa"/>
            <w:shd w:val="clear" w:color="auto" w:fill="auto"/>
            <w:noWrap/>
            <w:tcMar>
              <w:left w:w="115" w:type="dxa"/>
              <w:right w:w="115" w:type="dxa"/>
            </w:tcMar>
            <w:vAlign w:val="bottom"/>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74</w:t>
            </w:r>
          </w:p>
        </w:tc>
        <w:tc>
          <w:tcPr>
            <w:tcW w:w="1061" w:type="dxa"/>
            <w:shd w:val="clear" w:color="auto" w:fill="auto"/>
            <w:noWrap/>
            <w:tcMar>
              <w:left w:w="115" w:type="dxa"/>
              <w:right w:w="115" w:type="dxa"/>
            </w:tcMar>
            <w:vAlign w:val="bottom"/>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438</w:t>
            </w:r>
          </w:p>
        </w:tc>
        <w:tc>
          <w:tcPr>
            <w:tcW w:w="958" w:type="dxa"/>
            <w:shd w:val="clear" w:color="auto" w:fill="auto"/>
            <w:noWrap/>
            <w:tcMar>
              <w:left w:w="115" w:type="dxa"/>
              <w:right w:w="115" w:type="dxa"/>
            </w:tcMar>
            <w:vAlign w:val="bottom"/>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98</w:t>
            </w:r>
          </w:p>
        </w:tc>
        <w:tc>
          <w:tcPr>
            <w:tcW w:w="958" w:type="dxa"/>
            <w:shd w:val="clear" w:color="auto" w:fill="auto"/>
            <w:noWrap/>
            <w:tcMar>
              <w:left w:w="115" w:type="dxa"/>
              <w:right w:w="115" w:type="dxa"/>
            </w:tcMar>
            <w:vAlign w:val="bottom"/>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79</w:t>
            </w:r>
          </w:p>
        </w:tc>
      </w:tr>
      <w:tr w:rsidR="00DB20B1" w:rsidRPr="00CA0EA9" w:rsidTr="00CA0EA9">
        <w:trPr>
          <w:trHeight w:val="144"/>
          <w:jc w:val="right"/>
        </w:trPr>
        <w:tc>
          <w:tcPr>
            <w:tcW w:w="1285" w:type="dxa"/>
            <w:vMerge/>
            <w:tcBorders>
              <w:left w:val="single" w:sz="2" w:space="0" w:color="62777F" w:themeColor="text1"/>
              <w:right w:val="nil"/>
            </w:tcBorders>
            <w:noWrap/>
            <w:tcMar>
              <w:left w:w="115" w:type="dxa"/>
              <w:right w:w="115" w:type="dxa"/>
            </w:tcMar>
            <w:vAlign w:val="center"/>
          </w:tcPr>
          <w:p w:rsidR="00DB20B1" w:rsidRPr="00CA0EA9" w:rsidRDefault="00DB20B1" w:rsidP="00DB20B1">
            <w:pPr>
              <w:keepNext/>
              <w:keepLines/>
              <w:spacing w:before="20" w:after="20" w:line="240" w:lineRule="auto"/>
              <w:rPr>
                <w:rFonts w:asciiTheme="minorHAnsi" w:hAnsiTheme="minorHAnsi"/>
                <w:b/>
                <w:color w:val="000000"/>
                <w:sz w:val="18"/>
                <w:szCs w:val="18"/>
              </w:rPr>
            </w:pPr>
          </w:p>
        </w:tc>
        <w:tc>
          <w:tcPr>
            <w:tcW w:w="2208" w:type="dxa"/>
            <w:gridSpan w:val="2"/>
            <w:tcBorders>
              <w:left w:val="nil"/>
            </w:tcBorders>
            <w:noWrap/>
            <w:tcMar>
              <w:left w:w="115" w:type="dxa"/>
              <w:right w:w="115" w:type="dxa"/>
            </w:tcMar>
            <w:vAlign w:val="center"/>
          </w:tcPr>
          <w:p w:rsidR="00DB20B1" w:rsidRPr="00CA0EA9" w:rsidRDefault="00DB20B1" w:rsidP="00DB20B1">
            <w:pPr>
              <w:keepNext/>
              <w:keepLines/>
              <w:spacing w:before="20" w:after="20" w:line="240" w:lineRule="auto"/>
              <w:rPr>
                <w:rFonts w:asciiTheme="minorHAnsi" w:hAnsiTheme="minorHAnsi"/>
                <w:color w:val="000000"/>
                <w:sz w:val="18"/>
                <w:szCs w:val="18"/>
              </w:rPr>
            </w:pPr>
          </w:p>
        </w:tc>
        <w:tc>
          <w:tcPr>
            <w:tcW w:w="1061" w:type="dxa"/>
            <w:noWrap/>
            <w:tcMar>
              <w:left w:w="115" w:type="dxa"/>
              <w:right w:w="115" w:type="dxa"/>
            </w:tcMar>
            <w:vAlign w:val="center"/>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i/>
                <w:color w:val="000000"/>
                <w:sz w:val="18"/>
                <w:szCs w:val="18"/>
              </w:rPr>
              <w:t>323</w:t>
            </w:r>
          </w:p>
        </w:tc>
        <w:tc>
          <w:tcPr>
            <w:tcW w:w="958" w:type="dxa"/>
            <w:noWrap/>
            <w:tcMar>
              <w:left w:w="115" w:type="dxa"/>
              <w:right w:w="115" w:type="dxa"/>
            </w:tcMar>
            <w:vAlign w:val="bottom"/>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i/>
                <w:color w:val="000000"/>
                <w:sz w:val="18"/>
                <w:szCs w:val="18"/>
              </w:rPr>
              <w:t>100</w:t>
            </w:r>
          </w:p>
        </w:tc>
        <w:tc>
          <w:tcPr>
            <w:tcW w:w="958" w:type="dxa"/>
            <w:noWrap/>
            <w:tcMar>
              <w:left w:w="115" w:type="dxa"/>
              <w:right w:w="115" w:type="dxa"/>
            </w:tcMar>
            <w:vAlign w:val="bottom"/>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i/>
                <w:color w:val="000000"/>
                <w:sz w:val="18"/>
                <w:szCs w:val="18"/>
              </w:rPr>
              <w:t>74</w:t>
            </w:r>
          </w:p>
        </w:tc>
        <w:tc>
          <w:tcPr>
            <w:tcW w:w="1061" w:type="dxa"/>
            <w:noWrap/>
            <w:tcMar>
              <w:left w:w="115" w:type="dxa"/>
              <w:right w:w="115" w:type="dxa"/>
            </w:tcMar>
            <w:vAlign w:val="bottom"/>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i/>
                <w:color w:val="000000"/>
                <w:sz w:val="18"/>
                <w:szCs w:val="18"/>
              </w:rPr>
              <w:t>445</w:t>
            </w:r>
          </w:p>
        </w:tc>
        <w:tc>
          <w:tcPr>
            <w:tcW w:w="958" w:type="dxa"/>
            <w:noWrap/>
            <w:tcMar>
              <w:left w:w="115" w:type="dxa"/>
              <w:right w:w="115" w:type="dxa"/>
            </w:tcMar>
            <w:vAlign w:val="bottom"/>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i/>
                <w:color w:val="000000"/>
                <w:sz w:val="18"/>
                <w:szCs w:val="18"/>
              </w:rPr>
              <w:t>100</w:t>
            </w:r>
          </w:p>
        </w:tc>
        <w:tc>
          <w:tcPr>
            <w:tcW w:w="958" w:type="dxa"/>
            <w:noWrap/>
            <w:tcMar>
              <w:left w:w="115" w:type="dxa"/>
              <w:right w:w="115" w:type="dxa"/>
            </w:tcMar>
            <w:vAlign w:val="bottom"/>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i/>
                <w:color w:val="000000"/>
                <w:sz w:val="18"/>
                <w:szCs w:val="18"/>
              </w:rPr>
              <w:t>79</w:t>
            </w:r>
          </w:p>
        </w:tc>
      </w:tr>
      <w:tr w:rsidR="00DB20B1" w:rsidRPr="00CA0EA9" w:rsidTr="0011231A">
        <w:trPr>
          <w:trHeight w:val="144"/>
          <w:jc w:val="right"/>
        </w:trPr>
        <w:tc>
          <w:tcPr>
            <w:tcW w:w="1285" w:type="dxa"/>
            <w:vMerge w:val="restart"/>
            <w:tcBorders>
              <w:left w:val="single" w:sz="2" w:space="0" w:color="62777F" w:themeColor="text1"/>
            </w:tcBorders>
            <w:shd w:val="clear" w:color="auto" w:fill="CCEAF9" w:themeFill="accent1" w:themeFillTint="33"/>
            <w:noWrap/>
            <w:tcMar>
              <w:left w:w="115" w:type="dxa"/>
              <w:right w:w="115" w:type="dxa"/>
            </w:tcMar>
            <w:vAlign w:val="center"/>
            <w:hideMark/>
          </w:tcPr>
          <w:p w:rsidR="00DB20B1" w:rsidRPr="00CA0EA9" w:rsidRDefault="00DB20B1" w:rsidP="00DB20B1">
            <w:pPr>
              <w:keepNext/>
              <w:keepLines/>
              <w:spacing w:before="20" w:after="20" w:line="240" w:lineRule="auto"/>
              <w:rPr>
                <w:rFonts w:asciiTheme="minorHAnsi" w:hAnsiTheme="minorHAnsi"/>
                <w:b/>
                <w:color w:val="000000"/>
                <w:sz w:val="18"/>
                <w:szCs w:val="18"/>
              </w:rPr>
            </w:pPr>
            <w:r w:rsidRPr="00CA0EA9">
              <w:rPr>
                <w:rFonts w:asciiTheme="minorHAnsi" w:hAnsiTheme="minorHAnsi"/>
                <w:b/>
                <w:color w:val="000000"/>
                <w:sz w:val="18"/>
                <w:szCs w:val="18"/>
              </w:rPr>
              <w:t> BOSTON </w:t>
            </w:r>
          </w:p>
        </w:tc>
        <w:tc>
          <w:tcPr>
            <w:tcW w:w="1266" w:type="dxa"/>
            <w:vMerge w:val="restart"/>
            <w:shd w:val="clear" w:color="auto" w:fill="CCEAF9" w:themeFill="accent1" w:themeFillTint="33"/>
            <w:noWrap/>
            <w:tcMar>
              <w:left w:w="115" w:type="dxa"/>
              <w:right w:w="115" w:type="dxa"/>
            </w:tcMar>
            <w:vAlign w:val="center"/>
            <w:hideMark/>
          </w:tcPr>
          <w:p w:rsidR="00DB20B1" w:rsidRPr="00CA0EA9" w:rsidRDefault="00DB20B1" w:rsidP="00DB20B1">
            <w:pPr>
              <w:keepNext/>
              <w:keepLines/>
              <w:spacing w:before="20" w:after="20" w:line="240" w:lineRule="auto"/>
              <w:rPr>
                <w:rFonts w:asciiTheme="minorHAnsi" w:hAnsiTheme="minorHAnsi"/>
                <w:color w:val="000000"/>
                <w:sz w:val="18"/>
                <w:szCs w:val="18"/>
              </w:rPr>
            </w:pPr>
            <w:r w:rsidRPr="00CA0EA9">
              <w:rPr>
                <w:rFonts w:asciiTheme="minorHAnsi" w:hAnsiTheme="minorHAnsi"/>
                <w:color w:val="000000"/>
                <w:sz w:val="18"/>
                <w:szCs w:val="18"/>
              </w:rPr>
              <w:t> Massachusetts </w:t>
            </w:r>
          </w:p>
        </w:tc>
        <w:tc>
          <w:tcPr>
            <w:tcW w:w="942" w:type="dxa"/>
            <w:shd w:val="clear" w:color="auto" w:fill="CCEAF9" w:themeFill="accent1" w:themeFillTint="33"/>
            <w:noWrap/>
            <w:tcMar>
              <w:left w:w="115" w:type="dxa"/>
              <w:right w:w="115" w:type="dxa"/>
            </w:tcMar>
            <w:vAlign w:val="center"/>
            <w:hideMark/>
          </w:tcPr>
          <w:p w:rsidR="00DB20B1" w:rsidRPr="00CA0EA9" w:rsidRDefault="00DB20B1" w:rsidP="00DB20B1">
            <w:pPr>
              <w:keepNext/>
              <w:keepLines/>
              <w:spacing w:before="20" w:after="20" w:line="240" w:lineRule="auto"/>
              <w:rPr>
                <w:rFonts w:asciiTheme="minorHAnsi" w:hAnsiTheme="minorHAnsi"/>
                <w:color w:val="000000"/>
                <w:sz w:val="18"/>
                <w:szCs w:val="18"/>
              </w:rPr>
            </w:pPr>
            <w:r w:rsidRPr="00CA0EA9">
              <w:rPr>
                <w:rFonts w:asciiTheme="minorHAnsi" w:hAnsiTheme="minorHAnsi"/>
                <w:color w:val="000000"/>
                <w:sz w:val="18"/>
                <w:szCs w:val="18"/>
              </w:rPr>
              <w:t>NEMA</w:t>
            </w:r>
          </w:p>
        </w:tc>
        <w:tc>
          <w:tcPr>
            <w:tcW w:w="1061" w:type="dxa"/>
            <w:shd w:val="clear" w:color="auto" w:fill="CCEAF9" w:themeFill="accent1" w:themeFillTint="33"/>
            <w:noWrap/>
            <w:tcMar>
              <w:left w:w="115" w:type="dxa"/>
              <w:right w:w="115" w:type="dxa"/>
            </w:tcMar>
            <w:vAlign w:val="center"/>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i/>
                <w:color w:val="000000"/>
                <w:sz w:val="18"/>
                <w:szCs w:val="18"/>
              </w:rPr>
              <w:t>2,564</w:t>
            </w:r>
          </w:p>
        </w:tc>
        <w:tc>
          <w:tcPr>
            <w:tcW w:w="958" w:type="dxa"/>
            <w:shd w:val="clear" w:color="auto" w:fill="CCEAF9" w:themeFill="accent1" w:themeFillTint="33"/>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100</w:t>
            </w:r>
          </w:p>
        </w:tc>
        <w:tc>
          <w:tcPr>
            <w:tcW w:w="958" w:type="dxa"/>
            <w:shd w:val="clear" w:color="auto" w:fill="CCEAF9" w:themeFill="accent1" w:themeFillTint="33"/>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23</w:t>
            </w:r>
          </w:p>
        </w:tc>
        <w:tc>
          <w:tcPr>
            <w:tcW w:w="1061" w:type="dxa"/>
            <w:shd w:val="clear" w:color="auto" w:fill="CCEAF9" w:themeFill="accent1" w:themeFillTint="33"/>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3,065</w:t>
            </w:r>
          </w:p>
        </w:tc>
        <w:tc>
          <w:tcPr>
            <w:tcW w:w="958" w:type="dxa"/>
            <w:shd w:val="clear" w:color="auto" w:fill="CCEAF9" w:themeFill="accent1" w:themeFillTint="33"/>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100</w:t>
            </w:r>
          </w:p>
        </w:tc>
        <w:tc>
          <w:tcPr>
            <w:tcW w:w="958" w:type="dxa"/>
            <w:shd w:val="clear" w:color="auto" w:fill="CCEAF9" w:themeFill="accent1" w:themeFillTint="33"/>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23</w:t>
            </w:r>
          </w:p>
        </w:tc>
      </w:tr>
      <w:tr w:rsidR="00DB20B1" w:rsidRPr="00CA0EA9" w:rsidTr="0011231A">
        <w:trPr>
          <w:trHeight w:val="144"/>
          <w:jc w:val="right"/>
        </w:trPr>
        <w:tc>
          <w:tcPr>
            <w:tcW w:w="1285" w:type="dxa"/>
            <w:vMerge/>
            <w:tcBorders>
              <w:left w:val="single" w:sz="2" w:space="0" w:color="62777F" w:themeColor="text1"/>
            </w:tcBorders>
            <w:shd w:val="clear" w:color="auto" w:fill="CCEAF9" w:themeFill="accent1" w:themeFillTint="33"/>
            <w:noWrap/>
            <w:tcMar>
              <w:left w:w="115" w:type="dxa"/>
              <w:right w:w="115" w:type="dxa"/>
            </w:tcMar>
            <w:vAlign w:val="center"/>
            <w:hideMark/>
          </w:tcPr>
          <w:p w:rsidR="00DB20B1" w:rsidRPr="00CA0EA9" w:rsidRDefault="00DB20B1" w:rsidP="00DB20B1">
            <w:pPr>
              <w:keepNext/>
              <w:keepLines/>
              <w:spacing w:before="20" w:after="20" w:line="240" w:lineRule="auto"/>
              <w:rPr>
                <w:rFonts w:asciiTheme="minorHAnsi" w:hAnsiTheme="minorHAnsi"/>
                <w:b/>
                <w:color w:val="000000"/>
                <w:sz w:val="18"/>
                <w:szCs w:val="18"/>
              </w:rPr>
            </w:pPr>
          </w:p>
        </w:tc>
        <w:tc>
          <w:tcPr>
            <w:tcW w:w="1266" w:type="dxa"/>
            <w:vMerge/>
            <w:tcBorders>
              <w:bottom w:val="single" w:sz="2" w:space="0" w:color="auto"/>
            </w:tcBorders>
            <w:shd w:val="clear" w:color="auto" w:fill="CCEAF9" w:themeFill="accent1" w:themeFillTint="33"/>
            <w:noWrap/>
            <w:tcMar>
              <w:left w:w="115" w:type="dxa"/>
              <w:right w:w="115" w:type="dxa"/>
            </w:tcMar>
            <w:vAlign w:val="center"/>
            <w:hideMark/>
          </w:tcPr>
          <w:p w:rsidR="00DB20B1" w:rsidRPr="00CA0EA9" w:rsidRDefault="00DB20B1" w:rsidP="00DB20B1">
            <w:pPr>
              <w:keepNext/>
              <w:keepLines/>
              <w:spacing w:before="20" w:after="20" w:line="240" w:lineRule="auto"/>
              <w:rPr>
                <w:rFonts w:asciiTheme="minorHAnsi" w:hAnsiTheme="minorHAnsi"/>
                <w:color w:val="000000"/>
                <w:sz w:val="18"/>
                <w:szCs w:val="18"/>
              </w:rPr>
            </w:pPr>
          </w:p>
        </w:tc>
        <w:tc>
          <w:tcPr>
            <w:tcW w:w="942" w:type="dxa"/>
            <w:tcBorders>
              <w:bottom w:val="single" w:sz="2" w:space="0" w:color="auto"/>
            </w:tcBorders>
            <w:shd w:val="clear" w:color="auto" w:fill="CCEAF9" w:themeFill="accent1" w:themeFillTint="33"/>
            <w:noWrap/>
            <w:tcMar>
              <w:left w:w="115" w:type="dxa"/>
              <w:right w:w="115" w:type="dxa"/>
            </w:tcMar>
            <w:vAlign w:val="center"/>
            <w:hideMark/>
          </w:tcPr>
          <w:p w:rsidR="00DB20B1" w:rsidRPr="00CA0EA9" w:rsidRDefault="00DB20B1" w:rsidP="00DB20B1">
            <w:pPr>
              <w:keepNext/>
              <w:keepLines/>
              <w:spacing w:before="20" w:after="20" w:line="240" w:lineRule="auto"/>
              <w:rPr>
                <w:rFonts w:asciiTheme="minorHAnsi" w:hAnsiTheme="minorHAnsi"/>
                <w:color w:val="000000"/>
                <w:sz w:val="18"/>
                <w:szCs w:val="18"/>
              </w:rPr>
            </w:pPr>
            <w:r w:rsidRPr="00CA0EA9">
              <w:rPr>
                <w:rFonts w:asciiTheme="minorHAnsi" w:hAnsiTheme="minorHAnsi"/>
                <w:color w:val="000000"/>
                <w:sz w:val="18"/>
                <w:szCs w:val="18"/>
              </w:rPr>
              <w:t>WCMA</w:t>
            </w:r>
          </w:p>
        </w:tc>
        <w:tc>
          <w:tcPr>
            <w:tcW w:w="1061" w:type="dxa"/>
            <w:shd w:val="clear" w:color="auto" w:fill="CCEAF9" w:themeFill="accent1" w:themeFillTint="33"/>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0</w:t>
            </w:r>
          </w:p>
        </w:tc>
        <w:tc>
          <w:tcPr>
            <w:tcW w:w="958" w:type="dxa"/>
            <w:shd w:val="clear" w:color="auto" w:fill="CCEAF9" w:themeFill="accent1" w:themeFillTint="33"/>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0</w:t>
            </w:r>
          </w:p>
        </w:tc>
        <w:tc>
          <w:tcPr>
            <w:tcW w:w="958" w:type="dxa"/>
            <w:shd w:val="clear" w:color="auto" w:fill="CCEAF9" w:themeFill="accent1" w:themeFillTint="33"/>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&lt;1</w:t>
            </w:r>
          </w:p>
        </w:tc>
        <w:tc>
          <w:tcPr>
            <w:tcW w:w="1061" w:type="dxa"/>
            <w:shd w:val="clear" w:color="auto" w:fill="CCEAF9" w:themeFill="accent1" w:themeFillTint="33"/>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0</w:t>
            </w:r>
          </w:p>
        </w:tc>
        <w:tc>
          <w:tcPr>
            <w:tcW w:w="958" w:type="dxa"/>
            <w:shd w:val="clear" w:color="auto" w:fill="CCEAF9" w:themeFill="accent1" w:themeFillTint="33"/>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0</w:t>
            </w:r>
          </w:p>
        </w:tc>
        <w:tc>
          <w:tcPr>
            <w:tcW w:w="958" w:type="dxa"/>
            <w:shd w:val="clear" w:color="auto" w:fill="CCEAF9" w:themeFill="accent1" w:themeFillTint="33"/>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0</w:t>
            </w:r>
          </w:p>
        </w:tc>
      </w:tr>
      <w:tr w:rsidR="00DB20B1" w:rsidRPr="00CA0EA9" w:rsidTr="0011231A">
        <w:trPr>
          <w:trHeight w:val="144"/>
          <w:jc w:val="right"/>
        </w:trPr>
        <w:tc>
          <w:tcPr>
            <w:tcW w:w="1285" w:type="dxa"/>
            <w:vMerge/>
            <w:tcBorders>
              <w:left w:val="single" w:sz="2" w:space="0" w:color="62777F" w:themeColor="text1"/>
              <w:right w:val="single" w:sz="2" w:space="0" w:color="C8E3F4" w:themeColor="text2" w:themeTint="33"/>
            </w:tcBorders>
            <w:shd w:val="clear" w:color="auto" w:fill="CCEAF9" w:themeFill="accent1" w:themeFillTint="33"/>
            <w:noWrap/>
            <w:tcMar>
              <w:left w:w="115" w:type="dxa"/>
              <w:right w:w="115" w:type="dxa"/>
            </w:tcMar>
            <w:vAlign w:val="center"/>
          </w:tcPr>
          <w:p w:rsidR="00DB20B1" w:rsidRPr="00CA0EA9" w:rsidRDefault="00DB20B1" w:rsidP="00DB20B1">
            <w:pPr>
              <w:keepNext/>
              <w:keepLines/>
              <w:spacing w:before="20" w:after="20" w:line="240" w:lineRule="auto"/>
              <w:rPr>
                <w:rFonts w:asciiTheme="minorHAnsi" w:hAnsiTheme="minorHAnsi"/>
                <w:b/>
                <w:color w:val="000000"/>
                <w:sz w:val="18"/>
                <w:szCs w:val="18"/>
              </w:rPr>
            </w:pPr>
          </w:p>
        </w:tc>
        <w:tc>
          <w:tcPr>
            <w:tcW w:w="2208" w:type="dxa"/>
            <w:gridSpan w:val="2"/>
            <w:tcBorders>
              <w:left w:val="single" w:sz="2" w:space="0" w:color="C8E3F4" w:themeColor="text2" w:themeTint="33"/>
            </w:tcBorders>
            <w:shd w:val="clear" w:color="auto" w:fill="CCEAF9" w:themeFill="accent1" w:themeFillTint="33"/>
            <w:noWrap/>
            <w:tcMar>
              <w:left w:w="115" w:type="dxa"/>
              <w:right w:w="115" w:type="dxa"/>
            </w:tcMar>
            <w:vAlign w:val="center"/>
          </w:tcPr>
          <w:p w:rsidR="00DB20B1" w:rsidRPr="00CA0EA9" w:rsidRDefault="00DB20B1" w:rsidP="00DB20B1">
            <w:pPr>
              <w:keepNext/>
              <w:keepLines/>
              <w:spacing w:before="20" w:after="20" w:line="240" w:lineRule="auto"/>
              <w:rPr>
                <w:rFonts w:asciiTheme="minorHAnsi" w:hAnsiTheme="minorHAnsi"/>
                <w:color w:val="000000"/>
                <w:sz w:val="18"/>
                <w:szCs w:val="18"/>
              </w:rPr>
            </w:pPr>
          </w:p>
        </w:tc>
        <w:tc>
          <w:tcPr>
            <w:tcW w:w="1061" w:type="dxa"/>
            <w:shd w:val="clear" w:color="auto" w:fill="CCEAF9" w:themeFill="accent1" w:themeFillTint="33"/>
            <w:noWrap/>
            <w:tcMar>
              <w:left w:w="115" w:type="dxa"/>
              <w:right w:w="115" w:type="dxa"/>
            </w:tcMar>
            <w:vAlign w:val="center"/>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i/>
                <w:color w:val="000000"/>
                <w:sz w:val="18"/>
                <w:szCs w:val="18"/>
              </w:rPr>
              <w:t>2,564</w:t>
            </w:r>
          </w:p>
        </w:tc>
        <w:tc>
          <w:tcPr>
            <w:tcW w:w="958" w:type="dxa"/>
            <w:shd w:val="clear" w:color="auto" w:fill="CCEAF9" w:themeFill="accent1" w:themeFillTint="33"/>
            <w:noWrap/>
            <w:tcMar>
              <w:left w:w="115" w:type="dxa"/>
              <w:right w:w="115" w:type="dxa"/>
            </w:tcMar>
            <w:vAlign w:val="bottom"/>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i/>
                <w:color w:val="000000"/>
                <w:sz w:val="18"/>
                <w:szCs w:val="18"/>
              </w:rPr>
              <w:t>100</w:t>
            </w:r>
          </w:p>
        </w:tc>
        <w:tc>
          <w:tcPr>
            <w:tcW w:w="958" w:type="dxa"/>
            <w:shd w:val="clear" w:color="auto" w:fill="CCEAF9" w:themeFill="accent1" w:themeFillTint="33"/>
            <w:noWrap/>
            <w:tcMar>
              <w:left w:w="115" w:type="dxa"/>
              <w:right w:w="115" w:type="dxa"/>
            </w:tcMar>
            <w:vAlign w:val="bottom"/>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i/>
                <w:color w:val="000000"/>
                <w:sz w:val="18"/>
                <w:szCs w:val="18"/>
              </w:rPr>
              <w:t>23</w:t>
            </w:r>
          </w:p>
        </w:tc>
        <w:tc>
          <w:tcPr>
            <w:tcW w:w="1061" w:type="dxa"/>
            <w:shd w:val="clear" w:color="auto" w:fill="CCEAF9" w:themeFill="accent1" w:themeFillTint="33"/>
            <w:noWrap/>
            <w:tcMar>
              <w:left w:w="115" w:type="dxa"/>
              <w:right w:w="115" w:type="dxa"/>
            </w:tcMar>
            <w:vAlign w:val="bottom"/>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i/>
                <w:color w:val="000000"/>
                <w:sz w:val="18"/>
                <w:szCs w:val="18"/>
              </w:rPr>
              <w:t>3,065</w:t>
            </w:r>
          </w:p>
        </w:tc>
        <w:tc>
          <w:tcPr>
            <w:tcW w:w="958" w:type="dxa"/>
            <w:shd w:val="clear" w:color="auto" w:fill="CCEAF9" w:themeFill="accent1" w:themeFillTint="33"/>
            <w:noWrap/>
            <w:tcMar>
              <w:left w:w="115" w:type="dxa"/>
              <w:right w:w="115" w:type="dxa"/>
            </w:tcMar>
            <w:vAlign w:val="bottom"/>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i/>
                <w:color w:val="000000"/>
                <w:sz w:val="18"/>
                <w:szCs w:val="18"/>
              </w:rPr>
              <w:t>100</w:t>
            </w:r>
          </w:p>
        </w:tc>
        <w:tc>
          <w:tcPr>
            <w:tcW w:w="958" w:type="dxa"/>
            <w:shd w:val="clear" w:color="auto" w:fill="CCEAF9" w:themeFill="accent1" w:themeFillTint="33"/>
            <w:noWrap/>
            <w:tcMar>
              <w:left w:w="115" w:type="dxa"/>
              <w:right w:w="115" w:type="dxa"/>
            </w:tcMar>
            <w:vAlign w:val="bottom"/>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i/>
                <w:color w:val="000000"/>
                <w:sz w:val="18"/>
                <w:szCs w:val="18"/>
              </w:rPr>
              <w:t>23</w:t>
            </w:r>
          </w:p>
        </w:tc>
      </w:tr>
      <w:tr w:rsidR="00DB20B1" w:rsidRPr="00CA0EA9" w:rsidTr="00CA0EA9">
        <w:trPr>
          <w:trHeight w:val="144"/>
          <w:jc w:val="right"/>
        </w:trPr>
        <w:tc>
          <w:tcPr>
            <w:tcW w:w="1285" w:type="dxa"/>
            <w:tcBorders>
              <w:left w:val="single" w:sz="2" w:space="0" w:color="62777F" w:themeColor="text1"/>
            </w:tcBorders>
            <w:noWrap/>
            <w:tcMar>
              <w:left w:w="115" w:type="dxa"/>
              <w:right w:w="115" w:type="dxa"/>
            </w:tcMar>
            <w:vAlign w:val="center"/>
            <w:hideMark/>
          </w:tcPr>
          <w:p w:rsidR="00DB20B1" w:rsidRPr="00CA0EA9" w:rsidRDefault="00DB20B1" w:rsidP="00DB20B1">
            <w:pPr>
              <w:keepNext/>
              <w:keepLines/>
              <w:spacing w:before="20" w:after="20" w:line="240" w:lineRule="auto"/>
              <w:rPr>
                <w:rFonts w:asciiTheme="minorHAnsi" w:hAnsiTheme="minorHAnsi"/>
                <w:b/>
                <w:color w:val="000000"/>
                <w:sz w:val="18"/>
                <w:szCs w:val="18"/>
              </w:rPr>
            </w:pPr>
            <w:r w:rsidRPr="00CA0EA9">
              <w:rPr>
                <w:rFonts w:asciiTheme="minorHAnsi" w:hAnsiTheme="minorHAnsi"/>
                <w:b/>
                <w:color w:val="000000"/>
                <w:sz w:val="18"/>
                <w:szCs w:val="18"/>
              </w:rPr>
              <w:t> CMA/NEMA</w:t>
            </w:r>
          </w:p>
        </w:tc>
        <w:tc>
          <w:tcPr>
            <w:tcW w:w="1266" w:type="dxa"/>
            <w:noWrap/>
            <w:tcMar>
              <w:left w:w="115" w:type="dxa"/>
              <w:right w:w="115" w:type="dxa"/>
            </w:tcMar>
            <w:vAlign w:val="center"/>
            <w:hideMark/>
          </w:tcPr>
          <w:p w:rsidR="00DB20B1" w:rsidRPr="00CA0EA9" w:rsidRDefault="00DB20B1" w:rsidP="00DB20B1">
            <w:pPr>
              <w:keepNext/>
              <w:keepLines/>
              <w:spacing w:before="20" w:after="20" w:line="240" w:lineRule="auto"/>
              <w:rPr>
                <w:rFonts w:asciiTheme="minorHAnsi" w:hAnsiTheme="minorHAnsi"/>
                <w:color w:val="000000"/>
                <w:sz w:val="18"/>
                <w:szCs w:val="18"/>
              </w:rPr>
            </w:pPr>
            <w:r w:rsidRPr="00CA0EA9">
              <w:rPr>
                <w:rFonts w:asciiTheme="minorHAnsi" w:hAnsiTheme="minorHAnsi"/>
                <w:color w:val="000000"/>
                <w:sz w:val="18"/>
                <w:szCs w:val="18"/>
              </w:rPr>
              <w:t>Massachusetts</w:t>
            </w:r>
          </w:p>
        </w:tc>
        <w:tc>
          <w:tcPr>
            <w:tcW w:w="942" w:type="dxa"/>
            <w:noWrap/>
            <w:tcMar>
              <w:left w:w="115" w:type="dxa"/>
              <w:right w:w="115" w:type="dxa"/>
            </w:tcMar>
            <w:vAlign w:val="center"/>
            <w:hideMark/>
          </w:tcPr>
          <w:p w:rsidR="00DB20B1" w:rsidRPr="00CA0EA9" w:rsidRDefault="00DB20B1" w:rsidP="00DB20B1">
            <w:pPr>
              <w:keepNext/>
              <w:keepLines/>
              <w:spacing w:before="20" w:after="20" w:line="240" w:lineRule="auto"/>
              <w:rPr>
                <w:rFonts w:asciiTheme="minorHAnsi" w:hAnsiTheme="minorHAnsi"/>
                <w:color w:val="000000"/>
                <w:sz w:val="18"/>
                <w:szCs w:val="18"/>
              </w:rPr>
            </w:pPr>
            <w:r w:rsidRPr="00CA0EA9">
              <w:rPr>
                <w:rFonts w:asciiTheme="minorHAnsi" w:hAnsiTheme="minorHAnsi"/>
                <w:color w:val="000000"/>
                <w:sz w:val="18"/>
                <w:szCs w:val="18"/>
              </w:rPr>
              <w:t>WCMA</w:t>
            </w:r>
          </w:p>
        </w:tc>
        <w:tc>
          <w:tcPr>
            <w:tcW w:w="1061" w:type="dxa"/>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color w:val="000000"/>
                <w:sz w:val="18"/>
                <w:szCs w:val="18"/>
              </w:rPr>
              <w:t>176</w:t>
            </w:r>
          </w:p>
        </w:tc>
        <w:tc>
          <w:tcPr>
            <w:tcW w:w="958" w:type="dxa"/>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color w:val="000000"/>
                <w:sz w:val="18"/>
                <w:szCs w:val="18"/>
              </w:rPr>
              <w:t>100</w:t>
            </w:r>
          </w:p>
        </w:tc>
        <w:tc>
          <w:tcPr>
            <w:tcW w:w="958" w:type="dxa"/>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color w:val="000000"/>
                <w:sz w:val="18"/>
                <w:szCs w:val="18"/>
              </w:rPr>
              <w:t>2</w:t>
            </w:r>
          </w:p>
        </w:tc>
        <w:tc>
          <w:tcPr>
            <w:tcW w:w="1061" w:type="dxa"/>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color w:val="000000"/>
                <w:sz w:val="18"/>
                <w:szCs w:val="18"/>
              </w:rPr>
              <w:t>172</w:t>
            </w:r>
          </w:p>
        </w:tc>
        <w:tc>
          <w:tcPr>
            <w:tcW w:w="958" w:type="dxa"/>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color w:val="000000"/>
                <w:sz w:val="18"/>
                <w:szCs w:val="18"/>
              </w:rPr>
              <w:t>100</w:t>
            </w:r>
          </w:p>
        </w:tc>
        <w:tc>
          <w:tcPr>
            <w:tcW w:w="958" w:type="dxa"/>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color w:val="000000"/>
                <w:sz w:val="18"/>
                <w:szCs w:val="18"/>
              </w:rPr>
              <w:t>1</w:t>
            </w:r>
          </w:p>
        </w:tc>
      </w:tr>
      <w:tr w:rsidR="00DB20B1" w:rsidRPr="00CA0EA9" w:rsidTr="0011231A">
        <w:trPr>
          <w:trHeight w:val="144"/>
          <w:jc w:val="right"/>
        </w:trPr>
        <w:tc>
          <w:tcPr>
            <w:tcW w:w="1285" w:type="dxa"/>
            <w:vMerge w:val="restart"/>
            <w:tcBorders>
              <w:left w:val="single" w:sz="2" w:space="0" w:color="62777F" w:themeColor="text1"/>
            </w:tcBorders>
            <w:shd w:val="clear" w:color="auto" w:fill="CCEAF9" w:themeFill="accent1" w:themeFillTint="33"/>
            <w:noWrap/>
            <w:tcMar>
              <w:left w:w="115" w:type="dxa"/>
              <w:right w:w="115" w:type="dxa"/>
            </w:tcMar>
            <w:vAlign w:val="center"/>
            <w:hideMark/>
          </w:tcPr>
          <w:p w:rsidR="00DB20B1" w:rsidRPr="00CA0EA9" w:rsidRDefault="00DB20B1" w:rsidP="00DB20B1">
            <w:pPr>
              <w:keepNext/>
              <w:keepLines/>
              <w:spacing w:before="20" w:after="20" w:line="240" w:lineRule="auto"/>
              <w:rPr>
                <w:rFonts w:asciiTheme="minorHAnsi" w:hAnsiTheme="minorHAnsi"/>
                <w:b/>
                <w:color w:val="000000"/>
                <w:sz w:val="18"/>
                <w:szCs w:val="18"/>
              </w:rPr>
            </w:pPr>
            <w:r w:rsidRPr="00CA0EA9">
              <w:rPr>
                <w:rFonts w:asciiTheme="minorHAnsi" w:hAnsiTheme="minorHAnsi"/>
                <w:b/>
                <w:color w:val="000000"/>
                <w:sz w:val="18"/>
                <w:szCs w:val="18"/>
              </w:rPr>
              <w:t> WMA</w:t>
            </w:r>
          </w:p>
        </w:tc>
        <w:tc>
          <w:tcPr>
            <w:tcW w:w="1266" w:type="dxa"/>
            <w:shd w:val="clear" w:color="auto" w:fill="CCEAF9" w:themeFill="accent1" w:themeFillTint="33"/>
            <w:noWrap/>
            <w:tcMar>
              <w:left w:w="115" w:type="dxa"/>
              <w:right w:w="115" w:type="dxa"/>
            </w:tcMar>
            <w:vAlign w:val="center"/>
            <w:hideMark/>
          </w:tcPr>
          <w:p w:rsidR="00DB20B1" w:rsidRPr="00CA0EA9" w:rsidRDefault="00DB20B1" w:rsidP="00DB20B1">
            <w:pPr>
              <w:keepNext/>
              <w:keepLines/>
              <w:spacing w:before="20" w:after="20" w:line="240" w:lineRule="auto"/>
              <w:rPr>
                <w:rFonts w:asciiTheme="minorHAnsi" w:hAnsiTheme="minorHAnsi"/>
                <w:color w:val="000000"/>
                <w:sz w:val="18"/>
                <w:szCs w:val="18"/>
              </w:rPr>
            </w:pPr>
            <w:r w:rsidRPr="00CA0EA9">
              <w:rPr>
                <w:rFonts w:asciiTheme="minorHAnsi" w:hAnsiTheme="minorHAnsi"/>
                <w:color w:val="000000"/>
                <w:sz w:val="18"/>
                <w:szCs w:val="18"/>
              </w:rPr>
              <w:t>Massachusetts</w:t>
            </w:r>
          </w:p>
        </w:tc>
        <w:tc>
          <w:tcPr>
            <w:tcW w:w="942" w:type="dxa"/>
            <w:shd w:val="clear" w:color="auto" w:fill="CCEAF9" w:themeFill="accent1" w:themeFillTint="33"/>
            <w:noWrap/>
            <w:tcMar>
              <w:left w:w="115" w:type="dxa"/>
              <w:right w:w="115" w:type="dxa"/>
            </w:tcMar>
            <w:vAlign w:val="center"/>
            <w:hideMark/>
          </w:tcPr>
          <w:p w:rsidR="00DB20B1" w:rsidRPr="00CA0EA9" w:rsidRDefault="00DB20B1" w:rsidP="00DB20B1">
            <w:pPr>
              <w:keepNext/>
              <w:keepLines/>
              <w:spacing w:before="20" w:after="20" w:line="240" w:lineRule="auto"/>
              <w:rPr>
                <w:rFonts w:asciiTheme="minorHAnsi" w:hAnsiTheme="minorHAnsi"/>
                <w:color w:val="000000"/>
                <w:sz w:val="18"/>
                <w:szCs w:val="18"/>
              </w:rPr>
            </w:pPr>
            <w:r w:rsidRPr="00CA0EA9">
              <w:rPr>
                <w:rFonts w:asciiTheme="minorHAnsi" w:hAnsiTheme="minorHAnsi"/>
                <w:color w:val="000000"/>
                <w:sz w:val="18"/>
                <w:szCs w:val="18"/>
              </w:rPr>
              <w:t>WCMA</w:t>
            </w:r>
          </w:p>
        </w:tc>
        <w:tc>
          <w:tcPr>
            <w:tcW w:w="1061" w:type="dxa"/>
            <w:shd w:val="clear" w:color="auto" w:fill="CCEAF9" w:themeFill="accent1" w:themeFillTint="33"/>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3,657</w:t>
            </w:r>
          </w:p>
        </w:tc>
        <w:tc>
          <w:tcPr>
            <w:tcW w:w="958" w:type="dxa"/>
            <w:shd w:val="clear" w:color="auto" w:fill="CCEAF9" w:themeFill="accent1" w:themeFillTint="33"/>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98</w:t>
            </w:r>
          </w:p>
        </w:tc>
        <w:tc>
          <w:tcPr>
            <w:tcW w:w="958" w:type="dxa"/>
            <w:shd w:val="clear" w:color="auto" w:fill="CCEAF9" w:themeFill="accent1" w:themeFillTint="33"/>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33</w:t>
            </w:r>
          </w:p>
        </w:tc>
        <w:tc>
          <w:tcPr>
            <w:tcW w:w="1061" w:type="dxa"/>
            <w:shd w:val="clear" w:color="auto" w:fill="CCEAF9" w:themeFill="accent1" w:themeFillTint="33"/>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3,855</w:t>
            </w:r>
          </w:p>
        </w:tc>
        <w:tc>
          <w:tcPr>
            <w:tcW w:w="958" w:type="dxa"/>
            <w:shd w:val="clear" w:color="auto" w:fill="CCEAF9" w:themeFill="accent1" w:themeFillTint="33"/>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98</w:t>
            </w:r>
          </w:p>
        </w:tc>
        <w:tc>
          <w:tcPr>
            <w:tcW w:w="958" w:type="dxa"/>
            <w:shd w:val="clear" w:color="auto" w:fill="CCEAF9" w:themeFill="accent1" w:themeFillTint="33"/>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28</w:t>
            </w:r>
          </w:p>
        </w:tc>
      </w:tr>
      <w:tr w:rsidR="00DB20B1" w:rsidRPr="00CA0EA9" w:rsidTr="0011231A">
        <w:trPr>
          <w:trHeight w:val="144"/>
          <w:jc w:val="right"/>
        </w:trPr>
        <w:tc>
          <w:tcPr>
            <w:tcW w:w="1285" w:type="dxa"/>
            <w:vMerge/>
            <w:tcBorders>
              <w:left w:val="single" w:sz="2" w:space="0" w:color="62777F" w:themeColor="text1"/>
            </w:tcBorders>
            <w:shd w:val="clear" w:color="auto" w:fill="CCEAF9" w:themeFill="accent1" w:themeFillTint="33"/>
            <w:noWrap/>
            <w:tcMar>
              <w:left w:w="115" w:type="dxa"/>
              <w:right w:w="115" w:type="dxa"/>
            </w:tcMar>
            <w:vAlign w:val="center"/>
            <w:hideMark/>
          </w:tcPr>
          <w:p w:rsidR="00DB20B1" w:rsidRPr="00CA0EA9" w:rsidRDefault="00DB20B1" w:rsidP="00DB20B1">
            <w:pPr>
              <w:keepNext/>
              <w:keepLines/>
              <w:spacing w:before="20" w:after="20" w:line="240" w:lineRule="auto"/>
              <w:rPr>
                <w:rFonts w:asciiTheme="minorHAnsi" w:hAnsiTheme="minorHAnsi"/>
                <w:b/>
                <w:color w:val="000000"/>
                <w:sz w:val="18"/>
                <w:szCs w:val="18"/>
              </w:rPr>
            </w:pPr>
          </w:p>
        </w:tc>
        <w:tc>
          <w:tcPr>
            <w:tcW w:w="1266" w:type="dxa"/>
            <w:tcBorders>
              <w:bottom w:val="single" w:sz="2" w:space="0" w:color="auto"/>
            </w:tcBorders>
            <w:shd w:val="clear" w:color="auto" w:fill="CCEAF9" w:themeFill="accent1" w:themeFillTint="33"/>
            <w:noWrap/>
            <w:tcMar>
              <w:left w:w="115" w:type="dxa"/>
              <w:right w:w="115" w:type="dxa"/>
            </w:tcMar>
            <w:vAlign w:val="center"/>
            <w:hideMark/>
          </w:tcPr>
          <w:p w:rsidR="00DB20B1" w:rsidRPr="00CA0EA9" w:rsidRDefault="00DB20B1" w:rsidP="00DB20B1">
            <w:pPr>
              <w:keepNext/>
              <w:keepLines/>
              <w:spacing w:before="20" w:after="20" w:line="240" w:lineRule="auto"/>
              <w:rPr>
                <w:rFonts w:asciiTheme="minorHAnsi" w:hAnsiTheme="minorHAnsi"/>
                <w:color w:val="000000"/>
                <w:sz w:val="18"/>
                <w:szCs w:val="18"/>
              </w:rPr>
            </w:pPr>
            <w:r w:rsidRPr="00CA0EA9">
              <w:rPr>
                <w:rFonts w:asciiTheme="minorHAnsi" w:hAnsiTheme="minorHAnsi"/>
                <w:color w:val="000000"/>
                <w:sz w:val="18"/>
                <w:szCs w:val="18"/>
              </w:rPr>
              <w:t>Vermont</w:t>
            </w:r>
          </w:p>
        </w:tc>
        <w:tc>
          <w:tcPr>
            <w:tcW w:w="942" w:type="dxa"/>
            <w:tcBorders>
              <w:bottom w:val="single" w:sz="2" w:space="0" w:color="auto"/>
            </w:tcBorders>
            <w:shd w:val="clear" w:color="auto" w:fill="CCEAF9" w:themeFill="accent1" w:themeFillTint="33"/>
            <w:noWrap/>
            <w:tcMar>
              <w:left w:w="115" w:type="dxa"/>
              <w:right w:w="115" w:type="dxa"/>
            </w:tcMar>
            <w:vAlign w:val="center"/>
            <w:hideMark/>
          </w:tcPr>
          <w:p w:rsidR="00DB20B1" w:rsidRPr="00CA0EA9" w:rsidRDefault="00DB20B1" w:rsidP="00DB20B1">
            <w:pPr>
              <w:keepNext/>
              <w:keepLines/>
              <w:spacing w:before="20" w:after="20" w:line="240" w:lineRule="auto"/>
              <w:rPr>
                <w:rFonts w:asciiTheme="minorHAnsi" w:hAnsiTheme="minorHAnsi"/>
                <w:color w:val="000000"/>
                <w:sz w:val="18"/>
                <w:szCs w:val="18"/>
              </w:rPr>
            </w:pPr>
            <w:r w:rsidRPr="00CA0EA9">
              <w:rPr>
                <w:rFonts w:asciiTheme="minorHAnsi" w:hAnsiTheme="minorHAnsi"/>
                <w:color w:val="000000"/>
                <w:sz w:val="18"/>
                <w:szCs w:val="18"/>
              </w:rPr>
              <w:t>WCMA</w:t>
            </w:r>
          </w:p>
        </w:tc>
        <w:tc>
          <w:tcPr>
            <w:tcW w:w="1061" w:type="dxa"/>
            <w:shd w:val="clear" w:color="auto" w:fill="CCEAF9" w:themeFill="accent1" w:themeFillTint="33"/>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77</w:t>
            </w:r>
          </w:p>
        </w:tc>
        <w:tc>
          <w:tcPr>
            <w:tcW w:w="958" w:type="dxa"/>
            <w:shd w:val="clear" w:color="auto" w:fill="CCEAF9" w:themeFill="accent1" w:themeFillTint="33"/>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2</w:t>
            </w:r>
          </w:p>
        </w:tc>
        <w:tc>
          <w:tcPr>
            <w:tcW w:w="958" w:type="dxa"/>
            <w:shd w:val="clear" w:color="auto" w:fill="CCEAF9" w:themeFill="accent1" w:themeFillTint="33"/>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18</w:t>
            </w:r>
          </w:p>
        </w:tc>
        <w:tc>
          <w:tcPr>
            <w:tcW w:w="1061" w:type="dxa"/>
            <w:shd w:val="clear" w:color="auto" w:fill="CCEAF9" w:themeFill="accent1" w:themeFillTint="33"/>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76</w:t>
            </w:r>
          </w:p>
        </w:tc>
        <w:tc>
          <w:tcPr>
            <w:tcW w:w="958" w:type="dxa"/>
            <w:shd w:val="clear" w:color="auto" w:fill="CCEAF9" w:themeFill="accent1" w:themeFillTint="33"/>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2</w:t>
            </w:r>
          </w:p>
        </w:tc>
        <w:tc>
          <w:tcPr>
            <w:tcW w:w="958" w:type="dxa"/>
            <w:shd w:val="clear" w:color="auto" w:fill="CCEAF9" w:themeFill="accent1" w:themeFillTint="33"/>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14</w:t>
            </w:r>
          </w:p>
        </w:tc>
      </w:tr>
      <w:tr w:rsidR="00DB20B1" w:rsidRPr="00CA0EA9" w:rsidTr="0011231A">
        <w:trPr>
          <w:trHeight w:val="144"/>
          <w:jc w:val="right"/>
        </w:trPr>
        <w:tc>
          <w:tcPr>
            <w:tcW w:w="1285" w:type="dxa"/>
            <w:vMerge/>
            <w:tcBorders>
              <w:left w:val="single" w:sz="2" w:space="0" w:color="62777F" w:themeColor="text1"/>
              <w:right w:val="single" w:sz="2" w:space="0" w:color="C8E3F4" w:themeColor="text2" w:themeTint="33"/>
            </w:tcBorders>
            <w:shd w:val="clear" w:color="auto" w:fill="CCEAF9" w:themeFill="accent1" w:themeFillTint="33"/>
            <w:noWrap/>
            <w:tcMar>
              <w:left w:w="115" w:type="dxa"/>
              <w:right w:w="115" w:type="dxa"/>
            </w:tcMar>
            <w:vAlign w:val="center"/>
          </w:tcPr>
          <w:p w:rsidR="00DB20B1" w:rsidRPr="00CA0EA9" w:rsidRDefault="00DB20B1" w:rsidP="00DB20B1">
            <w:pPr>
              <w:keepNext/>
              <w:keepLines/>
              <w:spacing w:before="20" w:after="20" w:line="240" w:lineRule="auto"/>
              <w:rPr>
                <w:rFonts w:asciiTheme="minorHAnsi" w:hAnsiTheme="minorHAnsi"/>
                <w:b/>
                <w:color w:val="000000"/>
                <w:sz w:val="18"/>
                <w:szCs w:val="18"/>
              </w:rPr>
            </w:pPr>
          </w:p>
        </w:tc>
        <w:tc>
          <w:tcPr>
            <w:tcW w:w="2208" w:type="dxa"/>
            <w:gridSpan w:val="2"/>
            <w:tcBorders>
              <w:left w:val="single" w:sz="2" w:space="0" w:color="C8E3F4" w:themeColor="text2" w:themeTint="33"/>
            </w:tcBorders>
            <w:shd w:val="clear" w:color="auto" w:fill="CCEAF9" w:themeFill="accent1" w:themeFillTint="33"/>
            <w:noWrap/>
            <w:tcMar>
              <w:left w:w="115" w:type="dxa"/>
              <w:right w:w="115" w:type="dxa"/>
            </w:tcMar>
            <w:vAlign w:val="center"/>
          </w:tcPr>
          <w:p w:rsidR="00DB20B1" w:rsidRPr="00CA0EA9" w:rsidRDefault="00DB20B1" w:rsidP="00DB20B1">
            <w:pPr>
              <w:keepNext/>
              <w:keepLines/>
              <w:spacing w:before="20" w:after="20" w:line="240" w:lineRule="auto"/>
              <w:rPr>
                <w:rFonts w:asciiTheme="minorHAnsi" w:hAnsiTheme="minorHAnsi"/>
                <w:color w:val="000000"/>
                <w:sz w:val="18"/>
                <w:szCs w:val="18"/>
              </w:rPr>
            </w:pPr>
          </w:p>
        </w:tc>
        <w:tc>
          <w:tcPr>
            <w:tcW w:w="1061" w:type="dxa"/>
            <w:shd w:val="clear" w:color="auto" w:fill="CCEAF9" w:themeFill="accent1" w:themeFillTint="33"/>
            <w:noWrap/>
            <w:tcMar>
              <w:left w:w="115" w:type="dxa"/>
              <w:right w:w="115" w:type="dxa"/>
            </w:tcMar>
            <w:vAlign w:val="center"/>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i/>
                <w:color w:val="000000"/>
                <w:sz w:val="18"/>
                <w:szCs w:val="18"/>
              </w:rPr>
              <w:t>3,735</w:t>
            </w:r>
          </w:p>
        </w:tc>
        <w:tc>
          <w:tcPr>
            <w:tcW w:w="958" w:type="dxa"/>
            <w:shd w:val="clear" w:color="auto" w:fill="CCEAF9" w:themeFill="accent1" w:themeFillTint="33"/>
            <w:noWrap/>
            <w:tcMar>
              <w:left w:w="115" w:type="dxa"/>
              <w:right w:w="115" w:type="dxa"/>
            </w:tcMar>
            <w:vAlign w:val="bottom"/>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i/>
                <w:color w:val="000000"/>
                <w:sz w:val="18"/>
                <w:szCs w:val="18"/>
              </w:rPr>
              <w:t>100</w:t>
            </w:r>
          </w:p>
        </w:tc>
        <w:tc>
          <w:tcPr>
            <w:tcW w:w="958" w:type="dxa"/>
            <w:shd w:val="clear" w:color="auto" w:fill="CCEAF9" w:themeFill="accent1" w:themeFillTint="33"/>
            <w:noWrap/>
            <w:tcMar>
              <w:left w:w="115" w:type="dxa"/>
              <w:right w:w="115" w:type="dxa"/>
            </w:tcMar>
            <w:vAlign w:val="bottom"/>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i/>
                <w:color w:val="000000"/>
                <w:sz w:val="18"/>
                <w:szCs w:val="18"/>
              </w:rPr>
              <w:t>51</w:t>
            </w:r>
          </w:p>
        </w:tc>
        <w:tc>
          <w:tcPr>
            <w:tcW w:w="1061" w:type="dxa"/>
            <w:shd w:val="clear" w:color="auto" w:fill="CCEAF9" w:themeFill="accent1" w:themeFillTint="33"/>
            <w:noWrap/>
            <w:tcMar>
              <w:left w:w="115" w:type="dxa"/>
              <w:right w:w="115" w:type="dxa"/>
            </w:tcMar>
            <w:vAlign w:val="bottom"/>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i/>
                <w:color w:val="000000"/>
                <w:sz w:val="18"/>
                <w:szCs w:val="18"/>
              </w:rPr>
              <w:t>3,931</w:t>
            </w:r>
          </w:p>
        </w:tc>
        <w:tc>
          <w:tcPr>
            <w:tcW w:w="958" w:type="dxa"/>
            <w:shd w:val="clear" w:color="auto" w:fill="CCEAF9" w:themeFill="accent1" w:themeFillTint="33"/>
            <w:noWrap/>
            <w:tcMar>
              <w:left w:w="115" w:type="dxa"/>
              <w:right w:w="115" w:type="dxa"/>
            </w:tcMar>
            <w:vAlign w:val="bottom"/>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i/>
                <w:color w:val="000000"/>
                <w:sz w:val="18"/>
                <w:szCs w:val="18"/>
              </w:rPr>
              <w:t>100</w:t>
            </w:r>
          </w:p>
        </w:tc>
        <w:tc>
          <w:tcPr>
            <w:tcW w:w="958" w:type="dxa"/>
            <w:shd w:val="clear" w:color="auto" w:fill="CCEAF9" w:themeFill="accent1" w:themeFillTint="33"/>
            <w:noWrap/>
            <w:tcMar>
              <w:left w:w="115" w:type="dxa"/>
              <w:right w:w="115" w:type="dxa"/>
            </w:tcMar>
            <w:vAlign w:val="bottom"/>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i/>
                <w:color w:val="000000"/>
                <w:sz w:val="18"/>
                <w:szCs w:val="18"/>
              </w:rPr>
              <w:t>42</w:t>
            </w:r>
          </w:p>
        </w:tc>
      </w:tr>
      <w:tr w:rsidR="00DB20B1" w:rsidRPr="00CA0EA9" w:rsidTr="00CA0EA9">
        <w:trPr>
          <w:trHeight w:val="144"/>
          <w:jc w:val="right"/>
        </w:trPr>
        <w:tc>
          <w:tcPr>
            <w:tcW w:w="1285" w:type="dxa"/>
            <w:vMerge w:val="restart"/>
            <w:tcBorders>
              <w:left w:val="single" w:sz="2" w:space="0" w:color="62777F" w:themeColor="text1"/>
            </w:tcBorders>
            <w:noWrap/>
            <w:tcMar>
              <w:left w:w="115" w:type="dxa"/>
              <w:right w:w="115" w:type="dxa"/>
            </w:tcMar>
            <w:vAlign w:val="center"/>
            <w:hideMark/>
          </w:tcPr>
          <w:p w:rsidR="00DB20B1" w:rsidRPr="00CA0EA9" w:rsidRDefault="00DB20B1" w:rsidP="00DB20B1">
            <w:pPr>
              <w:keepNext/>
              <w:keepLines/>
              <w:spacing w:before="20" w:after="20" w:line="240" w:lineRule="auto"/>
              <w:rPr>
                <w:rFonts w:asciiTheme="minorHAnsi" w:hAnsiTheme="minorHAnsi"/>
                <w:b/>
                <w:color w:val="000000"/>
                <w:sz w:val="18"/>
                <w:szCs w:val="18"/>
              </w:rPr>
            </w:pPr>
            <w:r w:rsidRPr="00CA0EA9">
              <w:rPr>
                <w:rFonts w:asciiTheme="minorHAnsi" w:hAnsiTheme="minorHAnsi"/>
                <w:b/>
                <w:color w:val="000000"/>
                <w:sz w:val="18"/>
                <w:szCs w:val="18"/>
              </w:rPr>
              <w:t> SEMA</w:t>
            </w:r>
          </w:p>
        </w:tc>
        <w:tc>
          <w:tcPr>
            <w:tcW w:w="1266" w:type="dxa"/>
            <w:shd w:val="clear" w:color="auto" w:fill="auto"/>
            <w:noWrap/>
            <w:tcMar>
              <w:left w:w="115" w:type="dxa"/>
              <w:right w:w="115" w:type="dxa"/>
            </w:tcMar>
            <w:vAlign w:val="center"/>
            <w:hideMark/>
          </w:tcPr>
          <w:p w:rsidR="00DB20B1" w:rsidRPr="00CA0EA9" w:rsidRDefault="00DB20B1" w:rsidP="00DB20B1">
            <w:pPr>
              <w:keepNext/>
              <w:keepLines/>
              <w:spacing w:before="20" w:after="20" w:line="240" w:lineRule="auto"/>
              <w:rPr>
                <w:rFonts w:asciiTheme="minorHAnsi" w:hAnsiTheme="minorHAnsi"/>
                <w:color w:val="000000"/>
                <w:sz w:val="18"/>
                <w:szCs w:val="18"/>
              </w:rPr>
            </w:pPr>
            <w:r w:rsidRPr="00CA0EA9">
              <w:rPr>
                <w:rFonts w:asciiTheme="minorHAnsi" w:hAnsiTheme="minorHAnsi"/>
                <w:color w:val="000000"/>
                <w:sz w:val="18"/>
                <w:szCs w:val="18"/>
              </w:rPr>
              <w:t>Massachusetts </w:t>
            </w:r>
          </w:p>
        </w:tc>
        <w:tc>
          <w:tcPr>
            <w:tcW w:w="942" w:type="dxa"/>
            <w:shd w:val="clear" w:color="auto" w:fill="auto"/>
            <w:noWrap/>
            <w:tcMar>
              <w:left w:w="115" w:type="dxa"/>
              <w:right w:w="115" w:type="dxa"/>
            </w:tcMar>
            <w:vAlign w:val="center"/>
          </w:tcPr>
          <w:p w:rsidR="00DB20B1" w:rsidRPr="00CA0EA9" w:rsidRDefault="00DB20B1" w:rsidP="00DB20B1">
            <w:pPr>
              <w:keepNext/>
              <w:keepLines/>
              <w:spacing w:before="20" w:after="20" w:line="240" w:lineRule="auto"/>
              <w:rPr>
                <w:rFonts w:asciiTheme="minorHAnsi" w:hAnsiTheme="minorHAnsi"/>
                <w:color w:val="000000"/>
                <w:sz w:val="18"/>
                <w:szCs w:val="18"/>
              </w:rPr>
            </w:pPr>
            <w:r w:rsidRPr="00CA0EA9">
              <w:rPr>
                <w:rFonts w:asciiTheme="minorHAnsi" w:hAnsiTheme="minorHAnsi"/>
                <w:color w:val="000000"/>
                <w:sz w:val="18"/>
                <w:szCs w:val="18"/>
              </w:rPr>
              <w:t>SEMA</w:t>
            </w:r>
          </w:p>
        </w:tc>
        <w:tc>
          <w:tcPr>
            <w:tcW w:w="1061" w:type="dxa"/>
            <w:shd w:val="clear" w:color="auto" w:fill="auto"/>
            <w:noWrap/>
            <w:tcMar>
              <w:left w:w="115" w:type="dxa"/>
              <w:right w:w="115" w:type="dxa"/>
            </w:tcMar>
            <w:vAlign w:val="bottom"/>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3,220</w:t>
            </w:r>
          </w:p>
        </w:tc>
        <w:tc>
          <w:tcPr>
            <w:tcW w:w="958" w:type="dxa"/>
            <w:shd w:val="clear" w:color="auto" w:fill="auto"/>
            <w:noWrap/>
            <w:tcMar>
              <w:left w:w="115" w:type="dxa"/>
              <w:right w:w="115" w:type="dxa"/>
            </w:tcMar>
            <w:vAlign w:val="bottom"/>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93</w:t>
            </w:r>
          </w:p>
        </w:tc>
        <w:tc>
          <w:tcPr>
            <w:tcW w:w="958" w:type="dxa"/>
            <w:shd w:val="clear" w:color="auto" w:fill="auto"/>
            <w:noWrap/>
            <w:tcMar>
              <w:left w:w="115" w:type="dxa"/>
              <w:right w:w="115" w:type="dxa"/>
            </w:tcMar>
            <w:vAlign w:val="bottom"/>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29</w:t>
            </w:r>
          </w:p>
        </w:tc>
        <w:tc>
          <w:tcPr>
            <w:tcW w:w="1061" w:type="dxa"/>
            <w:shd w:val="clear" w:color="auto" w:fill="auto"/>
            <w:noWrap/>
            <w:tcMar>
              <w:left w:w="115" w:type="dxa"/>
              <w:right w:w="115" w:type="dxa"/>
            </w:tcMar>
            <w:vAlign w:val="bottom"/>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3,357</w:t>
            </w:r>
          </w:p>
        </w:tc>
        <w:tc>
          <w:tcPr>
            <w:tcW w:w="958" w:type="dxa"/>
            <w:shd w:val="clear" w:color="auto" w:fill="auto"/>
            <w:noWrap/>
            <w:tcMar>
              <w:left w:w="115" w:type="dxa"/>
              <w:right w:w="115" w:type="dxa"/>
            </w:tcMar>
            <w:vAlign w:val="bottom"/>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92</w:t>
            </w:r>
          </w:p>
        </w:tc>
        <w:tc>
          <w:tcPr>
            <w:tcW w:w="958" w:type="dxa"/>
            <w:shd w:val="clear" w:color="auto" w:fill="auto"/>
            <w:noWrap/>
            <w:tcMar>
              <w:left w:w="115" w:type="dxa"/>
              <w:right w:w="115" w:type="dxa"/>
            </w:tcMar>
            <w:vAlign w:val="bottom"/>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25</w:t>
            </w:r>
          </w:p>
        </w:tc>
      </w:tr>
      <w:tr w:rsidR="00DB20B1" w:rsidRPr="00CA0EA9" w:rsidTr="00CA0EA9">
        <w:trPr>
          <w:trHeight w:val="144"/>
          <w:jc w:val="right"/>
        </w:trPr>
        <w:tc>
          <w:tcPr>
            <w:tcW w:w="1285" w:type="dxa"/>
            <w:vMerge/>
            <w:tcBorders>
              <w:left w:val="single" w:sz="2" w:space="0" w:color="62777F" w:themeColor="text1"/>
            </w:tcBorders>
            <w:noWrap/>
            <w:tcMar>
              <w:left w:w="115" w:type="dxa"/>
              <w:right w:w="115" w:type="dxa"/>
            </w:tcMar>
            <w:vAlign w:val="center"/>
            <w:hideMark/>
          </w:tcPr>
          <w:p w:rsidR="00DB20B1" w:rsidRPr="00CA0EA9" w:rsidRDefault="00DB20B1" w:rsidP="00DB20B1">
            <w:pPr>
              <w:keepNext/>
              <w:keepLines/>
              <w:spacing w:before="20" w:after="20" w:line="240" w:lineRule="auto"/>
              <w:rPr>
                <w:rFonts w:asciiTheme="minorHAnsi" w:hAnsiTheme="minorHAnsi"/>
                <w:b/>
                <w:color w:val="000000"/>
                <w:sz w:val="18"/>
                <w:szCs w:val="18"/>
              </w:rPr>
            </w:pPr>
          </w:p>
        </w:tc>
        <w:tc>
          <w:tcPr>
            <w:tcW w:w="1266" w:type="dxa"/>
            <w:tcBorders>
              <w:bottom w:val="single" w:sz="2" w:space="0" w:color="auto"/>
            </w:tcBorders>
            <w:shd w:val="clear" w:color="auto" w:fill="auto"/>
            <w:noWrap/>
            <w:tcMar>
              <w:left w:w="115" w:type="dxa"/>
              <w:right w:w="115" w:type="dxa"/>
            </w:tcMar>
            <w:vAlign w:val="center"/>
            <w:hideMark/>
          </w:tcPr>
          <w:p w:rsidR="00DB20B1" w:rsidRPr="00CA0EA9" w:rsidRDefault="00DB20B1" w:rsidP="00DB20B1">
            <w:pPr>
              <w:keepNext/>
              <w:keepLines/>
              <w:spacing w:before="20" w:after="20" w:line="240" w:lineRule="auto"/>
              <w:rPr>
                <w:rFonts w:asciiTheme="minorHAnsi" w:hAnsiTheme="minorHAnsi"/>
                <w:color w:val="000000"/>
                <w:sz w:val="18"/>
                <w:szCs w:val="18"/>
              </w:rPr>
            </w:pPr>
            <w:r w:rsidRPr="00CA0EA9">
              <w:rPr>
                <w:rFonts w:asciiTheme="minorHAnsi" w:hAnsiTheme="minorHAnsi"/>
                <w:color w:val="000000"/>
                <w:sz w:val="18"/>
                <w:szCs w:val="18"/>
              </w:rPr>
              <w:t>Rhode Island</w:t>
            </w:r>
          </w:p>
        </w:tc>
        <w:tc>
          <w:tcPr>
            <w:tcW w:w="942" w:type="dxa"/>
            <w:tcBorders>
              <w:bottom w:val="single" w:sz="2" w:space="0" w:color="auto"/>
            </w:tcBorders>
            <w:shd w:val="clear" w:color="auto" w:fill="auto"/>
            <w:noWrap/>
            <w:tcMar>
              <w:left w:w="115" w:type="dxa"/>
              <w:right w:w="115" w:type="dxa"/>
            </w:tcMar>
            <w:vAlign w:val="center"/>
            <w:hideMark/>
          </w:tcPr>
          <w:p w:rsidR="00DB20B1" w:rsidRPr="00CA0EA9" w:rsidRDefault="00DB20B1" w:rsidP="00DB20B1">
            <w:pPr>
              <w:keepNext/>
              <w:keepLines/>
              <w:spacing w:before="20" w:after="20" w:line="240" w:lineRule="auto"/>
              <w:rPr>
                <w:rFonts w:asciiTheme="minorHAnsi" w:hAnsiTheme="minorHAnsi"/>
                <w:color w:val="000000"/>
                <w:sz w:val="18"/>
                <w:szCs w:val="18"/>
              </w:rPr>
            </w:pPr>
            <w:r w:rsidRPr="00CA0EA9">
              <w:rPr>
                <w:rFonts w:asciiTheme="minorHAnsi" w:hAnsiTheme="minorHAnsi"/>
                <w:color w:val="000000"/>
                <w:sz w:val="18"/>
                <w:szCs w:val="18"/>
              </w:rPr>
              <w:t>RI</w:t>
            </w:r>
          </w:p>
        </w:tc>
        <w:tc>
          <w:tcPr>
            <w:tcW w:w="1061" w:type="dxa"/>
            <w:shd w:val="clear" w:color="auto" w:fill="auto"/>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242</w:t>
            </w:r>
          </w:p>
        </w:tc>
        <w:tc>
          <w:tcPr>
            <w:tcW w:w="958" w:type="dxa"/>
            <w:shd w:val="clear" w:color="auto" w:fill="auto"/>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7</w:t>
            </w:r>
          </w:p>
        </w:tc>
        <w:tc>
          <w:tcPr>
            <w:tcW w:w="958" w:type="dxa"/>
            <w:shd w:val="clear" w:color="auto" w:fill="auto"/>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13</w:t>
            </w:r>
          </w:p>
        </w:tc>
        <w:tc>
          <w:tcPr>
            <w:tcW w:w="1061" w:type="dxa"/>
            <w:shd w:val="clear" w:color="auto" w:fill="auto"/>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279</w:t>
            </w:r>
          </w:p>
        </w:tc>
        <w:tc>
          <w:tcPr>
            <w:tcW w:w="958" w:type="dxa"/>
            <w:shd w:val="clear" w:color="auto" w:fill="auto"/>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8</w:t>
            </w:r>
          </w:p>
        </w:tc>
        <w:tc>
          <w:tcPr>
            <w:tcW w:w="958" w:type="dxa"/>
            <w:shd w:val="clear" w:color="auto" w:fill="auto"/>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13</w:t>
            </w:r>
          </w:p>
        </w:tc>
      </w:tr>
      <w:tr w:rsidR="00DB20B1" w:rsidRPr="00CA0EA9" w:rsidTr="00CA0EA9">
        <w:trPr>
          <w:trHeight w:val="144"/>
          <w:jc w:val="right"/>
        </w:trPr>
        <w:tc>
          <w:tcPr>
            <w:tcW w:w="1285" w:type="dxa"/>
            <w:vMerge/>
            <w:tcBorders>
              <w:left w:val="single" w:sz="2" w:space="0" w:color="62777F" w:themeColor="text1"/>
              <w:right w:val="nil"/>
            </w:tcBorders>
            <w:noWrap/>
            <w:tcMar>
              <w:left w:w="115" w:type="dxa"/>
              <w:right w:w="115" w:type="dxa"/>
            </w:tcMar>
            <w:vAlign w:val="center"/>
          </w:tcPr>
          <w:p w:rsidR="00DB20B1" w:rsidRPr="00CA0EA9" w:rsidRDefault="00DB20B1" w:rsidP="00DB20B1">
            <w:pPr>
              <w:keepNext/>
              <w:keepLines/>
              <w:spacing w:before="20" w:after="20" w:line="240" w:lineRule="auto"/>
              <w:rPr>
                <w:rFonts w:asciiTheme="minorHAnsi" w:hAnsiTheme="minorHAnsi"/>
                <w:b/>
                <w:color w:val="000000"/>
                <w:sz w:val="18"/>
                <w:szCs w:val="18"/>
              </w:rPr>
            </w:pPr>
          </w:p>
        </w:tc>
        <w:tc>
          <w:tcPr>
            <w:tcW w:w="2208" w:type="dxa"/>
            <w:gridSpan w:val="2"/>
            <w:tcBorders>
              <w:left w:val="nil"/>
            </w:tcBorders>
            <w:noWrap/>
            <w:tcMar>
              <w:left w:w="115" w:type="dxa"/>
              <w:right w:w="115" w:type="dxa"/>
            </w:tcMar>
            <w:vAlign w:val="center"/>
          </w:tcPr>
          <w:p w:rsidR="00DB20B1" w:rsidRPr="00CA0EA9" w:rsidRDefault="00DB20B1" w:rsidP="00DB20B1">
            <w:pPr>
              <w:keepNext/>
              <w:keepLines/>
              <w:spacing w:before="20" w:after="20" w:line="240" w:lineRule="auto"/>
              <w:rPr>
                <w:rFonts w:asciiTheme="minorHAnsi" w:hAnsiTheme="minorHAnsi"/>
                <w:color w:val="000000"/>
                <w:sz w:val="18"/>
                <w:szCs w:val="18"/>
              </w:rPr>
            </w:pPr>
          </w:p>
        </w:tc>
        <w:tc>
          <w:tcPr>
            <w:tcW w:w="1061" w:type="dxa"/>
            <w:noWrap/>
            <w:tcMar>
              <w:left w:w="115" w:type="dxa"/>
              <w:right w:w="115" w:type="dxa"/>
            </w:tcMar>
            <w:vAlign w:val="center"/>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i/>
                <w:color w:val="000000"/>
                <w:sz w:val="18"/>
                <w:szCs w:val="18"/>
              </w:rPr>
              <w:t>3,461</w:t>
            </w:r>
          </w:p>
        </w:tc>
        <w:tc>
          <w:tcPr>
            <w:tcW w:w="958" w:type="dxa"/>
            <w:noWrap/>
            <w:tcMar>
              <w:left w:w="115" w:type="dxa"/>
              <w:right w:w="115" w:type="dxa"/>
            </w:tcMar>
            <w:vAlign w:val="bottom"/>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i/>
                <w:color w:val="000000"/>
                <w:sz w:val="18"/>
                <w:szCs w:val="18"/>
              </w:rPr>
              <w:t>100</w:t>
            </w:r>
          </w:p>
        </w:tc>
        <w:tc>
          <w:tcPr>
            <w:tcW w:w="958" w:type="dxa"/>
            <w:noWrap/>
            <w:tcMar>
              <w:left w:w="115" w:type="dxa"/>
              <w:right w:w="115" w:type="dxa"/>
            </w:tcMar>
            <w:vAlign w:val="bottom"/>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i/>
                <w:color w:val="000000"/>
                <w:sz w:val="18"/>
                <w:szCs w:val="18"/>
              </w:rPr>
              <w:t>42</w:t>
            </w:r>
          </w:p>
        </w:tc>
        <w:tc>
          <w:tcPr>
            <w:tcW w:w="1061" w:type="dxa"/>
            <w:noWrap/>
            <w:tcMar>
              <w:left w:w="115" w:type="dxa"/>
              <w:right w:w="115" w:type="dxa"/>
            </w:tcMar>
            <w:vAlign w:val="bottom"/>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i/>
                <w:color w:val="000000"/>
                <w:sz w:val="18"/>
                <w:szCs w:val="18"/>
              </w:rPr>
              <w:t>3,636</w:t>
            </w:r>
          </w:p>
        </w:tc>
        <w:tc>
          <w:tcPr>
            <w:tcW w:w="958" w:type="dxa"/>
            <w:noWrap/>
            <w:tcMar>
              <w:left w:w="115" w:type="dxa"/>
              <w:right w:w="115" w:type="dxa"/>
            </w:tcMar>
            <w:vAlign w:val="bottom"/>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i/>
                <w:color w:val="000000"/>
                <w:sz w:val="18"/>
                <w:szCs w:val="18"/>
              </w:rPr>
              <w:t>100</w:t>
            </w:r>
          </w:p>
        </w:tc>
        <w:tc>
          <w:tcPr>
            <w:tcW w:w="958" w:type="dxa"/>
            <w:noWrap/>
            <w:tcMar>
              <w:left w:w="115" w:type="dxa"/>
              <w:right w:w="115" w:type="dxa"/>
            </w:tcMar>
            <w:vAlign w:val="bottom"/>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i/>
                <w:color w:val="000000"/>
                <w:sz w:val="18"/>
                <w:szCs w:val="18"/>
              </w:rPr>
              <w:t>38</w:t>
            </w:r>
          </w:p>
        </w:tc>
      </w:tr>
      <w:tr w:rsidR="00DB20B1" w:rsidRPr="00CA0EA9" w:rsidTr="0011231A">
        <w:trPr>
          <w:trHeight w:val="144"/>
          <w:jc w:val="right"/>
        </w:trPr>
        <w:tc>
          <w:tcPr>
            <w:tcW w:w="1285" w:type="dxa"/>
            <w:vMerge w:val="restart"/>
            <w:tcBorders>
              <w:left w:val="single" w:sz="2" w:space="0" w:color="62777F" w:themeColor="text1"/>
            </w:tcBorders>
            <w:shd w:val="clear" w:color="auto" w:fill="CCEAF9" w:themeFill="accent1" w:themeFillTint="33"/>
            <w:noWrap/>
            <w:tcMar>
              <w:left w:w="115" w:type="dxa"/>
              <w:right w:w="115" w:type="dxa"/>
            </w:tcMar>
            <w:vAlign w:val="center"/>
            <w:hideMark/>
          </w:tcPr>
          <w:p w:rsidR="00DB20B1" w:rsidRPr="00CA0EA9" w:rsidRDefault="00DB20B1" w:rsidP="00DB20B1">
            <w:pPr>
              <w:keepNext/>
              <w:keepLines/>
              <w:spacing w:before="20" w:after="20" w:line="240" w:lineRule="auto"/>
              <w:rPr>
                <w:rFonts w:asciiTheme="minorHAnsi" w:hAnsiTheme="minorHAnsi"/>
                <w:b/>
                <w:color w:val="000000"/>
                <w:sz w:val="18"/>
                <w:szCs w:val="18"/>
              </w:rPr>
            </w:pPr>
            <w:r w:rsidRPr="00CA0EA9">
              <w:rPr>
                <w:rFonts w:asciiTheme="minorHAnsi" w:hAnsiTheme="minorHAnsi"/>
                <w:b/>
                <w:color w:val="000000"/>
                <w:sz w:val="18"/>
                <w:szCs w:val="18"/>
              </w:rPr>
              <w:t> RI</w:t>
            </w:r>
          </w:p>
        </w:tc>
        <w:tc>
          <w:tcPr>
            <w:tcW w:w="1266" w:type="dxa"/>
            <w:shd w:val="clear" w:color="auto" w:fill="CCEAF9" w:themeFill="accent1" w:themeFillTint="33"/>
            <w:noWrap/>
            <w:tcMar>
              <w:left w:w="115" w:type="dxa"/>
              <w:right w:w="115" w:type="dxa"/>
            </w:tcMar>
            <w:vAlign w:val="center"/>
          </w:tcPr>
          <w:p w:rsidR="00DB20B1" w:rsidRPr="00CA0EA9" w:rsidRDefault="00DB20B1" w:rsidP="00DB20B1">
            <w:pPr>
              <w:keepNext/>
              <w:keepLines/>
              <w:spacing w:before="20" w:after="20" w:line="240" w:lineRule="auto"/>
              <w:rPr>
                <w:rFonts w:asciiTheme="minorHAnsi" w:hAnsiTheme="minorHAnsi"/>
                <w:color w:val="000000"/>
                <w:sz w:val="18"/>
                <w:szCs w:val="18"/>
              </w:rPr>
            </w:pPr>
            <w:r w:rsidRPr="00CA0EA9">
              <w:rPr>
                <w:rFonts w:asciiTheme="minorHAnsi" w:hAnsiTheme="minorHAnsi"/>
                <w:color w:val="000000"/>
                <w:sz w:val="18"/>
                <w:szCs w:val="18"/>
              </w:rPr>
              <w:t>Massachusetts </w:t>
            </w:r>
          </w:p>
        </w:tc>
        <w:tc>
          <w:tcPr>
            <w:tcW w:w="942" w:type="dxa"/>
            <w:shd w:val="clear" w:color="auto" w:fill="CCEAF9" w:themeFill="accent1" w:themeFillTint="33"/>
            <w:noWrap/>
            <w:tcMar>
              <w:left w:w="115" w:type="dxa"/>
              <w:right w:w="115" w:type="dxa"/>
            </w:tcMar>
            <w:vAlign w:val="center"/>
          </w:tcPr>
          <w:p w:rsidR="00DB20B1" w:rsidRPr="00CA0EA9" w:rsidRDefault="00DB20B1" w:rsidP="00DB20B1">
            <w:pPr>
              <w:keepNext/>
              <w:keepLines/>
              <w:spacing w:before="20" w:after="20" w:line="240" w:lineRule="auto"/>
              <w:rPr>
                <w:rFonts w:asciiTheme="minorHAnsi" w:hAnsiTheme="minorHAnsi"/>
                <w:color w:val="000000"/>
                <w:sz w:val="18"/>
                <w:szCs w:val="18"/>
              </w:rPr>
            </w:pPr>
            <w:r w:rsidRPr="00CA0EA9">
              <w:rPr>
                <w:rFonts w:asciiTheme="minorHAnsi" w:hAnsiTheme="minorHAnsi"/>
                <w:color w:val="000000"/>
                <w:sz w:val="18"/>
                <w:szCs w:val="18"/>
              </w:rPr>
              <w:t>SEMA</w:t>
            </w:r>
          </w:p>
        </w:tc>
        <w:tc>
          <w:tcPr>
            <w:tcW w:w="1061" w:type="dxa"/>
            <w:shd w:val="clear" w:color="auto" w:fill="CCEAF9" w:themeFill="accent1" w:themeFillTint="33"/>
            <w:noWrap/>
            <w:tcMar>
              <w:left w:w="115" w:type="dxa"/>
              <w:right w:w="115" w:type="dxa"/>
            </w:tcMar>
            <w:vAlign w:val="bottom"/>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1,471</w:t>
            </w:r>
          </w:p>
        </w:tc>
        <w:tc>
          <w:tcPr>
            <w:tcW w:w="958" w:type="dxa"/>
            <w:shd w:val="clear" w:color="auto" w:fill="CCEAF9" w:themeFill="accent1" w:themeFillTint="33"/>
            <w:noWrap/>
            <w:tcMar>
              <w:left w:w="115" w:type="dxa"/>
              <w:right w:w="115" w:type="dxa"/>
            </w:tcMar>
            <w:vAlign w:val="bottom"/>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47</w:t>
            </w:r>
          </w:p>
        </w:tc>
        <w:tc>
          <w:tcPr>
            <w:tcW w:w="958" w:type="dxa"/>
            <w:shd w:val="clear" w:color="auto" w:fill="CCEAF9" w:themeFill="accent1" w:themeFillTint="33"/>
            <w:noWrap/>
            <w:tcMar>
              <w:left w:w="115" w:type="dxa"/>
              <w:right w:w="115" w:type="dxa"/>
            </w:tcMar>
            <w:vAlign w:val="bottom"/>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13</w:t>
            </w:r>
          </w:p>
        </w:tc>
        <w:tc>
          <w:tcPr>
            <w:tcW w:w="1061" w:type="dxa"/>
            <w:shd w:val="clear" w:color="auto" w:fill="CCEAF9" w:themeFill="accent1" w:themeFillTint="33"/>
            <w:noWrap/>
            <w:tcMar>
              <w:left w:w="115" w:type="dxa"/>
              <w:right w:w="115" w:type="dxa"/>
            </w:tcMar>
            <w:vAlign w:val="bottom"/>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3,109</w:t>
            </w:r>
          </w:p>
        </w:tc>
        <w:tc>
          <w:tcPr>
            <w:tcW w:w="958" w:type="dxa"/>
            <w:shd w:val="clear" w:color="auto" w:fill="CCEAF9" w:themeFill="accent1" w:themeFillTint="33"/>
            <w:noWrap/>
            <w:tcMar>
              <w:left w:w="115" w:type="dxa"/>
              <w:right w:w="115" w:type="dxa"/>
            </w:tcMar>
            <w:vAlign w:val="bottom"/>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63</w:t>
            </w:r>
          </w:p>
        </w:tc>
        <w:tc>
          <w:tcPr>
            <w:tcW w:w="958" w:type="dxa"/>
            <w:shd w:val="clear" w:color="auto" w:fill="CCEAF9" w:themeFill="accent1" w:themeFillTint="33"/>
            <w:noWrap/>
            <w:tcMar>
              <w:left w:w="115" w:type="dxa"/>
              <w:right w:w="115" w:type="dxa"/>
            </w:tcMar>
            <w:vAlign w:val="bottom"/>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23</w:t>
            </w:r>
          </w:p>
        </w:tc>
      </w:tr>
      <w:tr w:rsidR="00DB20B1" w:rsidRPr="00CA0EA9" w:rsidTr="0011231A">
        <w:trPr>
          <w:trHeight w:val="144"/>
          <w:jc w:val="right"/>
        </w:trPr>
        <w:tc>
          <w:tcPr>
            <w:tcW w:w="1285" w:type="dxa"/>
            <w:vMerge/>
            <w:tcBorders>
              <w:left w:val="single" w:sz="2" w:space="0" w:color="62777F" w:themeColor="text1"/>
            </w:tcBorders>
            <w:shd w:val="clear" w:color="auto" w:fill="CCEAF9" w:themeFill="accent1" w:themeFillTint="33"/>
            <w:noWrap/>
            <w:tcMar>
              <w:left w:w="115" w:type="dxa"/>
              <w:right w:w="115" w:type="dxa"/>
            </w:tcMar>
            <w:vAlign w:val="center"/>
            <w:hideMark/>
          </w:tcPr>
          <w:p w:rsidR="00DB20B1" w:rsidRPr="00CA0EA9" w:rsidRDefault="00DB20B1" w:rsidP="00DB20B1">
            <w:pPr>
              <w:keepNext/>
              <w:keepLines/>
              <w:spacing w:before="20" w:after="20" w:line="240" w:lineRule="auto"/>
              <w:rPr>
                <w:rFonts w:asciiTheme="minorHAnsi" w:hAnsiTheme="minorHAnsi"/>
                <w:b/>
                <w:color w:val="000000"/>
                <w:sz w:val="18"/>
                <w:szCs w:val="18"/>
              </w:rPr>
            </w:pPr>
          </w:p>
        </w:tc>
        <w:tc>
          <w:tcPr>
            <w:tcW w:w="1266" w:type="dxa"/>
            <w:tcBorders>
              <w:bottom w:val="single" w:sz="2" w:space="0" w:color="auto"/>
            </w:tcBorders>
            <w:shd w:val="clear" w:color="auto" w:fill="CCEAF9" w:themeFill="accent1" w:themeFillTint="33"/>
            <w:noWrap/>
            <w:tcMar>
              <w:left w:w="115" w:type="dxa"/>
              <w:right w:w="115" w:type="dxa"/>
            </w:tcMar>
            <w:vAlign w:val="center"/>
            <w:hideMark/>
          </w:tcPr>
          <w:p w:rsidR="00DB20B1" w:rsidRPr="00CA0EA9" w:rsidRDefault="00DB20B1" w:rsidP="00DB20B1">
            <w:pPr>
              <w:keepNext/>
              <w:keepLines/>
              <w:spacing w:before="20" w:after="20" w:line="240" w:lineRule="auto"/>
              <w:rPr>
                <w:rFonts w:asciiTheme="minorHAnsi" w:hAnsiTheme="minorHAnsi"/>
                <w:color w:val="000000"/>
                <w:sz w:val="18"/>
                <w:szCs w:val="18"/>
              </w:rPr>
            </w:pPr>
            <w:r w:rsidRPr="00CA0EA9">
              <w:rPr>
                <w:rFonts w:asciiTheme="minorHAnsi" w:hAnsiTheme="minorHAnsi"/>
                <w:color w:val="000000"/>
                <w:sz w:val="18"/>
                <w:szCs w:val="18"/>
              </w:rPr>
              <w:t>Rhode Island</w:t>
            </w:r>
          </w:p>
        </w:tc>
        <w:tc>
          <w:tcPr>
            <w:tcW w:w="942" w:type="dxa"/>
            <w:tcBorders>
              <w:bottom w:val="single" w:sz="2" w:space="0" w:color="auto"/>
            </w:tcBorders>
            <w:shd w:val="clear" w:color="auto" w:fill="CCEAF9" w:themeFill="accent1" w:themeFillTint="33"/>
            <w:noWrap/>
            <w:tcMar>
              <w:left w:w="115" w:type="dxa"/>
              <w:right w:w="115" w:type="dxa"/>
            </w:tcMar>
            <w:vAlign w:val="center"/>
            <w:hideMark/>
          </w:tcPr>
          <w:p w:rsidR="00DB20B1" w:rsidRPr="00CA0EA9" w:rsidRDefault="00DB20B1" w:rsidP="00DB20B1">
            <w:pPr>
              <w:keepNext/>
              <w:keepLines/>
              <w:spacing w:before="20" w:after="20" w:line="240" w:lineRule="auto"/>
              <w:rPr>
                <w:rFonts w:asciiTheme="minorHAnsi" w:hAnsiTheme="minorHAnsi"/>
                <w:color w:val="000000"/>
                <w:sz w:val="18"/>
                <w:szCs w:val="18"/>
              </w:rPr>
            </w:pPr>
            <w:r w:rsidRPr="00CA0EA9">
              <w:rPr>
                <w:rFonts w:asciiTheme="minorHAnsi" w:hAnsiTheme="minorHAnsi"/>
                <w:color w:val="000000"/>
                <w:sz w:val="18"/>
                <w:szCs w:val="18"/>
              </w:rPr>
              <w:t>RI</w:t>
            </w:r>
          </w:p>
        </w:tc>
        <w:tc>
          <w:tcPr>
            <w:tcW w:w="1061" w:type="dxa"/>
            <w:shd w:val="clear" w:color="auto" w:fill="CCEAF9" w:themeFill="accent1" w:themeFillTint="33"/>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1,664</w:t>
            </w:r>
          </w:p>
        </w:tc>
        <w:tc>
          <w:tcPr>
            <w:tcW w:w="958" w:type="dxa"/>
            <w:shd w:val="clear" w:color="auto" w:fill="CCEAF9" w:themeFill="accent1" w:themeFillTint="33"/>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53</w:t>
            </w:r>
          </w:p>
        </w:tc>
        <w:tc>
          <w:tcPr>
            <w:tcW w:w="958" w:type="dxa"/>
            <w:shd w:val="clear" w:color="auto" w:fill="CCEAF9" w:themeFill="accent1" w:themeFillTint="33"/>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87</w:t>
            </w:r>
          </w:p>
        </w:tc>
        <w:tc>
          <w:tcPr>
            <w:tcW w:w="1061" w:type="dxa"/>
            <w:shd w:val="clear" w:color="auto" w:fill="CCEAF9" w:themeFill="accent1" w:themeFillTint="33"/>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1,846</w:t>
            </w:r>
          </w:p>
        </w:tc>
        <w:tc>
          <w:tcPr>
            <w:tcW w:w="958" w:type="dxa"/>
            <w:shd w:val="clear" w:color="auto" w:fill="CCEAF9" w:themeFill="accent1" w:themeFillTint="33"/>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37</w:t>
            </w:r>
          </w:p>
        </w:tc>
        <w:tc>
          <w:tcPr>
            <w:tcW w:w="958" w:type="dxa"/>
            <w:shd w:val="clear" w:color="auto" w:fill="CCEAF9" w:themeFill="accent1" w:themeFillTint="33"/>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87</w:t>
            </w:r>
          </w:p>
        </w:tc>
      </w:tr>
      <w:tr w:rsidR="00DB20B1" w:rsidRPr="00CA0EA9" w:rsidTr="0011231A">
        <w:trPr>
          <w:trHeight w:val="144"/>
          <w:jc w:val="right"/>
        </w:trPr>
        <w:tc>
          <w:tcPr>
            <w:tcW w:w="1285" w:type="dxa"/>
            <w:vMerge/>
            <w:tcBorders>
              <w:left w:val="single" w:sz="2" w:space="0" w:color="62777F" w:themeColor="text1"/>
              <w:right w:val="single" w:sz="2" w:space="0" w:color="C8E3F4" w:themeColor="text2" w:themeTint="33"/>
            </w:tcBorders>
            <w:shd w:val="clear" w:color="auto" w:fill="CCEAF9" w:themeFill="accent1" w:themeFillTint="33"/>
            <w:noWrap/>
            <w:tcMar>
              <w:left w:w="115" w:type="dxa"/>
              <w:right w:w="115" w:type="dxa"/>
            </w:tcMar>
            <w:vAlign w:val="center"/>
          </w:tcPr>
          <w:p w:rsidR="00DB20B1" w:rsidRPr="00CA0EA9" w:rsidRDefault="00DB20B1" w:rsidP="00DB20B1">
            <w:pPr>
              <w:keepNext/>
              <w:keepLines/>
              <w:spacing w:before="20" w:after="20" w:line="240" w:lineRule="auto"/>
              <w:rPr>
                <w:rFonts w:asciiTheme="minorHAnsi" w:hAnsiTheme="minorHAnsi"/>
                <w:b/>
                <w:color w:val="000000"/>
                <w:sz w:val="18"/>
                <w:szCs w:val="18"/>
              </w:rPr>
            </w:pPr>
          </w:p>
        </w:tc>
        <w:tc>
          <w:tcPr>
            <w:tcW w:w="2208" w:type="dxa"/>
            <w:gridSpan w:val="2"/>
            <w:tcBorders>
              <w:left w:val="single" w:sz="2" w:space="0" w:color="C8E3F4" w:themeColor="text2" w:themeTint="33"/>
            </w:tcBorders>
            <w:shd w:val="clear" w:color="auto" w:fill="CCEAF9" w:themeFill="accent1" w:themeFillTint="33"/>
            <w:noWrap/>
            <w:tcMar>
              <w:left w:w="115" w:type="dxa"/>
              <w:right w:w="115" w:type="dxa"/>
            </w:tcMar>
            <w:vAlign w:val="center"/>
          </w:tcPr>
          <w:p w:rsidR="00DB20B1" w:rsidRPr="00CA0EA9" w:rsidRDefault="00DB20B1" w:rsidP="00DB20B1">
            <w:pPr>
              <w:keepNext/>
              <w:keepLines/>
              <w:spacing w:before="20" w:after="20" w:line="240" w:lineRule="auto"/>
              <w:rPr>
                <w:rFonts w:asciiTheme="minorHAnsi" w:hAnsiTheme="minorHAnsi"/>
                <w:color w:val="000000"/>
                <w:sz w:val="18"/>
                <w:szCs w:val="18"/>
              </w:rPr>
            </w:pPr>
          </w:p>
        </w:tc>
        <w:tc>
          <w:tcPr>
            <w:tcW w:w="1061" w:type="dxa"/>
            <w:shd w:val="clear" w:color="auto" w:fill="CCEAF9" w:themeFill="accent1" w:themeFillTint="33"/>
            <w:noWrap/>
            <w:tcMar>
              <w:left w:w="115" w:type="dxa"/>
              <w:right w:w="115" w:type="dxa"/>
            </w:tcMar>
            <w:vAlign w:val="center"/>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i/>
                <w:color w:val="000000"/>
                <w:sz w:val="18"/>
                <w:szCs w:val="18"/>
              </w:rPr>
              <w:t>3,135</w:t>
            </w:r>
          </w:p>
        </w:tc>
        <w:tc>
          <w:tcPr>
            <w:tcW w:w="958" w:type="dxa"/>
            <w:shd w:val="clear" w:color="auto" w:fill="CCEAF9" w:themeFill="accent1" w:themeFillTint="33"/>
            <w:noWrap/>
            <w:tcMar>
              <w:left w:w="115" w:type="dxa"/>
              <w:right w:w="115" w:type="dxa"/>
            </w:tcMar>
            <w:vAlign w:val="bottom"/>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i/>
                <w:color w:val="000000"/>
                <w:sz w:val="18"/>
                <w:szCs w:val="18"/>
              </w:rPr>
              <w:t>100</w:t>
            </w:r>
          </w:p>
        </w:tc>
        <w:tc>
          <w:tcPr>
            <w:tcW w:w="958" w:type="dxa"/>
            <w:shd w:val="clear" w:color="auto" w:fill="CCEAF9" w:themeFill="accent1" w:themeFillTint="33"/>
            <w:noWrap/>
            <w:tcMar>
              <w:left w:w="115" w:type="dxa"/>
              <w:right w:w="115" w:type="dxa"/>
            </w:tcMar>
            <w:vAlign w:val="bottom"/>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i/>
                <w:color w:val="000000"/>
                <w:sz w:val="18"/>
                <w:szCs w:val="18"/>
              </w:rPr>
              <w:t>101</w:t>
            </w:r>
          </w:p>
        </w:tc>
        <w:tc>
          <w:tcPr>
            <w:tcW w:w="1061" w:type="dxa"/>
            <w:shd w:val="clear" w:color="auto" w:fill="CCEAF9" w:themeFill="accent1" w:themeFillTint="33"/>
            <w:noWrap/>
            <w:tcMar>
              <w:left w:w="115" w:type="dxa"/>
              <w:right w:w="115" w:type="dxa"/>
            </w:tcMar>
            <w:vAlign w:val="bottom"/>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i/>
                <w:color w:val="000000"/>
                <w:sz w:val="18"/>
                <w:szCs w:val="18"/>
              </w:rPr>
              <w:t>4,955</w:t>
            </w:r>
          </w:p>
        </w:tc>
        <w:tc>
          <w:tcPr>
            <w:tcW w:w="958" w:type="dxa"/>
            <w:shd w:val="clear" w:color="auto" w:fill="CCEAF9" w:themeFill="accent1" w:themeFillTint="33"/>
            <w:noWrap/>
            <w:tcMar>
              <w:left w:w="115" w:type="dxa"/>
              <w:right w:w="115" w:type="dxa"/>
            </w:tcMar>
            <w:vAlign w:val="bottom"/>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i/>
                <w:color w:val="000000"/>
                <w:sz w:val="18"/>
                <w:szCs w:val="18"/>
              </w:rPr>
              <w:t>100</w:t>
            </w:r>
          </w:p>
        </w:tc>
        <w:tc>
          <w:tcPr>
            <w:tcW w:w="958" w:type="dxa"/>
            <w:shd w:val="clear" w:color="auto" w:fill="CCEAF9" w:themeFill="accent1" w:themeFillTint="33"/>
            <w:noWrap/>
            <w:tcMar>
              <w:left w:w="115" w:type="dxa"/>
              <w:right w:w="115" w:type="dxa"/>
            </w:tcMar>
            <w:vAlign w:val="bottom"/>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i/>
                <w:color w:val="000000"/>
                <w:sz w:val="18"/>
                <w:szCs w:val="18"/>
              </w:rPr>
              <w:t>110</w:t>
            </w:r>
          </w:p>
        </w:tc>
      </w:tr>
      <w:tr w:rsidR="00DB20B1" w:rsidRPr="00CA0EA9" w:rsidTr="00CA0EA9">
        <w:trPr>
          <w:trHeight w:val="144"/>
          <w:jc w:val="right"/>
        </w:trPr>
        <w:tc>
          <w:tcPr>
            <w:tcW w:w="1285" w:type="dxa"/>
            <w:tcBorders>
              <w:left w:val="single" w:sz="2" w:space="0" w:color="62777F" w:themeColor="text1"/>
            </w:tcBorders>
            <w:noWrap/>
            <w:tcMar>
              <w:left w:w="115" w:type="dxa"/>
              <w:right w:w="115" w:type="dxa"/>
            </w:tcMar>
            <w:vAlign w:val="center"/>
            <w:hideMark/>
          </w:tcPr>
          <w:p w:rsidR="00DB20B1" w:rsidRPr="00CA0EA9" w:rsidRDefault="00DB20B1" w:rsidP="00DB20B1">
            <w:pPr>
              <w:keepNext/>
              <w:keepLines/>
              <w:spacing w:before="20" w:after="20" w:line="240" w:lineRule="auto"/>
              <w:rPr>
                <w:rFonts w:asciiTheme="minorHAnsi" w:hAnsiTheme="minorHAnsi"/>
                <w:b/>
                <w:color w:val="000000"/>
                <w:sz w:val="18"/>
                <w:szCs w:val="18"/>
              </w:rPr>
            </w:pPr>
            <w:r w:rsidRPr="00CA0EA9">
              <w:rPr>
                <w:rFonts w:asciiTheme="minorHAnsi" w:hAnsiTheme="minorHAnsi"/>
                <w:b/>
                <w:color w:val="000000"/>
                <w:sz w:val="18"/>
                <w:szCs w:val="18"/>
              </w:rPr>
              <w:t>CT</w:t>
            </w:r>
          </w:p>
        </w:tc>
        <w:tc>
          <w:tcPr>
            <w:tcW w:w="1266" w:type="dxa"/>
            <w:noWrap/>
            <w:tcMar>
              <w:left w:w="115" w:type="dxa"/>
              <w:right w:w="115" w:type="dxa"/>
            </w:tcMar>
            <w:vAlign w:val="center"/>
            <w:hideMark/>
          </w:tcPr>
          <w:p w:rsidR="00DB20B1" w:rsidRPr="00CA0EA9" w:rsidRDefault="00DB20B1" w:rsidP="00DB20B1">
            <w:pPr>
              <w:keepNext/>
              <w:keepLines/>
              <w:spacing w:before="20" w:after="20" w:line="240" w:lineRule="auto"/>
              <w:rPr>
                <w:rFonts w:asciiTheme="minorHAnsi" w:hAnsiTheme="minorHAnsi"/>
                <w:color w:val="000000"/>
                <w:sz w:val="18"/>
                <w:szCs w:val="18"/>
              </w:rPr>
            </w:pPr>
            <w:r w:rsidRPr="00CA0EA9">
              <w:rPr>
                <w:rFonts w:asciiTheme="minorHAnsi" w:hAnsiTheme="minorHAnsi"/>
                <w:color w:val="000000"/>
                <w:sz w:val="18"/>
                <w:szCs w:val="18"/>
              </w:rPr>
              <w:t>Connecticut</w:t>
            </w:r>
          </w:p>
        </w:tc>
        <w:tc>
          <w:tcPr>
            <w:tcW w:w="942" w:type="dxa"/>
            <w:noWrap/>
            <w:tcMar>
              <w:left w:w="115" w:type="dxa"/>
              <w:right w:w="115" w:type="dxa"/>
            </w:tcMar>
            <w:vAlign w:val="center"/>
            <w:hideMark/>
          </w:tcPr>
          <w:p w:rsidR="00DB20B1" w:rsidRPr="00CA0EA9" w:rsidRDefault="00DB20B1" w:rsidP="00DB20B1">
            <w:pPr>
              <w:keepNext/>
              <w:keepLines/>
              <w:spacing w:before="20" w:after="20" w:line="240" w:lineRule="auto"/>
              <w:rPr>
                <w:rFonts w:asciiTheme="minorHAnsi" w:hAnsiTheme="minorHAnsi"/>
                <w:color w:val="000000"/>
                <w:sz w:val="18"/>
                <w:szCs w:val="18"/>
              </w:rPr>
            </w:pPr>
            <w:r w:rsidRPr="00CA0EA9">
              <w:rPr>
                <w:rFonts w:asciiTheme="minorHAnsi" w:hAnsiTheme="minorHAnsi"/>
                <w:color w:val="000000"/>
                <w:sz w:val="18"/>
                <w:szCs w:val="18"/>
              </w:rPr>
              <w:t>CT</w:t>
            </w:r>
          </w:p>
        </w:tc>
        <w:tc>
          <w:tcPr>
            <w:tcW w:w="1061" w:type="dxa"/>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i/>
                <w:color w:val="000000"/>
                <w:sz w:val="18"/>
                <w:szCs w:val="18"/>
              </w:rPr>
              <w:t>5,917</w:t>
            </w:r>
          </w:p>
        </w:tc>
        <w:tc>
          <w:tcPr>
            <w:tcW w:w="958" w:type="dxa"/>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i/>
                <w:color w:val="000000"/>
                <w:sz w:val="18"/>
                <w:szCs w:val="18"/>
              </w:rPr>
              <w:t>100</w:t>
            </w:r>
          </w:p>
        </w:tc>
        <w:tc>
          <w:tcPr>
            <w:tcW w:w="958" w:type="dxa"/>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i/>
                <w:color w:val="000000"/>
                <w:sz w:val="18"/>
                <w:szCs w:val="18"/>
              </w:rPr>
              <w:t>71</w:t>
            </w:r>
          </w:p>
        </w:tc>
        <w:tc>
          <w:tcPr>
            <w:tcW w:w="1061" w:type="dxa"/>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i/>
                <w:color w:val="000000"/>
                <w:sz w:val="18"/>
                <w:szCs w:val="18"/>
              </w:rPr>
              <w:t>6,153</w:t>
            </w:r>
          </w:p>
        </w:tc>
        <w:tc>
          <w:tcPr>
            <w:tcW w:w="958" w:type="dxa"/>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i/>
                <w:color w:val="000000"/>
                <w:sz w:val="18"/>
                <w:szCs w:val="18"/>
              </w:rPr>
              <w:t>100</w:t>
            </w:r>
          </w:p>
        </w:tc>
        <w:tc>
          <w:tcPr>
            <w:tcW w:w="958" w:type="dxa"/>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i/>
                <w:color w:val="000000"/>
                <w:sz w:val="18"/>
                <w:szCs w:val="18"/>
              </w:rPr>
              <w:t>69</w:t>
            </w:r>
          </w:p>
        </w:tc>
      </w:tr>
      <w:tr w:rsidR="00DB20B1" w:rsidRPr="00CA0EA9" w:rsidTr="0011231A">
        <w:trPr>
          <w:trHeight w:val="144"/>
          <w:jc w:val="right"/>
        </w:trPr>
        <w:tc>
          <w:tcPr>
            <w:tcW w:w="1285" w:type="dxa"/>
            <w:tcBorders>
              <w:left w:val="single" w:sz="2" w:space="0" w:color="62777F" w:themeColor="text1"/>
            </w:tcBorders>
            <w:shd w:val="clear" w:color="auto" w:fill="CCEAF9" w:themeFill="accent1" w:themeFillTint="33"/>
            <w:noWrap/>
            <w:tcMar>
              <w:left w:w="115" w:type="dxa"/>
              <w:right w:w="115" w:type="dxa"/>
            </w:tcMar>
            <w:vAlign w:val="center"/>
            <w:hideMark/>
          </w:tcPr>
          <w:p w:rsidR="00DB20B1" w:rsidRPr="00CA0EA9" w:rsidRDefault="00DB20B1" w:rsidP="00DB20B1">
            <w:pPr>
              <w:keepNext/>
              <w:keepLines/>
              <w:spacing w:before="20" w:after="20" w:line="240" w:lineRule="auto"/>
              <w:rPr>
                <w:rFonts w:asciiTheme="minorHAnsi" w:hAnsiTheme="minorHAnsi"/>
                <w:b/>
                <w:color w:val="000000"/>
                <w:sz w:val="18"/>
                <w:szCs w:val="18"/>
              </w:rPr>
            </w:pPr>
            <w:r w:rsidRPr="00CA0EA9">
              <w:rPr>
                <w:rFonts w:asciiTheme="minorHAnsi" w:hAnsiTheme="minorHAnsi"/>
                <w:b/>
                <w:color w:val="000000"/>
                <w:sz w:val="18"/>
                <w:szCs w:val="18"/>
              </w:rPr>
              <w:t>SWCT</w:t>
            </w:r>
          </w:p>
        </w:tc>
        <w:tc>
          <w:tcPr>
            <w:tcW w:w="1266" w:type="dxa"/>
            <w:shd w:val="clear" w:color="auto" w:fill="CCEAF9" w:themeFill="accent1" w:themeFillTint="33"/>
            <w:noWrap/>
            <w:tcMar>
              <w:left w:w="115" w:type="dxa"/>
              <w:right w:w="115" w:type="dxa"/>
            </w:tcMar>
            <w:vAlign w:val="center"/>
            <w:hideMark/>
          </w:tcPr>
          <w:p w:rsidR="00DB20B1" w:rsidRPr="00CA0EA9" w:rsidRDefault="00DB20B1" w:rsidP="00DB20B1">
            <w:pPr>
              <w:keepNext/>
              <w:keepLines/>
              <w:spacing w:before="20" w:after="20" w:line="240" w:lineRule="auto"/>
              <w:rPr>
                <w:rFonts w:asciiTheme="minorHAnsi" w:hAnsiTheme="minorHAnsi"/>
                <w:color w:val="000000"/>
                <w:sz w:val="18"/>
                <w:szCs w:val="18"/>
              </w:rPr>
            </w:pPr>
            <w:r w:rsidRPr="00CA0EA9">
              <w:rPr>
                <w:rFonts w:asciiTheme="minorHAnsi" w:hAnsiTheme="minorHAnsi"/>
                <w:color w:val="000000"/>
                <w:sz w:val="18"/>
                <w:szCs w:val="18"/>
              </w:rPr>
              <w:t>Connecticut</w:t>
            </w:r>
          </w:p>
        </w:tc>
        <w:tc>
          <w:tcPr>
            <w:tcW w:w="942" w:type="dxa"/>
            <w:shd w:val="clear" w:color="auto" w:fill="CCEAF9" w:themeFill="accent1" w:themeFillTint="33"/>
            <w:noWrap/>
            <w:tcMar>
              <w:left w:w="115" w:type="dxa"/>
              <w:right w:w="115" w:type="dxa"/>
            </w:tcMar>
            <w:vAlign w:val="center"/>
            <w:hideMark/>
          </w:tcPr>
          <w:p w:rsidR="00DB20B1" w:rsidRPr="00CA0EA9" w:rsidRDefault="00DB20B1" w:rsidP="00DB20B1">
            <w:pPr>
              <w:keepNext/>
              <w:keepLines/>
              <w:spacing w:before="20" w:after="20" w:line="240" w:lineRule="auto"/>
              <w:rPr>
                <w:rFonts w:asciiTheme="minorHAnsi" w:hAnsiTheme="minorHAnsi"/>
                <w:color w:val="000000"/>
                <w:sz w:val="18"/>
                <w:szCs w:val="18"/>
              </w:rPr>
            </w:pPr>
            <w:r w:rsidRPr="00CA0EA9">
              <w:rPr>
                <w:rFonts w:asciiTheme="minorHAnsi" w:hAnsiTheme="minorHAnsi"/>
                <w:color w:val="000000"/>
                <w:sz w:val="18"/>
                <w:szCs w:val="18"/>
              </w:rPr>
              <w:t>CT</w:t>
            </w:r>
          </w:p>
        </w:tc>
        <w:tc>
          <w:tcPr>
            <w:tcW w:w="1061" w:type="dxa"/>
            <w:shd w:val="clear" w:color="auto" w:fill="CCEAF9" w:themeFill="accent1" w:themeFillTint="33"/>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i/>
                <w:color w:val="000000"/>
                <w:sz w:val="18"/>
                <w:szCs w:val="18"/>
              </w:rPr>
              <w:t>2,305</w:t>
            </w:r>
          </w:p>
        </w:tc>
        <w:tc>
          <w:tcPr>
            <w:tcW w:w="958" w:type="dxa"/>
            <w:shd w:val="clear" w:color="auto" w:fill="CCEAF9" w:themeFill="accent1" w:themeFillTint="33"/>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i/>
                <w:color w:val="000000"/>
                <w:sz w:val="18"/>
                <w:szCs w:val="18"/>
              </w:rPr>
              <w:t>100</w:t>
            </w:r>
          </w:p>
        </w:tc>
        <w:tc>
          <w:tcPr>
            <w:tcW w:w="958" w:type="dxa"/>
            <w:shd w:val="clear" w:color="auto" w:fill="CCEAF9" w:themeFill="accent1" w:themeFillTint="33"/>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i/>
                <w:color w:val="000000"/>
                <w:sz w:val="18"/>
                <w:szCs w:val="18"/>
              </w:rPr>
              <w:t>27</w:t>
            </w:r>
          </w:p>
        </w:tc>
        <w:tc>
          <w:tcPr>
            <w:tcW w:w="1061" w:type="dxa"/>
            <w:shd w:val="clear" w:color="auto" w:fill="CCEAF9" w:themeFill="accent1" w:themeFillTint="33"/>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i/>
                <w:color w:val="000000"/>
                <w:sz w:val="18"/>
                <w:szCs w:val="18"/>
              </w:rPr>
              <w:t>2,586</w:t>
            </w:r>
          </w:p>
        </w:tc>
        <w:tc>
          <w:tcPr>
            <w:tcW w:w="958" w:type="dxa"/>
            <w:shd w:val="clear" w:color="auto" w:fill="CCEAF9" w:themeFill="accent1" w:themeFillTint="33"/>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i/>
                <w:color w:val="000000"/>
                <w:sz w:val="18"/>
                <w:szCs w:val="18"/>
              </w:rPr>
              <w:t>100</w:t>
            </w:r>
          </w:p>
        </w:tc>
        <w:tc>
          <w:tcPr>
            <w:tcW w:w="958" w:type="dxa"/>
            <w:shd w:val="clear" w:color="auto" w:fill="CCEAF9" w:themeFill="accent1" w:themeFillTint="33"/>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i/>
                <w:color w:val="000000"/>
                <w:sz w:val="18"/>
                <w:szCs w:val="18"/>
              </w:rPr>
              <w:t>29</w:t>
            </w:r>
          </w:p>
        </w:tc>
      </w:tr>
      <w:tr w:rsidR="00DB20B1" w:rsidRPr="00CA0EA9" w:rsidTr="00CA0EA9">
        <w:trPr>
          <w:trHeight w:val="144"/>
          <w:jc w:val="right"/>
        </w:trPr>
        <w:tc>
          <w:tcPr>
            <w:tcW w:w="1285" w:type="dxa"/>
            <w:tcBorders>
              <w:left w:val="single" w:sz="2" w:space="0" w:color="62777F" w:themeColor="text1"/>
            </w:tcBorders>
            <w:noWrap/>
            <w:tcMar>
              <w:left w:w="115" w:type="dxa"/>
              <w:right w:w="115" w:type="dxa"/>
            </w:tcMar>
            <w:vAlign w:val="center"/>
            <w:hideMark/>
          </w:tcPr>
          <w:p w:rsidR="00DB20B1" w:rsidRPr="00CA0EA9" w:rsidRDefault="00DB20B1" w:rsidP="00DB20B1">
            <w:pPr>
              <w:keepNext/>
              <w:keepLines/>
              <w:spacing w:before="20" w:after="20" w:line="240" w:lineRule="auto"/>
              <w:rPr>
                <w:rFonts w:asciiTheme="minorHAnsi" w:hAnsiTheme="minorHAnsi"/>
                <w:b/>
                <w:color w:val="000000"/>
                <w:sz w:val="18"/>
                <w:szCs w:val="18"/>
              </w:rPr>
            </w:pPr>
            <w:r w:rsidRPr="00CA0EA9">
              <w:rPr>
                <w:rFonts w:asciiTheme="minorHAnsi" w:hAnsiTheme="minorHAnsi"/>
                <w:b/>
                <w:color w:val="000000"/>
                <w:sz w:val="18"/>
                <w:szCs w:val="18"/>
              </w:rPr>
              <w:t>NOR</w:t>
            </w:r>
          </w:p>
        </w:tc>
        <w:tc>
          <w:tcPr>
            <w:tcW w:w="1266" w:type="dxa"/>
            <w:noWrap/>
            <w:tcMar>
              <w:left w:w="115" w:type="dxa"/>
              <w:right w:w="115" w:type="dxa"/>
            </w:tcMar>
            <w:vAlign w:val="center"/>
            <w:hideMark/>
          </w:tcPr>
          <w:p w:rsidR="00DB20B1" w:rsidRPr="00CA0EA9" w:rsidRDefault="00DB20B1" w:rsidP="00DB20B1">
            <w:pPr>
              <w:keepNext/>
              <w:keepLines/>
              <w:spacing w:before="20" w:after="20" w:line="240" w:lineRule="auto"/>
              <w:rPr>
                <w:rFonts w:asciiTheme="minorHAnsi" w:hAnsiTheme="minorHAnsi"/>
                <w:color w:val="000000"/>
                <w:sz w:val="18"/>
                <w:szCs w:val="18"/>
              </w:rPr>
            </w:pPr>
            <w:r w:rsidRPr="00CA0EA9">
              <w:rPr>
                <w:rFonts w:asciiTheme="minorHAnsi" w:hAnsiTheme="minorHAnsi"/>
                <w:color w:val="000000"/>
                <w:sz w:val="18"/>
                <w:szCs w:val="18"/>
              </w:rPr>
              <w:t>Connecticut</w:t>
            </w:r>
          </w:p>
        </w:tc>
        <w:tc>
          <w:tcPr>
            <w:tcW w:w="942" w:type="dxa"/>
            <w:noWrap/>
            <w:tcMar>
              <w:left w:w="115" w:type="dxa"/>
              <w:right w:w="115" w:type="dxa"/>
            </w:tcMar>
            <w:vAlign w:val="center"/>
            <w:hideMark/>
          </w:tcPr>
          <w:p w:rsidR="00DB20B1" w:rsidRPr="00CA0EA9" w:rsidRDefault="00DB20B1" w:rsidP="00DB20B1">
            <w:pPr>
              <w:keepNext/>
              <w:keepLines/>
              <w:spacing w:before="20" w:after="20" w:line="240" w:lineRule="auto"/>
              <w:rPr>
                <w:rFonts w:asciiTheme="minorHAnsi" w:hAnsiTheme="minorHAnsi"/>
                <w:color w:val="000000"/>
                <w:sz w:val="18"/>
                <w:szCs w:val="18"/>
              </w:rPr>
            </w:pPr>
            <w:r w:rsidRPr="00CA0EA9">
              <w:rPr>
                <w:rFonts w:asciiTheme="minorHAnsi" w:hAnsiTheme="minorHAnsi"/>
                <w:color w:val="000000"/>
                <w:sz w:val="18"/>
                <w:szCs w:val="18"/>
              </w:rPr>
              <w:t>CT</w:t>
            </w:r>
          </w:p>
        </w:tc>
        <w:tc>
          <w:tcPr>
            <w:tcW w:w="1061" w:type="dxa"/>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i/>
                <w:color w:val="000000"/>
                <w:sz w:val="18"/>
                <w:szCs w:val="18"/>
              </w:rPr>
              <w:t>170</w:t>
            </w:r>
          </w:p>
        </w:tc>
        <w:tc>
          <w:tcPr>
            <w:tcW w:w="958" w:type="dxa"/>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i/>
                <w:color w:val="000000"/>
                <w:sz w:val="18"/>
                <w:szCs w:val="18"/>
              </w:rPr>
              <w:t>100</w:t>
            </w:r>
          </w:p>
        </w:tc>
        <w:tc>
          <w:tcPr>
            <w:tcW w:w="958" w:type="dxa"/>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i/>
                <w:color w:val="000000"/>
                <w:sz w:val="18"/>
                <w:szCs w:val="18"/>
              </w:rPr>
              <w:t>2</w:t>
            </w:r>
          </w:p>
        </w:tc>
        <w:tc>
          <w:tcPr>
            <w:tcW w:w="1061" w:type="dxa"/>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i/>
                <w:color w:val="000000"/>
                <w:sz w:val="18"/>
                <w:szCs w:val="18"/>
              </w:rPr>
              <w:t>191</w:t>
            </w:r>
          </w:p>
        </w:tc>
        <w:tc>
          <w:tcPr>
            <w:tcW w:w="958" w:type="dxa"/>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i/>
                <w:color w:val="000000"/>
                <w:sz w:val="18"/>
                <w:szCs w:val="18"/>
              </w:rPr>
              <w:t>100</w:t>
            </w:r>
          </w:p>
        </w:tc>
        <w:tc>
          <w:tcPr>
            <w:tcW w:w="958" w:type="dxa"/>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i/>
                <w:color w:val="000000"/>
                <w:sz w:val="18"/>
                <w:szCs w:val="18"/>
              </w:rPr>
              <w:t>2</w:t>
            </w:r>
          </w:p>
        </w:tc>
      </w:tr>
      <w:tr w:rsidR="00DB20B1" w:rsidRPr="00CA0EA9" w:rsidTr="006E67FC">
        <w:trPr>
          <w:trHeight w:val="301"/>
          <w:jc w:val="right"/>
        </w:trPr>
        <w:tc>
          <w:tcPr>
            <w:tcW w:w="1285" w:type="dxa"/>
            <w:tcBorders>
              <w:left w:val="single" w:sz="2" w:space="0" w:color="62777F" w:themeColor="text1"/>
            </w:tcBorders>
            <w:shd w:val="clear" w:color="auto" w:fill="1795D2" w:themeFill="accent1"/>
            <w:noWrap/>
            <w:tcMar>
              <w:left w:w="115" w:type="dxa"/>
              <w:right w:w="115" w:type="dxa"/>
            </w:tcMar>
            <w:vAlign w:val="center"/>
            <w:hideMark/>
          </w:tcPr>
          <w:p w:rsidR="00DB20B1" w:rsidRPr="00CA0EA9" w:rsidRDefault="00DB20B1" w:rsidP="00DB20B1">
            <w:pPr>
              <w:keepNext/>
              <w:keepLines/>
              <w:spacing w:before="20" w:after="20" w:line="240" w:lineRule="auto"/>
              <w:rPr>
                <w:rFonts w:asciiTheme="minorHAnsi" w:hAnsiTheme="minorHAnsi"/>
                <w:b/>
                <w:bCs/>
                <w:color w:val="FFFFFF" w:themeColor="background1"/>
                <w:sz w:val="18"/>
                <w:szCs w:val="18"/>
              </w:rPr>
            </w:pPr>
            <w:r w:rsidRPr="00CA0EA9">
              <w:rPr>
                <w:rFonts w:asciiTheme="minorHAnsi" w:hAnsiTheme="minorHAnsi"/>
                <w:b/>
                <w:bCs/>
                <w:color w:val="FFFFFF" w:themeColor="background1"/>
                <w:sz w:val="18"/>
                <w:szCs w:val="18"/>
              </w:rPr>
              <w:t>Total</w:t>
            </w:r>
          </w:p>
        </w:tc>
        <w:tc>
          <w:tcPr>
            <w:tcW w:w="2208" w:type="dxa"/>
            <w:gridSpan w:val="2"/>
            <w:shd w:val="clear" w:color="auto" w:fill="1795D2" w:themeFill="accent1"/>
            <w:noWrap/>
            <w:tcMar>
              <w:left w:w="115" w:type="dxa"/>
              <w:right w:w="115" w:type="dxa"/>
            </w:tcMar>
            <w:vAlign w:val="center"/>
            <w:hideMark/>
          </w:tcPr>
          <w:p w:rsidR="00DB20B1" w:rsidRPr="00CA0EA9" w:rsidRDefault="00DB20B1" w:rsidP="00DB20B1">
            <w:pPr>
              <w:keepNext/>
              <w:keepLines/>
              <w:spacing w:before="20" w:after="20" w:line="240" w:lineRule="auto"/>
              <w:rPr>
                <w:rFonts w:asciiTheme="minorHAnsi" w:hAnsiTheme="minorHAnsi"/>
                <w:b/>
                <w:bCs/>
                <w:color w:val="FFFFFF" w:themeColor="background1"/>
                <w:sz w:val="18"/>
                <w:szCs w:val="18"/>
              </w:rPr>
            </w:pPr>
          </w:p>
        </w:tc>
        <w:tc>
          <w:tcPr>
            <w:tcW w:w="1061" w:type="dxa"/>
            <w:shd w:val="clear" w:color="auto" w:fill="1795D2" w:themeFill="accent1"/>
            <w:noWrap/>
            <w:tcMar>
              <w:left w:w="115" w:type="dxa"/>
              <w:right w:w="115" w:type="dxa"/>
            </w:tcMar>
            <w:vAlign w:val="center"/>
            <w:hideMark/>
          </w:tcPr>
          <w:p w:rsidR="00DB20B1" w:rsidRPr="00CA0EA9" w:rsidRDefault="00DB20B1" w:rsidP="00DB20B1">
            <w:pPr>
              <w:keepNext/>
              <w:keepLines/>
              <w:spacing w:before="20" w:after="20" w:line="240" w:lineRule="auto"/>
              <w:jc w:val="right"/>
              <w:rPr>
                <w:rFonts w:asciiTheme="minorHAnsi" w:hAnsiTheme="minorHAnsi"/>
                <w:b/>
                <w:bCs/>
                <w:color w:val="FFFFFF" w:themeColor="background1"/>
                <w:sz w:val="18"/>
                <w:szCs w:val="18"/>
              </w:rPr>
            </w:pPr>
            <w:r w:rsidRPr="00CA0EA9">
              <w:rPr>
                <w:rFonts w:asciiTheme="minorHAnsi" w:hAnsiTheme="minorHAnsi"/>
                <w:b/>
                <w:bCs/>
                <w:color w:val="FFFFFF" w:themeColor="background1"/>
                <w:sz w:val="18"/>
                <w:szCs w:val="18"/>
              </w:rPr>
              <w:t>29,174</w:t>
            </w:r>
          </w:p>
        </w:tc>
        <w:tc>
          <w:tcPr>
            <w:tcW w:w="1916" w:type="dxa"/>
            <w:gridSpan w:val="2"/>
            <w:shd w:val="clear" w:color="auto" w:fill="1795D2" w:themeFill="accent1"/>
            <w:noWrap/>
            <w:tcMar>
              <w:left w:w="115" w:type="dxa"/>
              <w:right w:w="115" w:type="dxa"/>
            </w:tcMar>
            <w:vAlign w:val="center"/>
            <w:hideMark/>
          </w:tcPr>
          <w:p w:rsidR="00DB20B1" w:rsidRPr="00CA0EA9" w:rsidRDefault="00DB20B1" w:rsidP="00DB20B1">
            <w:pPr>
              <w:keepNext/>
              <w:keepLines/>
              <w:spacing w:before="20" w:after="20" w:line="240" w:lineRule="auto"/>
              <w:jc w:val="right"/>
              <w:rPr>
                <w:rFonts w:asciiTheme="minorHAnsi" w:hAnsiTheme="minorHAnsi"/>
                <w:b/>
                <w:bCs/>
                <w:color w:val="FFFFFF" w:themeColor="background1"/>
                <w:sz w:val="18"/>
                <w:szCs w:val="18"/>
              </w:rPr>
            </w:pPr>
            <w:r w:rsidRPr="00CA0EA9">
              <w:rPr>
                <w:rFonts w:asciiTheme="minorHAnsi" w:hAnsiTheme="minorHAnsi"/>
                <w:b/>
                <w:bCs/>
                <w:color w:val="FFFFFF" w:themeColor="background1"/>
                <w:sz w:val="18"/>
                <w:szCs w:val="18"/>
              </w:rPr>
              <w:t> </w:t>
            </w:r>
          </w:p>
        </w:tc>
        <w:tc>
          <w:tcPr>
            <w:tcW w:w="1061" w:type="dxa"/>
            <w:shd w:val="clear" w:color="auto" w:fill="1795D2" w:themeFill="accent1"/>
            <w:noWrap/>
            <w:tcMar>
              <w:left w:w="115" w:type="dxa"/>
              <w:right w:w="115" w:type="dxa"/>
            </w:tcMar>
            <w:vAlign w:val="center"/>
            <w:hideMark/>
          </w:tcPr>
          <w:p w:rsidR="00DB20B1" w:rsidRPr="00CA0EA9" w:rsidRDefault="00DB20B1" w:rsidP="00DB20B1">
            <w:pPr>
              <w:keepNext/>
              <w:keepLines/>
              <w:spacing w:before="20" w:after="20" w:line="240" w:lineRule="auto"/>
              <w:jc w:val="right"/>
              <w:rPr>
                <w:rFonts w:asciiTheme="minorHAnsi" w:hAnsiTheme="minorHAnsi"/>
                <w:b/>
                <w:bCs/>
                <w:color w:val="FFFFFF" w:themeColor="background1"/>
                <w:sz w:val="18"/>
                <w:szCs w:val="18"/>
              </w:rPr>
            </w:pPr>
            <w:r w:rsidRPr="00CA0EA9">
              <w:rPr>
                <w:rFonts w:asciiTheme="minorHAnsi" w:hAnsiTheme="minorHAnsi"/>
                <w:b/>
                <w:bCs/>
                <w:color w:val="FFFFFF" w:themeColor="background1"/>
                <w:sz w:val="18"/>
                <w:szCs w:val="18"/>
              </w:rPr>
              <w:t>33,157</w:t>
            </w:r>
          </w:p>
        </w:tc>
        <w:tc>
          <w:tcPr>
            <w:tcW w:w="1916" w:type="dxa"/>
            <w:gridSpan w:val="2"/>
            <w:shd w:val="clear" w:color="auto" w:fill="1795D2" w:themeFill="accent1"/>
            <w:noWrap/>
            <w:tcMar>
              <w:left w:w="115" w:type="dxa"/>
              <w:right w:w="115" w:type="dxa"/>
            </w:tcMar>
            <w:vAlign w:val="center"/>
            <w:hideMark/>
          </w:tcPr>
          <w:p w:rsidR="00DB20B1" w:rsidRPr="00CA0EA9" w:rsidRDefault="00DB20B1" w:rsidP="00DB20B1">
            <w:pPr>
              <w:keepNext/>
              <w:keepLines/>
              <w:spacing w:before="20" w:after="20" w:line="240" w:lineRule="auto"/>
              <w:jc w:val="right"/>
              <w:rPr>
                <w:rFonts w:asciiTheme="minorHAnsi" w:hAnsiTheme="minorHAnsi"/>
                <w:b/>
                <w:bCs/>
                <w:color w:val="FFFFFF" w:themeColor="background1"/>
                <w:sz w:val="18"/>
                <w:szCs w:val="18"/>
              </w:rPr>
            </w:pPr>
            <w:r w:rsidRPr="00CA0EA9">
              <w:rPr>
                <w:rFonts w:asciiTheme="minorHAnsi" w:hAnsiTheme="minorHAnsi"/>
                <w:b/>
                <w:bCs/>
                <w:color w:val="FFFFFF" w:themeColor="background1"/>
                <w:sz w:val="18"/>
                <w:szCs w:val="18"/>
              </w:rPr>
              <w:t> </w:t>
            </w:r>
          </w:p>
        </w:tc>
      </w:tr>
    </w:tbl>
    <w:p w:rsidR="00B47695" w:rsidRPr="00B47695" w:rsidRDefault="00B47695" w:rsidP="00CA0EA9">
      <w:pPr>
        <w:keepNext/>
        <w:keepLines/>
        <w:spacing w:before="120" w:after="80" w:line="240" w:lineRule="auto"/>
        <w:ind w:left="-450" w:right="-86"/>
        <w:rPr>
          <w:rFonts w:asciiTheme="minorHAnsi" w:hAnsiTheme="minorHAnsi"/>
          <w:snapToGrid w:val="0"/>
          <w:sz w:val="16"/>
          <w:szCs w:val="16"/>
        </w:rPr>
      </w:pPr>
      <w:r w:rsidRPr="00B47695">
        <w:rPr>
          <w:rFonts w:asciiTheme="minorHAnsi" w:hAnsiTheme="minorHAnsi"/>
          <w:snapToGrid w:val="0"/>
          <w:sz w:val="16"/>
          <w:szCs w:val="16"/>
        </w:rPr>
        <w:t>(a) Totals may vary because of rounding.</w:t>
      </w:r>
    </w:p>
    <w:p w:rsidR="00B47695" w:rsidRPr="00B47695" w:rsidRDefault="00B47695" w:rsidP="00CA0EA9">
      <w:pPr>
        <w:spacing w:line="240" w:lineRule="auto"/>
        <w:ind w:left="-450" w:right="-86"/>
        <w:rPr>
          <w:rFonts w:asciiTheme="minorHAnsi" w:hAnsiTheme="minorHAnsi"/>
          <w:snapToGrid w:val="0"/>
          <w:sz w:val="16"/>
          <w:szCs w:val="16"/>
        </w:rPr>
      </w:pPr>
      <w:r w:rsidRPr="00B47695">
        <w:rPr>
          <w:rFonts w:asciiTheme="minorHAnsi" w:hAnsiTheme="minorHAnsi"/>
          <w:snapToGrid w:val="0"/>
          <w:sz w:val="16"/>
          <w:szCs w:val="16"/>
        </w:rPr>
        <w:t>(b) The values shown are seasonal claimed capability are based on the 2017 CELT.</w:t>
      </w:r>
    </w:p>
    <w:p w:rsidR="00B47695" w:rsidRPr="00B47695" w:rsidRDefault="00B47695" w:rsidP="002B7010">
      <w:pPr>
        <w:pStyle w:val="Heading3"/>
      </w:pPr>
      <w:bookmarkStart w:id="454" w:name="_Ref327873597"/>
      <w:bookmarkStart w:id="455" w:name="_Toc334601036"/>
      <w:bookmarkStart w:id="456" w:name="_Ref231185835"/>
      <w:bookmarkStart w:id="457" w:name="_Toc239157072"/>
      <w:bookmarkStart w:id="458" w:name="_Toc271632227"/>
      <w:bookmarkStart w:id="459" w:name="_Toc303086385"/>
      <w:bookmarkStart w:id="460" w:name="_Toc365441000"/>
      <w:bookmarkStart w:id="461" w:name="_Toc396807630"/>
      <w:bookmarkStart w:id="462" w:name="_Toc429063403"/>
      <w:bookmarkStart w:id="463" w:name="_Toc481053269"/>
      <w:bookmarkStart w:id="464" w:name="_Toc490323035"/>
      <w:r w:rsidRPr="00B47695">
        <w:lastRenderedPageBreak/>
        <w:t>Summer Seasonal Claimed Capability of New England’s Generating Resources</w:t>
      </w:r>
      <w:bookmarkEnd w:id="454"/>
      <w:bookmarkEnd w:id="455"/>
      <w:bookmarkEnd w:id="456"/>
      <w:bookmarkEnd w:id="457"/>
      <w:bookmarkEnd w:id="458"/>
      <w:bookmarkEnd w:id="459"/>
      <w:bookmarkEnd w:id="460"/>
      <w:bookmarkEnd w:id="461"/>
      <w:bookmarkEnd w:id="462"/>
      <w:bookmarkEnd w:id="463"/>
      <w:bookmarkEnd w:id="464"/>
    </w:p>
    <w:p w:rsidR="00B47695" w:rsidRPr="00B47695" w:rsidRDefault="00B47695" w:rsidP="00B47695">
      <w:r w:rsidRPr="00B47695">
        <w:fldChar w:fldCharType="begin"/>
      </w:r>
      <w:r w:rsidRPr="00B47695">
        <w:instrText xml:space="preserve"> REF _Ref357159224 \h  \* MERGEFORMAT </w:instrText>
      </w:r>
      <w:r w:rsidRPr="00B47695">
        <w:fldChar w:fldCharType="separate"/>
      </w:r>
      <w:r w:rsidR="00314781" w:rsidRPr="000162C8" w:rsidDel="001B3935">
        <w:t xml:space="preserve">Table </w:t>
      </w:r>
      <w:r w:rsidR="00314781" w:rsidRPr="000162C8">
        <w:rPr>
          <w:noProof/>
        </w:rPr>
        <w:t>4</w:t>
      </w:r>
      <w:r w:rsidR="00314781" w:rsidRPr="000162C8">
        <w:rPr>
          <w:noProof/>
        </w:rPr>
        <w:noBreakHyphen/>
        <w:t>9</w:t>
      </w:r>
      <w:r w:rsidRPr="00B47695">
        <w:fldChar w:fldCharType="end"/>
      </w:r>
      <w:r w:rsidRPr="00B47695">
        <w:t xml:space="preserve"> shows the megawatt amount of summer seasonal claimed capability of the generating resources, both systemwide and for each RSP subarea, categorized by the assumed operating classification of the resource design. </w:t>
      </w:r>
    </w:p>
    <w:p w:rsidR="00B47695" w:rsidRPr="00B47695" w:rsidDel="001B3935" w:rsidRDefault="00B47695" w:rsidP="00B47695">
      <w:pPr>
        <w:spacing w:after="120" w:line="240" w:lineRule="auto"/>
        <w:ind w:left="547" w:right="547"/>
        <w:jc w:val="center"/>
        <w:rPr>
          <w:rFonts w:ascii="Calibri" w:hAnsi="Calibri"/>
          <w:b/>
          <w:bCs/>
          <w:szCs w:val="18"/>
        </w:rPr>
      </w:pPr>
      <w:bookmarkStart w:id="465" w:name="_Ref357159224"/>
      <w:bookmarkStart w:id="466" w:name="_Toc365440712"/>
      <w:bookmarkStart w:id="467" w:name="_Toc391985613"/>
      <w:bookmarkStart w:id="468" w:name="_Toc429063565"/>
      <w:bookmarkStart w:id="469" w:name="_Toc481053568"/>
      <w:bookmarkStart w:id="470" w:name="_Toc491244013"/>
      <w:r w:rsidRPr="00B47695" w:rsidDel="001B3935">
        <w:rPr>
          <w:rFonts w:ascii="Calibri" w:hAnsi="Calibri"/>
          <w:b/>
          <w:bCs/>
          <w:szCs w:val="18"/>
        </w:rPr>
        <w:t xml:space="preserve">Table </w:t>
      </w:r>
      <w:r w:rsidR="00D95957">
        <w:rPr>
          <w:rFonts w:ascii="Calibri" w:hAnsi="Calibri"/>
          <w:b/>
          <w:bCs/>
          <w:szCs w:val="18"/>
        </w:rPr>
        <w:fldChar w:fldCharType="begin"/>
      </w:r>
      <w:r w:rsidR="00D95957">
        <w:rPr>
          <w:rFonts w:ascii="Calibri" w:hAnsi="Calibri"/>
          <w:b/>
          <w:bCs/>
          <w:szCs w:val="18"/>
        </w:rPr>
        <w:instrText xml:space="preserve"> STYLEREF 1 \s </w:instrText>
      </w:r>
      <w:r w:rsidR="00D95957">
        <w:rPr>
          <w:rFonts w:ascii="Calibri" w:hAnsi="Calibri"/>
          <w:b/>
          <w:bCs/>
          <w:szCs w:val="18"/>
        </w:rPr>
        <w:fldChar w:fldCharType="separate"/>
      </w:r>
      <w:r w:rsidR="00D95957">
        <w:rPr>
          <w:rFonts w:ascii="Calibri" w:hAnsi="Calibri"/>
          <w:b/>
          <w:bCs/>
          <w:noProof/>
          <w:szCs w:val="18"/>
        </w:rPr>
        <w:t>4</w:t>
      </w:r>
      <w:r w:rsidR="00D95957">
        <w:rPr>
          <w:rFonts w:ascii="Calibri" w:hAnsi="Calibri"/>
          <w:b/>
          <w:bCs/>
          <w:szCs w:val="18"/>
        </w:rPr>
        <w:fldChar w:fldCharType="end"/>
      </w:r>
      <w:r w:rsidR="00D95957">
        <w:rPr>
          <w:rFonts w:ascii="Calibri" w:hAnsi="Calibri"/>
          <w:b/>
          <w:bCs/>
          <w:szCs w:val="18"/>
        </w:rPr>
        <w:noBreakHyphen/>
      </w:r>
      <w:r w:rsidR="00D95957">
        <w:rPr>
          <w:rFonts w:ascii="Calibri" w:hAnsi="Calibri"/>
          <w:b/>
          <w:bCs/>
          <w:szCs w:val="18"/>
        </w:rPr>
        <w:fldChar w:fldCharType="begin"/>
      </w:r>
      <w:r w:rsidR="00D95957">
        <w:rPr>
          <w:rFonts w:ascii="Calibri" w:hAnsi="Calibri"/>
          <w:b/>
          <w:bCs/>
          <w:szCs w:val="18"/>
        </w:rPr>
        <w:instrText xml:space="preserve"> SEQ Table \* ARABIC \s 1 </w:instrText>
      </w:r>
      <w:r w:rsidR="00D95957">
        <w:rPr>
          <w:rFonts w:ascii="Calibri" w:hAnsi="Calibri"/>
          <w:b/>
          <w:bCs/>
          <w:szCs w:val="18"/>
        </w:rPr>
        <w:fldChar w:fldCharType="separate"/>
      </w:r>
      <w:r w:rsidR="00D95957">
        <w:rPr>
          <w:rFonts w:ascii="Calibri" w:hAnsi="Calibri"/>
          <w:b/>
          <w:bCs/>
          <w:noProof/>
          <w:szCs w:val="18"/>
        </w:rPr>
        <w:t>9</w:t>
      </w:r>
      <w:r w:rsidR="00D95957">
        <w:rPr>
          <w:rFonts w:ascii="Calibri" w:hAnsi="Calibri"/>
          <w:b/>
          <w:bCs/>
          <w:szCs w:val="18"/>
        </w:rPr>
        <w:fldChar w:fldCharType="end"/>
      </w:r>
      <w:bookmarkEnd w:id="465"/>
      <w:r w:rsidRPr="00B47695" w:rsidDel="001B3935">
        <w:rPr>
          <w:rFonts w:ascii="Calibri" w:hAnsi="Calibri"/>
          <w:b/>
          <w:bCs/>
          <w:szCs w:val="18"/>
        </w:rPr>
        <w:t xml:space="preserve"> </w:t>
      </w:r>
      <w:r w:rsidRPr="00B47695" w:rsidDel="001B3935">
        <w:rPr>
          <w:rFonts w:ascii="Calibri" w:hAnsi="Calibri"/>
          <w:b/>
          <w:bCs/>
          <w:szCs w:val="18"/>
        </w:rPr>
        <w:br/>
        <w:t>201</w:t>
      </w:r>
      <w:r w:rsidRPr="00B47695">
        <w:rPr>
          <w:rFonts w:ascii="Calibri" w:hAnsi="Calibri"/>
          <w:b/>
          <w:bCs/>
          <w:szCs w:val="18"/>
        </w:rPr>
        <w:t>7</w:t>
      </w:r>
      <w:r w:rsidRPr="00B47695" w:rsidDel="001B3935">
        <w:rPr>
          <w:rFonts w:ascii="Calibri" w:hAnsi="Calibri"/>
          <w:b/>
          <w:bCs/>
          <w:szCs w:val="18"/>
        </w:rPr>
        <w:t xml:space="preserve"> Summer Seasonal Claimed Capability for ISO New England Generating Resources,</w:t>
      </w:r>
      <w:r w:rsidRPr="00B47695" w:rsidDel="001B3935">
        <w:rPr>
          <w:rFonts w:ascii="Calibri" w:hAnsi="Calibri"/>
          <w:b/>
          <w:bCs/>
          <w:szCs w:val="18"/>
        </w:rPr>
        <w:br/>
        <w:t>by Assumed Operating Classification, Systemwide and by RSP Subarea (MW)</w:t>
      </w:r>
      <w:bookmarkEnd w:id="466"/>
      <w:bookmarkEnd w:id="467"/>
      <w:bookmarkEnd w:id="468"/>
      <w:bookmarkEnd w:id="469"/>
      <w:bookmarkEnd w:id="470"/>
    </w:p>
    <w:tbl>
      <w:tblPr>
        <w:tblStyle w:val="TableGrid22"/>
        <w:tblW w:w="0" w:type="auto"/>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1152"/>
        <w:gridCol w:w="1152"/>
        <w:gridCol w:w="1337"/>
        <w:gridCol w:w="1152"/>
        <w:gridCol w:w="1282"/>
      </w:tblGrid>
      <w:tr w:rsidR="00B47695" w:rsidRPr="00B47695" w:rsidDel="001B3935" w:rsidTr="00EB6138">
        <w:trPr>
          <w:trHeight w:val="305"/>
          <w:jc w:val="center"/>
        </w:trPr>
        <w:tc>
          <w:tcPr>
            <w:tcW w:w="1152" w:type="dxa"/>
            <w:shd w:val="clear" w:color="auto" w:fill="1795D2" w:themeFill="accent1"/>
            <w:vAlign w:val="center"/>
          </w:tcPr>
          <w:p w:rsidR="00B47695" w:rsidRPr="00B47695" w:rsidDel="001B3935" w:rsidRDefault="00B47695" w:rsidP="00B47695">
            <w:pPr>
              <w:keepNext/>
              <w:keepLines/>
              <w:spacing w:before="40" w:after="40" w:line="240" w:lineRule="auto"/>
              <w:jc w:val="center"/>
              <w:rPr>
                <w:rFonts w:asciiTheme="minorHAnsi" w:hAnsiTheme="minorHAnsi"/>
                <w:sz w:val="18"/>
                <w:szCs w:val="18"/>
              </w:rPr>
            </w:pPr>
            <w:r w:rsidRPr="00B47695" w:rsidDel="001B3935">
              <w:rPr>
                <w:rFonts w:ascii="Calibri" w:hAnsi="Calibri" w:cs="Arial"/>
                <w:b/>
                <w:bCs/>
                <w:color w:val="FFFFFF"/>
                <w:sz w:val="18"/>
                <w:szCs w:val="18"/>
              </w:rPr>
              <w:t>Area</w:t>
            </w:r>
          </w:p>
        </w:tc>
        <w:tc>
          <w:tcPr>
            <w:tcW w:w="1152" w:type="dxa"/>
            <w:shd w:val="clear" w:color="auto" w:fill="1795D2" w:themeFill="accent1"/>
            <w:vAlign w:val="center"/>
          </w:tcPr>
          <w:p w:rsidR="00B47695" w:rsidRPr="00B47695" w:rsidDel="001B3935" w:rsidRDefault="00B47695" w:rsidP="00B47695">
            <w:pPr>
              <w:keepNext/>
              <w:keepLines/>
              <w:spacing w:before="40" w:after="40" w:line="240" w:lineRule="auto"/>
              <w:jc w:val="center"/>
              <w:rPr>
                <w:rFonts w:asciiTheme="minorHAnsi" w:hAnsiTheme="minorHAnsi"/>
                <w:sz w:val="18"/>
                <w:szCs w:val="18"/>
              </w:rPr>
            </w:pPr>
            <w:r w:rsidRPr="00B47695" w:rsidDel="001B3935">
              <w:rPr>
                <w:rFonts w:ascii="Calibri" w:hAnsi="Calibri" w:cs="Arial"/>
                <w:b/>
                <w:bCs/>
                <w:color w:val="FFFFFF"/>
                <w:sz w:val="18"/>
                <w:szCs w:val="18"/>
              </w:rPr>
              <w:t>Baseload</w:t>
            </w:r>
            <w:r w:rsidRPr="00B47695" w:rsidDel="001B3935">
              <w:rPr>
                <w:rFonts w:ascii="Calibri" w:hAnsi="Calibri" w:cs="Arial"/>
                <w:b/>
                <w:bCs/>
                <w:color w:val="FFFFFF"/>
                <w:sz w:val="18"/>
                <w:szCs w:val="18"/>
                <w:vertAlign w:val="superscript"/>
              </w:rPr>
              <w:t>(a)</w:t>
            </w:r>
          </w:p>
        </w:tc>
        <w:tc>
          <w:tcPr>
            <w:tcW w:w="1337" w:type="dxa"/>
            <w:shd w:val="clear" w:color="auto" w:fill="1795D2" w:themeFill="accent1"/>
            <w:vAlign w:val="center"/>
          </w:tcPr>
          <w:p w:rsidR="00B47695" w:rsidRPr="00B47695" w:rsidDel="001B3935" w:rsidRDefault="00B47695" w:rsidP="00B47695">
            <w:pPr>
              <w:keepNext/>
              <w:keepLines/>
              <w:spacing w:before="40" w:after="40" w:line="240" w:lineRule="auto"/>
              <w:jc w:val="center"/>
              <w:rPr>
                <w:rFonts w:asciiTheme="minorHAnsi" w:hAnsiTheme="minorHAnsi"/>
                <w:sz w:val="18"/>
                <w:szCs w:val="18"/>
              </w:rPr>
            </w:pPr>
            <w:r w:rsidRPr="00B47695" w:rsidDel="001B3935">
              <w:rPr>
                <w:rFonts w:ascii="Calibri" w:hAnsi="Calibri" w:cs="Arial"/>
                <w:b/>
                <w:bCs/>
                <w:color w:val="FFFFFF"/>
                <w:sz w:val="18"/>
                <w:szCs w:val="18"/>
              </w:rPr>
              <w:t>Intermediate</w:t>
            </w:r>
            <w:r w:rsidRPr="00B47695" w:rsidDel="001B3935">
              <w:rPr>
                <w:rFonts w:ascii="Calibri" w:hAnsi="Calibri" w:cs="Arial"/>
                <w:b/>
                <w:bCs/>
                <w:color w:val="FFFFFF"/>
                <w:sz w:val="18"/>
                <w:szCs w:val="18"/>
                <w:vertAlign w:val="superscript"/>
              </w:rPr>
              <w:t>(b)</w:t>
            </w:r>
          </w:p>
        </w:tc>
        <w:tc>
          <w:tcPr>
            <w:tcW w:w="1152" w:type="dxa"/>
            <w:shd w:val="clear" w:color="auto" w:fill="1795D2" w:themeFill="accent1"/>
            <w:vAlign w:val="center"/>
          </w:tcPr>
          <w:p w:rsidR="00B47695" w:rsidRPr="00B47695" w:rsidDel="001B3935" w:rsidRDefault="00B47695" w:rsidP="00B47695">
            <w:pPr>
              <w:keepNext/>
              <w:keepLines/>
              <w:spacing w:before="40" w:after="40" w:line="240" w:lineRule="auto"/>
              <w:jc w:val="center"/>
              <w:rPr>
                <w:rFonts w:asciiTheme="minorHAnsi" w:hAnsiTheme="minorHAnsi"/>
                <w:sz w:val="18"/>
                <w:szCs w:val="18"/>
              </w:rPr>
            </w:pPr>
            <w:r w:rsidRPr="00B47695" w:rsidDel="001B3935">
              <w:rPr>
                <w:rFonts w:ascii="Calibri" w:hAnsi="Calibri" w:cs="Arial"/>
                <w:b/>
                <w:bCs/>
                <w:color w:val="FFFFFF"/>
                <w:sz w:val="18"/>
                <w:szCs w:val="18"/>
              </w:rPr>
              <w:t>Peaking</w:t>
            </w:r>
            <w:r w:rsidRPr="00B47695" w:rsidDel="001B3935">
              <w:rPr>
                <w:rFonts w:ascii="Calibri" w:hAnsi="Calibri" w:cs="Arial"/>
                <w:b/>
                <w:bCs/>
                <w:color w:val="FFFFFF"/>
                <w:sz w:val="18"/>
                <w:szCs w:val="18"/>
                <w:vertAlign w:val="superscript"/>
              </w:rPr>
              <w:t>(c)</w:t>
            </w:r>
          </w:p>
        </w:tc>
        <w:tc>
          <w:tcPr>
            <w:tcW w:w="1282" w:type="dxa"/>
            <w:shd w:val="clear" w:color="auto" w:fill="1795D2" w:themeFill="accent1"/>
            <w:vAlign w:val="center"/>
          </w:tcPr>
          <w:p w:rsidR="00B47695" w:rsidRPr="00B47695" w:rsidDel="001B3935" w:rsidRDefault="00B47695" w:rsidP="00B47695">
            <w:pPr>
              <w:keepNext/>
              <w:keepLines/>
              <w:spacing w:before="40" w:after="40" w:line="240" w:lineRule="auto"/>
              <w:jc w:val="center"/>
              <w:rPr>
                <w:rFonts w:asciiTheme="minorHAnsi" w:hAnsiTheme="minorHAnsi"/>
                <w:sz w:val="18"/>
                <w:szCs w:val="18"/>
              </w:rPr>
            </w:pPr>
            <w:r w:rsidRPr="00B47695">
              <w:rPr>
                <w:rFonts w:ascii="Calibri" w:hAnsi="Calibri" w:cs="Arial"/>
                <w:b/>
                <w:bCs/>
                <w:color w:val="FFFFFF"/>
                <w:sz w:val="18"/>
                <w:szCs w:val="18"/>
              </w:rPr>
              <w:t>Variable</w:t>
            </w:r>
            <w:r w:rsidRPr="00B47695" w:rsidDel="001B3935">
              <w:rPr>
                <w:rFonts w:ascii="Calibri" w:hAnsi="Calibri" w:cs="Arial"/>
                <w:b/>
                <w:bCs/>
                <w:color w:val="FFFFFF"/>
                <w:sz w:val="18"/>
                <w:szCs w:val="18"/>
                <w:vertAlign w:val="superscript"/>
              </w:rPr>
              <w:t>(d)</w:t>
            </w:r>
          </w:p>
        </w:tc>
      </w:tr>
      <w:tr w:rsidR="00B47695" w:rsidRPr="00B47695" w:rsidDel="001B3935" w:rsidTr="00B47695">
        <w:trPr>
          <w:jc w:val="center"/>
        </w:trPr>
        <w:tc>
          <w:tcPr>
            <w:tcW w:w="1152" w:type="dxa"/>
            <w:vAlign w:val="center"/>
          </w:tcPr>
          <w:p w:rsidR="00B47695" w:rsidRPr="00B47695" w:rsidDel="001B3935" w:rsidRDefault="00B47695" w:rsidP="00B47695">
            <w:pPr>
              <w:keepNext/>
              <w:keepLines/>
              <w:spacing w:before="40" w:after="40" w:line="240" w:lineRule="auto"/>
              <w:rPr>
                <w:rFonts w:asciiTheme="minorHAnsi" w:hAnsiTheme="minorHAnsi"/>
                <w:sz w:val="18"/>
                <w:szCs w:val="18"/>
              </w:rPr>
            </w:pPr>
            <w:r w:rsidRPr="00B47695" w:rsidDel="001B3935">
              <w:rPr>
                <w:rFonts w:ascii="Calibri" w:hAnsi="Calibri" w:cs="Arial"/>
                <w:b/>
                <w:bCs/>
                <w:color w:val="000000"/>
                <w:sz w:val="18"/>
                <w:szCs w:val="18"/>
              </w:rPr>
              <w:t>BHE</w:t>
            </w:r>
          </w:p>
        </w:tc>
        <w:tc>
          <w:tcPr>
            <w:tcW w:w="1152" w:type="dxa"/>
            <w:vAlign w:val="bottom"/>
          </w:tcPr>
          <w:p w:rsidR="00B47695" w:rsidRPr="00B47695" w:rsidDel="001B3935" w:rsidRDefault="00B47695" w:rsidP="00B47695">
            <w:pPr>
              <w:keepNext/>
              <w:keepLines/>
              <w:spacing w:before="40" w:after="40" w:line="240" w:lineRule="auto"/>
              <w:jc w:val="right"/>
              <w:rPr>
                <w:rFonts w:asciiTheme="minorHAnsi" w:hAnsiTheme="minorHAnsi"/>
                <w:sz w:val="18"/>
                <w:szCs w:val="18"/>
              </w:rPr>
            </w:pPr>
            <w:r w:rsidRPr="00B47695">
              <w:rPr>
                <w:rFonts w:asciiTheme="minorHAnsi" w:hAnsiTheme="minorHAnsi" w:cs="Arial"/>
                <w:color w:val="000000"/>
                <w:sz w:val="18"/>
                <w:szCs w:val="18"/>
              </w:rPr>
              <w:t>122</w:t>
            </w:r>
          </w:p>
        </w:tc>
        <w:tc>
          <w:tcPr>
            <w:tcW w:w="1337" w:type="dxa"/>
            <w:vAlign w:val="bottom"/>
          </w:tcPr>
          <w:p w:rsidR="00B47695" w:rsidRPr="00B47695" w:rsidDel="001B3935" w:rsidRDefault="00B47695" w:rsidP="00B47695">
            <w:pPr>
              <w:keepNext/>
              <w:keepLines/>
              <w:spacing w:before="40" w:after="40" w:line="240" w:lineRule="auto"/>
              <w:jc w:val="right"/>
              <w:rPr>
                <w:rFonts w:asciiTheme="minorHAnsi" w:hAnsiTheme="minorHAnsi"/>
                <w:sz w:val="18"/>
                <w:szCs w:val="18"/>
              </w:rPr>
            </w:pPr>
            <w:r w:rsidRPr="00B47695">
              <w:rPr>
                <w:rFonts w:asciiTheme="minorHAnsi" w:hAnsiTheme="minorHAnsi" w:cs="Arial"/>
                <w:color w:val="000000"/>
                <w:sz w:val="18"/>
                <w:szCs w:val="18"/>
              </w:rPr>
              <w:t>653</w:t>
            </w:r>
          </w:p>
        </w:tc>
        <w:tc>
          <w:tcPr>
            <w:tcW w:w="1152" w:type="dxa"/>
            <w:vAlign w:val="bottom"/>
          </w:tcPr>
          <w:p w:rsidR="00B47695" w:rsidRPr="00B47695" w:rsidDel="001B3935" w:rsidRDefault="00B47695" w:rsidP="00B47695">
            <w:pPr>
              <w:keepNext/>
              <w:keepLines/>
              <w:spacing w:before="40" w:after="40" w:line="240" w:lineRule="auto"/>
              <w:jc w:val="right"/>
              <w:rPr>
                <w:rFonts w:asciiTheme="minorHAnsi" w:hAnsiTheme="minorHAnsi"/>
                <w:sz w:val="18"/>
                <w:szCs w:val="18"/>
              </w:rPr>
            </w:pPr>
            <w:r w:rsidRPr="00B47695">
              <w:rPr>
                <w:rFonts w:asciiTheme="minorHAnsi" w:hAnsiTheme="minorHAnsi" w:cs="Arial"/>
                <w:color w:val="000000"/>
                <w:sz w:val="18"/>
                <w:szCs w:val="18"/>
              </w:rPr>
              <w:t>0</w:t>
            </w:r>
          </w:p>
        </w:tc>
        <w:tc>
          <w:tcPr>
            <w:tcW w:w="1282" w:type="dxa"/>
            <w:vAlign w:val="bottom"/>
          </w:tcPr>
          <w:p w:rsidR="00B47695" w:rsidRPr="00B47695" w:rsidDel="001B3935" w:rsidRDefault="00B47695" w:rsidP="00B47695">
            <w:pPr>
              <w:keepNext/>
              <w:keepLines/>
              <w:spacing w:before="40" w:after="40" w:line="240" w:lineRule="auto"/>
              <w:jc w:val="right"/>
              <w:rPr>
                <w:rFonts w:asciiTheme="minorHAnsi" w:hAnsiTheme="minorHAnsi"/>
                <w:sz w:val="18"/>
                <w:szCs w:val="18"/>
              </w:rPr>
            </w:pPr>
            <w:r w:rsidRPr="00B47695">
              <w:rPr>
                <w:rFonts w:asciiTheme="minorHAnsi" w:hAnsiTheme="minorHAnsi" w:cs="Arial"/>
                <w:color w:val="000000"/>
                <w:sz w:val="18"/>
                <w:szCs w:val="18"/>
              </w:rPr>
              <w:t>79</w:t>
            </w:r>
          </w:p>
        </w:tc>
      </w:tr>
      <w:tr w:rsidR="00B47695" w:rsidRPr="00B47695" w:rsidDel="001B3935" w:rsidTr="00EB6138">
        <w:trPr>
          <w:jc w:val="center"/>
        </w:trPr>
        <w:tc>
          <w:tcPr>
            <w:tcW w:w="1152" w:type="dxa"/>
            <w:shd w:val="clear" w:color="auto" w:fill="CCEAF9" w:themeFill="accent1" w:themeFillTint="33"/>
            <w:vAlign w:val="center"/>
          </w:tcPr>
          <w:p w:rsidR="00B47695" w:rsidRPr="00B47695" w:rsidDel="001B3935" w:rsidRDefault="00B47695" w:rsidP="00B47695">
            <w:pPr>
              <w:keepNext/>
              <w:keepLines/>
              <w:spacing w:before="40" w:after="40" w:line="240" w:lineRule="auto"/>
              <w:rPr>
                <w:rFonts w:asciiTheme="minorHAnsi" w:hAnsiTheme="minorHAnsi"/>
                <w:sz w:val="18"/>
                <w:szCs w:val="18"/>
              </w:rPr>
            </w:pPr>
            <w:r w:rsidRPr="00B47695" w:rsidDel="001B3935">
              <w:rPr>
                <w:rFonts w:ascii="Calibri" w:hAnsi="Calibri" w:cs="Arial"/>
                <w:b/>
                <w:bCs/>
                <w:color w:val="000000"/>
                <w:sz w:val="18"/>
                <w:szCs w:val="18"/>
              </w:rPr>
              <w:t>BOSTON</w:t>
            </w:r>
          </w:p>
        </w:tc>
        <w:tc>
          <w:tcPr>
            <w:tcW w:w="1152" w:type="dxa"/>
            <w:shd w:val="clear" w:color="auto" w:fill="CCEAF9" w:themeFill="accent1" w:themeFillTint="33"/>
            <w:vAlign w:val="bottom"/>
          </w:tcPr>
          <w:p w:rsidR="00B47695" w:rsidRPr="00B47695" w:rsidDel="001B3935" w:rsidRDefault="00B47695" w:rsidP="00B47695">
            <w:pPr>
              <w:keepNext/>
              <w:keepLines/>
              <w:spacing w:before="40" w:after="40" w:line="240" w:lineRule="auto"/>
              <w:jc w:val="right"/>
              <w:rPr>
                <w:rFonts w:asciiTheme="minorHAnsi" w:hAnsiTheme="minorHAnsi"/>
                <w:sz w:val="18"/>
                <w:szCs w:val="18"/>
              </w:rPr>
            </w:pPr>
            <w:r w:rsidRPr="00B47695">
              <w:rPr>
                <w:rFonts w:asciiTheme="minorHAnsi" w:hAnsiTheme="minorHAnsi" w:cs="Arial"/>
                <w:color w:val="000000"/>
                <w:sz w:val="18"/>
                <w:szCs w:val="18"/>
              </w:rPr>
              <w:t>675</w:t>
            </w:r>
          </w:p>
        </w:tc>
        <w:tc>
          <w:tcPr>
            <w:tcW w:w="1337" w:type="dxa"/>
            <w:shd w:val="clear" w:color="auto" w:fill="CCEAF9" w:themeFill="accent1" w:themeFillTint="33"/>
            <w:vAlign w:val="bottom"/>
          </w:tcPr>
          <w:p w:rsidR="00B47695" w:rsidRPr="00B47695" w:rsidDel="001B3935" w:rsidRDefault="00B47695" w:rsidP="00B47695">
            <w:pPr>
              <w:keepNext/>
              <w:keepLines/>
              <w:spacing w:before="40" w:after="40" w:line="240" w:lineRule="auto"/>
              <w:jc w:val="right"/>
              <w:rPr>
                <w:rFonts w:asciiTheme="minorHAnsi" w:hAnsiTheme="minorHAnsi"/>
                <w:sz w:val="18"/>
                <w:szCs w:val="18"/>
              </w:rPr>
            </w:pPr>
            <w:r w:rsidRPr="00B47695">
              <w:rPr>
                <w:rFonts w:asciiTheme="minorHAnsi" w:hAnsiTheme="minorHAnsi" w:cs="Arial"/>
                <w:color w:val="000000"/>
                <w:sz w:val="18"/>
                <w:szCs w:val="18"/>
              </w:rPr>
              <w:t>1,631</w:t>
            </w:r>
          </w:p>
        </w:tc>
        <w:tc>
          <w:tcPr>
            <w:tcW w:w="1152" w:type="dxa"/>
            <w:shd w:val="clear" w:color="auto" w:fill="CCEAF9" w:themeFill="accent1" w:themeFillTint="33"/>
            <w:vAlign w:val="bottom"/>
          </w:tcPr>
          <w:p w:rsidR="00B47695" w:rsidRPr="00B47695" w:rsidDel="001B3935" w:rsidRDefault="00B47695" w:rsidP="00B47695">
            <w:pPr>
              <w:keepNext/>
              <w:keepLines/>
              <w:spacing w:before="40" w:after="40" w:line="240" w:lineRule="auto"/>
              <w:jc w:val="right"/>
              <w:rPr>
                <w:rFonts w:asciiTheme="minorHAnsi" w:hAnsiTheme="minorHAnsi"/>
                <w:sz w:val="18"/>
                <w:szCs w:val="18"/>
              </w:rPr>
            </w:pPr>
            <w:r w:rsidRPr="00B47695">
              <w:rPr>
                <w:rFonts w:asciiTheme="minorHAnsi" w:hAnsiTheme="minorHAnsi" w:cs="Arial"/>
                <w:color w:val="000000"/>
                <w:sz w:val="18"/>
                <w:szCs w:val="18"/>
              </w:rPr>
              <w:t>240</w:t>
            </w:r>
          </w:p>
        </w:tc>
        <w:tc>
          <w:tcPr>
            <w:tcW w:w="1282" w:type="dxa"/>
            <w:shd w:val="clear" w:color="auto" w:fill="CCEAF9" w:themeFill="accent1" w:themeFillTint="33"/>
            <w:vAlign w:val="bottom"/>
          </w:tcPr>
          <w:p w:rsidR="00B47695" w:rsidRPr="00B47695" w:rsidDel="001B3935" w:rsidRDefault="00B47695" w:rsidP="00B47695">
            <w:pPr>
              <w:keepNext/>
              <w:keepLines/>
              <w:spacing w:before="40" w:after="40" w:line="240" w:lineRule="auto"/>
              <w:jc w:val="right"/>
              <w:rPr>
                <w:rFonts w:asciiTheme="minorHAnsi" w:hAnsiTheme="minorHAnsi"/>
                <w:sz w:val="18"/>
                <w:szCs w:val="18"/>
              </w:rPr>
            </w:pPr>
            <w:r w:rsidRPr="00B47695">
              <w:rPr>
                <w:rFonts w:asciiTheme="minorHAnsi" w:hAnsiTheme="minorHAnsi" w:cs="Arial"/>
                <w:color w:val="000000"/>
                <w:sz w:val="18"/>
                <w:szCs w:val="18"/>
              </w:rPr>
              <w:t>18</w:t>
            </w:r>
          </w:p>
        </w:tc>
      </w:tr>
      <w:tr w:rsidR="00B47695" w:rsidRPr="00B47695" w:rsidDel="001B3935" w:rsidTr="00B47695">
        <w:trPr>
          <w:jc w:val="center"/>
        </w:trPr>
        <w:tc>
          <w:tcPr>
            <w:tcW w:w="1152" w:type="dxa"/>
            <w:vAlign w:val="center"/>
          </w:tcPr>
          <w:p w:rsidR="00B47695" w:rsidRPr="00B47695" w:rsidDel="001B3935" w:rsidRDefault="00B47695" w:rsidP="00B47695">
            <w:pPr>
              <w:keepNext/>
              <w:keepLines/>
              <w:spacing w:before="40" w:after="40" w:line="240" w:lineRule="auto"/>
              <w:rPr>
                <w:rFonts w:asciiTheme="minorHAnsi" w:hAnsiTheme="minorHAnsi"/>
                <w:sz w:val="18"/>
                <w:szCs w:val="18"/>
              </w:rPr>
            </w:pPr>
            <w:r w:rsidRPr="00B47695" w:rsidDel="001B3935">
              <w:rPr>
                <w:rFonts w:ascii="Calibri" w:hAnsi="Calibri" w:cs="Arial"/>
                <w:b/>
                <w:bCs/>
                <w:color w:val="000000"/>
                <w:sz w:val="18"/>
                <w:szCs w:val="18"/>
              </w:rPr>
              <w:t>CMA/NEMA</w:t>
            </w:r>
          </w:p>
        </w:tc>
        <w:tc>
          <w:tcPr>
            <w:tcW w:w="1152" w:type="dxa"/>
            <w:vAlign w:val="bottom"/>
          </w:tcPr>
          <w:p w:rsidR="00B47695" w:rsidRPr="00B47695" w:rsidDel="001B3935" w:rsidRDefault="00B47695" w:rsidP="00B47695">
            <w:pPr>
              <w:keepNext/>
              <w:keepLines/>
              <w:spacing w:before="40" w:after="40" w:line="240" w:lineRule="auto"/>
              <w:jc w:val="right"/>
              <w:rPr>
                <w:rFonts w:asciiTheme="minorHAnsi" w:hAnsiTheme="minorHAnsi"/>
                <w:sz w:val="18"/>
                <w:szCs w:val="18"/>
              </w:rPr>
            </w:pPr>
            <w:r w:rsidRPr="00B47695">
              <w:rPr>
                <w:rFonts w:asciiTheme="minorHAnsi" w:hAnsiTheme="minorHAnsi" w:cs="Arial"/>
                <w:color w:val="000000"/>
                <w:sz w:val="18"/>
                <w:szCs w:val="18"/>
              </w:rPr>
              <w:t>40</w:t>
            </w:r>
          </w:p>
        </w:tc>
        <w:tc>
          <w:tcPr>
            <w:tcW w:w="1337" w:type="dxa"/>
            <w:vAlign w:val="bottom"/>
          </w:tcPr>
          <w:p w:rsidR="00B47695" w:rsidRPr="00B47695" w:rsidDel="001B3935" w:rsidRDefault="00B47695" w:rsidP="00B47695">
            <w:pPr>
              <w:keepNext/>
              <w:keepLines/>
              <w:spacing w:before="40" w:after="40" w:line="240" w:lineRule="auto"/>
              <w:jc w:val="right"/>
              <w:rPr>
                <w:rFonts w:asciiTheme="minorHAnsi" w:hAnsiTheme="minorHAnsi"/>
                <w:sz w:val="18"/>
                <w:szCs w:val="18"/>
              </w:rPr>
            </w:pPr>
            <w:r w:rsidRPr="00B47695">
              <w:rPr>
                <w:rFonts w:asciiTheme="minorHAnsi" w:hAnsiTheme="minorHAnsi" w:cs="Arial"/>
                <w:color w:val="000000"/>
                <w:sz w:val="18"/>
                <w:szCs w:val="18"/>
              </w:rPr>
              <w:t>75</w:t>
            </w:r>
          </w:p>
        </w:tc>
        <w:tc>
          <w:tcPr>
            <w:tcW w:w="1152" w:type="dxa"/>
            <w:vAlign w:val="bottom"/>
          </w:tcPr>
          <w:p w:rsidR="00B47695" w:rsidRPr="00B47695" w:rsidDel="001B3935" w:rsidRDefault="00B47695" w:rsidP="00B47695">
            <w:pPr>
              <w:keepNext/>
              <w:keepLines/>
              <w:spacing w:before="40" w:after="40" w:line="240" w:lineRule="auto"/>
              <w:jc w:val="right"/>
              <w:rPr>
                <w:rFonts w:asciiTheme="minorHAnsi" w:hAnsiTheme="minorHAnsi"/>
                <w:sz w:val="18"/>
                <w:szCs w:val="18"/>
              </w:rPr>
            </w:pPr>
            <w:r w:rsidRPr="00B47695">
              <w:rPr>
                <w:rFonts w:asciiTheme="minorHAnsi" w:hAnsiTheme="minorHAnsi" w:cs="Arial"/>
                <w:color w:val="000000"/>
                <w:sz w:val="18"/>
                <w:szCs w:val="18"/>
              </w:rPr>
              <w:t>29</w:t>
            </w:r>
          </w:p>
        </w:tc>
        <w:tc>
          <w:tcPr>
            <w:tcW w:w="1282" w:type="dxa"/>
            <w:vAlign w:val="bottom"/>
          </w:tcPr>
          <w:p w:rsidR="00B47695" w:rsidRPr="00B47695" w:rsidDel="001B3935" w:rsidRDefault="00B47695" w:rsidP="00B47695">
            <w:pPr>
              <w:keepNext/>
              <w:keepLines/>
              <w:spacing w:before="40" w:after="40" w:line="240" w:lineRule="auto"/>
              <w:jc w:val="right"/>
              <w:rPr>
                <w:rFonts w:asciiTheme="minorHAnsi" w:hAnsiTheme="minorHAnsi"/>
                <w:sz w:val="18"/>
                <w:szCs w:val="18"/>
              </w:rPr>
            </w:pPr>
            <w:r w:rsidRPr="00B47695">
              <w:rPr>
                <w:rFonts w:asciiTheme="minorHAnsi" w:hAnsiTheme="minorHAnsi" w:cs="Arial"/>
                <w:color w:val="000000"/>
                <w:sz w:val="18"/>
                <w:szCs w:val="18"/>
              </w:rPr>
              <w:t>34</w:t>
            </w:r>
          </w:p>
        </w:tc>
      </w:tr>
      <w:tr w:rsidR="00B47695" w:rsidRPr="00B47695" w:rsidDel="001B3935" w:rsidTr="00EB6138">
        <w:trPr>
          <w:jc w:val="center"/>
        </w:trPr>
        <w:tc>
          <w:tcPr>
            <w:tcW w:w="1152" w:type="dxa"/>
            <w:shd w:val="clear" w:color="auto" w:fill="CCEAF9" w:themeFill="accent1" w:themeFillTint="33"/>
            <w:vAlign w:val="center"/>
          </w:tcPr>
          <w:p w:rsidR="00B47695" w:rsidRPr="00B47695" w:rsidDel="001B3935" w:rsidRDefault="00B47695" w:rsidP="00B47695">
            <w:pPr>
              <w:keepNext/>
              <w:keepLines/>
              <w:spacing w:before="40" w:after="40" w:line="240" w:lineRule="auto"/>
              <w:rPr>
                <w:rFonts w:asciiTheme="minorHAnsi" w:hAnsiTheme="minorHAnsi"/>
                <w:sz w:val="18"/>
                <w:szCs w:val="18"/>
              </w:rPr>
            </w:pPr>
            <w:r w:rsidRPr="00B47695" w:rsidDel="001B3935">
              <w:rPr>
                <w:rFonts w:ascii="Calibri" w:hAnsi="Calibri" w:cs="Arial"/>
                <w:b/>
                <w:bCs/>
                <w:color w:val="000000"/>
                <w:sz w:val="18"/>
                <w:szCs w:val="18"/>
              </w:rPr>
              <w:t>CT</w:t>
            </w:r>
          </w:p>
        </w:tc>
        <w:tc>
          <w:tcPr>
            <w:tcW w:w="1152" w:type="dxa"/>
            <w:shd w:val="clear" w:color="auto" w:fill="CCEAF9" w:themeFill="accent1" w:themeFillTint="33"/>
            <w:vAlign w:val="bottom"/>
          </w:tcPr>
          <w:p w:rsidR="00B47695" w:rsidRPr="00B47695" w:rsidDel="001B3935" w:rsidRDefault="00B47695" w:rsidP="00B47695">
            <w:pPr>
              <w:keepNext/>
              <w:keepLines/>
              <w:spacing w:before="40" w:after="40" w:line="240" w:lineRule="auto"/>
              <w:jc w:val="right"/>
              <w:rPr>
                <w:rFonts w:asciiTheme="minorHAnsi" w:hAnsiTheme="minorHAnsi"/>
                <w:sz w:val="18"/>
                <w:szCs w:val="18"/>
              </w:rPr>
            </w:pPr>
            <w:r w:rsidRPr="00B47695">
              <w:rPr>
                <w:rFonts w:asciiTheme="minorHAnsi" w:hAnsiTheme="minorHAnsi" w:cs="Arial"/>
                <w:color w:val="000000"/>
                <w:sz w:val="18"/>
                <w:szCs w:val="18"/>
              </w:rPr>
              <w:t>3,903</w:t>
            </w:r>
          </w:p>
        </w:tc>
        <w:tc>
          <w:tcPr>
            <w:tcW w:w="1337" w:type="dxa"/>
            <w:shd w:val="clear" w:color="auto" w:fill="CCEAF9" w:themeFill="accent1" w:themeFillTint="33"/>
            <w:vAlign w:val="bottom"/>
          </w:tcPr>
          <w:p w:rsidR="00B47695" w:rsidRPr="00B47695" w:rsidDel="001B3935" w:rsidRDefault="00B47695" w:rsidP="00CA0EA9">
            <w:pPr>
              <w:keepNext/>
              <w:keepLines/>
              <w:spacing w:before="40" w:after="40" w:line="240" w:lineRule="auto"/>
              <w:jc w:val="right"/>
              <w:rPr>
                <w:rFonts w:asciiTheme="minorHAnsi" w:hAnsiTheme="minorHAnsi"/>
                <w:sz w:val="18"/>
                <w:szCs w:val="18"/>
              </w:rPr>
            </w:pPr>
            <w:r w:rsidRPr="00B47695">
              <w:rPr>
                <w:rFonts w:asciiTheme="minorHAnsi" w:hAnsiTheme="minorHAnsi" w:cs="Arial"/>
                <w:color w:val="000000"/>
                <w:sz w:val="18"/>
                <w:szCs w:val="18"/>
              </w:rPr>
              <w:t>1,46</w:t>
            </w:r>
            <w:r w:rsidR="00CA0EA9">
              <w:rPr>
                <w:rFonts w:asciiTheme="minorHAnsi" w:hAnsiTheme="minorHAnsi" w:cs="Arial"/>
                <w:color w:val="000000"/>
                <w:sz w:val="18"/>
                <w:szCs w:val="18"/>
              </w:rPr>
              <w:t>4</w:t>
            </w:r>
          </w:p>
        </w:tc>
        <w:tc>
          <w:tcPr>
            <w:tcW w:w="1152" w:type="dxa"/>
            <w:shd w:val="clear" w:color="auto" w:fill="CCEAF9" w:themeFill="accent1" w:themeFillTint="33"/>
            <w:vAlign w:val="bottom"/>
          </w:tcPr>
          <w:p w:rsidR="00B47695" w:rsidRPr="00B47695" w:rsidDel="001B3935" w:rsidRDefault="00B47695" w:rsidP="00CA0EA9">
            <w:pPr>
              <w:keepNext/>
              <w:keepLines/>
              <w:spacing w:before="40" w:after="40" w:line="240" w:lineRule="auto"/>
              <w:jc w:val="right"/>
              <w:rPr>
                <w:rFonts w:asciiTheme="minorHAnsi" w:hAnsiTheme="minorHAnsi"/>
                <w:sz w:val="18"/>
                <w:szCs w:val="18"/>
              </w:rPr>
            </w:pPr>
            <w:r w:rsidRPr="00B47695">
              <w:rPr>
                <w:rFonts w:asciiTheme="minorHAnsi" w:hAnsiTheme="minorHAnsi" w:cs="Arial"/>
                <w:color w:val="000000"/>
                <w:sz w:val="18"/>
                <w:szCs w:val="18"/>
              </w:rPr>
              <w:t>5</w:t>
            </w:r>
            <w:r w:rsidR="00CA0EA9">
              <w:rPr>
                <w:rFonts w:asciiTheme="minorHAnsi" w:hAnsiTheme="minorHAnsi" w:cs="Arial"/>
                <w:color w:val="000000"/>
                <w:sz w:val="18"/>
                <w:szCs w:val="18"/>
              </w:rPr>
              <w:t>50</w:t>
            </w:r>
          </w:p>
        </w:tc>
        <w:tc>
          <w:tcPr>
            <w:tcW w:w="1282" w:type="dxa"/>
            <w:shd w:val="clear" w:color="auto" w:fill="CCEAF9" w:themeFill="accent1" w:themeFillTint="33"/>
            <w:vAlign w:val="bottom"/>
          </w:tcPr>
          <w:p w:rsidR="00B47695" w:rsidRPr="00B47695" w:rsidDel="001B3935" w:rsidRDefault="00B47695" w:rsidP="00B47695">
            <w:pPr>
              <w:keepNext/>
              <w:keepLines/>
              <w:spacing w:before="40" w:after="40" w:line="240" w:lineRule="auto"/>
              <w:jc w:val="right"/>
              <w:rPr>
                <w:rFonts w:asciiTheme="minorHAnsi" w:hAnsiTheme="minorHAnsi"/>
                <w:sz w:val="18"/>
                <w:szCs w:val="18"/>
              </w:rPr>
            </w:pPr>
            <w:r w:rsidRPr="00B47695">
              <w:rPr>
                <w:rFonts w:asciiTheme="minorHAnsi" w:hAnsiTheme="minorHAnsi" w:cs="Arial"/>
                <w:color w:val="000000"/>
                <w:sz w:val="18"/>
                <w:szCs w:val="18"/>
              </w:rPr>
              <w:t>0</w:t>
            </w:r>
          </w:p>
        </w:tc>
      </w:tr>
      <w:tr w:rsidR="00B47695" w:rsidRPr="00B47695" w:rsidDel="001B3935" w:rsidTr="00B47695">
        <w:trPr>
          <w:jc w:val="center"/>
        </w:trPr>
        <w:tc>
          <w:tcPr>
            <w:tcW w:w="1152" w:type="dxa"/>
            <w:vAlign w:val="center"/>
          </w:tcPr>
          <w:p w:rsidR="00B47695" w:rsidRPr="00B47695" w:rsidDel="001B3935" w:rsidRDefault="00B47695" w:rsidP="00B47695">
            <w:pPr>
              <w:keepNext/>
              <w:keepLines/>
              <w:spacing w:before="40" w:after="40" w:line="240" w:lineRule="auto"/>
              <w:rPr>
                <w:rFonts w:asciiTheme="minorHAnsi" w:hAnsiTheme="minorHAnsi"/>
                <w:sz w:val="18"/>
                <w:szCs w:val="18"/>
              </w:rPr>
            </w:pPr>
            <w:r w:rsidRPr="00B47695" w:rsidDel="001B3935">
              <w:rPr>
                <w:rFonts w:ascii="Calibri" w:hAnsi="Calibri" w:cs="Arial"/>
                <w:b/>
                <w:bCs/>
                <w:color w:val="000000"/>
                <w:sz w:val="18"/>
                <w:szCs w:val="18"/>
              </w:rPr>
              <w:t>ME</w:t>
            </w:r>
          </w:p>
        </w:tc>
        <w:tc>
          <w:tcPr>
            <w:tcW w:w="1152" w:type="dxa"/>
            <w:vAlign w:val="bottom"/>
          </w:tcPr>
          <w:p w:rsidR="00B47695" w:rsidRPr="00B47695" w:rsidDel="001B3935" w:rsidRDefault="00B47695" w:rsidP="00B47695">
            <w:pPr>
              <w:keepNext/>
              <w:keepLines/>
              <w:spacing w:before="40" w:after="40" w:line="240" w:lineRule="auto"/>
              <w:jc w:val="right"/>
              <w:rPr>
                <w:rFonts w:asciiTheme="minorHAnsi" w:hAnsiTheme="minorHAnsi"/>
                <w:sz w:val="18"/>
                <w:szCs w:val="18"/>
              </w:rPr>
            </w:pPr>
            <w:r w:rsidRPr="00B47695">
              <w:rPr>
                <w:rFonts w:asciiTheme="minorHAnsi" w:hAnsiTheme="minorHAnsi" w:cs="Arial"/>
                <w:color w:val="000000"/>
                <w:sz w:val="18"/>
                <w:szCs w:val="18"/>
              </w:rPr>
              <w:t>343</w:t>
            </w:r>
          </w:p>
        </w:tc>
        <w:tc>
          <w:tcPr>
            <w:tcW w:w="1337" w:type="dxa"/>
            <w:vAlign w:val="bottom"/>
          </w:tcPr>
          <w:p w:rsidR="00B47695" w:rsidRPr="00B47695" w:rsidDel="001B3935" w:rsidRDefault="00B47695" w:rsidP="00B47695">
            <w:pPr>
              <w:keepNext/>
              <w:keepLines/>
              <w:spacing w:before="40" w:after="40" w:line="240" w:lineRule="auto"/>
              <w:jc w:val="right"/>
              <w:rPr>
                <w:rFonts w:asciiTheme="minorHAnsi" w:hAnsiTheme="minorHAnsi"/>
                <w:sz w:val="18"/>
                <w:szCs w:val="18"/>
              </w:rPr>
            </w:pPr>
            <w:r w:rsidRPr="00B47695">
              <w:rPr>
                <w:rFonts w:asciiTheme="minorHAnsi" w:hAnsiTheme="minorHAnsi" w:cs="Arial"/>
                <w:color w:val="000000"/>
                <w:sz w:val="18"/>
                <w:szCs w:val="18"/>
              </w:rPr>
              <w:t>244</w:t>
            </w:r>
          </w:p>
        </w:tc>
        <w:tc>
          <w:tcPr>
            <w:tcW w:w="1152" w:type="dxa"/>
            <w:vAlign w:val="bottom"/>
          </w:tcPr>
          <w:p w:rsidR="00B47695" w:rsidRPr="00B47695" w:rsidDel="001B3935" w:rsidRDefault="00B47695" w:rsidP="00B47695">
            <w:pPr>
              <w:keepNext/>
              <w:keepLines/>
              <w:spacing w:before="40" w:after="40" w:line="240" w:lineRule="auto"/>
              <w:jc w:val="right"/>
              <w:rPr>
                <w:rFonts w:asciiTheme="minorHAnsi" w:hAnsiTheme="minorHAnsi"/>
                <w:sz w:val="18"/>
                <w:szCs w:val="18"/>
              </w:rPr>
            </w:pPr>
            <w:r w:rsidRPr="00B47695">
              <w:rPr>
                <w:rFonts w:asciiTheme="minorHAnsi" w:hAnsiTheme="minorHAnsi" w:cs="Arial"/>
                <w:color w:val="000000"/>
                <w:sz w:val="18"/>
                <w:szCs w:val="18"/>
              </w:rPr>
              <w:t>131</w:t>
            </w:r>
          </w:p>
        </w:tc>
        <w:tc>
          <w:tcPr>
            <w:tcW w:w="1282" w:type="dxa"/>
            <w:vAlign w:val="bottom"/>
          </w:tcPr>
          <w:p w:rsidR="00B47695" w:rsidRPr="00B47695" w:rsidDel="001B3935" w:rsidRDefault="00B47695" w:rsidP="00B47695">
            <w:pPr>
              <w:keepNext/>
              <w:keepLines/>
              <w:spacing w:before="40" w:after="40" w:line="240" w:lineRule="auto"/>
              <w:jc w:val="right"/>
              <w:rPr>
                <w:rFonts w:asciiTheme="minorHAnsi" w:hAnsiTheme="minorHAnsi"/>
                <w:sz w:val="18"/>
                <w:szCs w:val="18"/>
              </w:rPr>
            </w:pPr>
            <w:r w:rsidRPr="00B47695">
              <w:rPr>
                <w:rFonts w:asciiTheme="minorHAnsi" w:hAnsiTheme="minorHAnsi" w:cs="Arial"/>
                <w:color w:val="000000"/>
                <w:sz w:val="18"/>
                <w:szCs w:val="18"/>
              </w:rPr>
              <w:t>133</w:t>
            </w:r>
          </w:p>
        </w:tc>
      </w:tr>
      <w:tr w:rsidR="00B47695" w:rsidRPr="00B47695" w:rsidDel="001B3935" w:rsidTr="00EB6138">
        <w:trPr>
          <w:jc w:val="center"/>
        </w:trPr>
        <w:tc>
          <w:tcPr>
            <w:tcW w:w="1152" w:type="dxa"/>
            <w:shd w:val="clear" w:color="auto" w:fill="CCEAF9" w:themeFill="accent1" w:themeFillTint="33"/>
            <w:vAlign w:val="center"/>
          </w:tcPr>
          <w:p w:rsidR="00B47695" w:rsidRPr="00B47695" w:rsidDel="001B3935" w:rsidRDefault="00B47695" w:rsidP="00B47695">
            <w:pPr>
              <w:keepNext/>
              <w:keepLines/>
              <w:spacing w:before="40" w:after="40" w:line="240" w:lineRule="auto"/>
              <w:rPr>
                <w:rFonts w:asciiTheme="minorHAnsi" w:hAnsiTheme="minorHAnsi"/>
                <w:sz w:val="18"/>
                <w:szCs w:val="18"/>
              </w:rPr>
            </w:pPr>
            <w:r w:rsidRPr="00B47695" w:rsidDel="001B3935">
              <w:rPr>
                <w:rFonts w:ascii="Calibri" w:hAnsi="Calibri" w:cs="Arial"/>
                <w:b/>
                <w:bCs/>
                <w:color w:val="000000"/>
                <w:sz w:val="18"/>
                <w:szCs w:val="18"/>
              </w:rPr>
              <w:t>NH</w:t>
            </w:r>
          </w:p>
        </w:tc>
        <w:tc>
          <w:tcPr>
            <w:tcW w:w="1152" w:type="dxa"/>
            <w:shd w:val="clear" w:color="auto" w:fill="CCEAF9" w:themeFill="accent1" w:themeFillTint="33"/>
            <w:vAlign w:val="bottom"/>
          </w:tcPr>
          <w:p w:rsidR="00B47695" w:rsidRPr="00B47695" w:rsidDel="001B3935" w:rsidRDefault="00B47695" w:rsidP="00B47695">
            <w:pPr>
              <w:keepNext/>
              <w:keepLines/>
              <w:spacing w:before="40" w:after="40" w:line="240" w:lineRule="auto"/>
              <w:jc w:val="right"/>
              <w:rPr>
                <w:rFonts w:asciiTheme="minorHAnsi" w:hAnsiTheme="minorHAnsi"/>
                <w:sz w:val="18"/>
                <w:szCs w:val="18"/>
              </w:rPr>
            </w:pPr>
            <w:r w:rsidRPr="00B47695">
              <w:rPr>
                <w:rFonts w:asciiTheme="minorHAnsi" w:hAnsiTheme="minorHAnsi" w:cs="Arial"/>
                <w:color w:val="000000"/>
                <w:sz w:val="18"/>
                <w:szCs w:val="18"/>
              </w:rPr>
              <w:t>2,842</w:t>
            </w:r>
          </w:p>
        </w:tc>
        <w:tc>
          <w:tcPr>
            <w:tcW w:w="1337" w:type="dxa"/>
            <w:shd w:val="clear" w:color="auto" w:fill="CCEAF9" w:themeFill="accent1" w:themeFillTint="33"/>
            <w:vAlign w:val="bottom"/>
          </w:tcPr>
          <w:p w:rsidR="00B47695" w:rsidRPr="00B47695" w:rsidDel="001B3935" w:rsidRDefault="00B47695" w:rsidP="00B47695">
            <w:pPr>
              <w:keepNext/>
              <w:keepLines/>
              <w:spacing w:before="40" w:after="40" w:line="240" w:lineRule="auto"/>
              <w:jc w:val="right"/>
              <w:rPr>
                <w:rFonts w:asciiTheme="minorHAnsi" w:hAnsiTheme="minorHAnsi"/>
                <w:sz w:val="18"/>
                <w:szCs w:val="18"/>
              </w:rPr>
            </w:pPr>
            <w:r w:rsidRPr="00B47695">
              <w:rPr>
                <w:rFonts w:asciiTheme="minorHAnsi" w:hAnsiTheme="minorHAnsi" w:cs="Arial"/>
                <w:color w:val="000000"/>
                <w:sz w:val="18"/>
                <w:szCs w:val="18"/>
              </w:rPr>
              <w:t>1,241</w:t>
            </w:r>
          </w:p>
        </w:tc>
        <w:tc>
          <w:tcPr>
            <w:tcW w:w="1152" w:type="dxa"/>
            <w:shd w:val="clear" w:color="auto" w:fill="CCEAF9" w:themeFill="accent1" w:themeFillTint="33"/>
            <w:vAlign w:val="bottom"/>
          </w:tcPr>
          <w:p w:rsidR="00B47695" w:rsidRPr="00B47695" w:rsidDel="001B3935" w:rsidRDefault="00B47695" w:rsidP="00B47695">
            <w:pPr>
              <w:keepNext/>
              <w:keepLines/>
              <w:spacing w:before="40" w:after="40" w:line="240" w:lineRule="auto"/>
              <w:jc w:val="right"/>
              <w:rPr>
                <w:rFonts w:asciiTheme="minorHAnsi" w:hAnsiTheme="minorHAnsi"/>
                <w:sz w:val="18"/>
                <w:szCs w:val="18"/>
              </w:rPr>
            </w:pPr>
            <w:r w:rsidRPr="00B47695">
              <w:rPr>
                <w:rFonts w:asciiTheme="minorHAnsi" w:hAnsiTheme="minorHAnsi" w:cs="Arial"/>
                <w:color w:val="000000"/>
                <w:sz w:val="18"/>
                <w:szCs w:val="18"/>
              </w:rPr>
              <w:t>83</w:t>
            </w:r>
          </w:p>
        </w:tc>
        <w:tc>
          <w:tcPr>
            <w:tcW w:w="1282" w:type="dxa"/>
            <w:shd w:val="clear" w:color="auto" w:fill="CCEAF9" w:themeFill="accent1" w:themeFillTint="33"/>
            <w:vAlign w:val="bottom"/>
          </w:tcPr>
          <w:p w:rsidR="00B47695" w:rsidRPr="00B47695" w:rsidDel="001B3935" w:rsidRDefault="00B47695" w:rsidP="00B47695">
            <w:pPr>
              <w:keepNext/>
              <w:keepLines/>
              <w:spacing w:before="40" w:after="40" w:line="240" w:lineRule="auto"/>
              <w:jc w:val="right"/>
              <w:rPr>
                <w:rFonts w:asciiTheme="minorHAnsi" w:hAnsiTheme="minorHAnsi"/>
                <w:sz w:val="18"/>
                <w:szCs w:val="18"/>
              </w:rPr>
            </w:pPr>
            <w:r w:rsidRPr="00B47695">
              <w:rPr>
                <w:rFonts w:asciiTheme="minorHAnsi" w:hAnsiTheme="minorHAnsi" w:cs="Arial"/>
                <w:color w:val="000000"/>
                <w:sz w:val="18"/>
                <w:szCs w:val="18"/>
              </w:rPr>
              <w:t>46</w:t>
            </w:r>
          </w:p>
        </w:tc>
      </w:tr>
      <w:tr w:rsidR="00B47695" w:rsidRPr="00B47695" w:rsidDel="001B3935" w:rsidTr="00B47695">
        <w:trPr>
          <w:jc w:val="center"/>
        </w:trPr>
        <w:tc>
          <w:tcPr>
            <w:tcW w:w="1152" w:type="dxa"/>
            <w:vAlign w:val="center"/>
          </w:tcPr>
          <w:p w:rsidR="00B47695" w:rsidRPr="00B47695" w:rsidDel="001B3935" w:rsidRDefault="00B47695" w:rsidP="00B47695">
            <w:pPr>
              <w:keepNext/>
              <w:keepLines/>
              <w:spacing w:before="40" w:after="40" w:line="240" w:lineRule="auto"/>
              <w:rPr>
                <w:rFonts w:asciiTheme="minorHAnsi" w:hAnsiTheme="minorHAnsi"/>
                <w:sz w:val="18"/>
                <w:szCs w:val="18"/>
              </w:rPr>
            </w:pPr>
            <w:r w:rsidRPr="00B47695" w:rsidDel="001B3935">
              <w:rPr>
                <w:rFonts w:ascii="Calibri" w:hAnsi="Calibri" w:cs="Arial"/>
                <w:b/>
                <w:bCs/>
                <w:color w:val="000000"/>
                <w:sz w:val="18"/>
                <w:szCs w:val="18"/>
              </w:rPr>
              <w:t>NOR</w:t>
            </w:r>
          </w:p>
        </w:tc>
        <w:tc>
          <w:tcPr>
            <w:tcW w:w="1152" w:type="dxa"/>
            <w:vAlign w:val="bottom"/>
          </w:tcPr>
          <w:p w:rsidR="00B47695" w:rsidRPr="00B47695" w:rsidDel="001B3935" w:rsidRDefault="00B47695" w:rsidP="00B47695">
            <w:pPr>
              <w:keepNext/>
              <w:keepLines/>
              <w:spacing w:before="40" w:after="40" w:line="240" w:lineRule="auto"/>
              <w:jc w:val="right"/>
              <w:rPr>
                <w:rFonts w:asciiTheme="minorHAnsi" w:hAnsiTheme="minorHAnsi"/>
                <w:sz w:val="18"/>
                <w:szCs w:val="18"/>
              </w:rPr>
            </w:pPr>
            <w:r w:rsidRPr="00B47695">
              <w:rPr>
                <w:rFonts w:asciiTheme="minorHAnsi" w:hAnsiTheme="minorHAnsi"/>
                <w:sz w:val="18"/>
                <w:szCs w:val="18"/>
              </w:rPr>
              <w:t>0</w:t>
            </w:r>
          </w:p>
        </w:tc>
        <w:tc>
          <w:tcPr>
            <w:tcW w:w="1337" w:type="dxa"/>
            <w:vAlign w:val="bottom"/>
          </w:tcPr>
          <w:p w:rsidR="00B47695" w:rsidRPr="00B47695" w:rsidDel="001B3935" w:rsidRDefault="00B47695" w:rsidP="00B47695">
            <w:pPr>
              <w:keepNext/>
              <w:keepLines/>
              <w:spacing w:before="40" w:after="40" w:line="240" w:lineRule="auto"/>
              <w:jc w:val="right"/>
              <w:rPr>
                <w:rFonts w:asciiTheme="minorHAnsi" w:hAnsiTheme="minorHAnsi"/>
                <w:sz w:val="18"/>
                <w:szCs w:val="18"/>
              </w:rPr>
            </w:pPr>
            <w:r w:rsidRPr="00B47695">
              <w:rPr>
                <w:rFonts w:asciiTheme="minorHAnsi" w:hAnsiTheme="minorHAnsi"/>
                <w:sz w:val="18"/>
                <w:szCs w:val="18"/>
              </w:rPr>
              <w:t>0</w:t>
            </w:r>
          </w:p>
        </w:tc>
        <w:tc>
          <w:tcPr>
            <w:tcW w:w="1152" w:type="dxa"/>
            <w:vAlign w:val="bottom"/>
          </w:tcPr>
          <w:p w:rsidR="00B47695" w:rsidRPr="00B47695" w:rsidDel="001B3935" w:rsidRDefault="00B47695" w:rsidP="00B47695">
            <w:pPr>
              <w:keepNext/>
              <w:keepLines/>
              <w:spacing w:before="40" w:after="40" w:line="240" w:lineRule="auto"/>
              <w:jc w:val="right"/>
              <w:rPr>
                <w:rFonts w:asciiTheme="minorHAnsi" w:hAnsiTheme="minorHAnsi"/>
                <w:sz w:val="18"/>
                <w:szCs w:val="18"/>
              </w:rPr>
            </w:pPr>
            <w:r w:rsidRPr="00B47695">
              <w:rPr>
                <w:rFonts w:asciiTheme="minorHAnsi" w:hAnsiTheme="minorHAnsi" w:cs="Arial"/>
                <w:color w:val="000000"/>
                <w:sz w:val="18"/>
                <w:szCs w:val="18"/>
              </w:rPr>
              <w:t>170</w:t>
            </w:r>
          </w:p>
        </w:tc>
        <w:tc>
          <w:tcPr>
            <w:tcW w:w="1282" w:type="dxa"/>
            <w:vAlign w:val="bottom"/>
          </w:tcPr>
          <w:p w:rsidR="00B47695" w:rsidRPr="00B47695" w:rsidDel="001B3935" w:rsidRDefault="00B47695" w:rsidP="00B47695">
            <w:pPr>
              <w:keepNext/>
              <w:keepLines/>
              <w:spacing w:before="40" w:after="40" w:line="240" w:lineRule="auto"/>
              <w:jc w:val="right"/>
              <w:rPr>
                <w:rFonts w:asciiTheme="minorHAnsi" w:hAnsiTheme="minorHAnsi"/>
                <w:sz w:val="18"/>
                <w:szCs w:val="18"/>
              </w:rPr>
            </w:pPr>
            <w:r w:rsidRPr="00B47695">
              <w:rPr>
                <w:rFonts w:asciiTheme="minorHAnsi" w:hAnsiTheme="minorHAnsi"/>
                <w:sz w:val="18"/>
                <w:szCs w:val="18"/>
              </w:rPr>
              <w:t>0</w:t>
            </w:r>
          </w:p>
        </w:tc>
      </w:tr>
      <w:tr w:rsidR="00B47695" w:rsidRPr="00B47695" w:rsidDel="001B3935" w:rsidTr="00EB6138">
        <w:trPr>
          <w:jc w:val="center"/>
        </w:trPr>
        <w:tc>
          <w:tcPr>
            <w:tcW w:w="1152" w:type="dxa"/>
            <w:shd w:val="clear" w:color="auto" w:fill="CCEAF9" w:themeFill="accent1" w:themeFillTint="33"/>
            <w:vAlign w:val="center"/>
          </w:tcPr>
          <w:p w:rsidR="00B47695" w:rsidRPr="00B47695" w:rsidDel="001B3935" w:rsidRDefault="00B47695" w:rsidP="00B47695">
            <w:pPr>
              <w:keepNext/>
              <w:keepLines/>
              <w:spacing w:before="40" w:after="40" w:line="240" w:lineRule="auto"/>
              <w:rPr>
                <w:rFonts w:asciiTheme="minorHAnsi" w:hAnsiTheme="minorHAnsi"/>
                <w:sz w:val="18"/>
                <w:szCs w:val="18"/>
              </w:rPr>
            </w:pPr>
            <w:r w:rsidRPr="00B47695" w:rsidDel="001B3935">
              <w:rPr>
                <w:rFonts w:ascii="Calibri" w:hAnsi="Calibri" w:cs="Arial"/>
                <w:b/>
                <w:bCs/>
                <w:color w:val="000000"/>
                <w:sz w:val="18"/>
                <w:szCs w:val="18"/>
              </w:rPr>
              <w:t>RI</w:t>
            </w:r>
          </w:p>
        </w:tc>
        <w:tc>
          <w:tcPr>
            <w:tcW w:w="1152" w:type="dxa"/>
            <w:shd w:val="clear" w:color="auto" w:fill="CCEAF9" w:themeFill="accent1" w:themeFillTint="33"/>
            <w:vAlign w:val="bottom"/>
          </w:tcPr>
          <w:p w:rsidR="00B47695" w:rsidRPr="00B47695" w:rsidDel="001B3935" w:rsidRDefault="00B47695" w:rsidP="00B47695">
            <w:pPr>
              <w:keepNext/>
              <w:keepLines/>
              <w:spacing w:before="40" w:after="40" w:line="240" w:lineRule="auto"/>
              <w:jc w:val="right"/>
              <w:rPr>
                <w:rFonts w:asciiTheme="minorHAnsi" w:hAnsiTheme="minorHAnsi"/>
                <w:sz w:val="18"/>
                <w:szCs w:val="18"/>
              </w:rPr>
            </w:pPr>
            <w:r w:rsidRPr="00B47695">
              <w:rPr>
                <w:rFonts w:asciiTheme="minorHAnsi" w:hAnsiTheme="minorHAnsi" w:cs="Arial"/>
                <w:color w:val="000000"/>
                <w:sz w:val="18"/>
                <w:szCs w:val="18"/>
              </w:rPr>
              <w:t>28</w:t>
            </w:r>
          </w:p>
        </w:tc>
        <w:tc>
          <w:tcPr>
            <w:tcW w:w="1337" w:type="dxa"/>
            <w:shd w:val="clear" w:color="auto" w:fill="CCEAF9" w:themeFill="accent1" w:themeFillTint="33"/>
            <w:vAlign w:val="bottom"/>
          </w:tcPr>
          <w:p w:rsidR="00B47695" w:rsidRPr="00B47695" w:rsidDel="001B3935" w:rsidRDefault="00B47695" w:rsidP="00B47695">
            <w:pPr>
              <w:keepNext/>
              <w:keepLines/>
              <w:spacing w:before="40" w:after="40" w:line="240" w:lineRule="auto"/>
              <w:jc w:val="right"/>
              <w:rPr>
                <w:rFonts w:asciiTheme="minorHAnsi" w:hAnsiTheme="minorHAnsi"/>
                <w:sz w:val="18"/>
                <w:szCs w:val="18"/>
              </w:rPr>
            </w:pPr>
            <w:r w:rsidRPr="00B47695">
              <w:rPr>
                <w:rFonts w:asciiTheme="minorHAnsi" w:hAnsiTheme="minorHAnsi" w:cs="Arial"/>
                <w:color w:val="000000"/>
                <w:sz w:val="18"/>
                <w:szCs w:val="18"/>
              </w:rPr>
              <w:t>3,024</w:t>
            </w:r>
          </w:p>
        </w:tc>
        <w:tc>
          <w:tcPr>
            <w:tcW w:w="1152" w:type="dxa"/>
            <w:shd w:val="clear" w:color="auto" w:fill="CCEAF9" w:themeFill="accent1" w:themeFillTint="33"/>
            <w:vAlign w:val="bottom"/>
          </w:tcPr>
          <w:p w:rsidR="00B47695" w:rsidRPr="00B47695" w:rsidDel="001B3935" w:rsidRDefault="00B47695" w:rsidP="00B47695">
            <w:pPr>
              <w:keepNext/>
              <w:keepLines/>
              <w:spacing w:before="40" w:after="40" w:line="240" w:lineRule="auto"/>
              <w:jc w:val="right"/>
              <w:rPr>
                <w:rFonts w:asciiTheme="minorHAnsi" w:hAnsiTheme="minorHAnsi"/>
                <w:sz w:val="18"/>
                <w:szCs w:val="18"/>
              </w:rPr>
            </w:pPr>
            <w:r w:rsidRPr="00B47695">
              <w:rPr>
                <w:rFonts w:asciiTheme="minorHAnsi" w:hAnsiTheme="minorHAnsi" w:cs="Arial"/>
                <w:color w:val="000000"/>
                <w:sz w:val="18"/>
                <w:szCs w:val="18"/>
              </w:rPr>
              <w:t>42</w:t>
            </w:r>
          </w:p>
        </w:tc>
        <w:tc>
          <w:tcPr>
            <w:tcW w:w="1282" w:type="dxa"/>
            <w:shd w:val="clear" w:color="auto" w:fill="CCEAF9" w:themeFill="accent1" w:themeFillTint="33"/>
            <w:vAlign w:val="bottom"/>
          </w:tcPr>
          <w:p w:rsidR="00B47695" w:rsidRPr="00B47695" w:rsidDel="001B3935" w:rsidRDefault="00B47695" w:rsidP="00B47695">
            <w:pPr>
              <w:keepNext/>
              <w:keepLines/>
              <w:spacing w:before="40" w:after="40" w:line="240" w:lineRule="auto"/>
              <w:jc w:val="right"/>
              <w:rPr>
                <w:rFonts w:asciiTheme="minorHAnsi" w:hAnsiTheme="minorHAnsi"/>
                <w:sz w:val="18"/>
                <w:szCs w:val="18"/>
              </w:rPr>
            </w:pPr>
            <w:r w:rsidRPr="00B47695">
              <w:rPr>
                <w:rFonts w:asciiTheme="minorHAnsi" w:hAnsiTheme="minorHAnsi" w:cs="Arial"/>
                <w:color w:val="000000"/>
                <w:sz w:val="18"/>
                <w:szCs w:val="18"/>
              </w:rPr>
              <w:t>41</w:t>
            </w:r>
          </w:p>
        </w:tc>
      </w:tr>
      <w:tr w:rsidR="00B47695" w:rsidRPr="00B47695" w:rsidDel="001B3935" w:rsidTr="00B47695">
        <w:trPr>
          <w:jc w:val="center"/>
        </w:trPr>
        <w:tc>
          <w:tcPr>
            <w:tcW w:w="1152" w:type="dxa"/>
            <w:vAlign w:val="center"/>
          </w:tcPr>
          <w:p w:rsidR="00B47695" w:rsidRPr="00B47695" w:rsidDel="001B3935" w:rsidRDefault="00B47695" w:rsidP="00B47695">
            <w:pPr>
              <w:keepNext/>
              <w:keepLines/>
              <w:spacing w:before="40" w:after="40" w:line="240" w:lineRule="auto"/>
              <w:rPr>
                <w:rFonts w:asciiTheme="minorHAnsi" w:hAnsiTheme="minorHAnsi"/>
                <w:sz w:val="18"/>
                <w:szCs w:val="18"/>
              </w:rPr>
            </w:pPr>
            <w:r w:rsidRPr="00B47695" w:rsidDel="001B3935">
              <w:rPr>
                <w:rFonts w:ascii="Calibri" w:hAnsi="Calibri" w:cs="Arial"/>
                <w:b/>
                <w:bCs/>
                <w:color w:val="000000"/>
                <w:sz w:val="18"/>
                <w:szCs w:val="18"/>
              </w:rPr>
              <w:t>SEMA</w:t>
            </w:r>
          </w:p>
        </w:tc>
        <w:tc>
          <w:tcPr>
            <w:tcW w:w="1152" w:type="dxa"/>
            <w:vAlign w:val="bottom"/>
          </w:tcPr>
          <w:p w:rsidR="00B47695" w:rsidRPr="00B47695" w:rsidDel="001B3935" w:rsidRDefault="00B47695" w:rsidP="00B47695">
            <w:pPr>
              <w:keepNext/>
              <w:keepLines/>
              <w:spacing w:before="40" w:after="40" w:line="240" w:lineRule="auto"/>
              <w:jc w:val="right"/>
              <w:rPr>
                <w:rFonts w:asciiTheme="minorHAnsi" w:hAnsiTheme="minorHAnsi"/>
                <w:sz w:val="18"/>
                <w:szCs w:val="18"/>
              </w:rPr>
            </w:pPr>
            <w:r w:rsidRPr="00B47695">
              <w:rPr>
                <w:rFonts w:asciiTheme="minorHAnsi" w:hAnsiTheme="minorHAnsi" w:cs="Arial"/>
                <w:color w:val="000000"/>
                <w:sz w:val="18"/>
                <w:szCs w:val="18"/>
              </w:rPr>
              <w:t>1,901</w:t>
            </w:r>
          </w:p>
        </w:tc>
        <w:tc>
          <w:tcPr>
            <w:tcW w:w="1337" w:type="dxa"/>
            <w:vAlign w:val="bottom"/>
          </w:tcPr>
          <w:p w:rsidR="00B47695" w:rsidRPr="00B47695" w:rsidDel="001B3935" w:rsidRDefault="00B47695" w:rsidP="00B47695">
            <w:pPr>
              <w:keepNext/>
              <w:keepLines/>
              <w:spacing w:before="40" w:after="40" w:line="240" w:lineRule="auto"/>
              <w:jc w:val="right"/>
              <w:rPr>
                <w:rFonts w:asciiTheme="minorHAnsi" w:hAnsiTheme="minorHAnsi"/>
                <w:sz w:val="18"/>
                <w:szCs w:val="18"/>
              </w:rPr>
            </w:pPr>
            <w:r w:rsidRPr="00B47695">
              <w:rPr>
                <w:rFonts w:asciiTheme="minorHAnsi" w:hAnsiTheme="minorHAnsi" w:cs="Arial"/>
                <w:color w:val="000000"/>
                <w:sz w:val="18"/>
                <w:szCs w:val="18"/>
              </w:rPr>
              <w:t>1,340</w:t>
            </w:r>
          </w:p>
        </w:tc>
        <w:tc>
          <w:tcPr>
            <w:tcW w:w="1152" w:type="dxa"/>
            <w:vAlign w:val="bottom"/>
          </w:tcPr>
          <w:p w:rsidR="00B47695" w:rsidRPr="00B47695" w:rsidDel="001B3935" w:rsidRDefault="00B47695" w:rsidP="00B47695">
            <w:pPr>
              <w:keepNext/>
              <w:keepLines/>
              <w:spacing w:before="40" w:after="40" w:line="240" w:lineRule="auto"/>
              <w:jc w:val="right"/>
              <w:rPr>
                <w:rFonts w:asciiTheme="minorHAnsi" w:hAnsiTheme="minorHAnsi"/>
                <w:sz w:val="18"/>
                <w:szCs w:val="18"/>
              </w:rPr>
            </w:pPr>
            <w:r w:rsidRPr="00B47695">
              <w:rPr>
                <w:rFonts w:asciiTheme="minorHAnsi" w:hAnsiTheme="minorHAnsi" w:cs="Arial"/>
                <w:color w:val="000000"/>
                <w:sz w:val="18"/>
                <w:szCs w:val="18"/>
              </w:rPr>
              <w:t>142</w:t>
            </w:r>
          </w:p>
        </w:tc>
        <w:tc>
          <w:tcPr>
            <w:tcW w:w="1282" w:type="dxa"/>
            <w:vAlign w:val="bottom"/>
          </w:tcPr>
          <w:p w:rsidR="00B47695" w:rsidRPr="00B47695" w:rsidDel="001B3935" w:rsidRDefault="00B47695" w:rsidP="00B47695">
            <w:pPr>
              <w:keepNext/>
              <w:keepLines/>
              <w:spacing w:before="40" w:after="40" w:line="240" w:lineRule="auto"/>
              <w:jc w:val="right"/>
              <w:rPr>
                <w:rFonts w:asciiTheme="minorHAnsi" w:hAnsiTheme="minorHAnsi"/>
                <w:sz w:val="18"/>
                <w:szCs w:val="18"/>
              </w:rPr>
            </w:pPr>
            <w:r w:rsidRPr="00B47695">
              <w:rPr>
                <w:rFonts w:asciiTheme="minorHAnsi" w:hAnsiTheme="minorHAnsi" w:cs="Arial"/>
                <w:color w:val="000000"/>
                <w:sz w:val="18"/>
                <w:szCs w:val="18"/>
              </w:rPr>
              <w:t>78</w:t>
            </w:r>
          </w:p>
        </w:tc>
      </w:tr>
      <w:tr w:rsidR="00B47695" w:rsidRPr="00B47695" w:rsidDel="001B3935" w:rsidTr="00EB6138">
        <w:trPr>
          <w:jc w:val="center"/>
        </w:trPr>
        <w:tc>
          <w:tcPr>
            <w:tcW w:w="1152" w:type="dxa"/>
            <w:shd w:val="clear" w:color="auto" w:fill="CCEAF9" w:themeFill="accent1" w:themeFillTint="33"/>
            <w:vAlign w:val="center"/>
          </w:tcPr>
          <w:p w:rsidR="00B47695" w:rsidRPr="00B47695" w:rsidDel="001B3935" w:rsidRDefault="00B47695" w:rsidP="00B47695">
            <w:pPr>
              <w:keepNext/>
              <w:keepLines/>
              <w:spacing w:before="40" w:after="40" w:line="240" w:lineRule="auto"/>
              <w:rPr>
                <w:rFonts w:asciiTheme="minorHAnsi" w:hAnsiTheme="minorHAnsi"/>
                <w:sz w:val="18"/>
                <w:szCs w:val="18"/>
              </w:rPr>
            </w:pPr>
            <w:r w:rsidRPr="00B47695" w:rsidDel="001B3935">
              <w:rPr>
                <w:rFonts w:ascii="Calibri" w:hAnsi="Calibri" w:cs="Arial"/>
                <w:b/>
                <w:bCs/>
                <w:color w:val="000000"/>
                <w:sz w:val="18"/>
                <w:szCs w:val="18"/>
              </w:rPr>
              <w:t>SME</w:t>
            </w:r>
          </w:p>
        </w:tc>
        <w:tc>
          <w:tcPr>
            <w:tcW w:w="1152" w:type="dxa"/>
            <w:shd w:val="clear" w:color="auto" w:fill="CCEAF9" w:themeFill="accent1" w:themeFillTint="33"/>
            <w:vAlign w:val="bottom"/>
          </w:tcPr>
          <w:p w:rsidR="00B47695" w:rsidRPr="00B47695" w:rsidDel="001B3935" w:rsidRDefault="00B47695" w:rsidP="00B47695">
            <w:pPr>
              <w:keepNext/>
              <w:keepLines/>
              <w:spacing w:before="40" w:after="40" w:line="240" w:lineRule="auto"/>
              <w:jc w:val="right"/>
              <w:rPr>
                <w:rFonts w:asciiTheme="minorHAnsi" w:hAnsiTheme="minorHAnsi"/>
                <w:sz w:val="18"/>
                <w:szCs w:val="18"/>
              </w:rPr>
            </w:pPr>
            <w:r w:rsidRPr="00B47695">
              <w:rPr>
                <w:rFonts w:asciiTheme="minorHAnsi" w:hAnsiTheme="minorHAnsi" w:cs="Arial"/>
                <w:color w:val="000000"/>
                <w:sz w:val="18"/>
                <w:szCs w:val="18"/>
              </w:rPr>
              <w:t>904</w:t>
            </w:r>
          </w:p>
        </w:tc>
        <w:tc>
          <w:tcPr>
            <w:tcW w:w="1337" w:type="dxa"/>
            <w:shd w:val="clear" w:color="auto" w:fill="CCEAF9" w:themeFill="accent1" w:themeFillTint="33"/>
            <w:vAlign w:val="bottom"/>
          </w:tcPr>
          <w:p w:rsidR="00B47695" w:rsidRPr="00B47695" w:rsidDel="001B3935" w:rsidRDefault="00B47695" w:rsidP="00B47695">
            <w:pPr>
              <w:keepNext/>
              <w:keepLines/>
              <w:spacing w:before="40" w:after="40" w:line="240" w:lineRule="auto"/>
              <w:jc w:val="right"/>
              <w:rPr>
                <w:rFonts w:asciiTheme="minorHAnsi" w:hAnsiTheme="minorHAnsi"/>
                <w:sz w:val="18"/>
                <w:szCs w:val="18"/>
              </w:rPr>
            </w:pPr>
            <w:r w:rsidRPr="00B47695">
              <w:rPr>
                <w:rFonts w:asciiTheme="minorHAnsi" w:hAnsiTheme="minorHAnsi" w:cs="Arial"/>
                <w:color w:val="000000"/>
                <w:sz w:val="18"/>
                <w:szCs w:val="18"/>
              </w:rPr>
              <w:t>530</w:t>
            </w:r>
          </w:p>
        </w:tc>
        <w:tc>
          <w:tcPr>
            <w:tcW w:w="1152" w:type="dxa"/>
            <w:shd w:val="clear" w:color="auto" w:fill="CCEAF9" w:themeFill="accent1" w:themeFillTint="33"/>
            <w:vAlign w:val="bottom"/>
          </w:tcPr>
          <w:p w:rsidR="00B47695" w:rsidRPr="00B47695" w:rsidDel="001B3935" w:rsidRDefault="00B47695" w:rsidP="00B47695">
            <w:pPr>
              <w:keepNext/>
              <w:keepLines/>
              <w:spacing w:before="40" w:after="40" w:line="240" w:lineRule="auto"/>
              <w:jc w:val="right"/>
              <w:rPr>
                <w:rFonts w:asciiTheme="minorHAnsi" w:hAnsiTheme="minorHAnsi"/>
                <w:sz w:val="18"/>
                <w:szCs w:val="18"/>
              </w:rPr>
            </w:pPr>
            <w:r w:rsidRPr="00B47695">
              <w:rPr>
                <w:rFonts w:asciiTheme="minorHAnsi" w:hAnsiTheme="minorHAnsi" w:cs="Arial"/>
                <w:color w:val="000000"/>
                <w:sz w:val="18"/>
                <w:szCs w:val="18"/>
              </w:rPr>
              <w:t>32</w:t>
            </w:r>
          </w:p>
        </w:tc>
        <w:tc>
          <w:tcPr>
            <w:tcW w:w="1282" w:type="dxa"/>
            <w:shd w:val="clear" w:color="auto" w:fill="CCEAF9" w:themeFill="accent1" w:themeFillTint="33"/>
            <w:vAlign w:val="bottom"/>
          </w:tcPr>
          <w:p w:rsidR="00B47695" w:rsidRPr="00B47695" w:rsidDel="001B3935" w:rsidRDefault="00B47695" w:rsidP="00B47695">
            <w:pPr>
              <w:keepNext/>
              <w:keepLines/>
              <w:spacing w:before="40" w:after="40" w:line="240" w:lineRule="auto"/>
              <w:jc w:val="right"/>
              <w:rPr>
                <w:rFonts w:asciiTheme="minorHAnsi" w:hAnsiTheme="minorHAnsi"/>
                <w:sz w:val="18"/>
                <w:szCs w:val="18"/>
              </w:rPr>
            </w:pPr>
            <w:r w:rsidRPr="00B47695">
              <w:rPr>
                <w:rFonts w:asciiTheme="minorHAnsi" w:hAnsiTheme="minorHAnsi" w:cs="Arial"/>
                <w:color w:val="000000"/>
                <w:sz w:val="18"/>
                <w:szCs w:val="18"/>
              </w:rPr>
              <w:t>3</w:t>
            </w:r>
          </w:p>
        </w:tc>
      </w:tr>
      <w:tr w:rsidR="00B47695" w:rsidRPr="00B47695" w:rsidDel="001B3935" w:rsidTr="00B47695">
        <w:trPr>
          <w:jc w:val="center"/>
        </w:trPr>
        <w:tc>
          <w:tcPr>
            <w:tcW w:w="1152" w:type="dxa"/>
            <w:vAlign w:val="center"/>
          </w:tcPr>
          <w:p w:rsidR="00B47695" w:rsidRPr="00B47695" w:rsidDel="001B3935" w:rsidRDefault="00B47695" w:rsidP="00B47695">
            <w:pPr>
              <w:keepNext/>
              <w:keepLines/>
              <w:spacing w:before="40" w:after="40" w:line="240" w:lineRule="auto"/>
              <w:rPr>
                <w:rFonts w:asciiTheme="minorHAnsi" w:hAnsiTheme="minorHAnsi"/>
                <w:sz w:val="18"/>
                <w:szCs w:val="18"/>
              </w:rPr>
            </w:pPr>
            <w:r w:rsidRPr="00B47695" w:rsidDel="001B3935">
              <w:rPr>
                <w:rFonts w:ascii="Calibri" w:hAnsi="Calibri" w:cs="Arial"/>
                <w:b/>
                <w:bCs/>
                <w:color w:val="000000"/>
                <w:sz w:val="18"/>
                <w:szCs w:val="18"/>
              </w:rPr>
              <w:t>SWCT</w:t>
            </w:r>
          </w:p>
        </w:tc>
        <w:tc>
          <w:tcPr>
            <w:tcW w:w="1152" w:type="dxa"/>
            <w:vAlign w:val="bottom"/>
          </w:tcPr>
          <w:p w:rsidR="00B47695" w:rsidRPr="00B47695" w:rsidDel="001B3935" w:rsidRDefault="00B47695" w:rsidP="00B47695">
            <w:pPr>
              <w:keepNext/>
              <w:keepLines/>
              <w:spacing w:before="40" w:after="40" w:line="240" w:lineRule="auto"/>
              <w:jc w:val="right"/>
              <w:rPr>
                <w:rFonts w:asciiTheme="minorHAnsi" w:hAnsiTheme="minorHAnsi"/>
                <w:sz w:val="18"/>
                <w:szCs w:val="18"/>
              </w:rPr>
            </w:pPr>
            <w:r w:rsidRPr="00B47695">
              <w:rPr>
                <w:rFonts w:asciiTheme="minorHAnsi" w:hAnsiTheme="minorHAnsi" w:cs="Arial"/>
                <w:color w:val="000000"/>
                <w:sz w:val="18"/>
                <w:szCs w:val="18"/>
              </w:rPr>
              <w:t>535</w:t>
            </w:r>
          </w:p>
        </w:tc>
        <w:tc>
          <w:tcPr>
            <w:tcW w:w="1337" w:type="dxa"/>
            <w:vAlign w:val="bottom"/>
          </w:tcPr>
          <w:p w:rsidR="00B47695" w:rsidRPr="00B47695" w:rsidDel="001B3935" w:rsidRDefault="00B47695" w:rsidP="00B47695">
            <w:pPr>
              <w:keepNext/>
              <w:keepLines/>
              <w:spacing w:before="40" w:after="40" w:line="240" w:lineRule="auto"/>
              <w:jc w:val="right"/>
              <w:rPr>
                <w:rFonts w:asciiTheme="minorHAnsi" w:hAnsiTheme="minorHAnsi"/>
                <w:sz w:val="18"/>
                <w:szCs w:val="18"/>
              </w:rPr>
            </w:pPr>
            <w:r w:rsidRPr="00B47695">
              <w:rPr>
                <w:rFonts w:asciiTheme="minorHAnsi" w:hAnsiTheme="minorHAnsi" w:cs="Arial"/>
                <w:color w:val="000000"/>
                <w:sz w:val="18"/>
                <w:szCs w:val="18"/>
              </w:rPr>
              <w:t>1,000</w:t>
            </w:r>
          </w:p>
        </w:tc>
        <w:tc>
          <w:tcPr>
            <w:tcW w:w="1152" w:type="dxa"/>
            <w:vAlign w:val="bottom"/>
          </w:tcPr>
          <w:p w:rsidR="00B47695" w:rsidRPr="00B47695" w:rsidDel="001B3935" w:rsidRDefault="00B47695" w:rsidP="00B47695">
            <w:pPr>
              <w:keepNext/>
              <w:keepLines/>
              <w:spacing w:before="40" w:after="40" w:line="240" w:lineRule="auto"/>
              <w:jc w:val="right"/>
              <w:rPr>
                <w:rFonts w:asciiTheme="minorHAnsi" w:hAnsiTheme="minorHAnsi"/>
                <w:sz w:val="18"/>
                <w:szCs w:val="18"/>
              </w:rPr>
            </w:pPr>
            <w:r w:rsidRPr="00B47695">
              <w:rPr>
                <w:rFonts w:asciiTheme="minorHAnsi" w:hAnsiTheme="minorHAnsi" w:cs="Arial"/>
                <w:color w:val="000000"/>
                <w:sz w:val="18"/>
                <w:szCs w:val="18"/>
              </w:rPr>
              <w:t>769</w:t>
            </w:r>
          </w:p>
        </w:tc>
        <w:tc>
          <w:tcPr>
            <w:tcW w:w="1282" w:type="dxa"/>
            <w:vAlign w:val="bottom"/>
          </w:tcPr>
          <w:p w:rsidR="00B47695" w:rsidRPr="00B47695" w:rsidDel="001B3935" w:rsidRDefault="00B47695" w:rsidP="00B47695">
            <w:pPr>
              <w:keepNext/>
              <w:keepLines/>
              <w:spacing w:before="40" w:after="40" w:line="240" w:lineRule="auto"/>
              <w:jc w:val="right"/>
              <w:rPr>
                <w:rFonts w:asciiTheme="minorHAnsi" w:hAnsiTheme="minorHAnsi"/>
                <w:sz w:val="18"/>
                <w:szCs w:val="18"/>
              </w:rPr>
            </w:pPr>
            <w:r w:rsidRPr="00B47695">
              <w:rPr>
                <w:rFonts w:asciiTheme="minorHAnsi" w:hAnsiTheme="minorHAnsi" w:cs="Arial"/>
                <w:color w:val="000000"/>
                <w:sz w:val="18"/>
                <w:szCs w:val="18"/>
              </w:rPr>
              <w:t>1</w:t>
            </w:r>
          </w:p>
        </w:tc>
      </w:tr>
      <w:tr w:rsidR="00B47695" w:rsidRPr="00B47695" w:rsidDel="001B3935" w:rsidTr="00EB6138">
        <w:trPr>
          <w:jc w:val="center"/>
        </w:trPr>
        <w:tc>
          <w:tcPr>
            <w:tcW w:w="1152" w:type="dxa"/>
            <w:shd w:val="clear" w:color="auto" w:fill="CCEAF9" w:themeFill="accent1" w:themeFillTint="33"/>
            <w:vAlign w:val="center"/>
          </w:tcPr>
          <w:p w:rsidR="00B47695" w:rsidRPr="00B47695" w:rsidDel="001B3935" w:rsidRDefault="00B47695" w:rsidP="00B47695">
            <w:pPr>
              <w:keepNext/>
              <w:keepLines/>
              <w:spacing w:before="40" w:after="40" w:line="240" w:lineRule="auto"/>
              <w:rPr>
                <w:rFonts w:asciiTheme="minorHAnsi" w:hAnsiTheme="minorHAnsi"/>
                <w:sz w:val="18"/>
                <w:szCs w:val="18"/>
              </w:rPr>
            </w:pPr>
            <w:r w:rsidRPr="00B47695" w:rsidDel="001B3935">
              <w:rPr>
                <w:rFonts w:ascii="Calibri" w:hAnsi="Calibri" w:cs="Arial"/>
                <w:b/>
                <w:bCs/>
                <w:color w:val="000000"/>
                <w:sz w:val="18"/>
                <w:szCs w:val="18"/>
              </w:rPr>
              <w:t>VT</w:t>
            </w:r>
          </w:p>
        </w:tc>
        <w:tc>
          <w:tcPr>
            <w:tcW w:w="1152" w:type="dxa"/>
            <w:shd w:val="clear" w:color="auto" w:fill="CCEAF9" w:themeFill="accent1" w:themeFillTint="33"/>
            <w:vAlign w:val="bottom"/>
          </w:tcPr>
          <w:p w:rsidR="00B47695" w:rsidRPr="00B47695" w:rsidDel="001B3935" w:rsidRDefault="00B47695" w:rsidP="00B47695">
            <w:pPr>
              <w:keepNext/>
              <w:keepLines/>
              <w:spacing w:before="40" w:after="40" w:line="240" w:lineRule="auto"/>
              <w:jc w:val="right"/>
              <w:rPr>
                <w:rFonts w:asciiTheme="minorHAnsi" w:hAnsiTheme="minorHAnsi"/>
                <w:sz w:val="18"/>
                <w:szCs w:val="18"/>
              </w:rPr>
            </w:pPr>
            <w:r w:rsidRPr="00B47695">
              <w:rPr>
                <w:rFonts w:asciiTheme="minorHAnsi" w:hAnsiTheme="minorHAnsi" w:cs="Arial"/>
                <w:color w:val="000000"/>
                <w:sz w:val="18"/>
                <w:szCs w:val="18"/>
              </w:rPr>
              <w:t>166</w:t>
            </w:r>
          </w:p>
        </w:tc>
        <w:tc>
          <w:tcPr>
            <w:tcW w:w="1337" w:type="dxa"/>
            <w:shd w:val="clear" w:color="auto" w:fill="CCEAF9" w:themeFill="accent1" w:themeFillTint="33"/>
            <w:vAlign w:val="bottom"/>
          </w:tcPr>
          <w:p w:rsidR="00B47695" w:rsidRPr="00B47695" w:rsidDel="001B3935" w:rsidRDefault="00B47695" w:rsidP="00B47695">
            <w:pPr>
              <w:keepNext/>
              <w:keepLines/>
              <w:spacing w:before="40" w:after="40" w:line="240" w:lineRule="auto"/>
              <w:jc w:val="right"/>
              <w:rPr>
                <w:rFonts w:asciiTheme="minorHAnsi" w:hAnsiTheme="minorHAnsi"/>
                <w:sz w:val="18"/>
                <w:szCs w:val="18"/>
              </w:rPr>
            </w:pPr>
            <w:r w:rsidRPr="00B47695">
              <w:rPr>
                <w:rFonts w:asciiTheme="minorHAnsi" w:hAnsiTheme="minorHAnsi"/>
                <w:sz w:val="18"/>
                <w:szCs w:val="18"/>
              </w:rPr>
              <w:t>0</w:t>
            </w:r>
          </w:p>
        </w:tc>
        <w:tc>
          <w:tcPr>
            <w:tcW w:w="1152" w:type="dxa"/>
            <w:shd w:val="clear" w:color="auto" w:fill="CCEAF9" w:themeFill="accent1" w:themeFillTint="33"/>
            <w:vAlign w:val="bottom"/>
          </w:tcPr>
          <w:p w:rsidR="00B47695" w:rsidRPr="00B47695" w:rsidDel="001B3935" w:rsidRDefault="00B47695" w:rsidP="00B47695">
            <w:pPr>
              <w:keepNext/>
              <w:keepLines/>
              <w:spacing w:before="40" w:after="40" w:line="240" w:lineRule="auto"/>
              <w:jc w:val="right"/>
              <w:rPr>
                <w:rFonts w:asciiTheme="minorHAnsi" w:hAnsiTheme="minorHAnsi"/>
                <w:sz w:val="18"/>
                <w:szCs w:val="18"/>
              </w:rPr>
            </w:pPr>
            <w:r w:rsidRPr="00B47695">
              <w:rPr>
                <w:rFonts w:asciiTheme="minorHAnsi" w:hAnsiTheme="minorHAnsi" w:cs="Arial"/>
                <w:color w:val="000000"/>
                <w:sz w:val="18"/>
                <w:szCs w:val="18"/>
              </w:rPr>
              <w:t>133</w:t>
            </w:r>
          </w:p>
        </w:tc>
        <w:tc>
          <w:tcPr>
            <w:tcW w:w="1282" w:type="dxa"/>
            <w:shd w:val="clear" w:color="auto" w:fill="CCEAF9" w:themeFill="accent1" w:themeFillTint="33"/>
            <w:vAlign w:val="bottom"/>
          </w:tcPr>
          <w:p w:rsidR="00B47695" w:rsidRPr="00B47695" w:rsidDel="001B3935" w:rsidRDefault="00B47695" w:rsidP="00B47695">
            <w:pPr>
              <w:keepNext/>
              <w:keepLines/>
              <w:spacing w:before="40" w:after="40" w:line="240" w:lineRule="auto"/>
              <w:jc w:val="right"/>
              <w:rPr>
                <w:rFonts w:asciiTheme="minorHAnsi" w:hAnsiTheme="minorHAnsi"/>
                <w:sz w:val="18"/>
                <w:szCs w:val="18"/>
              </w:rPr>
            </w:pPr>
            <w:r w:rsidRPr="00B47695">
              <w:rPr>
                <w:rFonts w:asciiTheme="minorHAnsi" w:hAnsiTheme="minorHAnsi" w:cs="Arial"/>
                <w:color w:val="000000"/>
                <w:sz w:val="18"/>
                <w:szCs w:val="18"/>
              </w:rPr>
              <w:t>24</w:t>
            </w:r>
          </w:p>
        </w:tc>
      </w:tr>
      <w:tr w:rsidR="00B47695" w:rsidRPr="00B47695" w:rsidDel="001B3935" w:rsidTr="00B47695">
        <w:trPr>
          <w:jc w:val="center"/>
        </w:trPr>
        <w:tc>
          <w:tcPr>
            <w:tcW w:w="1152" w:type="dxa"/>
            <w:vAlign w:val="center"/>
          </w:tcPr>
          <w:p w:rsidR="00B47695" w:rsidRPr="00B47695" w:rsidDel="001B3935" w:rsidRDefault="00B47695" w:rsidP="00B47695">
            <w:pPr>
              <w:keepNext/>
              <w:keepLines/>
              <w:spacing w:before="40" w:after="40" w:line="240" w:lineRule="auto"/>
              <w:rPr>
                <w:rFonts w:asciiTheme="minorHAnsi" w:hAnsiTheme="minorHAnsi"/>
                <w:sz w:val="18"/>
                <w:szCs w:val="18"/>
              </w:rPr>
            </w:pPr>
            <w:r w:rsidRPr="00B47695" w:rsidDel="001B3935">
              <w:rPr>
                <w:rFonts w:ascii="Calibri" w:hAnsi="Calibri" w:cs="Arial"/>
                <w:b/>
                <w:bCs/>
                <w:color w:val="000000"/>
                <w:sz w:val="18"/>
                <w:szCs w:val="18"/>
              </w:rPr>
              <w:t>WMA</w:t>
            </w:r>
          </w:p>
        </w:tc>
        <w:tc>
          <w:tcPr>
            <w:tcW w:w="1152" w:type="dxa"/>
            <w:vAlign w:val="bottom"/>
          </w:tcPr>
          <w:p w:rsidR="00B47695" w:rsidRPr="00B47695" w:rsidDel="001B3935" w:rsidRDefault="00B47695" w:rsidP="00CA0EA9">
            <w:pPr>
              <w:keepNext/>
              <w:keepLines/>
              <w:spacing w:before="40" w:after="40" w:line="240" w:lineRule="auto"/>
              <w:jc w:val="right"/>
              <w:rPr>
                <w:rFonts w:asciiTheme="minorHAnsi" w:hAnsiTheme="minorHAnsi"/>
                <w:sz w:val="18"/>
                <w:szCs w:val="18"/>
              </w:rPr>
            </w:pPr>
            <w:r w:rsidRPr="00B47695">
              <w:rPr>
                <w:rFonts w:asciiTheme="minorHAnsi" w:hAnsiTheme="minorHAnsi" w:cs="Arial"/>
                <w:color w:val="000000"/>
                <w:sz w:val="18"/>
                <w:szCs w:val="18"/>
              </w:rPr>
              <w:t>24</w:t>
            </w:r>
            <w:r w:rsidR="00CA0EA9">
              <w:rPr>
                <w:rFonts w:asciiTheme="minorHAnsi" w:hAnsiTheme="minorHAnsi" w:cs="Arial"/>
                <w:color w:val="000000"/>
                <w:sz w:val="18"/>
                <w:szCs w:val="18"/>
              </w:rPr>
              <w:t>2</w:t>
            </w:r>
          </w:p>
        </w:tc>
        <w:tc>
          <w:tcPr>
            <w:tcW w:w="1337" w:type="dxa"/>
            <w:vAlign w:val="bottom"/>
          </w:tcPr>
          <w:p w:rsidR="00B47695" w:rsidRPr="00B47695" w:rsidDel="001B3935" w:rsidRDefault="00B47695" w:rsidP="00B47695">
            <w:pPr>
              <w:keepNext/>
              <w:keepLines/>
              <w:spacing w:before="40" w:after="40" w:line="240" w:lineRule="auto"/>
              <w:jc w:val="right"/>
              <w:rPr>
                <w:rFonts w:asciiTheme="minorHAnsi" w:hAnsiTheme="minorHAnsi"/>
                <w:sz w:val="18"/>
                <w:szCs w:val="18"/>
              </w:rPr>
            </w:pPr>
            <w:r w:rsidRPr="00B47695">
              <w:rPr>
                <w:rFonts w:asciiTheme="minorHAnsi" w:hAnsiTheme="minorHAnsi" w:cs="Arial"/>
                <w:color w:val="000000"/>
                <w:sz w:val="18"/>
                <w:szCs w:val="18"/>
              </w:rPr>
              <w:t>1,356</w:t>
            </w:r>
          </w:p>
        </w:tc>
        <w:tc>
          <w:tcPr>
            <w:tcW w:w="1152" w:type="dxa"/>
            <w:vAlign w:val="bottom"/>
          </w:tcPr>
          <w:p w:rsidR="00B47695" w:rsidRPr="00B47695" w:rsidDel="001B3935" w:rsidRDefault="00B47695" w:rsidP="00B47695">
            <w:pPr>
              <w:keepNext/>
              <w:keepLines/>
              <w:spacing w:before="40" w:after="40" w:line="240" w:lineRule="auto"/>
              <w:jc w:val="right"/>
              <w:rPr>
                <w:rFonts w:asciiTheme="minorHAnsi" w:hAnsiTheme="minorHAnsi"/>
                <w:sz w:val="18"/>
                <w:szCs w:val="18"/>
              </w:rPr>
            </w:pPr>
            <w:r w:rsidRPr="00B47695">
              <w:rPr>
                <w:rFonts w:asciiTheme="minorHAnsi" w:hAnsiTheme="minorHAnsi" w:cs="Arial"/>
                <w:color w:val="000000"/>
                <w:sz w:val="18"/>
                <w:szCs w:val="18"/>
              </w:rPr>
              <w:t>2,023</w:t>
            </w:r>
          </w:p>
        </w:tc>
        <w:tc>
          <w:tcPr>
            <w:tcW w:w="1282" w:type="dxa"/>
            <w:vAlign w:val="bottom"/>
          </w:tcPr>
          <w:p w:rsidR="00B47695" w:rsidRPr="00B47695" w:rsidDel="001B3935" w:rsidRDefault="00B47695" w:rsidP="00B47695">
            <w:pPr>
              <w:keepNext/>
              <w:keepLines/>
              <w:spacing w:before="40" w:after="40" w:line="240" w:lineRule="auto"/>
              <w:jc w:val="right"/>
              <w:rPr>
                <w:rFonts w:asciiTheme="minorHAnsi" w:hAnsiTheme="minorHAnsi"/>
                <w:sz w:val="18"/>
                <w:szCs w:val="18"/>
              </w:rPr>
            </w:pPr>
            <w:r w:rsidRPr="00B47695">
              <w:rPr>
                <w:rFonts w:asciiTheme="minorHAnsi" w:hAnsiTheme="minorHAnsi" w:cs="Arial"/>
                <w:color w:val="000000"/>
                <w:sz w:val="18"/>
                <w:szCs w:val="18"/>
              </w:rPr>
              <w:t>114</w:t>
            </w:r>
          </w:p>
        </w:tc>
      </w:tr>
      <w:tr w:rsidR="00B47695" w:rsidRPr="00B47695" w:rsidDel="001B3935" w:rsidTr="00EB6138">
        <w:trPr>
          <w:jc w:val="center"/>
        </w:trPr>
        <w:tc>
          <w:tcPr>
            <w:tcW w:w="1152" w:type="dxa"/>
            <w:shd w:val="clear" w:color="auto" w:fill="1795D2" w:themeFill="accent1"/>
            <w:vAlign w:val="center"/>
          </w:tcPr>
          <w:p w:rsidR="00B47695" w:rsidRPr="00B47695" w:rsidDel="001B3935" w:rsidRDefault="00B47695" w:rsidP="00B47695">
            <w:pPr>
              <w:keepNext/>
              <w:keepLines/>
              <w:spacing w:before="40" w:after="40" w:line="240" w:lineRule="auto"/>
              <w:rPr>
                <w:rFonts w:asciiTheme="minorHAnsi" w:hAnsiTheme="minorHAnsi"/>
                <w:b/>
                <w:color w:val="FFFFFF" w:themeColor="background1"/>
                <w:sz w:val="18"/>
                <w:szCs w:val="18"/>
              </w:rPr>
            </w:pPr>
            <w:r w:rsidRPr="00B47695" w:rsidDel="001B3935">
              <w:rPr>
                <w:rFonts w:ascii="Calibri" w:hAnsi="Calibri" w:cs="Arial"/>
                <w:b/>
                <w:bCs/>
                <w:color w:val="FFFFFF"/>
                <w:sz w:val="18"/>
                <w:szCs w:val="18"/>
              </w:rPr>
              <w:t>Total</w:t>
            </w:r>
            <w:r w:rsidRPr="00B47695" w:rsidDel="001B3935">
              <w:rPr>
                <w:rFonts w:ascii="Calibri" w:hAnsi="Calibri" w:cs="Arial"/>
                <w:b/>
                <w:bCs/>
                <w:color w:val="FFFFFF"/>
                <w:sz w:val="18"/>
                <w:szCs w:val="18"/>
                <w:vertAlign w:val="superscript"/>
              </w:rPr>
              <w:t>(e)</w:t>
            </w:r>
          </w:p>
        </w:tc>
        <w:tc>
          <w:tcPr>
            <w:tcW w:w="1152" w:type="dxa"/>
            <w:shd w:val="clear" w:color="auto" w:fill="1795D2" w:themeFill="accent1"/>
            <w:vAlign w:val="bottom"/>
          </w:tcPr>
          <w:p w:rsidR="00B47695" w:rsidRPr="00EB6138" w:rsidDel="001B3935" w:rsidRDefault="00B47695" w:rsidP="00B47695">
            <w:pPr>
              <w:keepNext/>
              <w:keepLines/>
              <w:spacing w:before="40" w:after="40" w:line="240" w:lineRule="auto"/>
              <w:jc w:val="right"/>
              <w:rPr>
                <w:rFonts w:asciiTheme="minorHAnsi" w:hAnsiTheme="minorHAnsi"/>
                <w:b/>
                <w:color w:val="FFFFFF" w:themeColor="background1"/>
                <w:sz w:val="18"/>
                <w:szCs w:val="18"/>
              </w:rPr>
            </w:pPr>
            <w:r w:rsidRPr="00EB6138">
              <w:rPr>
                <w:rFonts w:asciiTheme="minorHAnsi" w:hAnsiTheme="minorHAnsi" w:cs="Arial"/>
                <w:b/>
                <w:color w:val="FFFFFF" w:themeColor="background1"/>
                <w:sz w:val="18"/>
                <w:szCs w:val="18"/>
              </w:rPr>
              <w:t>11,701</w:t>
            </w:r>
          </w:p>
        </w:tc>
        <w:tc>
          <w:tcPr>
            <w:tcW w:w="1337" w:type="dxa"/>
            <w:shd w:val="clear" w:color="auto" w:fill="1795D2" w:themeFill="accent1"/>
            <w:vAlign w:val="bottom"/>
          </w:tcPr>
          <w:p w:rsidR="00B47695" w:rsidRPr="00EB6138" w:rsidDel="001B3935" w:rsidRDefault="00B47695" w:rsidP="00B47695">
            <w:pPr>
              <w:keepNext/>
              <w:keepLines/>
              <w:spacing w:before="40" w:after="40" w:line="240" w:lineRule="auto"/>
              <w:jc w:val="right"/>
              <w:rPr>
                <w:rFonts w:asciiTheme="minorHAnsi" w:hAnsiTheme="minorHAnsi"/>
                <w:b/>
                <w:color w:val="FFFFFF" w:themeColor="background1"/>
                <w:sz w:val="18"/>
                <w:szCs w:val="18"/>
              </w:rPr>
            </w:pPr>
            <w:r w:rsidRPr="00EB6138">
              <w:rPr>
                <w:rFonts w:asciiTheme="minorHAnsi" w:hAnsiTheme="minorHAnsi" w:cs="Arial"/>
                <w:b/>
                <w:color w:val="FFFFFF" w:themeColor="background1"/>
                <w:sz w:val="18"/>
                <w:szCs w:val="18"/>
              </w:rPr>
              <w:t>12,558</w:t>
            </w:r>
          </w:p>
        </w:tc>
        <w:tc>
          <w:tcPr>
            <w:tcW w:w="1152" w:type="dxa"/>
            <w:shd w:val="clear" w:color="auto" w:fill="1795D2" w:themeFill="accent1"/>
            <w:vAlign w:val="bottom"/>
          </w:tcPr>
          <w:p w:rsidR="00B47695" w:rsidRPr="00EB6138" w:rsidDel="001B3935" w:rsidRDefault="00B47695" w:rsidP="00B47695">
            <w:pPr>
              <w:keepNext/>
              <w:keepLines/>
              <w:spacing w:before="40" w:after="40" w:line="240" w:lineRule="auto"/>
              <w:jc w:val="right"/>
              <w:rPr>
                <w:rFonts w:asciiTheme="minorHAnsi" w:hAnsiTheme="minorHAnsi"/>
                <w:b/>
                <w:color w:val="FFFFFF" w:themeColor="background1"/>
                <w:sz w:val="18"/>
                <w:szCs w:val="18"/>
              </w:rPr>
            </w:pPr>
            <w:r w:rsidRPr="00EB6138">
              <w:rPr>
                <w:rFonts w:asciiTheme="minorHAnsi" w:hAnsiTheme="minorHAnsi" w:cs="Arial"/>
                <w:b/>
                <w:color w:val="FFFFFF" w:themeColor="background1"/>
                <w:sz w:val="18"/>
                <w:szCs w:val="18"/>
              </w:rPr>
              <w:t>4,344</w:t>
            </w:r>
          </w:p>
        </w:tc>
        <w:tc>
          <w:tcPr>
            <w:tcW w:w="1282" w:type="dxa"/>
            <w:shd w:val="clear" w:color="auto" w:fill="1795D2" w:themeFill="accent1"/>
            <w:vAlign w:val="bottom"/>
          </w:tcPr>
          <w:p w:rsidR="00B47695" w:rsidRPr="00EB6138" w:rsidDel="001B3935" w:rsidRDefault="00B47695" w:rsidP="00CA0EA9">
            <w:pPr>
              <w:keepNext/>
              <w:keepLines/>
              <w:spacing w:before="40" w:after="40" w:line="240" w:lineRule="auto"/>
              <w:jc w:val="right"/>
              <w:rPr>
                <w:rFonts w:asciiTheme="minorHAnsi" w:hAnsiTheme="minorHAnsi"/>
                <w:b/>
                <w:color w:val="FFFFFF" w:themeColor="background1"/>
                <w:sz w:val="18"/>
                <w:szCs w:val="18"/>
              </w:rPr>
            </w:pPr>
            <w:r w:rsidRPr="00EB6138">
              <w:rPr>
                <w:rFonts w:asciiTheme="minorHAnsi" w:hAnsiTheme="minorHAnsi" w:cs="Arial"/>
                <w:b/>
                <w:color w:val="FFFFFF" w:themeColor="background1"/>
                <w:sz w:val="18"/>
                <w:szCs w:val="18"/>
              </w:rPr>
              <w:t>57</w:t>
            </w:r>
            <w:r w:rsidR="00CA0EA9" w:rsidRPr="00EB6138">
              <w:rPr>
                <w:rFonts w:asciiTheme="minorHAnsi" w:hAnsiTheme="minorHAnsi" w:cs="Arial"/>
                <w:b/>
                <w:color w:val="FFFFFF" w:themeColor="background1"/>
                <w:sz w:val="18"/>
                <w:szCs w:val="18"/>
              </w:rPr>
              <w:t>1</w:t>
            </w:r>
          </w:p>
        </w:tc>
      </w:tr>
    </w:tbl>
    <w:p w:rsidR="00B47695" w:rsidRPr="00B47695" w:rsidDel="001B3935" w:rsidRDefault="00B47695" w:rsidP="00B47695">
      <w:pPr>
        <w:keepNext/>
        <w:keepLines/>
        <w:tabs>
          <w:tab w:val="left" w:pos="8010"/>
        </w:tabs>
        <w:spacing w:before="120" w:after="80" w:line="240" w:lineRule="auto"/>
        <w:ind w:left="1710" w:right="1350" w:hanging="270"/>
        <w:rPr>
          <w:rFonts w:asciiTheme="minorHAnsi" w:hAnsiTheme="minorHAnsi"/>
          <w:sz w:val="16"/>
          <w:szCs w:val="16"/>
        </w:rPr>
      </w:pPr>
      <w:r w:rsidRPr="00B47695" w:rsidDel="001B3935">
        <w:rPr>
          <w:rFonts w:asciiTheme="minorHAnsi" w:hAnsiTheme="minorHAnsi"/>
          <w:sz w:val="16"/>
          <w:szCs w:val="16"/>
        </w:rPr>
        <w:t xml:space="preserve">(a) </w:t>
      </w:r>
      <w:r w:rsidRPr="00B47695">
        <w:rPr>
          <w:rFonts w:asciiTheme="minorHAnsi" w:hAnsiTheme="minorHAnsi"/>
          <w:sz w:val="16"/>
          <w:szCs w:val="16"/>
        </w:rPr>
        <w:tab/>
      </w:r>
      <w:r w:rsidRPr="00B47695" w:rsidDel="001B3935">
        <w:rPr>
          <w:rFonts w:asciiTheme="minorHAnsi" w:hAnsiTheme="minorHAnsi"/>
          <w:i/>
          <w:sz w:val="16"/>
          <w:szCs w:val="16"/>
        </w:rPr>
        <w:t>Baseload units</w:t>
      </w:r>
      <w:r w:rsidRPr="00B47695" w:rsidDel="001B3935">
        <w:rPr>
          <w:rFonts w:asciiTheme="minorHAnsi" w:hAnsiTheme="minorHAnsi"/>
          <w:sz w:val="16"/>
          <w:szCs w:val="16"/>
        </w:rPr>
        <w:t xml:space="preserve"> are assumed to run for long continuous hours at a constant output and have little flexibility. For operating classification purposes, bio/refuse, coal, fuel cell, pondage hydro, weekly hydro, nuclear, and thermal steam generators are assumed in the baseload category.</w:t>
      </w:r>
    </w:p>
    <w:p w:rsidR="00B47695" w:rsidRPr="00B47695" w:rsidDel="001B3935" w:rsidRDefault="00B47695" w:rsidP="00B47695">
      <w:pPr>
        <w:keepNext/>
        <w:keepLines/>
        <w:tabs>
          <w:tab w:val="left" w:pos="8010"/>
        </w:tabs>
        <w:spacing w:after="80" w:line="240" w:lineRule="auto"/>
        <w:ind w:left="1710" w:right="1350" w:hanging="270"/>
        <w:rPr>
          <w:rFonts w:asciiTheme="minorHAnsi" w:hAnsiTheme="minorHAnsi"/>
          <w:sz w:val="16"/>
          <w:szCs w:val="16"/>
        </w:rPr>
      </w:pPr>
      <w:r w:rsidRPr="00B47695" w:rsidDel="001B3935">
        <w:rPr>
          <w:rFonts w:asciiTheme="minorHAnsi" w:hAnsiTheme="minorHAnsi"/>
          <w:sz w:val="16"/>
          <w:szCs w:val="16"/>
        </w:rPr>
        <w:t>(b)</w:t>
      </w:r>
      <w:r w:rsidRPr="00B47695">
        <w:rPr>
          <w:rFonts w:asciiTheme="minorHAnsi" w:hAnsiTheme="minorHAnsi"/>
          <w:sz w:val="16"/>
          <w:szCs w:val="16"/>
        </w:rPr>
        <w:t xml:space="preserve"> </w:t>
      </w:r>
      <w:r w:rsidRPr="00B47695">
        <w:rPr>
          <w:rFonts w:asciiTheme="minorHAnsi" w:hAnsiTheme="minorHAnsi"/>
          <w:sz w:val="16"/>
          <w:szCs w:val="16"/>
        </w:rPr>
        <w:tab/>
      </w:r>
      <w:r w:rsidRPr="00B47695" w:rsidDel="001B3935">
        <w:rPr>
          <w:rFonts w:asciiTheme="minorHAnsi" w:hAnsiTheme="minorHAnsi"/>
          <w:i/>
          <w:sz w:val="16"/>
          <w:szCs w:val="16"/>
        </w:rPr>
        <w:t xml:space="preserve">Intermediate units </w:t>
      </w:r>
      <w:r w:rsidRPr="00B47695" w:rsidDel="001B3935">
        <w:rPr>
          <w:rFonts w:asciiTheme="minorHAnsi" w:hAnsiTheme="minorHAnsi"/>
          <w:sz w:val="16"/>
          <w:szCs w:val="16"/>
        </w:rPr>
        <w:t xml:space="preserve">have the ability to dispatch flexibly and can follow variations in the system load. Combined-cycle generators are assumed in the intermediate category. </w:t>
      </w:r>
    </w:p>
    <w:p w:rsidR="00B47695" w:rsidRPr="00B47695" w:rsidDel="001B3935" w:rsidRDefault="00B47695" w:rsidP="00B47695">
      <w:pPr>
        <w:keepNext/>
        <w:keepLines/>
        <w:tabs>
          <w:tab w:val="left" w:pos="8010"/>
        </w:tabs>
        <w:spacing w:after="80" w:line="240" w:lineRule="auto"/>
        <w:ind w:left="1710" w:right="1350" w:hanging="270"/>
        <w:rPr>
          <w:rFonts w:asciiTheme="minorHAnsi" w:hAnsiTheme="minorHAnsi"/>
          <w:sz w:val="16"/>
          <w:szCs w:val="16"/>
        </w:rPr>
      </w:pPr>
      <w:r w:rsidRPr="00B47695" w:rsidDel="001B3935">
        <w:rPr>
          <w:rFonts w:asciiTheme="minorHAnsi" w:hAnsiTheme="minorHAnsi"/>
          <w:sz w:val="16"/>
          <w:szCs w:val="16"/>
        </w:rPr>
        <w:t>(c)</w:t>
      </w:r>
      <w:r w:rsidRPr="00B47695" w:rsidDel="001B3935">
        <w:rPr>
          <w:rFonts w:asciiTheme="minorHAnsi" w:hAnsiTheme="minorHAnsi"/>
          <w:sz w:val="16"/>
          <w:szCs w:val="16"/>
        </w:rPr>
        <w:tab/>
      </w:r>
      <w:r w:rsidRPr="00B47695" w:rsidDel="001B3935">
        <w:rPr>
          <w:rFonts w:asciiTheme="minorHAnsi" w:hAnsiTheme="minorHAnsi"/>
          <w:i/>
          <w:sz w:val="16"/>
          <w:szCs w:val="16"/>
        </w:rPr>
        <w:t>Peaking generators</w:t>
      </w:r>
      <w:r w:rsidRPr="00B47695" w:rsidDel="001B3935">
        <w:rPr>
          <w:rFonts w:asciiTheme="minorHAnsi" w:hAnsiTheme="minorHAnsi"/>
          <w:sz w:val="16"/>
          <w:szCs w:val="16"/>
        </w:rPr>
        <w:t xml:space="preserve"> can be dispatched to meet peak demand for relatively short periods. Internal combustion, gas turbine, </w:t>
      </w:r>
      <w:r w:rsidRPr="00B47695">
        <w:rPr>
          <w:rFonts w:asciiTheme="minorHAnsi" w:hAnsiTheme="minorHAnsi"/>
          <w:sz w:val="16"/>
          <w:szCs w:val="16"/>
        </w:rPr>
        <w:t xml:space="preserve">and </w:t>
      </w:r>
      <w:r w:rsidRPr="00B47695" w:rsidDel="001B3935">
        <w:rPr>
          <w:rFonts w:asciiTheme="minorHAnsi" w:hAnsiTheme="minorHAnsi"/>
          <w:sz w:val="16"/>
          <w:szCs w:val="16"/>
        </w:rPr>
        <w:t>pumped-storage generators</w:t>
      </w:r>
      <w:r w:rsidRPr="00B47695">
        <w:rPr>
          <w:rFonts w:asciiTheme="minorHAnsi" w:hAnsiTheme="minorHAnsi"/>
          <w:sz w:val="16"/>
          <w:szCs w:val="16"/>
        </w:rPr>
        <w:t>,</w:t>
      </w:r>
      <w:r w:rsidRPr="00B47695" w:rsidDel="001B3935">
        <w:rPr>
          <w:rFonts w:asciiTheme="minorHAnsi" w:hAnsiTheme="minorHAnsi"/>
          <w:sz w:val="16"/>
          <w:szCs w:val="16"/>
        </w:rPr>
        <w:t xml:space="preserve"> </w:t>
      </w:r>
      <w:r w:rsidRPr="00B47695">
        <w:rPr>
          <w:rFonts w:asciiTheme="minorHAnsi" w:hAnsiTheme="minorHAnsi"/>
          <w:sz w:val="16"/>
          <w:szCs w:val="16"/>
        </w:rPr>
        <w:t xml:space="preserve">as well as battery storage facilities, </w:t>
      </w:r>
      <w:r w:rsidRPr="00B47695" w:rsidDel="001B3935">
        <w:rPr>
          <w:rFonts w:asciiTheme="minorHAnsi" w:hAnsiTheme="minorHAnsi"/>
          <w:sz w:val="16"/>
          <w:szCs w:val="16"/>
        </w:rPr>
        <w:t xml:space="preserve">are assumed in the peaking category. </w:t>
      </w:r>
    </w:p>
    <w:p w:rsidR="00B47695" w:rsidRPr="00B47695" w:rsidDel="001B3935" w:rsidRDefault="00B47695" w:rsidP="00B47695">
      <w:pPr>
        <w:keepNext/>
        <w:keepLines/>
        <w:tabs>
          <w:tab w:val="left" w:pos="8010"/>
        </w:tabs>
        <w:spacing w:after="80" w:line="240" w:lineRule="auto"/>
        <w:ind w:left="1714" w:right="1354" w:hanging="274"/>
        <w:rPr>
          <w:rFonts w:asciiTheme="minorHAnsi" w:hAnsiTheme="minorHAnsi"/>
          <w:sz w:val="16"/>
          <w:szCs w:val="16"/>
        </w:rPr>
      </w:pPr>
      <w:r w:rsidRPr="00B47695" w:rsidDel="001B3935">
        <w:rPr>
          <w:rFonts w:asciiTheme="minorHAnsi" w:hAnsiTheme="minorHAnsi"/>
          <w:sz w:val="16"/>
          <w:szCs w:val="16"/>
        </w:rPr>
        <w:t>(d)</w:t>
      </w:r>
      <w:r w:rsidRPr="00B47695">
        <w:rPr>
          <w:rFonts w:asciiTheme="minorHAnsi" w:hAnsiTheme="minorHAnsi"/>
          <w:sz w:val="16"/>
          <w:szCs w:val="16"/>
        </w:rPr>
        <w:t xml:space="preserve"> </w:t>
      </w:r>
      <w:r w:rsidRPr="00B47695">
        <w:rPr>
          <w:rFonts w:asciiTheme="minorHAnsi" w:hAnsiTheme="minorHAnsi"/>
          <w:sz w:val="16"/>
          <w:szCs w:val="16"/>
        </w:rPr>
        <w:tab/>
      </w:r>
      <w:r w:rsidRPr="00B47695">
        <w:rPr>
          <w:rFonts w:asciiTheme="minorHAnsi" w:hAnsiTheme="minorHAnsi"/>
          <w:i/>
          <w:sz w:val="16"/>
          <w:szCs w:val="16"/>
        </w:rPr>
        <w:t>Variable</w:t>
      </w:r>
      <w:r w:rsidRPr="00B47695" w:rsidDel="001B3935">
        <w:rPr>
          <w:rFonts w:asciiTheme="minorHAnsi" w:hAnsiTheme="minorHAnsi"/>
          <w:i/>
          <w:sz w:val="16"/>
          <w:szCs w:val="16"/>
        </w:rPr>
        <w:t xml:space="preserve"> units</w:t>
      </w:r>
      <w:r w:rsidRPr="00B47695" w:rsidDel="001B3935">
        <w:rPr>
          <w:rFonts w:asciiTheme="minorHAnsi" w:hAnsiTheme="minorHAnsi"/>
          <w:sz w:val="16"/>
          <w:szCs w:val="16"/>
        </w:rPr>
        <w:t xml:space="preserve"> produce energy subject to variations in “fuel” determined by weather. Run-</w:t>
      </w:r>
      <w:r w:rsidRPr="00361210" w:rsidDel="001B3935">
        <w:rPr>
          <w:rFonts w:asciiTheme="minorHAnsi" w:hAnsiTheme="minorHAnsi"/>
          <w:sz w:val="16"/>
          <w:szCs w:val="16"/>
        </w:rPr>
        <w:t xml:space="preserve">of-river hydro, photovoltaic, and wind generators are assumed in the </w:t>
      </w:r>
      <w:r w:rsidRPr="00361210">
        <w:rPr>
          <w:rFonts w:asciiTheme="minorHAnsi" w:hAnsiTheme="minorHAnsi"/>
          <w:sz w:val="16"/>
          <w:szCs w:val="16"/>
        </w:rPr>
        <w:t>variable</w:t>
      </w:r>
      <w:r w:rsidRPr="00361210" w:rsidDel="001B3935">
        <w:rPr>
          <w:rFonts w:asciiTheme="minorHAnsi" w:hAnsiTheme="minorHAnsi"/>
          <w:sz w:val="16"/>
          <w:szCs w:val="16"/>
        </w:rPr>
        <w:t xml:space="preserve"> </w:t>
      </w:r>
      <w:r w:rsidR="003B0E8A" w:rsidRPr="00361210">
        <w:rPr>
          <w:rFonts w:asciiTheme="minorHAnsi" w:hAnsiTheme="minorHAnsi"/>
          <w:sz w:val="16"/>
          <w:szCs w:val="16"/>
        </w:rPr>
        <w:t xml:space="preserve">energy resource (VER) </w:t>
      </w:r>
      <w:r w:rsidRPr="00361210" w:rsidDel="001B3935">
        <w:rPr>
          <w:rFonts w:asciiTheme="minorHAnsi" w:hAnsiTheme="minorHAnsi"/>
          <w:sz w:val="16"/>
          <w:szCs w:val="16"/>
        </w:rPr>
        <w:t>category</w:t>
      </w:r>
      <w:r w:rsidR="003B0E8A" w:rsidRPr="00361210">
        <w:rPr>
          <w:rFonts w:asciiTheme="minorHAnsi" w:hAnsiTheme="minorHAnsi"/>
          <w:sz w:val="16"/>
          <w:szCs w:val="16"/>
        </w:rPr>
        <w:t xml:space="preserve">; refer to </w:t>
      </w:r>
      <w:r w:rsidR="003B0E8A" w:rsidRPr="00361210">
        <w:rPr>
          <w:rFonts w:asciiTheme="minorHAnsi" w:hAnsiTheme="minorHAnsi"/>
          <w:sz w:val="16"/>
          <w:szCs w:val="16"/>
        </w:rPr>
        <w:fldChar w:fldCharType="begin"/>
      </w:r>
      <w:r w:rsidR="003B0E8A" w:rsidRPr="00361210">
        <w:rPr>
          <w:rFonts w:asciiTheme="minorHAnsi" w:hAnsiTheme="minorHAnsi"/>
          <w:sz w:val="16"/>
          <w:szCs w:val="16"/>
        </w:rPr>
        <w:instrText xml:space="preserve"> REF _Ref418883814 \r \h </w:instrText>
      </w:r>
      <w:r w:rsidR="00361210">
        <w:rPr>
          <w:rFonts w:asciiTheme="minorHAnsi" w:hAnsiTheme="minorHAnsi"/>
          <w:sz w:val="16"/>
          <w:szCs w:val="16"/>
        </w:rPr>
        <w:instrText xml:space="preserve"> \* MERGEFORMAT </w:instrText>
      </w:r>
      <w:r w:rsidR="003B0E8A" w:rsidRPr="00361210">
        <w:rPr>
          <w:rFonts w:asciiTheme="minorHAnsi" w:hAnsiTheme="minorHAnsi"/>
          <w:sz w:val="16"/>
          <w:szCs w:val="16"/>
        </w:rPr>
      </w:r>
      <w:r w:rsidR="003B0E8A" w:rsidRPr="00361210">
        <w:rPr>
          <w:rFonts w:asciiTheme="minorHAnsi" w:hAnsiTheme="minorHAnsi"/>
          <w:sz w:val="16"/>
          <w:szCs w:val="16"/>
        </w:rPr>
        <w:fldChar w:fldCharType="separate"/>
      </w:r>
      <w:r w:rsidR="00314781">
        <w:rPr>
          <w:rFonts w:asciiTheme="minorHAnsi" w:hAnsiTheme="minorHAnsi"/>
          <w:sz w:val="16"/>
          <w:szCs w:val="16"/>
        </w:rPr>
        <w:t>Section 9</w:t>
      </w:r>
      <w:r w:rsidR="003B0E8A" w:rsidRPr="00361210">
        <w:rPr>
          <w:rFonts w:asciiTheme="minorHAnsi" w:hAnsiTheme="minorHAnsi"/>
          <w:sz w:val="16"/>
          <w:szCs w:val="16"/>
        </w:rPr>
        <w:fldChar w:fldCharType="end"/>
      </w:r>
      <w:r w:rsidRPr="00361210" w:rsidDel="001B3935">
        <w:rPr>
          <w:rFonts w:asciiTheme="minorHAnsi" w:hAnsiTheme="minorHAnsi"/>
          <w:sz w:val="16"/>
          <w:szCs w:val="16"/>
        </w:rPr>
        <w:t>.</w:t>
      </w:r>
    </w:p>
    <w:p w:rsidR="00B47695" w:rsidRPr="00B47695" w:rsidDel="001B3935" w:rsidRDefault="00B47695" w:rsidP="00B47695">
      <w:pPr>
        <w:tabs>
          <w:tab w:val="left" w:pos="8010"/>
        </w:tabs>
        <w:spacing w:line="240" w:lineRule="auto"/>
        <w:ind w:left="1710" w:right="1350" w:hanging="270"/>
        <w:rPr>
          <w:rFonts w:asciiTheme="minorHAnsi" w:hAnsiTheme="minorHAnsi" w:cs="Arial"/>
          <w:bCs/>
          <w:sz w:val="16"/>
          <w:szCs w:val="16"/>
        </w:rPr>
      </w:pPr>
      <w:r w:rsidRPr="00B47695" w:rsidDel="001B3935">
        <w:rPr>
          <w:rFonts w:asciiTheme="minorHAnsi" w:hAnsiTheme="minorHAnsi"/>
          <w:sz w:val="16"/>
          <w:szCs w:val="16"/>
        </w:rPr>
        <w:t xml:space="preserve">(e) </w:t>
      </w:r>
      <w:r w:rsidRPr="00B47695">
        <w:rPr>
          <w:rFonts w:asciiTheme="minorHAnsi" w:hAnsiTheme="minorHAnsi"/>
          <w:sz w:val="16"/>
          <w:szCs w:val="16"/>
        </w:rPr>
        <w:tab/>
      </w:r>
      <w:r w:rsidRPr="00B47695" w:rsidDel="001B3935">
        <w:rPr>
          <w:rFonts w:asciiTheme="minorHAnsi" w:hAnsiTheme="minorHAnsi"/>
          <w:sz w:val="16"/>
          <w:szCs w:val="16"/>
        </w:rPr>
        <w:t>Totals may not</w:t>
      </w:r>
      <w:r w:rsidRPr="00B47695" w:rsidDel="001B3935">
        <w:rPr>
          <w:rFonts w:asciiTheme="minorHAnsi" w:hAnsiTheme="minorHAnsi" w:cs="Arial"/>
          <w:bCs/>
          <w:sz w:val="16"/>
          <w:szCs w:val="16"/>
        </w:rPr>
        <w:t xml:space="preserve"> equal the sum because of rounding. </w:t>
      </w:r>
    </w:p>
    <w:p w:rsidR="00B47695" w:rsidRPr="00B47695" w:rsidRDefault="00B47695" w:rsidP="002B7010">
      <w:pPr>
        <w:pStyle w:val="Heading3"/>
      </w:pPr>
      <w:bookmarkStart w:id="471" w:name="_Ref418883630"/>
      <w:bookmarkStart w:id="472" w:name="_Toc429063404"/>
      <w:bookmarkStart w:id="473" w:name="_Toc481053270"/>
      <w:bookmarkStart w:id="474" w:name="_Toc490323036"/>
      <w:r w:rsidRPr="00B47695">
        <w:t>Generation Retirement and Additions in New England</w:t>
      </w:r>
      <w:bookmarkEnd w:id="471"/>
      <w:bookmarkEnd w:id="472"/>
      <w:bookmarkEnd w:id="473"/>
      <w:bookmarkEnd w:id="474"/>
    </w:p>
    <w:p w:rsidR="00B47695" w:rsidRPr="00B47695" w:rsidRDefault="00B47695" w:rsidP="00E44E53">
      <w:r w:rsidRPr="00B47695">
        <w:rPr>
          <w:rFonts w:eastAsia="Times New Roman" w:cs="Arial"/>
          <w:color w:val="000000"/>
        </w:rPr>
        <w:fldChar w:fldCharType="begin"/>
      </w:r>
      <w:r w:rsidRPr="00B47695">
        <w:rPr>
          <w:rFonts w:eastAsia="Times New Roman" w:cs="Arial"/>
          <w:color w:val="000000"/>
        </w:rPr>
        <w:instrText xml:space="preserve"> REF _Ref418680744 \h  \* MERGEFORMAT </w:instrText>
      </w:r>
      <w:r w:rsidRPr="00B47695">
        <w:rPr>
          <w:rFonts w:eastAsia="Times New Roman" w:cs="Arial"/>
          <w:color w:val="000000"/>
        </w:rPr>
      </w:r>
      <w:r w:rsidRPr="00B47695">
        <w:rPr>
          <w:rFonts w:eastAsia="Times New Roman" w:cs="Arial"/>
          <w:color w:val="000000"/>
        </w:rPr>
        <w:fldChar w:fldCharType="separate"/>
      </w:r>
      <w:r w:rsidR="00314781" w:rsidRPr="000162C8">
        <w:rPr>
          <w:bCs/>
        </w:rPr>
        <w:t xml:space="preserve">Figure </w:t>
      </w:r>
      <w:r w:rsidR="00314781" w:rsidRPr="000162C8">
        <w:rPr>
          <w:bCs/>
          <w:noProof/>
        </w:rPr>
        <w:t>4</w:t>
      </w:r>
      <w:r w:rsidR="00314781" w:rsidRPr="000162C8">
        <w:rPr>
          <w:bCs/>
          <w:noProof/>
        </w:rPr>
        <w:noBreakHyphen/>
        <w:t>2</w:t>
      </w:r>
      <w:r w:rsidRPr="00B47695">
        <w:rPr>
          <w:rFonts w:eastAsia="Times New Roman" w:cs="Arial"/>
          <w:color w:val="000000"/>
        </w:rPr>
        <w:fldChar w:fldCharType="end"/>
      </w:r>
      <w:r w:rsidRPr="00B47695">
        <w:t xml:space="preserve"> shows the actual and projected annual New England generating unit retirements and additions in megawatts for 2010/2011 through 2020/2021, which covers the FCA #1 through FCA #11 periods. Approximately 4,100 MW of retirements occur from 2010/2011 through 2017/2018. The total for known generator retirements will reach approximately 4,</w:t>
      </w:r>
      <w:r w:rsidR="00B30D2D">
        <w:t>80</w:t>
      </w:r>
      <w:r w:rsidRPr="00B47695">
        <w:t xml:space="preserve">0 MW by summer 2020, which includes approximately </w:t>
      </w:r>
      <w:r w:rsidRPr="00B47695">
        <w:rPr>
          <w:bCs/>
        </w:rPr>
        <w:t>6</w:t>
      </w:r>
      <w:r w:rsidR="00B30D2D">
        <w:rPr>
          <w:bCs/>
        </w:rPr>
        <w:t>8</w:t>
      </w:r>
      <w:r w:rsidRPr="00B47695">
        <w:rPr>
          <w:bCs/>
        </w:rPr>
        <w:t>0</w:t>
      </w:r>
      <w:r w:rsidRPr="00B47695">
        <w:t xml:space="preserve"> MW </w:t>
      </w:r>
      <w:r w:rsidRPr="00B47695">
        <w:rPr>
          <w:bCs/>
        </w:rPr>
        <w:t xml:space="preserve">of future retirements occurring by summer </w:t>
      </w:r>
      <w:r w:rsidRPr="00B47695">
        <w:t xml:space="preserve">2019. Significant generating resource additions </w:t>
      </w:r>
      <w:r w:rsidRPr="00B47695">
        <w:rPr>
          <w:bCs/>
        </w:rPr>
        <w:t>occurred</w:t>
      </w:r>
      <w:r w:rsidRPr="00B47695">
        <w:t xml:space="preserve"> early in </w:t>
      </w:r>
      <w:r w:rsidRPr="00B47695">
        <w:rPr>
          <w:bCs/>
        </w:rPr>
        <w:t>the eleven-year period, increasing again in 201</w:t>
      </w:r>
      <w:r w:rsidR="00B30D2D">
        <w:rPr>
          <w:bCs/>
        </w:rPr>
        <w:t>8</w:t>
      </w:r>
      <w:r w:rsidRPr="00B47695">
        <w:rPr>
          <w:bCs/>
        </w:rPr>
        <w:t xml:space="preserve"> with </w:t>
      </w:r>
      <w:r w:rsidR="00B30D2D">
        <w:rPr>
          <w:bCs/>
        </w:rPr>
        <w:t>1,701</w:t>
      </w:r>
      <w:r w:rsidRPr="00B47695">
        <w:rPr>
          <w:bCs/>
        </w:rPr>
        <w:t xml:space="preserve"> MW of additions. Additional generating resources are expected beyond 201</w:t>
      </w:r>
      <w:r w:rsidR="00B30D2D">
        <w:rPr>
          <w:bCs/>
        </w:rPr>
        <w:t>8</w:t>
      </w:r>
      <w:r w:rsidRPr="00B47695">
        <w:rPr>
          <w:bCs/>
        </w:rPr>
        <w:t xml:space="preserve">, including </w:t>
      </w:r>
      <w:r w:rsidRPr="00B47695">
        <w:t>1,348 MW in 20</w:t>
      </w:r>
      <w:r w:rsidR="00B30D2D">
        <w:t>19 and 104 MW in 2020</w:t>
      </w:r>
      <w:r w:rsidRPr="00B47695">
        <w:t>. Total retirements and additions at the end of the 2010 through 2020 period will be nearly equal, with the generating unit additions outpacing retirements by only approximately</w:t>
      </w:r>
      <w:r w:rsidRPr="00B47695">
        <w:rPr>
          <w:bCs/>
        </w:rPr>
        <w:t xml:space="preserve"> </w:t>
      </w:r>
      <w:r w:rsidR="00B30D2D">
        <w:rPr>
          <w:bCs/>
        </w:rPr>
        <w:t>55</w:t>
      </w:r>
      <w:r w:rsidRPr="00B47695">
        <w:t xml:space="preserve"> MW. </w:t>
      </w:r>
    </w:p>
    <w:p w:rsidR="00B30D2D" w:rsidRPr="00B47695" w:rsidRDefault="00B30D2D" w:rsidP="00B47695">
      <w:pPr>
        <w:spacing w:after="0" w:line="240" w:lineRule="auto"/>
        <w:jc w:val="center"/>
      </w:pPr>
      <w:r w:rsidRPr="00B30D2D">
        <w:rPr>
          <w:noProof/>
        </w:rPr>
        <w:lastRenderedPageBreak/>
        <w:drawing>
          <wp:inline distT="0" distB="0" distL="0" distR="0" wp14:anchorId="79F8E0D3" wp14:editId="5BD5FF9A">
            <wp:extent cx="4572000" cy="2265943"/>
            <wp:effectExtent l="19050" t="19050" r="19050" b="2032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569743" cy="2264824"/>
                    </a:xfrm>
                    <a:prstGeom prst="rect">
                      <a:avLst/>
                    </a:prstGeom>
                    <a:noFill/>
                    <a:ln w="3175">
                      <a:solidFill>
                        <a:srgbClr val="000000"/>
                      </a:solidFill>
                    </a:ln>
                  </pic:spPr>
                </pic:pic>
              </a:graphicData>
            </a:graphic>
          </wp:inline>
        </w:drawing>
      </w:r>
    </w:p>
    <w:p w:rsidR="00B47695" w:rsidRPr="00B47695" w:rsidRDefault="00B47695" w:rsidP="00B47695">
      <w:pPr>
        <w:tabs>
          <w:tab w:val="left" w:pos="8010"/>
        </w:tabs>
        <w:spacing w:before="120" w:after="80" w:line="240" w:lineRule="auto"/>
        <w:ind w:left="900" w:right="907"/>
        <w:rPr>
          <w:rFonts w:ascii="Calibri" w:hAnsi="Calibri"/>
          <w:b/>
          <w:bCs/>
          <w:szCs w:val="18"/>
        </w:rPr>
      </w:pPr>
      <w:bookmarkStart w:id="475" w:name="_Ref418680744"/>
      <w:bookmarkStart w:id="476" w:name="_Toc429063523"/>
      <w:bookmarkStart w:id="477" w:name="_Toc481053275"/>
      <w:bookmarkStart w:id="478" w:name="_Toc486233204"/>
      <w:r w:rsidRPr="00B47695">
        <w:rPr>
          <w:rFonts w:ascii="Calibri" w:hAnsi="Calibri"/>
          <w:b/>
          <w:bCs/>
          <w:szCs w:val="18"/>
        </w:rPr>
        <w:t xml:space="preserve">Figure </w:t>
      </w:r>
      <w:r w:rsidRPr="00B47695">
        <w:rPr>
          <w:rFonts w:ascii="Calibri" w:hAnsi="Calibri"/>
          <w:b/>
          <w:bCs/>
          <w:szCs w:val="18"/>
        </w:rPr>
        <w:fldChar w:fldCharType="begin"/>
      </w:r>
      <w:r w:rsidRPr="00B47695">
        <w:rPr>
          <w:rFonts w:ascii="Calibri" w:hAnsi="Calibri"/>
          <w:b/>
          <w:bCs/>
          <w:szCs w:val="18"/>
        </w:rPr>
        <w:instrText xml:space="preserve"> STYLEREF 1 \s </w:instrText>
      </w:r>
      <w:r w:rsidRPr="00B47695">
        <w:rPr>
          <w:rFonts w:ascii="Calibri" w:hAnsi="Calibri"/>
          <w:b/>
          <w:bCs/>
          <w:szCs w:val="18"/>
        </w:rPr>
        <w:fldChar w:fldCharType="separate"/>
      </w:r>
      <w:r w:rsidR="00314781">
        <w:rPr>
          <w:rFonts w:ascii="Calibri" w:hAnsi="Calibri"/>
          <w:b/>
          <w:bCs/>
          <w:noProof/>
          <w:szCs w:val="18"/>
        </w:rPr>
        <w:t>4</w:t>
      </w:r>
      <w:r w:rsidRPr="00B47695">
        <w:rPr>
          <w:rFonts w:ascii="Calibri" w:hAnsi="Calibri"/>
          <w:b/>
          <w:bCs/>
          <w:szCs w:val="18"/>
        </w:rPr>
        <w:fldChar w:fldCharType="end"/>
      </w:r>
      <w:r w:rsidRPr="00B47695">
        <w:rPr>
          <w:rFonts w:ascii="Calibri" w:hAnsi="Calibri"/>
          <w:b/>
          <w:bCs/>
          <w:szCs w:val="18"/>
        </w:rPr>
        <w:noBreakHyphen/>
      </w:r>
      <w:r w:rsidRPr="00B47695">
        <w:rPr>
          <w:rFonts w:ascii="Calibri" w:hAnsi="Calibri"/>
          <w:b/>
          <w:bCs/>
          <w:szCs w:val="18"/>
        </w:rPr>
        <w:fldChar w:fldCharType="begin"/>
      </w:r>
      <w:r w:rsidRPr="00B47695">
        <w:rPr>
          <w:rFonts w:ascii="Calibri" w:hAnsi="Calibri"/>
          <w:b/>
          <w:bCs/>
          <w:szCs w:val="18"/>
        </w:rPr>
        <w:instrText xml:space="preserve"> SEQ Figure \* ARABIC \s 1 </w:instrText>
      </w:r>
      <w:r w:rsidRPr="00B47695">
        <w:rPr>
          <w:rFonts w:ascii="Calibri" w:hAnsi="Calibri"/>
          <w:b/>
          <w:bCs/>
          <w:szCs w:val="18"/>
        </w:rPr>
        <w:fldChar w:fldCharType="separate"/>
      </w:r>
      <w:r w:rsidR="00314781">
        <w:rPr>
          <w:rFonts w:ascii="Calibri" w:hAnsi="Calibri"/>
          <w:b/>
          <w:bCs/>
          <w:noProof/>
          <w:szCs w:val="18"/>
        </w:rPr>
        <w:t>2</w:t>
      </w:r>
      <w:r w:rsidRPr="00B47695">
        <w:rPr>
          <w:rFonts w:ascii="Calibri" w:hAnsi="Calibri"/>
          <w:b/>
          <w:bCs/>
          <w:szCs w:val="18"/>
        </w:rPr>
        <w:fldChar w:fldCharType="end"/>
      </w:r>
      <w:bookmarkEnd w:id="475"/>
      <w:r w:rsidRPr="00B47695">
        <w:rPr>
          <w:rFonts w:ascii="Calibri" w:hAnsi="Calibri"/>
          <w:b/>
          <w:bCs/>
          <w:szCs w:val="18"/>
        </w:rPr>
        <w:t>: Actual and projected summer generation retirements and additions, 2010 to 2020 (MW).</w:t>
      </w:r>
      <w:bookmarkEnd w:id="476"/>
      <w:bookmarkEnd w:id="477"/>
      <w:bookmarkEnd w:id="478"/>
    </w:p>
    <w:p w:rsidR="00B47695" w:rsidRPr="00B47695" w:rsidRDefault="00B47695" w:rsidP="00B47695">
      <w:pPr>
        <w:tabs>
          <w:tab w:val="left" w:pos="90"/>
          <w:tab w:val="left" w:pos="9720"/>
        </w:tabs>
        <w:spacing w:line="240" w:lineRule="auto"/>
        <w:ind w:left="900" w:right="-274"/>
        <w:rPr>
          <w:rFonts w:asciiTheme="minorHAnsi" w:eastAsia="Times New Roman" w:hAnsiTheme="minorHAnsi"/>
          <w:sz w:val="16"/>
          <w:szCs w:val="16"/>
        </w:rPr>
      </w:pPr>
      <w:r w:rsidRPr="00B47695">
        <w:rPr>
          <w:rFonts w:asciiTheme="minorHAnsi" w:eastAsia="Times New Roman" w:hAnsiTheme="minorHAnsi"/>
          <w:b/>
          <w:sz w:val="16"/>
          <w:szCs w:val="16"/>
        </w:rPr>
        <w:t>Note:</w:t>
      </w:r>
      <w:r w:rsidRPr="00B47695">
        <w:rPr>
          <w:rFonts w:asciiTheme="minorHAnsi" w:eastAsia="Times New Roman" w:hAnsiTheme="minorHAnsi"/>
          <w:sz w:val="16"/>
          <w:szCs w:val="16"/>
        </w:rPr>
        <w:t xml:space="preserve"> This table reflects both FCM and non-FCM capacity.</w:t>
      </w:r>
    </w:p>
    <w:p w:rsidR="00B47695" w:rsidRPr="00B47695" w:rsidRDefault="00B47695" w:rsidP="00B47695">
      <w:r w:rsidRPr="00B47695">
        <w:t>Since the region is expected to experience more generating resource additions than retirements by summer 2020, the ISO expects that resources will be a</w:t>
      </w:r>
      <w:r w:rsidR="00C35E1F">
        <w:t>dequate</w:t>
      </w:r>
      <w:r w:rsidRPr="00B47695">
        <w:t xml:space="preserve"> </w:t>
      </w:r>
      <w:r w:rsidR="00C35E1F">
        <w:t>for</w:t>
      </w:r>
      <w:r w:rsidRPr="00B47695">
        <w:t xml:space="preserve"> meet</w:t>
      </w:r>
      <w:r w:rsidR="00C35E1F">
        <w:t>ing</w:t>
      </w:r>
      <w:r w:rsidRPr="00B47695">
        <w:t xml:space="preserve"> net Installed Capacity Requirements. The anticipated growth of PV and EE resources in the region and the 12,899 MW of generating resources actively seeking interconnection will further contribute to meeting demand. FCA #9 and #10 results </w:t>
      </w:r>
      <w:r w:rsidR="009607CD">
        <w:t xml:space="preserve">(for 2018 and 2019, respectively) </w:t>
      </w:r>
      <w:r w:rsidRPr="00B47695">
        <w:t>suggest that resources are responding to FCM market signals.</w:t>
      </w:r>
    </w:p>
    <w:p w:rsidR="00B47695" w:rsidRPr="00B47695" w:rsidRDefault="00B47695" w:rsidP="002B7010">
      <w:pPr>
        <w:pStyle w:val="Heading3"/>
      </w:pPr>
      <w:bookmarkStart w:id="479" w:name="_Ref329080869"/>
      <w:bookmarkStart w:id="480" w:name="_Toc334601038"/>
      <w:bookmarkStart w:id="481" w:name="_Toc365441002"/>
      <w:bookmarkStart w:id="482" w:name="_Toc396807632"/>
      <w:bookmarkStart w:id="483" w:name="_Toc429063405"/>
      <w:bookmarkStart w:id="484" w:name="_Toc490323037"/>
      <w:bookmarkStart w:id="485" w:name="_Toc481053271"/>
      <w:r w:rsidRPr="00B47695">
        <w:t xml:space="preserve">Generating Units in the ISO Interconnection </w:t>
      </w:r>
      <w:r w:rsidR="002B0664">
        <w:t xml:space="preserve">Request </w:t>
      </w:r>
      <w:r w:rsidRPr="00B47695">
        <w:t>Queue</w:t>
      </w:r>
      <w:bookmarkEnd w:id="479"/>
      <w:bookmarkEnd w:id="480"/>
      <w:bookmarkEnd w:id="481"/>
      <w:bookmarkEnd w:id="482"/>
      <w:bookmarkEnd w:id="483"/>
      <w:bookmarkEnd w:id="484"/>
      <w:r w:rsidRPr="00B47695">
        <w:t xml:space="preserve"> </w:t>
      </w:r>
      <w:bookmarkEnd w:id="485"/>
    </w:p>
    <w:p w:rsidR="00B47695" w:rsidRPr="00B47695" w:rsidRDefault="00B47695" w:rsidP="00B47695">
      <w:r w:rsidRPr="00B47695">
        <w:t>The interconnection requests in the ISO’s interconnection queue reflect the region’s interest in building new generation capacity.</w:t>
      </w:r>
      <w:r w:rsidRPr="00B47695">
        <w:rPr>
          <w:vertAlign w:val="superscript"/>
        </w:rPr>
        <w:footnoteReference w:id="113"/>
      </w:r>
      <w:r w:rsidRPr="00B47695">
        <w:t xml:space="preserve"> </w:t>
      </w:r>
      <w:r w:rsidRPr="00B47695">
        <w:fldChar w:fldCharType="begin"/>
      </w:r>
      <w:r w:rsidRPr="00B47695">
        <w:instrText xml:space="preserve"> REF _Ref236623017 \h  \* MERGEFORMAT </w:instrText>
      </w:r>
      <w:r w:rsidRPr="00B47695">
        <w:fldChar w:fldCharType="separate"/>
      </w:r>
      <w:r w:rsidR="00314781" w:rsidRPr="000162C8">
        <w:t xml:space="preserve">Figure </w:t>
      </w:r>
      <w:r w:rsidR="00314781" w:rsidRPr="000162C8">
        <w:rPr>
          <w:noProof/>
        </w:rPr>
        <w:t>4</w:t>
      </w:r>
      <w:r w:rsidR="00314781" w:rsidRPr="000162C8">
        <w:rPr>
          <w:noProof/>
        </w:rPr>
        <w:noBreakHyphen/>
        <w:t>3</w:t>
      </w:r>
      <w:r w:rsidRPr="00B47695">
        <w:fldChar w:fldCharType="end"/>
      </w:r>
      <w:r w:rsidRPr="00B47695">
        <w:t xml:space="preserve"> shows the capacity of the withdrawn, active, and commercial generation-interconnection requests in the queue by RSP subarea as of April 1, 2017. As shown, over 90% of the active project proposals are in the BHE, ME, SEMA, RI, CT, and SWCT subareas. Together, these six subareas have approximately 11,611 MW under study or development out of 12,899 MW of active projects for New England.</w:t>
      </w:r>
      <w:r w:rsidRPr="00B47695">
        <w:rPr>
          <w:vertAlign w:val="superscript"/>
        </w:rPr>
        <w:footnoteReference w:id="114"/>
      </w:r>
      <w:r w:rsidRPr="00B47695">
        <w:t xml:space="preserve"> </w:t>
      </w:r>
    </w:p>
    <w:p w:rsidR="00B47695" w:rsidRPr="00B47695" w:rsidRDefault="00B47695" w:rsidP="00B47695">
      <w:pPr>
        <w:spacing w:after="0" w:line="240" w:lineRule="auto"/>
      </w:pPr>
      <w:r w:rsidRPr="00B47695">
        <w:rPr>
          <w:noProof/>
        </w:rPr>
        <w:lastRenderedPageBreak/>
        <w:drawing>
          <wp:inline distT="0" distB="0" distL="0" distR="0" wp14:anchorId="3BBBA803" wp14:editId="2929589A">
            <wp:extent cx="5861261" cy="2238375"/>
            <wp:effectExtent l="0" t="0" r="635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861261" cy="2238375"/>
                    </a:xfrm>
                    <a:prstGeom prst="rect">
                      <a:avLst/>
                    </a:prstGeom>
                    <a:noFill/>
                    <a:ln>
                      <a:noFill/>
                    </a:ln>
                  </pic:spPr>
                </pic:pic>
              </a:graphicData>
            </a:graphic>
          </wp:inline>
        </w:drawing>
      </w:r>
    </w:p>
    <w:p w:rsidR="00B47695" w:rsidRPr="00B47695" w:rsidRDefault="00B47695" w:rsidP="00B47695">
      <w:pPr>
        <w:keepNext/>
        <w:keepLines/>
        <w:spacing w:before="120" w:after="80" w:line="240" w:lineRule="auto"/>
        <w:ind w:right="-446"/>
        <w:rPr>
          <w:rFonts w:ascii="Calibri" w:hAnsi="Calibri"/>
          <w:b/>
          <w:bCs/>
          <w:szCs w:val="18"/>
        </w:rPr>
      </w:pPr>
      <w:bookmarkStart w:id="486" w:name="_Ref236623017"/>
      <w:bookmarkStart w:id="487" w:name="_Toc239157188"/>
      <w:bookmarkStart w:id="488" w:name="_Toc271552374"/>
      <w:bookmarkStart w:id="489" w:name="_Toc303086728"/>
      <w:bookmarkStart w:id="490" w:name="_Toc334601487"/>
      <w:bookmarkStart w:id="491" w:name="_Toc365440681"/>
      <w:bookmarkStart w:id="492" w:name="_Toc391985570"/>
      <w:bookmarkStart w:id="493" w:name="_Toc429063524"/>
      <w:bookmarkStart w:id="494" w:name="_Toc481053276"/>
      <w:bookmarkStart w:id="495" w:name="_Toc486233205"/>
      <w:r w:rsidRPr="00B47695">
        <w:rPr>
          <w:rFonts w:ascii="Calibri" w:hAnsi="Calibri"/>
          <w:b/>
          <w:bCs/>
          <w:szCs w:val="18"/>
        </w:rPr>
        <w:t xml:space="preserve">Figure </w:t>
      </w:r>
      <w:r w:rsidRPr="00B47695">
        <w:rPr>
          <w:rFonts w:ascii="Calibri" w:hAnsi="Calibri"/>
          <w:b/>
          <w:bCs/>
          <w:szCs w:val="18"/>
        </w:rPr>
        <w:fldChar w:fldCharType="begin"/>
      </w:r>
      <w:r w:rsidRPr="00B47695">
        <w:rPr>
          <w:rFonts w:ascii="Calibri" w:hAnsi="Calibri"/>
          <w:b/>
          <w:bCs/>
          <w:szCs w:val="18"/>
        </w:rPr>
        <w:instrText xml:space="preserve"> STYLEREF 1 \s </w:instrText>
      </w:r>
      <w:r w:rsidRPr="00B47695">
        <w:rPr>
          <w:rFonts w:ascii="Calibri" w:hAnsi="Calibri"/>
          <w:b/>
          <w:bCs/>
          <w:szCs w:val="18"/>
        </w:rPr>
        <w:fldChar w:fldCharType="separate"/>
      </w:r>
      <w:r w:rsidR="00314781">
        <w:rPr>
          <w:rFonts w:ascii="Calibri" w:hAnsi="Calibri"/>
          <w:b/>
          <w:bCs/>
          <w:noProof/>
          <w:szCs w:val="18"/>
        </w:rPr>
        <w:t>4</w:t>
      </w:r>
      <w:r w:rsidRPr="00B47695">
        <w:rPr>
          <w:rFonts w:ascii="Calibri" w:hAnsi="Calibri"/>
          <w:b/>
          <w:bCs/>
          <w:szCs w:val="18"/>
        </w:rPr>
        <w:fldChar w:fldCharType="end"/>
      </w:r>
      <w:r w:rsidRPr="00B47695">
        <w:rPr>
          <w:rFonts w:ascii="Calibri" w:hAnsi="Calibri"/>
          <w:b/>
          <w:bCs/>
          <w:szCs w:val="18"/>
        </w:rPr>
        <w:noBreakHyphen/>
      </w:r>
      <w:r w:rsidRPr="00B47695">
        <w:rPr>
          <w:rFonts w:ascii="Calibri" w:hAnsi="Calibri"/>
          <w:b/>
          <w:bCs/>
          <w:szCs w:val="18"/>
        </w:rPr>
        <w:fldChar w:fldCharType="begin"/>
      </w:r>
      <w:r w:rsidRPr="00B47695">
        <w:rPr>
          <w:rFonts w:ascii="Calibri" w:hAnsi="Calibri"/>
          <w:b/>
          <w:bCs/>
          <w:szCs w:val="18"/>
        </w:rPr>
        <w:instrText xml:space="preserve"> SEQ Figure \* ARABIC \s 1 </w:instrText>
      </w:r>
      <w:r w:rsidRPr="00B47695">
        <w:rPr>
          <w:rFonts w:ascii="Calibri" w:hAnsi="Calibri"/>
          <w:b/>
          <w:bCs/>
          <w:szCs w:val="18"/>
        </w:rPr>
        <w:fldChar w:fldCharType="separate"/>
      </w:r>
      <w:r w:rsidR="00314781">
        <w:rPr>
          <w:rFonts w:ascii="Calibri" w:hAnsi="Calibri"/>
          <w:b/>
          <w:bCs/>
          <w:noProof/>
          <w:szCs w:val="18"/>
        </w:rPr>
        <w:t>3</w:t>
      </w:r>
      <w:r w:rsidRPr="00B47695">
        <w:rPr>
          <w:rFonts w:ascii="Calibri" w:hAnsi="Calibri"/>
          <w:b/>
          <w:bCs/>
          <w:szCs w:val="18"/>
        </w:rPr>
        <w:fldChar w:fldCharType="end"/>
      </w:r>
      <w:bookmarkEnd w:id="486"/>
      <w:r w:rsidRPr="00B47695">
        <w:rPr>
          <w:rFonts w:ascii="Calibri" w:hAnsi="Calibri"/>
          <w:b/>
          <w:bCs/>
          <w:szCs w:val="18"/>
        </w:rPr>
        <w:t>: Capacity of generation-interconnection requests by RSP subarea, November 1997 to April 2017 (MW).</w:t>
      </w:r>
      <w:bookmarkEnd w:id="487"/>
      <w:bookmarkEnd w:id="488"/>
      <w:bookmarkEnd w:id="489"/>
      <w:bookmarkEnd w:id="490"/>
      <w:bookmarkEnd w:id="491"/>
      <w:bookmarkEnd w:id="492"/>
      <w:bookmarkEnd w:id="493"/>
      <w:bookmarkEnd w:id="494"/>
      <w:bookmarkEnd w:id="495"/>
    </w:p>
    <w:p w:rsidR="00B47695" w:rsidRPr="00B47695" w:rsidRDefault="00B47695" w:rsidP="00B47695">
      <w:pPr>
        <w:tabs>
          <w:tab w:val="left" w:pos="90"/>
          <w:tab w:val="left" w:pos="9720"/>
        </w:tabs>
        <w:spacing w:line="240" w:lineRule="auto"/>
        <w:ind w:right="-274"/>
        <w:rPr>
          <w:rFonts w:asciiTheme="minorHAnsi" w:eastAsia="Times New Roman" w:hAnsiTheme="minorHAnsi"/>
          <w:sz w:val="16"/>
          <w:szCs w:val="16"/>
        </w:rPr>
      </w:pPr>
      <w:r w:rsidRPr="00B47695">
        <w:rPr>
          <w:rFonts w:asciiTheme="minorHAnsi" w:eastAsia="Times New Roman" w:hAnsiTheme="minorHAnsi"/>
          <w:b/>
          <w:sz w:val="16"/>
          <w:szCs w:val="16"/>
        </w:rPr>
        <w:t>Notes:</w:t>
      </w:r>
      <w:r w:rsidRPr="00B47695">
        <w:rPr>
          <w:rFonts w:asciiTheme="minorHAnsi" w:eastAsia="Times New Roman" w:hAnsiTheme="minorHAnsi"/>
          <w:sz w:val="16"/>
          <w:szCs w:val="16"/>
        </w:rPr>
        <w:t xml:space="preserve"> All capacities are based on the projects in the ISO interconnection queue as of April 1, 2017, that would interconnect with the ISO system. Projects involving only transmission or that did not increase an existing generator’s capacity were excluded. Projects with more than one listing in the queue, representing different interconnection configurations, were counted only once.</w:t>
      </w:r>
    </w:p>
    <w:p w:rsidR="00B47695" w:rsidRPr="00B47695" w:rsidRDefault="00B47695" w:rsidP="00B47695">
      <w:pPr>
        <w:spacing w:line="240" w:lineRule="auto"/>
        <w:rPr>
          <w:noProof/>
        </w:rPr>
      </w:pPr>
      <w:r w:rsidRPr="00B47695">
        <w:t>Since the first publication of the queue in November 1997, 131 generating projects (15,842 MW) out of 458 total generator applications (totaling 88,617 MW) have become commercial.</w:t>
      </w:r>
      <w:r w:rsidRPr="00B47695">
        <w:rPr>
          <w:vertAlign w:val="superscript"/>
        </w:rPr>
        <w:footnoteReference w:id="115"/>
      </w:r>
      <w:r w:rsidRPr="00B47695">
        <w:t xml:space="preserve"> Since the queue’s inception, 251 proposed projects totaling approximately 59,876 MW have been withdrawn, reflecting a megawatt attrition rate of 68%. The 76 active projects in the queue total 12,899 MW. </w:t>
      </w:r>
      <w:r w:rsidRPr="00B47695">
        <w:fldChar w:fldCharType="begin"/>
      </w:r>
      <w:r w:rsidRPr="00B47695">
        <w:instrText xml:space="preserve"> REF _Ref325112633 \h  \* MERGEFORMAT </w:instrText>
      </w:r>
      <w:r w:rsidRPr="00B47695">
        <w:fldChar w:fldCharType="separate"/>
      </w:r>
      <w:r w:rsidR="00314781" w:rsidRPr="000162C8">
        <w:t xml:space="preserve">Figure </w:t>
      </w:r>
      <w:r w:rsidR="00314781" w:rsidRPr="000162C8">
        <w:rPr>
          <w:noProof/>
        </w:rPr>
        <w:t>4</w:t>
      </w:r>
      <w:r w:rsidR="00314781" w:rsidRPr="000162C8">
        <w:rPr>
          <w:noProof/>
        </w:rPr>
        <w:noBreakHyphen/>
        <w:t>4</w:t>
      </w:r>
      <w:r w:rsidRPr="00B47695">
        <w:fldChar w:fldCharType="end"/>
      </w:r>
      <w:r w:rsidRPr="00B47695">
        <w:t xml:space="preserve"> shows the resources in the queue, by state and fuel type, as of April 1, 2017. </w:t>
      </w:r>
      <w:r w:rsidRPr="00B47695">
        <w:fldChar w:fldCharType="begin"/>
      </w:r>
      <w:r w:rsidRPr="00B47695">
        <w:instrText xml:space="preserve"> REF _Ref325446407 \h  \* MERGEFORMAT </w:instrText>
      </w:r>
      <w:r w:rsidRPr="00B47695">
        <w:fldChar w:fldCharType="separate"/>
      </w:r>
      <w:r w:rsidR="00314781" w:rsidRPr="000162C8">
        <w:t xml:space="preserve">Figure </w:t>
      </w:r>
      <w:r w:rsidR="00314781" w:rsidRPr="000162C8">
        <w:rPr>
          <w:noProof/>
        </w:rPr>
        <w:t>4</w:t>
      </w:r>
      <w:r w:rsidR="00314781" w:rsidRPr="000162C8">
        <w:rPr>
          <w:noProof/>
        </w:rPr>
        <w:noBreakHyphen/>
        <w:t>5</w:t>
      </w:r>
      <w:r w:rsidRPr="00B47695">
        <w:fldChar w:fldCharType="end"/>
      </w:r>
      <w:r w:rsidRPr="00B47695">
        <w:t xml:space="preserve"> shows the total megawatts of the same resources by RSP subarea.</w:t>
      </w:r>
      <w:bookmarkStart w:id="496" w:name="_Ref230869634"/>
      <w:bookmarkStart w:id="497" w:name="_Ref235272106"/>
      <w:bookmarkStart w:id="498" w:name="_Toc239157189"/>
      <w:bookmarkStart w:id="499" w:name="_Toc271552375"/>
      <w:bookmarkStart w:id="500" w:name="_Toc303086729"/>
    </w:p>
    <w:p w:rsidR="005B5027" w:rsidRPr="00B47695" w:rsidRDefault="005B5027" w:rsidP="00B47695">
      <w:pPr>
        <w:keepNext/>
        <w:keepLines/>
        <w:spacing w:after="0" w:line="240" w:lineRule="auto"/>
        <w:jc w:val="center"/>
        <w:rPr>
          <w:noProof/>
        </w:rPr>
      </w:pPr>
      <w:r w:rsidRPr="00070F2D">
        <w:rPr>
          <w:noProof/>
        </w:rPr>
        <w:drawing>
          <wp:inline distT="0" distB="0" distL="0" distR="0" wp14:anchorId="3238D9CC" wp14:editId="4A083662">
            <wp:extent cx="4781878" cy="2489540"/>
            <wp:effectExtent l="19050" t="19050" r="19050" b="2540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808218" cy="2503253"/>
                    </a:xfrm>
                    <a:prstGeom prst="rect">
                      <a:avLst/>
                    </a:prstGeom>
                    <a:noFill/>
                    <a:ln w="3175">
                      <a:solidFill>
                        <a:srgbClr val="000000"/>
                      </a:solidFill>
                    </a:ln>
                  </pic:spPr>
                </pic:pic>
              </a:graphicData>
            </a:graphic>
          </wp:inline>
        </w:drawing>
      </w:r>
    </w:p>
    <w:p w:rsidR="00B47695" w:rsidRPr="00B47695" w:rsidRDefault="00B47695" w:rsidP="006E67FC">
      <w:pPr>
        <w:keepNext/>
        <w:keepLines/>
        <w:spacing w:before="120" w:after="80" w:line="240" w:lineRule="auto"/>
        <w:ind w:left="720" w:right="720"/>
        <w:rPr>
          <w:rFonts w:ascii="Calibri" w:hAnsi="Calibri"/>
          <w:b/>
          <w:bCs/>
          <w:szCs w:val="18"/>
        </w:rPr>
      </w:pPr>
      <w:bookmarkStart w:id="501" w:name="_Ref325112633"/>
      <w:bookmarkStart w:id="502" w:name="_Toc334601488"/>
      <w:bookmarkStart w:id="503" w:name="_Toc365440682"/>
      <w:bookmarkStart w:id="504" w:name="_Toc391985571"/>
      <w:bookmarkStart w:id="505" w:name="_Toc429063525"/>
      <w:bookmarkStart w:id="506" w:name="_Toc481053277"/>
      <w:bookmarkStart w:id="507" w:name="_Toc486233206"/>
      <w:r w:rsidRPr="00B47695">
        <w:rPr>
          <w:rFonts w:ascii="Calibri" w:hAnsi="Calibri"/>
          <w:b/>
          <w:bCs/>
          <w:szCs w:val="18"/>
        </w:rPr>
        <w:t xml:space="preserve">Figure </w:t>
      </w:r>
      <w:r w:rsidRPr="00B47695">
        <w:rPr>
          <w:rFonts w:ascii="Calibri" w:hAnsi="Calibri"/>
          <w:b/>
          <w:bCs/>
          <w:szCs w:val="18"/>
        </w:rPr>
        <w:fldChar w:fldCharType="begin"/>
      </w:r>
      <w:r w:rsidRPr="00B47695">
        <w:rPr>
          <w:rFonts w:ascii="Calibri" w:hAnsi="Calibri"/>
          <w:b/>
          <w:bCs/>
          <w:szCs w:val="18"/>
        </w:rPr>
        <w:instrText xml:space="preserve"> STYLEREF 1 \s </w:instrText>
      </w:r>
      <w:r w:rsidRPr="00B47695">
        <w:rPr>
          <w:rFonts w:ascii="Calibri" w:hAnsi="Calibri"/>
          <w:b/>
          <w:bCs/>
          <w:szCs w:val="18"/>
        </w:rPr>
        <w:fldChar w:fldCharType="separate"/>
      </w:r>
      <w:r w:rsidR="00314781">
        <w:rPr>
          <w:rFonts w:ascii="Calibri" w:hAnsi="Calibri"/>
          <w:b/>
          <w:bCs/>
          <w:noProof/>
          <w:szCs w:val="18"/>
        </w:rPr>
        <w:t>4</w:t>
      </w:r>
      <w:r w:rsidRPr="00B47695">
        <w:rPr>
          <w:rFonts w:ascii="Calibri" w:hAnsi="Calibri"/>
          <w:b/>
          <w:bCs/>
          <w:szCs w:val="18"/>
        </w:rPr>
        <w:fldChar w:fldCharType="end"/>
      </w:r>
      <w:r w:rsidRPr="00B47695">
        <w:rPr>
          <w:rFonts w:ascii="Calibri" w:hAnsi="Calibri"/>
          <w:b/>
          <w:bCs/>
          <w:szCs w:val="18"/>
        </w:rPr>
        <w:noBreakHyphen/>
      </w:r>
      <w:r w:rsidRPr="00B47695">
        <w:rPr>
          <w:rFonts w:ascii="Calibri" w:hAnsi="Calibri"/>
          <w:b/>
          <w:bCs/>
          <w:szCs w:val="18"/>
        </w:rPr>
        <w:fldChar w:fldCharType="begin"/>
      </w:r>
      <w:r w:rsidRPr="00B47695">
        <w:rPr>
          <w:rFonts w:ascii="Calibri" w:hAnsi="Calibri"/>
          <w:b/>
          <w:bCs/>
          <w:szCs w:val="18"/>
        </w:rPr>
        <w:instrText xml:space="preserve"> SEQ Figure \* ARABIC \s 1 </w:instrText>
      </w:r>
      <w:r w:rsidRPr="00B47695">
        <w:rPr>
          <w:rFonts w:ascii="Calibri" w:hAnsi="Calibri"/>
          <w:b/>
          <w:bCs/>
          <w:szCs w:val="18"/>
        </w:rPr>
        <w:fldChar w:fldCharType="separate"/>
      </w:r>
      <w:r w:rsidR="00314781">
        <w:rPr>
          <w:rFonts w:ascii="Calibri" w:hAnsi="Calibri"/>
          <w:b/>
          <w:bCs/>
          <w:noProof/>
          <w:szCs w:val="18"/>
        </w:rPr>
        <w:t>4</w:t>
      </w:r>
      <w:r w:rsidRPr="00B47695">
        <w:rPr>
          <w:rFonts w:ascii="Calibri" w:hAnsi="Calibri"/>
          <w:b/>
          <w:bCs/>
          <w:szCs w:val="18"/>
        </w:rPr>
        <w:fldChar w:fldCharType="end"/>
      </w:r>
      <w:bookmarkEnd w:id="496"/>
      <w:bookmarkEnd w:id="497"/>
      <w:bookmarkEnd w:id="501"/>
      <w:r w:rsidRPr="00B47695">
        <w:rPr>
          <w:rFonts w:ascii="Calibri" w:hAnsi="Calibri"/>
          <w:b/>
          <w:bCs/>
          <w:szCs w:val="18"/>
        </w:rPr>
        <w:t>: Resources in the ISO interconnection queue, by state and fuel type, as of April 1, 2017 (MW and %).</w:t>
      </w:r>
      <w:bookmarkEnd w:id="498"/>
      <w:bookmarkEnd w:id="499"/>
      <w:bookmarkEnd w:id="500"/>
      <w:bookmarkEnd w:id="502"/>
      <w:bookmarkEnd w:id="503"/>
      <w:bookmarkEnd w:id="504"/>
      <w:bookmarkEnd w:id="505"/>
      <w:bookmarkEnd w:id="506"/>
      <w:bookmarkEnd w:id="507"/>
    </w:p>
    <w:p w:rsidR="00B47695" w:rsidRPr="00B47695" w:rsidRDefault="00B47695" w:rsidP="006E67FC">
      <w:pPr>
        <w:spacing w:line="240" w:lineRule="auto"/>
        <w:ind w:left="720" w:right="720"/>
        <w:rPr>
          <w:rFonts w:eastAsia="Times New Roman"/>
        </w:rPr>
      </w:pPr>
      <w:r w:rsidRPr="00B47695">
        <w:rPr>
          <w:rFonts w:asciiTheme="minorHAnsi" w:eastAsia="Times New Roman" w:hAnsiTheme="minorHAnsi" w:cs="Arial"/>
          <w:b/>
          <w:sz w:val="16"/>
          <w:szCs w:val="16"/>
        </w:rPr>
        <w:t>Notes:</w:t>
      </w:r>
      <w:r w:rsidRPr="00B47695">
        <w:rPr>
          <w:rFonts w:asciiTheme="minorHAnsi" w:eastAsia="Times New Roman" w:hAnsiTheme="minorHAnsi" w:cs="Arial"/>
          <w:sz w:val="16"/>
          <w:szCs w:val="16"/>
        </w:rPr>
        <w:t xml:space="preserve"> The “Other Renewables” category includes 37 MW wood 795 MW, solar, 63 MW fuel cell, and 77 MW battery storage capacity. The totals for all categories reflect all queue projects that would interconnect with the system and not all projects in New England.</w:t>
      </w:r>
      <w:r w:rsidRPr="00B47695">
        <w:rPr>
          <w:rFonts w:eastAsia="Times New Roman"/>
          <w:b/>
        </w:rPr>
        <w:t xml:space="preserve"> </w:t>
      </w:r>
    </w:p>
    <w:p w:rsidR="007130D8" w:rsidRPr="00B47695" w:rsidRDefault="007130D8" w:rsidP="00A42B16">
      <w:pPr>
        <w:spacing w:after="0" w:line="240" w:lineRule="auto"/>
        <w:jc w:val="center"/>
      </w:pPr>
      <w:r w:rsidRPr="007130D8">
        <w:rPr>
          <w:noProof/>
        </w:rPr>
        <w:lastRenderedPageBreak/>
        <w:drawing>
          <wp:inline distT="0" distB="0" distL="0" distR="0" wp14:anchorId="381B2E2F" wp14:editId="05C7A016">
            <wp:extent cx="4606344" cy="3098800"/>
            <wp:effectExtent l="19050" t="19050" r="22860" b="2540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597751" cy="3093019"/>
                    </a:xfrm>
                    <a:prstGeom prst="rect">
                      <a:avLst/>
                    </a:prstGeom>
                    <a:noFill/>
                    <a:ln w="3175">
                      <a:solidFill>
                        <a:srgbClr val="000000"/>
                      </a:solidFill>
                    </a:ln>
                  </pic:spPr>
                </pic:pic>
              </a:graphicData>
            </a:graphic>
          </wp:inline>
        </w:drawing>
      </w:r>
    </w:p>
    <w:p w:rsidR="00B47695" w:rsidRPr="00B47695" w:rsidRDefault="00B47695" w:rsidP="00B47695">
      <w:pPr>
        <w:keepLines/>
        <w:spacing w:before="120" w:after="360" w:line="240" w:lineRule="auto"/>
        <w:ind w:left="806" w:right="806"/>
        <w:rPr>
          <w:rFonts w:ascii="Calibri" w:hAnsi="Calibri"/>
          <w:b/>
          <w:bCs/>
          <w:szCs w:val="18"/>
        </w:rPr>
      </w:pPr>
      <w:bookmarkStart w:id="508" w:name="_Ref325446407"/>
      <w:bookmarkStart w:id="509" w:name="_Toc334601489"/>
      <w:bookmarkStart w:id="510" w:name="_Toc365440683"/>
      <w:bookmarkStart w:id="511" w:name="_Toc391985572"/>
      <w:bookmarkStart w:id="512" w:name="_Toc429063526"/>
      <w:bookmarkStart w:id="513" w:name="_Toc481053278"/>
      <w:bookmarkStart w:id="514" w:name="_Toc486233207"/>
      <w:r w:rsidRPr="00B47695">
        <w:rPr>
          <w:rFonts w:ascii="Calibri" w:hAnsi="Calibri"/>
          <w:b/>
          <w:bCs/>
          <w:szCs w:val="18"/>
        </w:rPr>
        <w:t xml:space="preserve">Figure </w:t>
      </w:r>
      <w:r w:rsidRPr="00B47695">
        <w:rPr>
          <w:rFonts w:ascii="Calibri" w:hAnsi="Calibri"/>
          <w:b/>
          <w:bCs/>
          <w:szCs w:val="18"/>
        </w:rPr>
        <w:fldChar w:fldCharType="begin"/>
      </w:r>
      <w:r w:rsidRPr="00B47695">
        <w:rPr>
          <w:rFonts w:ascii="Calibri" w:hAnsi="Calibri"/>
          <w:b/>
          <w:bCs/>
          <w:szCs w:val="18"/>
        </w:rPr>
        <w:instrText xml:space="preserve"> STYLEREF 1 \s </w:instrText>
      </w:r>
      <w:r w:rsidRPr="00B47695">
        <w:rPr>
          <w:rFonts w:ascii="Calibri" w:hAnsi="Calibri"/>
          <w:b/>
          <w:bCs/>
          <w:szCs w:val="18"/>
        </w:rPr>
        <w:fldChar w:fldCharType="separate"/>
      </w:r>
      <w:r w:rsidR="00314781">
        <w:rPr>
          <w:rFonts w:ascii="Calibri" w:hAnsi="Calibri"/>
          <w:b/>
          <w:bCs/>
          <w:noProof/>
          <w:szCs w:val="18"/>
        </w:rPr>
        <w:t>4</w:t>
      </w:r>
      <w:r w:rsidRPr="00B47695">
        <w:rPr>
          <w:rFonts w:ascii="Calibri" w:hAnsi="Calibri"/>
          <w:b/>
          <w:bCs/>
          <w:szCs w:val="18"/>
        </w:rPr>
        <w:fldChar w:fldCharType="end"/>
      </w:r>
      <w:r w:rsidRPr="00B47695">
        <w:rPr>
          <w:rFonts w:ascii="Calibri" w:hAnsi="Calibri"/>
          <w:b/>
          <w:bCs/>
          <w:szCs w:val="18"/>
        </w:rPr>
        <w:noBreakHyphen/>
      </w:r>
      <w:r w:rsidRPr="00B47695">
        <w:rPr>
          <w:rFonts w:ascii="Calibri" w:hAnsi="Calibri"/>
          <w:b/>
          <w:bCs/>
          <w:szCs w:val="18"/>
        </w:rPr>
        <w:fldChar w:fldCharType="begin"/>
      </w:r>
      <w:r w:rsidRPr="00B47695">
        <w:rPr>
          <w:rFonts w:ascii="Calibri" w:hAnsi="Calibri"/>
          <w:b/>
          <w:bCs/>
          <w:szCs w:val="18"/>
        </w:rPr>
        <w:instrText xml:space="preserve"> SEQ Figure \* ARABIC \s 1 </w:instrText>
      </w:r>
      <w:r w:rsidRPr="00B47695">
        <w:rPr>
          <w:rFonts w:ascii="Calibri" w:hAnsi="Calibri"/>
          <w:b/>
          <w:bCs/>
          <w:szCs w:val="18"/>
        </w:rPr>
        <w:fldChar w:fldCharType="separate"/>
      </w:r>
      <w:r w:rsidR="00314781">
        <w:rPr>
          <w:rFonts w:ascii="Calibri" w:hAnsi="Calibri"/>
          <w:b/>
          <w:bCs/>
          <w:noProof/>
          <w:szCs w:val="18"/>
        </w:rPr>
        <w:t>5</w:t>
      </w:r>
      <w:r w:rsidRPr="00B47695">
        <w:rPr>
          <w:rFonts w:ascii="Calibri" w:hAnsi="Calibri"/>
          <w:b/>
          <w:bCs/>
          <w:szCs w:val="18"/>
        </w:rPr>
        <w:fldChar w:fldCharType="end"/>
      </w:r>
      <w:bookmarkEnd w:id="508"/>
      <w:r w:rsidRPr="00B47695">
        <w:rPr>
          <w:rFonts w:ascii="Calibri" w:hAnsi="Calibri"/>
          <w:b/>
          <w:bCs/>
          <w:szCs w:val="18"/>
        </w:rPr>
        <w:t>: Resources in the ISO interconnection queue, by RSP subarea and fuel type, as of April 1, 2017 (MW).</w:t>
      </w:r>
      <w:bookmarkEnd w:id="509"/>
      <w:bookmarkEnd w:id="510"/>
      <w:bookmarkEnd w:id="511"/>
      <w:bookmarkEnd w:id="512"/>
      <w:bookmarkEnd w:id="513"/>
      <w:bookmarkEnd w:id="514"/>
    </w:p>
    <w:p w:rsidR="00B47695" w:rsidRPr="00B47695" w:rsidRDefault="00B47695" w:rsidP="00B47695">
      <w:pPr>
        <w:spacing w:after="0" w:line="240" w:lineRule="auto"/>
      </w:pPr>
      <w:r w:rsidRPr="00B47695">
        <w:t xml:space="preserve">The processing of the interconnection requests in New England has progressed. With the exception of the Maine portion of the system (which has experienced a backlog of mostly wind interconnection requests; </w:t>
      </w:r>
      <w:r w:rsidRPr="00DF16D2">
        <w:t xml:space="preserve">see Sections </w:t>
      </w:r>
      <w:r w:rsidR="00A4152D" w:rsidRPr="00DF16D2">
        <w:fldChar w:fldCharType="begin"/>
      </w:r>
      <w:r w:rsidR="00A4152D" w:rsidRPr="00DF16D2">
        <w:instrText xml:space="preserve"> REF _Ref419722213 \r \h  \* MERGEFORMAT </w:instrText>
      </w:r>
      <w:r w:rsidR="00A4152D" w:rsidRPr="00DF16D2">
        <w:fldChar w:fldCharType="separate"/>
      </w:r>
      <w:r w:rsidR="00314781">
        <w:t>9.2</w:t>
      </w:r>
      <w:r w:rsidR="00A4152D" w:rsidRPr="00DF16D2">
        <w:fldChar w:fldCharType="end"/>
      </w:r>
      <w:r w:rsidRPr="00DF16D2">
        <w:t>), substantially all the interconnection requests made through 2015 have completed the</w:t>
      </w:r>
      <w:r w:rsidRPr="00B47695">
        <w:t xml:space="preserve"> system-impact study phase or have moved to the Interconnection Agreement and commercialization phases.</w:t>
      </w:r>
    </w:p>
    <w:p w:rsidR="00B47695" w:rsidRPr="00B47695" w:rsidRDefault="00B47695" w:rsidP="00B47695">
      <w:pPr>
        <w:spacing w:after="0" w:line="240" w:lineRule="auto"/>
      </w:pPr>
    </w:p>
    <w:p w:rsidR="00B47695" w:rsidRPr="00B47695" w:rsidRDefault="00B47695" w:rsidP="004C2C42">
      <w:r w:rsidRPr="00EB6138">
        <w:t xml:space="preserve">The ISO is working with stakeholders to improve the interconnection process. An example of a recent improvement is the </w:t>
      </w:r>
      <w:r w:rsidR="0080602B" w:rsidRPr="00EB6138">
        <w:t xml:space="preserve">development of a </w:t>
      </w:r>
      <w:r w:rsidRPr="00EB6138">
        <w:rPr>
          <w:i/>
        </w:rPr>
        <w:t xml:space="preserve">cluster </w:t>
      </w:r>
      <w:r w:rsidR="0080602B" w:rsidRPr="00EB6138">
        <w:rPr>
          <w:i/>
        </w:rPr>
        <w:t>study approach</w:t>
      </w:r>
      <w:r w:rsidR="007B6BC7" w:rsidRPr="00EB6138">
        <w:t xml:space="preserve">, which provides the means </w:t>
      </w:r>
      <w:r w:rsidR="00EB6138">
        <w:t xml:space="preserve">for </w:t>
      </w:r>
      <w:r w:rsidR="007B6BC7" w:rsidRPr="00EB6138">
        <w:t>consider</w:t>
      </w:r>
      <w:r w:rsidR="00EB6138">
        <w:t>ing</w:t>
      </w:r>
      <w:r w:rsidR="007B6BC7" w:rsidRPr="00EB6138">
        <w:t xml:space="preserve"> multiple requests in the same study and allocat</w:t>
      </w:r>
      <w:r w:rsidR="00EB6138">
        <w:t>ing</w:t>
      </w:r>
      <w:r w:rsidR="007B6BC7" w:rsidRPr="00EB6138">
        <w:t xml:space="preserve"> the costs of significant upgrades among the cluster participants</w:t>
      </w:r>
      <w:r w:rsidRPr="00EB6138">
        <w:t>.</w:t>
      </w:r>
      <w:r w:rsidRPr="00EB6138">
        <w:rPr>
          <w:vertAlign w:val="superscript"/>
        </w:rPr>
        <w:footnoteReference w:id="116"/>
      </w:r>
      <w:r w:rsidRPr="00EB6138">
        <w:t xml:space="preserve"> The goal is to reduce the time taken to complete system impact studies for new inverter-based generators and address the interconnection queue backlog,</w:t>
      </w:r>
      <w:r w:rsidRPr="00B47695">
        <w:t xml:space="preserve"> particularly for generators in weak </w:t>
      </w:r>
      <w:r w:rsidRPr="00E954AF">
        <w:t>areas of the system, such as Maine</w:t>
      </w:r>
      <w:r w:rsidR="000162C8">
        <w:t xml:space="preserve"> </w:t>
      </w:r>
      <w:r w:rsidR="00E954AF" w:rsidRPr="00A74AD0">
        <w:t xml:space="preserve">(see Section </w:t>
      </w:r>
      <w:r w:rsidR="00E954AF" w:rsidRPr="00A74AD0">
        <w:fldChar w:fldCharType="begin"/>
      </w:r>
      <w:r w:rsidR="00E954AF" w:rsidRPr="00A74AD0">
        <w:instrText xml:space="preserve"> REF _Ref490045578 \w \h </w:instrText>
      </w:r>
      <w:r w:rsidR="00E954AF">
        <w:instrText xml:space="preserve"> \* MERGEFORMAT </w:instrText>
      </w:r>
      <w:r w:rsidR="00E954AF" w:rsidRPr="00A74AD0">
        <w:fldChar w:fldCharType="separate"/>
      </w:r>
      <w:r w:rsidR="00314781">
        <w:t>9.2.2</w:t>
      </w:r>
      <w:r w:rsidR="00E954AF" w:rsidRPr="00A74AD0">
        <w:fldChar w:fldCharType="end"/>
      </w:r>
      <w:r w:rsidR="00E954AF" w:rsidRPr="00A74AD0">
        <w:t>)</w:t>
      </w:r>
      <w:r w:rsidRPr="00E954AF">
        <w:t>. The initiative also seeks to address the curtailment</w:t>
      </w:r>
      <w:r w:rsidRPr="00B47695">
        <w:t xml:space="preserve"> and performance issues in system operations for inverter-based generators and to meet the modeling and performance requirements that new NERC standards are introducing.</w:t>
      </w:r>
      <w:r w:rsidRPr="00B47695">
        <w:rPr>
          <w:vertAlign w:val="superscript"/>
        </w:rPr>
        <w:footnoteReference w:id="117"/>
      </w:r>
      <w:r w:rsidRPr="00B47695">
        <w:t xml:space="preserve"> </w:t>
      </w:r>
    </w:p>
    <w:p w:rsidR="00B47695" w:rsidRPr="00B47695" w:rsidRDefault="00B47695" w:rsidP="002B7010">
      <w:pPr>
        <w:pStyle w:val="Heading2"/>
      </w:pPr>
      <w:bookmarkStart w:id="515" w:name="_Toc176245009"/>
      <w:bookmarkStart w:id="516" w:name="_Toc481053273"/>
      <w:bookmarkStart w:id="517" w:name="_Toc201669938"/>
      <w:bookmarkStart w:id="518" w:name="_Toc207531837"/>
      <w:bookmarkStart w:id="519" w:name="_Toc239157073"/>
      <w:bookmarkStart w:id="520" w:name="_Toc271632228"/>
      <w:bookmarkStart w:id="521" w:name="_Toc303086386"/>
      <w:bookmarkStart w:id="522" w:name="_Toc334601043"/>
      <w:bookmarkStart w:id="523" w:name="_Toc365441003"/>
      <w:bookmarkStart w:id="524" w:name="_Toc396807633"/>
      <w:bookmarkStart w:id="525" w:name="_Toc429063408"/>
      <w:bookmarkStart w:id="526" w:name="_Toc490323038"/>
      <w:r w:rsidRPr="00B47695">
        <w:t>Summa</w:t>
      </w:r>
      <w:bookmarkEnd w:id="515"/>
      <w:r w:rsidRPr="00B47695">
        <w:t>ry</w:t>
      </w:r>
      <w:bookmarkEnd w:id="516"/>
      <w:bookmarkEnd w:id="517"/>
      <w:bookmarkEnd w:id="518"/>
      <w:bookmarkEnd w:id="519"/>
      <w:bookmarkEnd w:id="520"/>
      <w:bookmarkEnd w:id="521"/>
      <w:bookmarkEnd w:id="522"/>
      <w:bookmarkEnd w:id="523"/>
      <w:bookmarkEnd w:id="524"/>
      <w:bookmarkEnd w:id="525"/>
      <w:bookmarkEnd w:id="526"/>
      <w:r w:rsidRPr="00B47695">
        <w:t xml:space="preserve"> </w:t>
      </w:r>
    </w:p>
    <w:p w:rsidR="00B47695" w:rsidRPr="00B47695" w:rsidRDefault="00B47695" w:rsidP="00B47695">
      <w:r w:rsidRPr="00B47695">
        <w:t>Sufficient resources are projected for New England through 2026</w:t>
      </w:r>
      <w:r w:rsidR="00CE5BB4">
        <w:t xml:space="preserve">, assuming no retirements and the successful completion of all new </w:t>
      </w:r>
      <w:r w:rsidR="00226E9E">
        <w:t>resources</w:t>
      </w:r>
      <w:r w:rsidR="00CE5BB4">
        <w:t xml:space="preserve"> that have cleared the FCM</w:t>
      </w:r>
      <w:r w:rsidRPr="00B47695">
        <w:t xml:space="preserve">. The planning analysis accounts for new resource additions that have responded to market improvements and low net-load growth, which reflects </w:t>
      </w:r>
      <w:r w:rsidR="00226E9E">
        <w:t xml:space="preserve">behind-the-meter PV and </w:t>
      </w:r>
      <w:r w:rsidRPr="00B47695">
        <w:t xml:space="preserve">an increase in the forecasts of energy-efficiency resources. </w:t>
      </w:r>
      <w:r w:rsidRPr="00B47695" w:rsidDel="00397559">
        <w:t>Although the recent trend of generation resource retirements has abated, additional resources are likely to retire.</w:t>
      </w:r>
      <w:r w:rsidRPr="00B47695">
        <w:t xml:space="preserve"> </w:t>
      </w:r>
      <w:r w:rsidRPr="00B47695" w:rsidDel="00397559">
        <w:t xml:space="preserve">The </w:t>
      </w:r>
      <w:r w:rsidRPr="00B47695" w:rsidDel="00397559">
        <w:lastRenderedPageBreak/>
        <w:t xml:space="preserve">ISO is committed to procuring adequate demand and supply resources </w:t>
      </w:r>
      <w:r w:rsidRPr="00B47695">
        <w:t xml:space="preserve">through the FCM </w:t>
      </w:r>
      <w:r w:rsidRPr="00B47695" w:rsidDel="00397559">
        <w:t xml:space="preserve">and </w:t>
      </w:r>
      <w:r w:rsidRPr="00B47695">
        <w:t xml:space="preserve">expects </w:t>
      </w:r>
      <w:r w:rsidRPr="00B47695" w:rsidDel="00397559">
        <w:t xml:space="preserve">the region </w:t>
      </w:r>
      <w:r w:rsidRPr="00B47695">
        <w:t>to</w:t>
      </w:r>
      <w:r w:rsidRPr="00B47695" w:rsidDel="00397559">
        <w:t xml:space="preserve"> install adequate resources to meet the physical capacity needs </w:t>
      </w:r>
      <w:r w:rsidRPr="00B47695">
        <w:t xml:space="preserve">that </w:t>
      </w:r>
      <w:r w:rsidRPr="00B47695" w:rsidDel="00397559">
        <w:t xml:space="preserve">the ICRs will </w:t>
      </w:r>
      <w:r w:rsidRPr="00B47695">
        <w:t>define</w:t>
      </w:r>
      <w:r w:rsidRPr="00B47695" w:rsidDel="00397559">
        <w:t xml:space="preserve"> for future years. </w:t>
      </w:r>
    </w:p>
    <w:p w:rsidR="00B47695" w:rsidRPr="00B47695" w:rsidRDefault="00B47695" w:rsidP="00B47695">
      <w:pPr>
        <w:spacing w:after="200" w:line="276" w:lineRule="auto"/>
      </w:pPr>
      <w:r w:rsidRPr="00B47695">
        <w:t>To date, resource-adequacy studies show that the most reliable and economic place for developing new resources is in NEMA/Boston and SEMA/RI. This is due to recent and anti</w:t>
      </w:r>
      <w:r w:rsidR="00B1771D">
        <w:t>ci</w:t>
      </w:r>
      <w:r w:rsidRPr="00B47695">
        <w:t xml:space="preserve">pated retirements of aging fossil generation and the projected load growth in this area. Transmission improvements are underway, and new capacity additions are projected, but may not be enough to keep pace with retirements. </w:t>
      </w:r>
    </w:p>
    <w:p w:rsidR="00B47695" w:rsidRPr="00B47695" w:rsidRDefault="00B47695" w:rsidP="00B47695">
      <w:r w:rsidRPr="00B47695">
        <w:t>By design, the level of the ICR specified for New England could necessitate the use of specific OP 4 actions because the ICR calculation relies on the load relief these actions provide to meet the system’s resource adequacy planning criterion. Several factors would affect the frequency and extent of OP 4 actions, including the amount of resources procured to meet capacity needs, their availability, and actual system loads.</w:t>
      </w:r>
      <w:r w:rsidRPr="00B47695">
        <w:rPr>
          <w:vertAlign w:val="superscript"/>
        </w:rPr>
        <w:footnoteReference w:id="118"/>
      </w:r>
      <w:r w:rsidRPr="00B47695">
        <w:t xml:space="preserve"> The results of operable-capacity studies show that, beginning in 2022, the need for load and capacity relief by OP 4 actions will be approximately 2,400 MW during extremely hot and humid summer peak-load conditions. This amount is likely achievable through OP 4 actions by depleting operating reserves, scheduling emergency transactions with neighboring systems, and implementing 5% voltage </w:t>
      </w:r>
      <w:r w:rsidRPr="00226E9E">
        <w:t>reductions</w:t>
      </w:r>
      <w:r w:rsidR="00CE5BB4" w:rsidRPr="00226E9E">
        <w:t xml:space="preserve">; disconnecting customers would not be </w:t>
      </w:r>
      <w:r w:rsidR="00226E9E" w:rsidRPr="00226E9E">
        <w:t>r</w:t>
      </w:r>
      <w:r w:rsidR="00CE5BB4" w:rsidRPr="00226E9E">
        <w:t>equired</w:t>
      </w:r>
      <w:r w:rsidRPr="00226E9E">
        <w:t>.</w:t>
      </w:r>
    </w:p>
    <w:p w:rsidR="00B47695" w:rsidRPr="00B47695" w:rsidRDefault="00B47695" w:rsidP="00B47695">
      <w:r w:rsidRPr="00B47695">
        <w:t xml:space="preserve">This section explained that the region is expected to meet representative operating-reserve requirements </w:t>
      </w:r>
      <w:r w:rsidRPr="00226E9E">
        <w:t xml:space="preserve">for the system as currently planned. Fast-start resources with a short lead time for project </w:t>
      </w:r>
      <w:r w:rsidR="00CE5BB4" w:rsidRPr="005D731D">
        <w:t>construction</w:t>
      </w:r>
      <w:r w:rsidRPr="00226E9E">
        <w:t xml:space="preserve"> can satisfy near-term operating-reserve requirements while providing</w:t>
      </w:r>
      <w:r w:rsidRPr="00CE5BB4">
        <w:t xml:space="preserve"> operational flexibility to major load pockets and the system overall.</w:t>
      </w:r>
      <w:r w:rsidRPr="00B47695">
        <w:t xml:space="preserve"> Continuing to properly locate and size economical baseload resources within major load pockets decreases the amount of reserves required within the load pocket and reduces the reliance on transmission facilities. Transmission improvements have and can continue to allow for the increased use of reserves from outside these areas. </w:t>
      </w:r>
    </w:p>
    <w:p w:rsidR="00B47695" w:rsidRPr="00B47695" w:rsidRDefault="00B47695" w:rsidP="00B47695">
      <w:pPr>
        <w:tabs>
          <w:tab w:val="left" w:pos="810"/>
        </w:tabs>
      </w:pPr>
      <w:r w:rsidRPr="00B47695">
        <w:t xml:space="preserve">Preserving the reliable operation of the system will become increasingly challenging with potential </w:t>
      </w:r>
      <w:r w:rsidRPr="0038483B">
        <w:t>retirements, the increased reliance on natural gas resources, and the penetration of variable energy resources. These factors are expected to trigger</w:t>
      </w:r>
      <w:r w:rsidRPr="0038483B" w:rsidDel="005D25B1">
        <w:t xml:space="preserve"> </w:t>
      </w:r>
      <w:r w:rsidRPr="0038483B">
        <w:t>the need for reliable resources, especially flexible resources able to provide operating reserves and ramping capabilities. To help address</w:t>
      </w:r>
      <w:r w:rsidRPr="00B47695">
        <w:t xml:space="preserve"> this need, the ISO has procured additional 10-minute reserves and replacement operating reserve.</w:t>
      </w:r>
    </w:p>
    <w:p w:rsidR="00B47695" w:rsidRPr="00B47695" w:rsidRDefault="00B47695" w:rsidP="00B47695">
      <w:pPr>
        <w:tabs>
          <w:tab w:val="left" w:pos="810"/>
        </w:tabs>
      </w:pPr>
      <w:r w:rsidRPr="00B47695">
        <w:t xml:space="preserve">Some of the 12,899 MW of resources in the interconnection queue will likely be developed to meet future resource needs. Resources fueled by natural gas are being proposed near the load centers in southern New England. Proposed onshore wind resources are predominantly in northern New England, and offshore resources are being proposed off the southeastern New England coast. Overall, the region is expected to experience more generating resource additions than retirements by summer 2020, the ISO expects that adequate resources will be available to meet net Installed Capacity Requirements. New fast-start generation under construction and proposed to be developed close to load pockets, and particularly the SEMA/RI and NEMA/Boston areas, will improve system reliability. However, delays in the construction of these new generators or additional retirements would decrease the amount of regional resources and could adversely affect the ability of the system to meet net Installed Capacity Requirements. </w:t>
      </w:r>
    </w:p>
    <w:p w:rsidR="00B47695" w:rsidRPr="00B47695" w:rsidRDefault="00644F72" w:rsidP="00B47695">
      <w:r w:rsidRPr="00644F72">
        <w:lastRenderedPageBreak/>
        <w:fldChar w:fldCharType="begin"/>
      </w:r>
      <w:r w:rsidRPr="00644F72">
        <w:instrText xml:space="preserve"> REF _Ref418883760 \r \h </w:instrText>
      </w:r>
      <w:r>
        <w:instrText xml:space="preserve"> \* MERGEFORMAT </w:instrText>
      </w:r>
      <w:r w:rsidRPr="00644F72">
        <w:fldChar w:fldCharType="separate"/>
      </w:r>
      <w:r w:rsidR="00314781">
        <w:t>Section 7</w:t>
      </w:r>
      <w:r w:rsidRPr="00644F72">
        <w:fldChar w:fldCharType="end"/>
      </w:r>
      <w:r w:rsidRPr="00644F72">
        <w:t xml:space="preserve"> </w:t>
      </w:r>
      <w:r w:rsidR="00B47695" w:rsidRPr="00644F72">
        <w:t>discusses the region’s immediate concerns about the availability of natural-gas-fired</w:t>
      </w:r>
      <w:r w:rsidR="00B47695" w:rsidRPr="00B47695">
        <w:t xml:space="preserve"> and oil-fired generating units and their fuel security to produce electrical energy, especially during winter peak periods, and ISO and stakeholder efforts to address these challenges over the long term.</w:t>
      </w:r>
      <w:bookmarkEnd w:id="242"/>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38"/>
      <w:bookmarkEnd w:id="439"/>
      <w:bookmarkEnd w:id="440"/>
      <w:bookmarkEnd w:id="441"/>
    </w:p>
    <w:p w:rsidR="00F645C1" w:rsidRPr="00F645C1" w:rsidRDefault="00F645C1" w:rsidP="00F645C1">
      <w:pPr>
        <w:pStyle w:val="Heading1"/>
      </w:pPr>
      <w:r w:rsidRPr="00F645C1">
        <w:lastRenderedPageBreak/>
        <w:br/>
      </w:r>
      <w:bookmarkStart w:id="527" w:name="_Ref301345731"/>
      <w:bookmarkStart w:id="528" w:name="_Ref301345744"/>
      <w:bookmarkStart w:id="529" w:name="_Ref301345754"/>
      <w:bookmarkStart w:id="530" w:name="_Ref301345767"/>
      <w:bookmarkStart w:id="531" w:name="_Ref301345780"/>
      <w:bookmarkStart w:id="532" w:name="_Ref301345816"/>
      <w:bookmarkStart w:id="533" w:name="_Ref301345826"/>
      <w:bookmarkStart w:id="534" w:name="_Ref301345837"/>
      <w:bookmarkStart w:id="535" w:name="_Toc303086393"/>
      <w:bookmarkStart w:id="536" w:name="_Toc334601044"/>
      <w:bookmarkStart w:id="537" w:name="_Toc365441004"/>
      <w:bookmarkStart w:id="538" w:name="_Toc396807634"/>
      <w:bookmarkStart w:id="539" w:name="_Toc429063409"/>
      <w:bookmarkStart w:id="540" w:name="_Toc490323039"/>
      <w:r w:rsidRPr="00F645C1">
        <w:t>Transmission System Performance Needs Assessments and Upgrade Approvals</w:t>
      </w:r>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p>
    <w:p w:rsidR="00F645C1" w:rsidRPr="00F645C1" w:rsidRDefault="00F645C1" w:rsidP="00F645C1">
      <w:r w:rsidRPr="00F645C1">
        <w:t>Since 2002, the ISO and regional stakeholders have made significant progress developing transmission solutions in New England that address existing and projected transmission system needs. Major transmission projects and other projects help maintain system reliability and enhance the region’s ability to support a robust, competitive wholesale power market by reliably moving power from various internal and external sources to the region’s load centers.</w:t>
      </w:r>
    </w:p>
    <w:p w:rsidR="00F645C1" w:rsidRPr="00F645C1" w:rsidRDefault="00F645C1" w:rsidP="00F645C1">
      <w:r w:rsidRPr="00F645C1">
        <w:t xml:space="preserve">This section discusses the need for transmission reliability and provides an overview of the New England transmission system, updates on the performance of the system, and the status of several transmission planning studies. The progress of major transmission projects and various types of transmission upgrades in the region as of </w:t>
      </w:r>
      <w:r w:rsidR="00815DB2">
        <w:t>June</w:t>
      </w:r>
      <w:r w:rsidRPr="00F645C1">
        <w:t xml:space="preserve"> 2017 are also provided.</w:t>
      </w:r>
      <w:r w:rsidRPr="00F645C1">
        <w:rPr>
          <w:vertAlign w:val="superscript"/>
        </w:rPr>
        <w:footnoteReference w:id="119"/>
      </w:r>
      <w:r w:rsidRPr="00F645C1">
        <w:t xml:space="preserve"> The transmission planning studies account for known plans for resource additions and attritions (see </w:t>
      </w:r>
      <w:r w:rsidR="00717797">
        <w:fldChar w:fldCharType="begin"/>
      </w:r>
      <w:r w:rsidR="00717797">
        <w:instrText xml:space="preserve"> REF _Ref418680938 \r \h </w:instrText>
      </w:r>
      <w:r w:rsidR="00717797">
        <w:fldChar w:fldCharType="separate"/>
      </w:r>
      <w:r w:rsidR="00314781">
        <w:t>Section 4</w:t>
      </w:r>
      <w:r w:rsidR="00717797">
        <w:fldChar w:fldCharType="end"/>
      </w:r>
      <w:r w:rsidRPr="00F645C1">
        <w:t xml:space="preserve">) and the material effects of the EE forecast and the PV forecast (see </w:t>
      </w:r>
      <w:r w:rsidR="00717797">
        <w:fldChar w:fldCharType="begin"/>
      </w:r>
      <w:r w:rsidR="00717797">
        <w:instrText xml:space="preserve"> REF _Ref418357222 \r \h </w:instrText>
      </w:r>
      <w:r w:rsidR="00717797">
        <w:fldChar w:fldCharType="separate"/>
      </w:r>
      <w:r w:rsidR="00314781">
        <w:t>Section 3</w:t>
      </w:r>
      <w:r w:rsidR="00717797">
        <w:fldChar w:fldCharType="end"/>
      </w:r>
      <w:r w:rsidRPr="00F645C1">
        <w:t>). Previous RSPs, various PAC presentations, and other ISO reports contain information regarding the detailed analyses associated with many of these efforts.</w:t>
      </w:r>
      <w:r w:rsidRPr="00F645C1">
        <w:rPr>
          <w:vertAlign w:val="superscript"/>
        </w:rPr>
        <w:footnoteReference w:id="120"/>
      </w:r>
    </w:p>
    <w:p w:rsidR="00F645C1" w:rsidRPr="00F645C1" w:rsidRDefault="00F645C1" w:rsidP="00F645C1">
      <w:r w:rsidRPr="00F645C1">
        <w:t xml:space="preserve">The </w:t>
      </w:r>
      <w:r w:rsidRPr="00F645C1">
        <w:rPr>
          <w:i/>
        </w:rPr>
        <w:t>Transmission Planning Process Guide</w:t>
      </w:r>
      <w:r w:rsidRPr="00F645C1">
        <w:t xml:space="preserve"> details the existing regional system planning process and how transmission planning studies are performed, and the </w:t>
      </w:r>
      <w:r w:rsidRPr="00F645C1">
        <w:rPr>
          <w:i/>
        </w:rPr>
        <w:t>Transmission Planning Technical Guide</w:t>
      </w:r>
      <w:r w:rsidRPr="00F645C1">
        <w:t xml:space="preserve"> references the current standards and details the current criteria and assumptions used in transmission planning studies.</w:t>
      </w:r>
      <w:r w:rsidRPr="00F645C1">
        <w:rPr>
          <w:vertAlign w:val="superscript"/>
        </w:rPr>
        <w:footnoteReference w:id="121"/>
      </w:r>
      <w:r w:rsidRPr="00F645C1">
        <w:t xml:space="preserve"> </w:t>
      </w:r>
    </w:p>
    <w:p w:rsidR="00F645C1" w:rsidRPr="00F645C1" w:rsidRDefault="00F645C1" w:rsidP="00BD6545">
      <w:pPr>
        <w:pStyle w:val="Heading2"/>
      </w:pPr>
      <w:bookmarkStart w:id="541" w:name="_Toc303086394"/>
      <w:bookmarkStart w:id="542" w:name="_Toc334601045"/>
      <w:bookmarkStart w:id="543" w:name="_Toc365441005"/>
      <w:bookmarkStart w:id="544" w:name="_Toc396807635"/>
      <w:bookmarkStart w:id="545" w:name="_Toc429063410"/>
      <w:bookmarkStart w:id="546" w:name="_Toc490323040"/>
      <w:r w:rsidRPr="00F645C1">
        <w:t xml:space="preserve">The Need for Transmission </w:t>
      </w:r>
      <w:bookmarkEnd w:id="541"/>
      <w:bookmarkEnd w:id="542"/>
      <w:bookmarkEnd w:id="543"/>
      <w:bookmarkEnd w:id="544"/>
      <w:bookmarkEnd w:id="545"/>
      <w:r w:rsidRPr="00F645C1">
        <w:t>Reliability</w:t>
      </w:r>
      <w:bookmarkEnd w:id="546"/>
    </w:p>
    <w:p w:rsidR="00F645C1" w:rsidRPr="00F645C1" w:rsidRDefault="00F645C1" w:rsidP="00F645C1">
      <w:r w:rsidRPr="00F645C1">
        <w:t xml:space="preserve">A reliable, well-designed transmission system that provides regional transmission service is essential for complying with mandatory reliability standards (see Section </w:t>
      </w:r>
      <w:r w:rsidRPr="00F645C1">
        <w:fldChar w:fldCharType="begin"/>
      </w:r>
      <w:r w:rsidRPr="00F645C1">
        <w:instrText xml:space="preserve"> REF _Ref365471084 \r \h  \* MERGEFORMAT </w:instrText>
      </w:r>
      <w:r w:rsidRPr="00F645C1">
        <w:fldChar w:fldCharType="separate"/>
      </w:r>
      <w:r w:rsidR="00314781">
        <w:t>2.1.7</w:t>
      </w:r>
      <w:r w:rsidRPr="00F645C1">
        <w:fldChar w:fldCharType="end"/>
      </w:r>
      <w:r w:rsidRPr="00F645C1">
        <w:t>) and supporting the secure dispatch and operation of generation that delivers numerous products and services. The numerous products and services of a reliable transmission system include the following:</w:t>
      </w:r>
    </w:p>
    <w:p w:rsidR="00F645C1" w:rsidRPr="00F645C1" w:rsidRDefault="00F645C1" w:rsidP="003D70FB">
      <w:pPr>
        <w:numPr>
          <w:ilvl w:val="0"/>
          <w:numId w:val="38"/>
        </w:numPr>
        <w:spacing w:after="120"/>
        <w:rPr>
          <w:color w:val="000000"/>
        </w:rPr>
      </w:pPr>
      <w:r w:rsidRPr="00F645C1">
        <w:rPr>
          <w:color w:val="000000"/>
        </w:rPr>
        <w:t>Capacity</w:t>
      </w:r>
    </w:p>
    <w:p w:rsidR="00F645C1" w:rsidRPr="00F645C1" w:rsidRDefault="00F645C1" w:rsidP="003D70FB">
      <w:pPr>
        <w:numPr>
          <w:ilvl w:val="0"/>
          <w:numId w:val="38"/>
        </w:numPr>
        <w:spacing w:after="120"/>
        <w:rPr>
          <w:color w:val="000000"/>
        </w:rPr>
      </w:pPr>
      <w:r w:rsidRPr="00F645C1">
        <w:rPr>
          <w:color w:val="000000"/>
        </w:rPr>
        <w:t>Electric energy</w:t>
      </w:r>
    </w:p>
    <w:p w:rsidR="00F645C1" w:rsidRPr="00F645C1" w:rsidRDefault="00F645C1" w:rsidP="003D70FB">
      <w:pPr>
        <w:numPr>
          <w:ilvl w:val="0"/>
          <w:numId w:val="38"/>
        </w:numPr>
        <w:spacing w:after="120"/>
        <w:rPr>
          <w:color w:val="000000"/>
        </w:rPr>
      </w:pPr>
      <w:r w:rsidRPr="00F645C1">
        <w:rPr>
          <w:color w:val="000000"/>
        </w:rPr>
        <w:t>Operating reserves</w:t>
      </w:r>
    </w:p>
    <w:p w:rsidR="00F645C1" w:rsidRPr="00F645C1" w:rsidRDefault="00F645C1" w:rsidP="003D70FB">
      <w:pPr>
        <w:numPr>
          <w:ilvl w:val="0"/>
          <w:numId w:val="38"/>
        </w:numPr>
        <w:spacing w:after="120"/>
        <w:rPr>
          <w:color w:val="000000"/>
        </w:rPr>
      </w:pPr>
      <w:r w:rsidRPr="00F645C1">
        <w:rPr>
          <w:color w:val="000000"/>
        </w:rPr>
        <w:t>Load-following</w:t>
      </w:r>
    </w:p>
    <w:p w:rsidR="00F645C1" w:rsidRPr="00F645C1" w:rsidRDefault="00F645C1" w:rsidP="003D70FB">
      <w:pPr>
        <w:numPr>
          <w:ilvl w:val="0"/>
          <w:numId w:val="38"/>
        </w:numPr>
        <w:spacing w:after="120"/>
        <w:rPr>
          <w:color w:val="000000"/>
        </w:rPr>
      </w:pPr>
      <w:r w:rsidRPr="00F645C1">
        <w:rPr>
          <w:color w:val="000000"/>
        </w:rPr>
        <w:t>Automatic generation control</w:t>
      </w:r>
    </w:p>
    <w:p w:rsidR="00F645C1" w:rsidRPr="00F645C1" w:rsidRDefault="00F645C1" w:rsidP="003D70FB">
      <w:pPr>
        <w:numPr>
          <w:ilvl w:val="0"/>
          <w:numId w:val="38"/>
        </w:numPr>
        <w:rPr>
          <w:color w:val="000000"/>
        </w:rPr>
      </w:pPr>
      <w:r w:rsidRPr="00F645C1">
        <w:rPr>
          <w:color w:val="000000"/>
        </w:rPr>
        <w:t>Immediate contingency response to sudden resource or transmission outages</w:t>
      </w:r>
    </w:p>
    <w:p w:rsidR="00F645C1" w:rsidRPr="00F645C1" w:rsidRDefault="00F645C1" w:rsidP="00F645C1">
      <w:r w:rsidRPr="00F645C1">
        <w:t>A reliable transmission system also plays an important role in the following functions:</w:t>
      </w:r>
    </w:p>
    <w:p w:rsidR="00F645C1" w:rsidRPr="00F645C1" w:rsidRDefault="00F645C1" w:rsidP="003D70FB">
      <w:pPr>
        <w:numPr>
          <w:ilvl w:val="0"/>
          <w:numId w:val="39"/>
        </w:numPr>
        <w:spacing w:after="120"/>
        <w:rPr>
          <w:color w:val="000000"/>
        </w:rPr>
      </w:pPr>
      <w:r w:rsidRPr="00F645C1">
        <w:rPr>
          <w:color w:val="000000"/>
        </w:rPr>
        <w:lastRenderedPageBreak/>
        <w:t>Improving access to and the reliability of supply resources</w:t>
      </w:r>
    </w:p>
    <w:p w:rsidR="00F645C1" w:rsidRPr="00F645C1" w:rsidRDefault="00F645C1" w:rsidP="003D70FB">
      <w:pPr>
        <w:numPr>
          <w:ilvl w:val="0"/>
          <w:numId w:val="39"/>
        </w:numPr>
        <w:spacing w:after="120"/>
        <w:rPr>
          <w:color w:val="000000"/>
        </w:rPr>
      </w:pPr>
      <w:r w:rsidRPr="00F645C1">
        <w:rPr>
          <w:color w:val="000000"/>
        </w:rPr>
        <w:t>Regulating voltage and minimizing voltage fluctuations</w:t>
      </w:r>
    </w:p>
    <w:p w:rsidR="00F645C1" w:rsidRPr="00F645C1" w:rsidRDefault="00F645C1" w:rsidP="003D70FB">
      <w:pPr>
        <w:numPr>
          <w:ilvl w:val="0"/>
          <w:numId w:val="39"/>
        </w:numPr>
        <w:spacing w:after="120"/>
        <w:rPr>
          <w:color w:val="000000"/>
        </w:rPr>
      </w:pPr>
      <w:r w:rsidRPr="00F645C1">
        <w:rPr>
          <w:color w:val="000000"/>
        </w:rPr>
        <w:t>Stabilizing the grid after transient events</w:t>
      </w:r>
    </w:p>
    <w:p w:rsidR="00F645C1" w:rsidRPr="00F645C1" w:rsidRDefault="00F645C1" w:rsidP="003D70FB">
      <w:pPr>
        <w:numPr>
          <w:ilvl w:val="0"/>
          <w:numId w:val="39"/>
        </w:numPr>
        <w:spacing w:after="120"/>
        <w:rPr>
          <w:color w:val="000000"/>
        </w:rPr>
      </w:pPr>
      <w:r w:rsidRPr="00F645C1">
        <w:rPr>
          <w:color w:val="000000"/>
        </w:rPr>
        <w:t>Facilitating the efficient use of regional supply and demand resources</w:t>
      </w:r>
    </w:p>
    <w:p w:rsidR="00F645C1" w:rsidRPr="00F645C1" w:rsidRDefault="00F645C1" w:rsidP="003D70FB">
      <w:pPr>
        <w:numPr>
          <w:ilvl w:val="0"/>
          <w:numId w:val="39"/>
        </w:numPr>
        <w:spacing w:after="120"/>
        <w:rPr>
          <w:color w:val="000000"/>
        </w:rPr>
      </w:pPr>
      <w:r w:rsidRPr="00F645C1">
        <w:rPr>
          <w:color w:val="000000"/>
        </w:rPr>
        <w:t xml:space="preserve">Reducing the amount of reserves necessary for the secure operation of the system </w:t>
      </w:r>
    </w:p>
    <w:p w:rsidR="00F645C1" w:rsidRPr="00F645C1" w:rsidRDefault="00F645C1" w:rsidP="003D70FB">
      <w:pPr>
        <w:numPr>
          <w:ilvl w:val="0"/>
          <w:numId w:val="39"/>
        </w:numPr>
        <w:spacing w:after="120"/>
        <w:rPr>
          <w:color w:val="000000"/>
        </w:rPr>
      </w:pPr>
      <w:r w:rsidRPr="00F645C1">
        <w:rPr>
          <w:color w:val="000000"/>
        </w:rPr>
        <w:t>Facilitating the scheduling of equipment maintenance</w:t>
      </w:r>
    </w:p>
    <w:p w:rsidR="00F645C1" w:rsidRPr="00F645C1" w:rsidRDefault="00F645C1" w:rsidP="003D70FB">
      <w:pPr>
        <w:numPr>
          <w:ilvl w:val="0"/>
          <w:numId w:val="39"/>
        </w:numPr>
      </w:pPr>
      <w:r w:rsidRPr="00F645C1">
        <w:rPr>
          <w:color w:val="000000"/>
        </w:rPr>
        <w:t>Assisting neighboring balancing authority areas, especially during major contingencies affecting their reliability, and ensuring the reliability of the interconnected system</w:t>
      </w:r>
      <w:bookmarkStart w:id="547" w:name="_Toc303086398"/>
      <w:bookmarkStart w:id="548" w:name="_Ref334019517"/>
      <w:bookmarkStart w:id="549" w:name="_Toc334601049"/>
      <w:bookmarkStart w:id="550" w:name="_Toc365441006"/>
      <w:bookmarkStart w:id="551" w:name="_Toc396807636"/>
    </w:p>
    <w:p w:rsidR="00F645C1" w:rsidRPr="00F645C1" w:rsidRDefault="00F645C1" w:rsidP="007D11FD">
      <w:pPr>
        <w:pStyle w:val="Heading2"/>
      </w:pPr>
      <w:bookmarkStart w:id="552" w:name="_Ref418953108"/>
      <w:bookmarkStart w:id="553" w:name="_Toc429063411"/>
      <w:bookmarkStart w:id="554" w:name="_Toc490323041"/>
      <w:bookmarkEnd w:id="547"/>
      <w:bookmarkEnd w:id="548"/>
      <w:bookmarkEnd w:id="549"/>
      <w:bookmarkEnd w:id="550"/>
      <w:bookmarkEnd w:id="551"/>
      <w:r w:rsidRPr="00F645C1">
        <w:t>Overview of New England’s Transmission System</w:t>
      </w:r>
      <w:bookmarkEnd w:id="552"/>
      <w:bookmarkEnd w:id="553"/>
      <w:bookmarkEnd w:id="554"/>
    </w:p>
    <w:p w:rsidR="00F645C1" w:rsidRPr="00F645C1" w:rsidRDefault="00F645C1" w:rsidP="00F645C1">
      <w:r w:rsidRPr="00F645C1">
        <w:t>In New England, the power system provides electricity to diverse areas, ranging from rural agricultural to densely populated cities, and integrates widely dispersed and varied types of power supply resources. Geographically, approximately 20% of New England’s peak loads are in the northern states of Maine, New Hampshire, and Vermont, and 80% are in the southern states of Massachusetts, Connecticut, and Rhode Island. Although the land area in the northern states is larger than the land area in the southern states, the greater urban development in southern New England creates the relatively larger demand and corresponding transmission density. This means that while the demands on the New England transmission system can vary widely, the system must reliably operate under the wide-ranging conditions present in the region at all times—in compliance with mandatory reliability standards—to move power from various internal and external sources to the region’s load centers.</w:t>
      </w:r>
    </w:p>
    <w:p w:rsidR="00F645C1" w:rsidRPr="00F645C1" w:rsidRDefault="00F645C1" w:rsidP="00F645C1">
      <w:r w:rsidRPr="00F645C1">
        <w:t>The New England transmission system consists of mostly 115 kV, 230 kV, and 345 kV transmission lines, which in northern New England generally are longer and fewer in number than in southern New England. The region has 13 interconnections with neighboring power systems in the United States and Eastern Canada. Nine interconnections are with New York (NYISO) (two 345 kV ties; one 230 kV tie; one 138 kV tie; three 115 kV ties; one 69 kV tie; and one 330 MW, ±150 kV high-voltage direct-current (HVDC) tie—the Cross-Sound Cable interconnection). New England and the Maritimes (New Brunswick Power Corporation) are connected through two 345 kV AC ties.</w:t>
      </w:r>
      <w:r w:rsidRPr="00F645C1">
        <w:rPr>
          <w:vertAlign w:val="superscript"/>
        </w:rPr>
        <w:footnoteReference w:id="122"/>
      </w:r>
      <w:r w:rsidRPr="00F645C1">
        <w:t xml:space="preserve"> New England also has two HVDC interconnections with Québec (Hydro-Québec). One is a 120 kV AC interconnection (Highgate in northern Vermont) with a 225 MW back-to-back converter station, which converts alternating current to direct current and then back to alternating current. The second is a ±450 kV HVDC line with terminal configurations allowing up to 2,000 MW to be delivered at Sandy Pond in Massachusetts (i.e., Phase II). </w:t>
      </w:r>
    </w:p>
    <w:p w:rsidR="00F645C1" w:rsidRPr="00F645C1" w:rsidRDefault="00F645C1" w:rsidP="00F645C1">
      <w:pPr>
        <w:pStyle w:val="Heading2"/>
      </w:pPr>
      <w:bookmarkStart w:id="555" w:name="_Ref485807737"/>
      <w:bookmarkStart w:id="556" w:name="_Ref485807747"/>
      <w:bookmarkStart w:id="557" w:name="_Ref485808563"/>
      <w:bookmarkStart w:id="558" w:name="_Ref485808582"/>
      <w:bookmarkStart w:id="559" w:name="_Ref485808627"/>
      <w:bookmarkStart w:id="560" w:name="_Ref485808803"/>
      <w:bookmarkStart w:id="561" w:name="_Toc490323042"/>
      <w:r w:rsidRPr="00F645C1">
        <w:t xml:space="preserve">FERC Order </w:t>
      </w:r>
      <w:r w:rsidR="00701205">
        <w:t xml:space="preserve">No. </w:t>
      </w:r>
      <w:r w:rsidRPr="00F645C1">
        <w:t>1000 Discussion</w:t>
      </w:r>
      <w:bookmarkEnd w:id="555"/>
      <w:bookmarkEnd w:id="556"/>
      <w:bookmarkEnd w:id="557"/>
      <w:bookmarkEnd w:id="558"/>
      <w:bookmarkEnd w:id="559"/>
      <w:bookmarkEnd w:id="560"/>
      <w:bookmarkEnd w:id="561"/>
      <w:r w:rsidRPr="00F645C1">
        <w:t xml:space="preserve"> </w:t>
      </w:r>
    </w:p>
    <w:p w:rsidR="00F645C1" w:rsidRPr="00F645C1" w:rsidRDefault="00F645C1" w:rsidP="00F645C1">
      <w:r w:rsidRPr="00F645C1">
        <w:t>In May 2015, ISO New England implement</w:t>
      </w:r>
      <w:r w:rsidR="00006A94">
        <w:t>ed</w:t>
      </w:r>
      <w:r w:rsidRPr="00F645C1">
        <w:t xml:space="preserve"> changes to the regional and interregional transmission planning process to comply with the directives in FERC Order No. 1000. The order establishes new electric transmission planning and cost allocation requirements for public utility transmission providers across the country. (Refer to Section </w:t>
      </w:r>
      <w:r w:rsidR="00717797">
        <w:fldChar w:fldCharType="begin"/>
      </w:r>
      <w:r w:rsidR="00717797">
        <w:instrText xml:space="preserve"> REF _Ref360798959 \r \h </w:instrText>
      </w:r>
      <w:r w:rsidR="00717797">
        <w:fldChar w:fldCharType="separate"/>
      </w:r>
      <w:r w:rsidR="00314781">
        <w:t>6.5</w:t>
      </w:r>
      <w:r w:rsidR="00717797">
        <w:fldChar w:fldCharType="end"/>
      </w:r>
      <w:r w:rsidRPr="00F645C1">
        <w:t xml:space="preserve"> for a discussion of interregional aspects of Order No. 1000.) In addition, the order’s objectives include the following:</w:t>
      </w:r>
    </w:p>
    <w:p w:rsidR="00F645C1" w:rsidRPr="00F645C1" w:rsidRDefault="00F645C1" w:rsidP="003D70FB">
      <w:pPr>
        <w:numPr>
          <w:ilvl w:val="0"/>
          <w:numId w:val="63"/>
        </w:numPr>
        <w:spacing w:after="120"/>
        <w:rPr>
          <w:rFonts w:eastAsia="Times New Roman"/>
          <w:szCs w:val="24"/>
        </w:rPr>
      </w:pPr>
      <w:r w:rsidRPr="00F645C1">
        <w:rPr>
          <w:rFonts w:eastAsia="Times New Roman"/>
          <w:szCs w:val="24"/>
        </w:rPr>
        <w:t>Introduce competition into the development of regulated transmission solutions by removing arrangements that protect the right of first refusal (ROFR) for incumbent transmission providers</w:t>
      </w:r>
    </w:p>
    <w:p w:rsidR="00F645C1" w:rsidRPr="00F645C1" w:rsidRDefault="00F645C1" w:rsidP="00006A94">
      <w:pPr>
        <w:numPr>
          <w:ilvl w:val="0"/>
          <w:numId w:val="63"/>
        </w:numPr>
        <w:ind w:left="763"/>
        <w:rPr>
          <w:rFonts w:eastAsia="Times New Roman"/>
          <w:szCs w:val="24"/>
        </w:rPr>
      </w:pPr>
      <w:r w:rsidRPr="00F645C1">
        <w:rPr>
          <w:rFonts w:eastAsia="Times New Roman"/>
          <w:szCs w:val="24"/>
        </w:rPr>
        <w:lastRenderedPageBreak/>
        <w:t>Create a mechanism for transmission development to address public policies that drive transmission</w:t>
      </w:r>
      <w:r w:rsidRPr="00F645C1">
        <w:rPr>
          <w:rFonts w:eastAsia="Times New Roman"/>
          <w:szCs w:val="24"/>
          <w:vertAlign w:val="superscript"/>
        </w:rPr>
        <w:footnoteReference w:id="123"/>
      </w:r>
    </w:p>
    <w:p w:rsidR="00F645C1" w:rsidRPr="00F645C1" w:rsidRDefault="00F645C1" w:rsidP="00F645C1">
      <w:r w:rsidRPr="00F645C1">
        <w:t xml:space="preserve">While the order preserves the status of both proposed and planned projects on the ISO’s Regional System Plan project list as of May 18, 2015, it changed the ISO’s planning process going forward. The changes </w:t>
      </w:r>
      <w:r w:rsidRPr="00D61994">
        <w:t xml:space="preserve">added the requirement to solicit proposals for reliability projects that have a </w:t>
      </w:r>
      <w:r w:rsidR="0039388F" w:rsidRPr="00D61994">
        <w:t xml:space="preserve">planning need longer </w:t>
      </w:r>
      <w:r w:rsidRPr="00D61994">
        <w:t xml:space="preserve">than </w:t>
      </w:r>
      <w:r w:rsidRPr="00843374">
        <w:t>three</w:t>
      </w:r>
      <w:r w:rsidR="0039388F" w:rsidRPr="00843374">
        <w:t xml:space="preserve"> </w:t>
      </w:r>
      <w:r w:rsidRPr="00843374">
        <w:t>year</w:t>
      </w:r>
      <w:r w:rsidR="0039388F" w:rsidRPr="00843374">
        <w:t>s</w:t>
      </w:r>
      <w:r w:rsidRPr="00843374">
        <w:t xml:space="preserve"> </w:t>
      </w:r>
      <w:r w:rsidR="0037175D" w:rsidRPr="00843374">
        <w:t xml:space="preserve">beyond the completion of the needs assessment </w:t>
      </w:r>
      <w:r w:rsidR="000E2F93" w:rsidRPr="00843374">
        <w:t>and to implement a process for identifying</w:t>
      </w:r>
      <w:r w:rsidR="000E2F93">
        <w:t xml:space="preserve"> </w:t>
      </w:r>
      <w:r w:rsidR="000E2F93" w:rsidRPr="00982BA2">
        <w:t xml:space="preserve">and evaluating </w:t>
      </w:r>
      <w:r w:rsidRPr="00982BA2">
        <w:t>federal, state, and local public policies</w:t>
      </w:r>
      <w:r w:rsidRPr="00F645C1">
        <w:t xml:space="preserve"> </w:t>
      </w:r>
      <w:r w:rsidR="000E2F93">
        <w:t xml:space="preserve">that </w:t>
      </w:r>
      <w:r w:rsidRPr="00F645C1">
        <w:t xml:space="preserve">create the need for additional transmission. These changes have been incorporated into the </w:t>
      </w:r>
      <w:r w:rsidRPr="00F645C1">
        <w:rPr>
          <w:i/>
        </w:rPr>
        <w:t>Transmission Planning Process Guide.</w:t>
      </w:r>
    </w:p>
    <w:p w:rsidR="00F645C1" w:rsidRPr="00F645C1" w:rsidRDefault="00F645C1" w:rsidP="00F645C1">
      <w:r w:rsidRPr="00F645C1">
        <w:t>Since the effective date of the order, the ISO has completed several area needs assessments or has conducted an update to an already completed needs assessment.</w:t>
      </w:r>
      <w:r w:rsidRPr="00F645C1">
        <w:rPr>
          <w:vertAlign w:val="superscript"/>
        </w:rPr>
        <w:footnoteReference w:id="124"/>
      </w:r>
      <w:r w:rsidRPr="00F645C1">
        <w:t xml:space="preserve"> The results of all the needs assessments show that that time-sensitive and a few non-time-sensitive needs exist.</w:t>
      </w:r>
      <w:r w:rsidRPr="00F645C1">
        <w:rPr>
          <w:vertAlign w:val="superscript"/>
        </w:rPr>
        <w:footnoteReference w:id="125"/>
      </w:r>
      <w:r w:rsidRPr="00F645C1">
        <w:t xml:space="preserve"> Thus, the solutions study process has been used first to solve the time-sensitive needs, and the Competitive Solutions Process for the few non-time-sensitive needs has been placed on hold until the time-sensitive needs are addressed through the solutions study process.</w:t>
      </w:r>
      <w:r w:rsidRPr="00F645C1">
        <w:rPr>
          <w:vertAlign w:val="superscript"/>
        </w:rPr>
        <w:footnoteReference w:id="126"/>
      </w:r>
      <w:r w:rsidRPr="00F645C1">
        <w:t xml:space="preserve"> After the solutions have been identified for the time-sensitive needs, the ISO will begin a new needs assessment, which will include the preferred solutions for the time-sensitive needs and identify any remaining needs</w:t>
      </w:r>
      <w:r w:rsidRPr="00982BA2">
        <w:t>.</w:t>
      </w:r>
      <w:r w:rsidRPr="00205E2A">
        <w:rPr>
          <w:vertAlign w:val="superscript"/>
        </w:rPr>
        <w:footnoteReference w:id="127"/>
      </w:r>
      <w:r w:rsidR="00301B4A" w:rsidRPr="00167B41">
        <w:t xml:space="preserve"> The ISO will continue to review the implementation of the competitive process in New England and across the country.</w:t>
      </w:r>
      <w:r w:rsidR="00301B4A">
        <w:t xml:space="preserve"> </w:t>
      </w:r>
    </w:p>
    <w:p w:rsidR="00F645C1" w:rsidRPr="00F645C1" w:rsidRDefault="00F645C1" w:rsidP="00F645C1">
      <w:r w:rsidRPr="0038483B">
        <w:t>ISO New England began its first public policy process in January 2017 through a public notification to the PAC. The notification solicited stakeholder input to the New England States Committee on Electricity</w:t>
      </w:r>
      <w:r w:rsidR="0038483B">
        <w:t xml:space="preserve"> </w:t>
      </w:r>
      <w:r w:rsidRPr="0038483B">
        <w:t>regarding state and federal public policy requirements and to the ISO for local (e.g., municipal</w:t>
      </w:r>
      <w:r w:rsidRPr="00F645C1">
        <w:t xml:space="preserve"> and county) public policy requirements identified as driving transmission needs in New England</w:t>
      </w:r>
      <w:r w:rsidRPr="00F645C1">
        <w:rPr>
          <w:vertAlign w:val="superscript"/>
        </w:rPr>
        <w:footnoteReference w:id="128"/>
      </w:r>
      <w:r w:rsidRPr="00F645C1">
        <w:t xml:space="preserve"> In </w:t>
      </w:r>
      <w:r w:rsidRPr="00F645C1">
        <w:lastRenderedPageBreak/>
        <w:t>response to the notification, members of the PAC provided input to ISO New England and NESCOE.</w:t>
      </w:r>
      <w:r w:rsidRPr="00F645C1">
        <w:rPr>
          <w:vertAlign w:val="superscript"/>
        </w:rPr>
        <w:footnoteReference w:id="129"/>
      </w:r>
      <w:r w:rsidRPr="00F645C1">
        <w:t xml:space="preserve"> On May 1, 2017, NESCOE submitted a statement to the ISO that</w:t>
      </w:r>
      <w:r w:rsidR="00C556C7">
        <w:t>, at this time,</w:t>
      </w:r>
      <w:r w:rsidRPr="00F645C1">
        <w:t xml:space="preserve"> no federal or state public policy requirements drive the need for </w:t>
      </w:r>
      <w:r w:rsidR="009607CD">
        <w:t xml:space="preserve">a regionally developed </w:t>
      </w:r>
      <w:r w:rsidRPr="00F645C1">
        <w:t>transmission</w:t>
      </w:r>
      <w:r w:rsidR="009607CD">
        <w:t xml:space="preserve"> solution</w:t>
      </w:r>
      <w:r w:rsidRPr="00F645C1">
        <w:t>.</w:t>
      </w:r>
      <w:r w:rsidRPr="00F645C1">
        <w:rPr>
          <w:vertAlign w:val="superscript"/>
        </w:rPr>
        <w:footnoteReference w:id="130"/>
      </w:r>
      <w:r w:rsidRPr="00F645C1">
        <w:t xml:space="preserve"> In June, the ISO provided its decision to stakeholders that it will not pursue a public policy transmission study.</w:t>
      </w:r>
      <w:r w:rsidRPr="00F645C1">
        <w:rPr>
          <w:vertAlign w:val="superscript"/>
        </w:rPr>
        <w:footnoteReference w:id="131"/>
      </w:r>
      <w:r w:rsidR="00301B4A" w:rsidRPr="00301B4A">
        <w:t xml:space="preserve"> </w:t>
      </w:r>
    </w:p>
    <w:p w:rsidR="00F645C1" w:rsidRPr="00F645C1" w:rsidRDefault="00F645C1" w:rsidP="007D11FD">
      <w:pPr>
        <w:pStyle w:val="Heading2"/>
      </w:pPr>
      <w:r w:rsidRPr="00F645C1">
        <w:t xml:space="preserve"> </w:t>
      </w:r>
      <w:bookmarkStart w:id="562" w:name="_Ref485738258"/>
      <w:bookmarkStart w:id="563" w:name="_Toc490323043"/>
      <w:r w:rsidRPr="00F645C1">
        <w:t>Completed Major Projects</w:t>
      </w:r>
      <w:bookmarkEnd w:id="562"/>
      <w:bookmarkEnd w:id="563"/>
      <w:r w:rsidRPr="00F645C1">
        <w:t xml:space="preserve"> </w:t>
      </w:r>
    </w:p>
    <w:p w:rsidR="00F645C1" w:rsidRPr="00F645C1" w:rsidRDefault="00F645C1" w:rsidP="00F645C1">
      <w:r w:rsidRPr="00F645C1">
        <w:t xml:space="preserve">Since the publication of the </w:t>
      </w:r>
      <w:r w:rsidRPr="00F645C1">
        <w:rPr>
          <w:i/>
        </w:rPr>
        <w:t>2015 Regional System Plan</w:t>
      </w:r>
      <w:r w:rsidRPr="00F645C1">
        <w:t>, the following major projects have been completed or are near completion:</w:t>
      </w:r>
    </w:p>
    <w:p w:rsidR="00F645C1" w:rsidRPr="00F645C1" w:rsidRDefault="00F645C1" w:rsidP="00F645C1">
      <w:pPr>
        <w:numPr>
          <w:ilvl w:val="0"/>
          <w:numId w:val="28"/>
        </w:numPr>
        <w:spacing w:after="120"/>
        <w:rPr>
          <w:rFonts w:eastAsia="Times New Roman"/>
          <w:szCs w:val="24"/>
        </w:rPr>
      </w:pPr>
      <w:r w:rsidRPr="00F645C1">
        <w:rPr>
          <w:rFonts w:eastAsia="Times New Roman"/>
          <w:szCs w:val="24"/>
        </w:rPr>
        <w:t>The Maine Power Reliability Program (MPRP) included the addition of significant new 345 kV and 115 kV transmission lines and new 345 kV autotransformers at key locations in Maine. The majority of MPRP is in service with the exception of the 115 kV Lewiston Loop projects, which are anticipated to be in service by mid-2018.</w:t>
      </w:r>
    </w:p>
    <w:p w:rsidR="00F645C1" w:rsidRPr="00F645C1" w:rsidRDefault="00F645C1" w:rsidP="00F645C1">
      <w:pPr>
        <w:numPr>
          <w:ilvl w:val="0"/>
          <w:numId w:val="28"/>
        </w:numPr>
        <w:spacing w:after="120"/>
        <w:rPr>
          <w:rFonts w:eastAsia="Times New Roman"/>
          <w:szCs w:val="24"/>
        </w:rPr>
      </w:pPr>
      <w:r w:rsidRPr="00F645C1">
        <w:rPr>
          <w:rFonts w:eastAsia="Times New Roman"/>
          <w:szCs w:val="24"/>
        </w:rPr>
        <w:t>The New Hampshire/Vermont 2020 Upgrades included the addition of a new 345/115 kV autotransformer, a new 230/115 kV autotransformer, several new 115 kV transmission lines, upgrades and rebuilds of several existing 115 kV lines, and several reactive device additions and substation upgrades. The majority of the New Hampshire/Vermont 2020 Upgrades are in service with the exception of a new 115 kV line from Madbury to Portsmouth, which is anticipated to be in service by the end of 2018, and the addition of reactive support at the Amherst station in New Hampshire, which is the subject of an ongoing reevaluation.</w:t>
      </w:r>
    </w:p>
    <w:p w:rsidR="00F645C1" w:rsidRPr="00F645C1" w:rsidRDefault="00F645C1" w:rsidP="00F645C1">
      <w:pPr>
        <w:numPr>
          <w:ilvl w:val="0"/>
          <w:numId w:val="28"/>
        </w:numPr>
        <w:spacing w:after="120"/>
        <w:rPr>
          <w:rFonts w:eastAsia="Times New Roman"/>
          <w:szCs w:val="24"/>
        </w:rPr>
      </w:pPr>
      <w:r w:rsidRPr="00F645C1">
        <w:rPr>
          <w:rFonts w:eastAsia="Times New Roman"/>
          <w:szCs w:val="24"/>
        </w:rPr>
        <w:t>The Interstate Reliability Project (IRP) component of the New England East–West Solution (NEEWS) included the addition of significant 345 kV facilities in central Massachusetts, eastern Connecticut and northern Rhode Island. The IRP was placed in service in December 2015.</w:t>
      </w:r>
    </w:p>
    <w:p w:rsidR="00F645C1" w:rsidRPr="00F645C1" w:rsidRDefault="00F645C1" w:rsidP="00F645C1">
      <w:r w:rsidRPr="00F645C1">
        <w:t xml:space="preserve">Study efforts continue throughout New England to address remaining issues discussed in the next section. </w:t>
      </w:r>
    </w:p>
    <w:p w:rsidR="00F645C1" w:rsidRPr="00F645C1" w:rsidRDefault="00F645C1" w:rsidP="007D11FD">
      <w:pPr>
        <w:pStyle w:val="Heading2"/>
      </w:pPr>
      <w:bookmarkStart w:id="564" w:name="_Ref485718515"/>
      <w:bookmarkStart w:id="565" w:name="_Toc490323044"/>
      <w:bookmarkStart w:id="566" w:name="_Ref418881599"/>
      <w:bookmarkStart w:id="567" w:name="_Toc429063420"/>
      <w:bookmarkStart w:id="568" w:name="_Toc303086422"/>
      <w:bookmarkStart w:id="569" w:name="_Toc334601067"/>
      <w:bookmarkStart w:id="570" w:name="_Toc365441024"/>
      <w:bookmarkStart w:id="571" w:name="_Toc396807654"/>
      <w:r w:rsidRPr="00F645C1">
        <w:t>Key Study Area Update</w:t>
      </w:r>
      <w:bookmarkEnd w:id="564"/>
      <w:bookmarkEnd w:id="565"/>
    </w:p>
    <w:p w:rsidR="00F645C1" w:rsidRPr="00F645C1" w:rsidRDefault="00F645C1" w:rsidP="00F645C1">
      <w:r w:rsidRPr="00F645C1">
        <w:t>Historically, the two most significant issues facing the northern New England area have been to maintain the general performance of the long 345 kV corridors, particularly through Maine, and to ensure sufficient system reliability to meet demand. The region faces thermal and voltage performance issues and stability concerns. The system of long 115 kV lines, with weak sources and high real- and reactive-power losses, is exceeding its ability to integrate generation and efficiently and effectively serve load. Also, in many instances, the underlying systems of 34.5 kV, 46 kV, and 69 kV lines are exceeding their capabilities, and some are being upgraded, placing greater demands on an already stressed 115 kV system.</w:t>
      </w:r>
    </w:p>
    <w:p w:rsidR="00F645C1" w:rsidRPr="00F645C1" w:rsidRDefault="00F645C1" w:rsidP="00F645C1">
      <w:r w:rsidRPr="00F645C1">
        <w:lastRenderedPageBreak/>
        <w:t xml:space="preserve">The most significant concerns in the southern New England area involve maintaining the reliability of supply to serve load and developing the transmission infrastructure due to the retirement of generation throughout this area. In many areas, an aging low-capacity 115 kV system has been overtaxed and is no longer able to serve load and support generation reliably. Ongoing planning and power system upgrades will ensure the system can meet its current level of demand and prepare for future </w:t>
      </w:r>
      <w:r w:rsidR="007D08DD">
        <w:t>power system conditions</w:t>
      </w:r>
      <w:r w:rsidRPr="00F645C1">
        <w:t>.</w:t>
      </w:r>
    </w:p>
    <w:p w:rsidR="00F645C1" w:rsidRDefault="00F645C1" w:rsidP="00F645C1">
      <w:r w:rsidRPr="00F645C1">
        <w:t xml:space="preserve">To address the issues in New England, study efforts have been progressing on a wide range of system </w:t>
      </w:r>
      <w:r w:rsidRPr="0067197B">
        <w:t xml:space="preserve">concerns and have been grouped into several key study areas shown in </w:t>
      </w:r>
      <w:r w:rsidRPr="0067197B">
        <w:fldChar w:fldCharType="begin"/>
      </w:r>
      <w:r w:rsidRPr="0067197B">
        <w:instrText xml:space="preserve"> REF _Ref485127674 \h </w:instrText>
      </w:r>
      <w:r w:rsidR="0067197B" w:rsidRPr="0067197B">
        <w:instrText xml:space="preserve"> \* MERGEFORMAT </w:instrText>
      </w:r>
      <w:r w:rsidRPr="0067197B">
        <w:fldChar w:fldCharType="separate"/>
      </w:r>
      <w:r w:rsidR="00314781" w:rsidRPr="000162C8">
        <w:rPr>
          <w:bCs/>
          <w:szCs w:val="18"/>
        </w:rPr>
        <w:t xml:space="preserve">Figure </w:t>
      </w:r>
      <w:r w:rsidR="00314781" w:rsidRPr="000162C8">
        <w:rPr>
          <w:bCs/>
          <w:noProof/>
          <w:szCs w:val="18"/>
        </w:rPr>
        <w:t>5</w:t>
      </w:r>
      <w:r w:rsidR="00314781" w:rsidRPr="000162C8">
        <w:rPr>
          <w:bCs/>
          <w:noProof/>
          <w:szCs w:val="18"/>
        </w:rPr>
        <w:noBreakHyphen/>
        <w:t>1</w:t>
      </w:r>
      <w:r w:rsidRPr="0067197B">
        <w:fldChar w:fldCharType="end"/>
      </w:r>
      <w:r w:rsidRPr="0067197B">
        <w:t xml:space="preserve"> and detailed</w:t>
      </w:r>
      <w:r w:rsidRPr="00F645C1">
        <w:t xml:space="preserve"> below.</w:t>
      </w:r>
      <w:r w:rsidRPr="00F645C1">
        <w:rPr>
          <w:vertAlign w:val="superscript"/>
        </w:rPr>
        <w:footnoteReference w:id="132"/>
      </w:r>
    </w:p>
    <w:p w:rsidR="0020332C" w:rsidRPr="00F645C1" w:rsidRDefault="0020332C" w:rsidP="00F3497C">
      <w:pPr>
        <w:spacing w:after="0" w:line="240" w:lineRule="auto"/>
        <w:jc w:val="center"/>
      </w:pPr>
      <w:r>
        <w:rPr>
          <w:rFonts w:ascii="Calibri" w:hAnsi="Calibri"/>
          <w:b/>
          <w:bCs/>
          <w:noProof/>
          <w:szCs w:val="18"/>
        </w:rPr>
        <w:drawing>
          <wp:inline distT="0" distB="0" distL="0" distR="0" wp14:anchorId="56552BC1" wp14:editId="1C7C7B0F">
            <wp:extent cx="3859625" cy="3780623"/>
            <wp:effectExtent l="19050" t="19050" r="26670" b="1079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860960" cy="3781931"/>
                    </a:xfrm>
                    <a:prstGeom prst="rect">
                      <a:avLst/>
                    </a:prstGeom>
                    <a:noFill/>
                    <a:ln w="3175">
                      <a:solidFill>
                        <a:srgbClr val="000000"/>
                      </a:solidFill>
                    </a:ln>
                  </pic:spPr>
                </pic:pic>
              </a:graphicData>
            </a:graphic>
          </wp:inline>
        </w:drawing>
      </w:r>
    </w:p>
    <w:p w:rsidR="00F645C1" w:rsidRPr="00F645C1" w:rsidRDefault="00F645C1" w:rsidP="00F645C1">
      <w:pPr>
        <w:spacing w:before="120" w:line="240" w:lineRule="auto"/>
        <w:ind w:left="1440"/>
        <w:rPr>
          <w:rFonts w:ascii="Calibri" w:hAnsi="Calibri"/>
          <w:b/>
          <w:bCs/>
          <w:szCs w:val="18"/>
        </w:rPr>
      </w:pPr>
      <w:bookmarkStart w:id="572" w:name="_Ref485127674"/>
      <w:bookmarkStart w:id="573" w:name="_Toc486233208"/>
      <w:r w:rsidRPr="00F645C1">
        <w:rPr>
          <w:rFonts w:ascii="Calibri" w:hAnsi="Calibri"/>
          <w:b/>
          <w:bCs/>
          <w:szCs w:val="18"/>
        </w:rPr>
        <w:t xml:space="preserve">Figure </w:t>
      </w:r>
      <w:r w:rsidRPr="00F645C1">
        <w:rPr>
          <w:rFonts w:ascii="Calibri" w:hAnsi="Calibri"/>
          <w:b/>
          <w:bCs/>
          <w:szCs w:val="18"/>
        </w:rPr>
        <w:fldChar w:fldCharType="begin"/>
      </w:r>
      <w:r w:rsidRPr="00F645C1">
        <w:rPr>
          <w:rFonts w:ascii="Calibri" w:hAnsi="Calibri"/>
          <w:b/>
          <w:bCs/>
          <w:szCs w:val="18"/>
        </w:rPr>
        <w:instrText xml:space="preserve"> STYLEREF 1 \s </w:instrText>
      </w:r>
      <w:r w:rsidRPr="00F645C1">
        <w:rPr>
          <w:rFonts w:ascii="Calibri" w:hAnsi="Calibri"/>
          <w:b/>
          <w:bCs/>
          <w:szCs w:val="18"/>
        </w:rPr>
        <w:fldChar w:fldCharType="separate"/>
      </w:r>
      <w:r w:rsidR="00314781">
        <w:rPr>
          <w:rFonts w:ascii="Calibri" w:hAnsi="Calibri"/>
          <w:b/>
          <w:bCs/>
          <w:noProof/>
          <w:szCs w:val="18"/>
        </w:rPr>
        <w:t>5</w:t>
      </w:r>
      <w:r w:rsidRPr="00F645C1">
        <w:rPr>
          <w:rFonts w:ascii="Calibri" w:hAnsi="Calibri"/>
          <w:b/>
          <w:bCs/>
          <w:noProof/>
          <w:szCs w:val="18"/>
        </w:rPr>
        <w:fldChar w:fldCharType="end"/>
      </w:r>
      <w:r w:rsidRPr="00F645C1">
        <w:rPr>
          <w:rFonts w:ascii="Calibri" w:hAnsi="Calibri"/>
          <w:b/>
          <w:bCs/>
          <w:szCs w:val="18"/>
        </w:rPr>
        <w:noBreakHyphen/>
      </w:r>
      <w:r w:rsidRPr="00F645C1">
        <w:rPr>
          <w:rFonts w:ascii="Calibri" w:hAnsi="Calibri"/>
          <w:b/>
          <w:bCs/>
          <w:szCs w:val="18"/>
        </w:rPr>
        <w:fldChar w:fldCharType="begin"/>
      </w:r>
      <w:r w:rsidRPr="00F645C1">
        <w:rPr>
          <w:rFonts w:ascii="Calibri" w:hAnsi="Calibri"/>
          <w:b/>
          <w:bCs/>
          <w:szCs w:val="18"/>
        </w:rPr>
        <w:instrText xml:space="preserve"> SEQ Figure \* ARABIC \s 1 </w:instrText>
      </w:r>
      <w:r w:rsidRPr="00F645C1">
        <w:rPr>
          <w:rFonts w:ascii="Calibri" w:hAnsi="Calibri"/>
          <w:b/>
          <w:bCs/>
          <w:szCs w:val="18"/>
        </w:rPr>
        <w:fldChar w:fldCharType="separate"/>
      </w:r>
      <w:r w:rsidR="00314781">
        <w:rPr>
          <w:rFonts w:ascii="Calibri" w:hAnsi="Calibri"/>
          <w:b/>
          <w:bCs/>
          <w:noProof/>
          <w:szCs w:val="18"/>
        </w:rPr>
        <w:t>1</w:t>
      </w:r>
      <w:r w:rsidRPr="00F645C1">
        <w:rPr>
          <w:rFonts w:ascii="Calibri" w:hAnsi="Calibri"/>
          <w:b/>
          <w:bCs/>
          <w:noProof/>
          <w:szCs w:val="18"/>
        </w:rPr>
        <w:fldChar w:fldCharType="end"/>
      </w:r>
      <w:bookmarkEnd w:id="572"/>
      <w:r w:rsidRPr="00F645C1">
        <w:rPr>
          <w:rFonts w:ascii="Calibri" w:hAnsi="Calibri"/>
          <w:b/>
          <w:bCs/>
          <w:szCs w:val="18"/>
        </w:rPr>
        <w:t xml:space="preserve">: </w:t>
      </w:r>
      <w:r w:rsidRPr="00515957">
        <w:rPr>
          <w:rFonts w:ascii="Calibri" w:hAnsi="Calibri"/>
          <w:b/>
          <w:bCs/>
          <w:szCs w:val="18"/>
        </w:rPr>
        <w:t>Key study areas in New England.</w:t>
      </w:r>
      <w:bookmarkEnd w:id="573"/>
    </w:p>
    <w:p w:rsidR="00F645C1" w:rsidRPr="00F645C1" w:rsidRDefault="00F645C1" w:rsidP="00F645C1">
      <w:pPr>
        <w:pStyle w:val="Heading3"/>
      </w:pPr>
      <w:bookmarkStart w:id="574" w:name="_Toc490323045"/>
      <w:r w:rsidRPr="00F645C1">
        <w:t>Southwest Connecticut Key Study Area</w:t>
      </w:r>
      <w:r w:rsidRPr="00F645C1">
        <w:rPr>
          <w:rFonts w:asciiTheme="minorHAnsi" w:hAnsiTheme="minorHAnsi"/>
          <w:vertAlign w:val="superscript"/>
        </w:rPr>
        <w:footnoteReference w:id="133"/>
      </w:r>
      <w:bookmarkEnd w:id="574"/>
    </w:p>
    <w:p w:rsidR="00F645C1" w:rsidRPr="00F645C1" w:rsidRDefault="00F645C1" w:rsidP="00F645C1">
      <w:r w:rsidRPr="00F645C1">
        <w:t xml:space="preserve">The </w:t>
      </w:r>
      <w:r w:rsidR="00651548">
        <w:t>Southwest Connecticut (</w:t>
      </w:r>
      <w:r w:rsidRPr="00F645C1">
        <w:t>SWCT</w:t>
      </w:r>
      <w:r w:rsidR="00651548">
        <w:t>)</w:t>
      </w:r>
      <w:r w:rsidRPr="00F645C1">
        <w:t xml:space="preserve"> study area is located inside the Southwest Connecticut import interface. It borders the New England to New York interface along the Connecticut state border. The SWCT study area is divided into five study subareas: Frost Bridge–Naugatuck Valley, Housatonic Valley/Norwalk–Plumtree, Bridgeport, New Haven–Southington, and Glenbrook–Stamford.</w:t>
      </w:r>
    </w:p>
    <w:p w:rsidR="00F645C1" w:rsidRPr="00F645C1" w:rsidRDefault="00F645C1" w:rsidP="00F645C1">
      <w:r w:rsidRPr="00F645C1">
        <w:lastRenderedPageBreak/>
        <w:t>The SWCT study area has gone through three study efforts over the past 10 years. These study efforts are identified by the study horizon years of 2018, 2022, and 2025. The 2018 needs assessment of this area identified interdependent and independent subarea needs, which were addressed by the Glenbrook–South End cable and the Mill River–Quinnipiac 8300 line reconfiguration. Both projects have been placed in service.</w:t>
      </w:r>
    </w:p>
    <w:p w:rsidR="00F645C1" w:rsidRPr="00F645C1" w:rsidRDefault="00F645C1" w:rsidP="00F645C1">
      <w:r w:rsidRPr="00F645C1">
        <w:t>Due to changes in net demand forecasts, changes in topology resulting from the approval of Glenbrook–South</w:t>
      </w:r>
      <w:r w:rsidR="00C556C7">
        <w:t xml:space="preserve"> E</w:t>
      </w:r>
      <w:r w:rsidRPr="00F645C1">
        <w:t xml:space="preserve">nd cable and Mill River–Quinnipiac 8300 line reconfiguration and the results of FCA #7 that included the retirement of Bridgeport Harbor 2 and the retirement notification of Norwalk Harbor, a new needs assessment was undertaken. This study effort was referred to as the </w:t>
      </w:r>
      <w:r w:rsidRPr="00F645C1">
        <w:rPr>
          <w:i/>
        </w:rPr>
        <w:t>2022 SWCT Needs Assessment</w:t>
      </w:r>
      <w:r w:rsidRPr="00F645C1">
        <w:t xml:space="preserve"> and reflected the latest transmission planning assumptions. The needs assessment was presented to the PAC in February 2014, and the report was posted in June 2014.</w:t>
      </w:r>
      <w:r w:rsidRPr="00F645C1">
        <w:rPr>
          <w:vertAlign w:val="superscript"/>
        </w:rPr>
        <w:footnoteReference w:id="134"/>
      </w:r>
      <w:r w:rsidRPr="00F645C1">
        <w:t xml:space="preserve"> </w:t>
      </w:r>
    </w:p>
    <w:p w:rsidR="00F645C1" w:rsidRPr="00F645C1" w:rsidRDefault="00F645C1" w:rsidP="00F645C1">
      <w:r w:rsidRPr="00F645C1">
        <w:t>The SWCT area is primarily an import area and depends on the transmission lines connecting the area to the rest of the system to serve load. Most of the issues in this study area are load-serving issues caused by the loss of key transmission elements under N-1 and N-1-1 contingency conditions. The result of the 2022 needs assessment still showed needs present in all subareas with the exception of the Glenbrook–Stamford subarea. A 2022 SWCT solutions study solved the needs from the 2022 SWCT Needs Assessment; the preferred solution components were presented to the PAC in July 2014, and the solutions study report was completed in February 2015.</w:t>
      </w:r>
      <w:r w:rsidRPr="00F645C1">
        <w:rPr>
          <w:vertAlign w:val="superscript"/>
        </w:rPr>
        <w:footnoteReference w:id="135"/>
      </w:r>
      <w:r w:rsidRPr="00F645C1">
        <w:t xml:space="preserve"> All the identified preferred solution components were on the 115 kV system and included rebuilding and reconductoring lines, installing new lines, rebuilding two stations, and adding reactive support to maintain voltage. Several of the projects within the SWCT suite of projects are already in service, and all the components of the preferred solutions are expected to be in service by April 2019. The major components of the preferred solutions for addressing the needs are listed in the latest version of the </w:t>
      </w:r>
      <w:r w:rsidRPr="00F645C1">
        <w:rPr>
          <w:i/>
        </w:rPr>
        <w:t>RSP Project List</w:t>
      </w:r>
      <w:r w:rsidR="001C59E8">
        <w:rPr>
          <w:i/>
        </w:rPr>
        <w:t xml:space="preserve"> </w:t>
      </w:r>
      <w:r w:rsidR="001C59E8">
        <w:t xml:space="preserve">(see Section </w:t>
      </w:r>
      <w:r w:rsidR="001C59E8">
        <w:fldChar w:fldCharType="begin"/>
      </w:r>
      <w:r w:rsidR="001C59E8">
        <w:instrText xml:space="preserve"> REF _Ref485720285 \w \h </w:instrText>
      </w:r>
      <w:r w:rsidR="001C59E8">
        <w:fldChar w:fldCharType="separate"/>
      </w:r>
      <w:r w:rsidR="00314781">
        <w:t>5.9</w:t>
      </w:r>
      <w:r w:rsidR="001C59E8">
        <w:fldChar w:fldCharType="end"/>
      </w:r>
      <w:r w:rsidR="001C59E8">
        <w:t>)</w:t>
      </w:r>
      <w:r w:rsidRPr="00F645C1">
        <w:t xml:space="preserve">. </w:t>
      </w:r>
    </w:p>
    <w:p w:rsidR="00F645C1" w:rsidRPr="00F645C1" w:rsidRDefault="00F645C1" w:rsidP="00F645C1">
      <w:r w:rsidRPr="00F645C1">
        <w:t>Because the CPV</w:t>
      </w:r>
      <w:r w:rsidR="00D71CDF">
        <w:t xml:space="preserve"> </w:t>
      </w:r>
      <w:r w:rsidRPr="00F645C1">
        <w:t xml:space="preserve">Towantic and Wallingford 6 and 7 projects received capacity supply obligations in </w:t>
      </w:r>
      <w:r w:rsidR="008144AA" w:rsidRPr="00F645C1">
        <w:t>FCA</w:t>
      </w:r>
      <w:r w:rsidR="008144AA">
        <w:t> </w:t>
      </w:r>
      <w:r w:rsidRPr="00F645C1">
        <w:t xml:space="preserve">#9, and </w:t>
      </w:r>
      <w:r w:rsidR="003126D6">
        <w:t xml:space="preserve">a proposed unit at </w:t>
      </w:r>
      <w:r w:rsidRPr="00F645C1">
        <w:t>Bridgeport Harbor received a CSO in FCA #10, a new 2025 study effort for the SWCT area evaluated the validity of the previously developed 2022 transmission solutions for the area and whether any new needs exist. The 2025 Update results showed three transmission solutions were no longer required and were canceled.</w:t>
      </w:r>
      <w:r w:rsidRPr="00F645C1">
        <w:rPr>
          <w:vertAlign w:val="superscript"/>
        </w:rPr>
        <w:footnoteReference w:id="136"/>
      </w:r>
      <w:r w:rsidRPr="00F645C1">
        <w:t xml:space="preserve"> New needs were identified in the Norwalk–Plumtree subarea. However, these new needs were resolved with two of the previously identified 2022 SWCT solution components; therefore, no additional solutions were necessary.</w:t>
      </w:r>
      <w:r w:rsidRPr="00F645C1">
        <w:rPr>
          <w:vertAlign w:val="superscript"/>
        </w:rPr>
        <w:footnoteReference w:id="137"/>
      </w:r>
    </w:p>
    <w:p w:rsidR="00F645C1" w:rsidRPr="00F645C1" w:rsidRDefault="00F645C1" w:rsidP="00F645C1">
      <w:pPr>
        <w:pStyle w:val="Heading3"/>
      </w:pPr>
      <w:bookmarkStart w:id="575" w:name="_Toc490323046"/>
      <w:r w:rsidRPr="00F645C1">
        <w:lastRenderedPageBreak/>
        <w:t>Greater Hartford Central Connecticut Key Study Area</w:t>
      </w:r>
      <w:r w:rsidRPr="00F645C1">
        <w:rPr>
          <w:rFonts w:asciiTheme="minorHAnsi" w:hAnsiTheme="minorHAnsi"/>
          <w:vertAlign w:val="superscript"/>
        </w:rPr>
        <w:footnoteReference w:id="138"/>
      </w:r>
      <w:bookmarkEnd w:id="575"/>
    </w:p>
    <w:p w:rsidR="00F645C1" w:rsidRPr="00F645C1" w:rsidRDefault="00F645C1" w:rsidP="00F645C1">
      <w:r w:rsidRPr="00F645C1">
        <w:t xml:space="preserve">The </w:t>
      </w:r>
      <w:r w:rsidR="00651548">
        <w:t>Greater Hartford Central Connecticut (</w:t>
      </w:r>
      <w:r w:rsidRPr="00F645C1">
        <w:t>GHCC</w:t>
      </w:r>
      <w:r w:rsidR="00651548">
        <w:t>)</w:t>
      </w:r>
      <w:r w:rsidRPr="00F645C1">
        <w:t xml:space="preserve"> study area is located between the Connecticut Import interface and the SWCT import interface, while only parts of the study area are within the Western Connecticut import area. The GHCC study area represents about 35% of Connecticut load and is divided into four study subareas: Greater Hartford, Northwest Connecticut, Middletown, and Manchester/Barbour Hill. </w:t>
      </w:r>
    </w:p>
    <w:p w:rsidR="00F645C1" w:rsidRPr="00F645C1" w:rsidRDefault="00F645C1" w:rsidP="00F645C1">
      <w:r w:rsidRPr="00F645C1">
        <w:t>The GHCC study area is primarily an import area and depends on the transmission lines connecting the area to the rest of the system to serve load. Most of the issues seen in the study area are load-serving issues caused by the loss of key transmission elements under N-1 and N-1-1 contingency conditions. The needs assessment for this study, referred to as the 2022 GHCC Needs Assessment, shows that system needs exist in all four subareas, attributed to load-serving issues and the need for increased import capability into western Connecticut.</w:t>
      </w:r>
      <w:r w:rsidRPr="00F645C1">
        <w:rPr>
          <w:vertAlign w:val="superscript"/>
        </w:rPr>
        <w:t xml:space="preserve"> </w:t>
      </w:r>
      <w:r w:rsidRPr="00F645C1">
        <w:rPr>
          <w:vertAlign w:val="superscript"/>
        </w:rPr>
        <w:footnoteReference w:id="139"/>
      </w:r>
      <w:r w:rsidRPr="00F645C1">
        <w:t xml:space="preserve"> An updated GHCC solutions study was completed to solve the needs from the 2022 GHCC Needs Assessment; the preferred solution components were presented to the PAC in July 2014, and the solutions study report was completed in February 2015.</w:t>
      </w:r>
      <w:r w:rsidRPr="00F645C1">
        <w:rPr>
          <w:vertAlign w:val="superscript"/>
        </w:rPr>
        <w:footnoteReference w:id="140"/>
      </w:r>
      <w:r w:rsidRPr="00F645C1">
        <w:t xml:space="preserve"> The preferred solution components included adding two new autotransformers and 115 kV upgrades, such as reconductoring lines; installing new lines; separating double-circuit towers (DCTs); rebuilding two stations; and adding reactive support to maintain voltage. Several of the projects within the GHCC suite of projects are already in service, and all the components of the preferred solutions are expected to be in service by December 2018. The major components of the preferred solutions for addressing the needs are included in the latest version of the </w:t>
      </w:r>
      <w:r w:rsidRPr="00F645C1">
        <w:rPr>
          <w:i/>
        </w:rPr>
        <w:t>RSP Project List</w:t>
      </w:r>
      <w:r w:rsidR="001C59E8">
        <w:rPr>
          <w:i/>
        </w:rPr>
        <w:t xml:space="preserve"> </w:t>
      </w:r>
      <w:r w:rsidR="001C59E8">
        <w:t xml:space="preserve">(see Section </w:t>
      </w:r>
      <w:r w:rsidR="001C59E8">
        <w:fldChar w:fldCharType="begin"/>
      </w:r>
      <w:r w:rsidR="001C59E8">
        <w:instrText xml:space="preserve"> REF _Ref485720285 \w \h </w:instrText>
      </w:r>
      <w:r w:rsidR="001C59E8">
        <w:fldChar w:fldCharType="separate"/>
      </w:r>
      <w:r w:rsidR="00314781">
        <w:t>5.9</w:t>
      </w:r>
      <w:r w:rsidR="001C59E8">
        <w:fldChar w:fldCharType="end"/>
      </w:r>
      <w:r w:rsidR="001C59E8">
        <w:t>)</w:t>
      </w:r>
      <w:r w:rsidRPr="00F645C1">
        <w:t>.</w:t>
      </w:r>
    </w:p>
    <w:p w:rsidR="00F645C1" w:rsidRPr="00F645C1" w:rsidRDefault="00F645C1" w:rsidP="00F645C1">
      <w:pPr>
        <w:pStyle w:val="Heading3"/>
      </w:pPr>
      <w:bookmarkStart w:id="576" w:name="_Toc490323047"/>
      <w:r w:rsidRPr="00F645C1">
        <w:t>Pittsfield and Greenfield Key Study Area</w:t>
      </w:r>
      <w:r w:rsidRPr="00F645C1">
        <w:rPr>
          <w:rFonts w:asciiTheme="minorHAnsi" w:hAnsiTheme="minorHAnsi"/>
          <w:vertAlign w:val="superscript"/>
        </w:rPr>
        <w:footnoteReference w:id="141"/>
      </w:r>
      <w:bookmarkEnd w:id="576"/>
    </w:p>
    <w:p w:rsidR="00F645C1" w:rsidRPr="00F645C1" w:rsidRDefault="00F645C1" w:rsidP="00F645C1">
      <w:r w:rsidRPr="00F645C1">
        <w:t xml:space="preserve">The Pittsfield and Greenfield study area extends from the city of Pittsfield north to the Vermont border, east to Greenfield and south to Amherst (MA). </w:t>
      </w:r>
    </w:p>
    <w:p w:rsidR="00F645C1" w:rsidRPr="00F645C1" w:rsidRDefault="00F645C1" w:rsidP="00F645C1">
      <w:r w:rsidRPr="00F645C1">
        <w:t xml:space="preserve">The Pittsfield and Greenfield study area has gone through two study efforts over the past 10 years, identified by the study horizon years of 2013/2018 and 2022. The results of the 2013/2018 needs assessment showed various needs throughout the study area, and the 2013/2018 solutions study identified preferred solutions to solve the needs. Like the SWCT study, a new needs assessment was started due to changes in net demand forecasts, changes in topology resulting from the approval of new projects, and the results of FCA #7. The result of the 2022 needs assessment continued to show various needs throughout the study area. </w:t>
      </w:r>
    </w:p>
    <w:p w:rsidR="00F645C1" w:rsidRPr="00F645C1" w:rsidRDefault="00F645C1" w:rsidP="00F645C1">
      <w:r w:rsidRPr="00F645C1">
        <w:t xml:space="preserve">An updated 2022 solutions study was completed to solve the needs from the 2022 needs assessment; the preferred solution components were presented to the PAC in April 2015, and the solutions study report </w:t>
      </w:r>
      <w:r w:rsidRPr="00F645C1">
        <w:lastRenderedPageBreak/>
        <w:t>was completed in October 2015.</w:t>
      </w:r>
      <w:r w:rsidRPr="00F645C1">
        <w:rPr>
          <w:vertAlign w:val="superscript"/>
        </w:rPr>
        <w:footnoteReference w:id="142"/>
      </w:r>
      <w:r w:rsidRPr="00F645C1">
        <w:t xml:space="preserve"> The preferred solution components included rebuilding a station, adding a new autotransformer, adding reactive support to maintain voltage on the 345 kV system, rebuilding and reconductoring lines, installing a new line, separating double-circuit towers, and adding reactive support to maintain voltage on the 115 kV system. Several of the projects within the Pittsfield and Greenfield suite of projects are already in service, and all the components of the preferred solutions are expected to be in service by December 2019. The major components of the preferred solutions for addressing the needs are included in the latest version of the </w:t>
      </w:r>
      <w:r w:rsidRPr="00F645C1">
        <w:rPr>
          <w:i/>
        </w:rPr>
        <w:t>RSP Project List</w:t>
      </w:r>
      <w:r w:rsidR="001C59E8">
        <w:rPr>
          <w:i/>
        </w:rPr>
        <w:t xml:space="preserve"> </w:t>
      </w:r>
      <w:r w:rsidR="001C59E8">
        <w:t xml:space="preserve">(see Section </w:t>
      </w:r>
      <w:r w:rsidR="001C59E8">
        <w:fldChar w:fldCharType="begin"/>
      </w:r>
      <w:r w:rsidR="001C59E8">
        <w:instrText xml:space="preserve"> REF _Ref485720285 \w \h </w:instrText>
      </w:r>
      <w:r w:rsidR="001C59E8">
        <w:fldChar w:fldCharType="separate"/>
      </w:r>
      <w:r w:rsidR="00314781">
        <w:t>5.9</w:t>
      </w:r>
      <w:r w:rsidR="001C59E8">
        <w:fldChar w:fldCharType="end"/>
      </w:r>
      <w:r w:rsidR="001C59E8">
        <w:t>)</w:t>
      </w:r>
      <w:r w:rsidR="005B146A">
        <w:t xml:space="preserve">. </w:t>
      </w:r>
    </w:p>
    <w:p w:rsidR="00F645C1" w:rsidRPr="00F645C1" w:rsidRDefault="00F645C1" w:rsidP="00F645C1">
      <w:pPr>
        <w:pStyle w:val="Heading3"/>
      </w:pPr>
      <w:bookmarkStart w:id="577" w:name="_Ref485805448"/>
      <w:bookmarkStart w:id="578" w:name="_Ref485805455"/>
      <w:bookmarkStart w:id="579" w:name="_Toc490323048"/>
      <w:r w:rsidRPr="00F645C1">
        <w:t>Greater Boston Key Study Area</w:t>
      </w:r>
      <w:r w:rsidRPr="00F645C1">
        <w:rPr>
          <w:rFonts w:asciiTheme="minorHAnsi" w:hAnsiTheme="minorHAnsi"/>
          <w:vertAlign w:val="superscript"/>
        </w:rPr>
        <w:footnoteReference w:id="143"/>
      </w:r>
      <w:bookmarkEnd w:id="577"/>
      <w:bookmarkEnd w:id="578"/>
      <w:bookmarkEnd w:id="579"/>
    </w:p>
    <w:p w:rsidR="00F645C1" w:rsidRPr="00F645C1" w:rsidRDefault="00F645C1" w:rsidP="00F645C1">
      <w:r w:rsidRPr="00F645C1">
        <w:t>The Greater Boston study area is defined as the communities north and east of Interstate 495 north to the New Hampshire border, the city of Boston, and the suburbs south of Boston. The Greater Boston study area is divided into seven subareas:</w:t>
      </w:r>
    </w:p>
    <w:p w:rsidR="00F645C1" w:rsidRPr="00F645C1" w:rsidRDefault="00F645C1" w:rsidP="003D70FB">
      <w:pPr>
        <w:numPr>
          <w:ilvl w:val="0"/>
          <w:numId w:val="64"/>
        </w:numPr>
        <w:spacing w:after="120"/>
        <w:rPr>
          <w:rFonts w:eastAsia="Times New Roman"/>
          <w:szCs w:val="24"/>
        </w:rPr>
      </w:pPr>
      <w:r w:rsidRPr="00F645C1">
        <w:rPr>
          <w:rFonts w:eastAsia="Times New Roman"/>
          <w:szCs w:val="24"/>
        </w:rPr>
        <w:t>345 kV and 115 kV Northern Ties to Greater Boston</w:t>
      </w:r>
    </w:p>
    <w:p w:rsidR="00F645C1" w:rsidRPr="00F645C1" w:rsidRDefault="00F645C1" w:rsidP="003D70FB">
      <w:pPr>
        <w:numPr>
          <w:ilvl w:val="0"/>
          <w:numId w:val="64"/>
        </w:numPr>
        <w:spacing w:after="120"/>
        <w:rPr>
          <w:rFonts w:eastAsia="Times New Roman"/>
          <w:szCs w:val="24"/>
        </w:rPr>
      </w:pPr>
      <w:r w:rsidRPr="00F645C1">
        <w:rPr>
          <w:rFonts w:eastAsia="Times New Roman"/>
          <w:szCs w:val="24"/>
        </w:rPr>
        <w:t>Woburn and Lexington Area</w:t>
      </w:r>
    </w:p>
    <w:p w:rsidR="00F645C1" w:rsidRPr="00F645C1" w:rsidRDefault="00F645C1" w:rsidP="003D70FB">
      <w:pPr>
        <w:numPr>
          <w:ilvl w:val="0"/>
          <w:numId w:val="64"/>
        </w:numPr>
        <w:spacing w:after="120"/>
        <w:rPr>
          <w:rFonts w:eastAsia="Times New Roman"/>
          <w:szCs w:val="24"/>
        </w:rPr>
      </w:pPr>
      <w:r w:rsidRPr="00F645C1">
        <w:rPr>
          <w:rFonts w:eastAsia="Times New Roman"/>
          <w:szCs w:val="24"/>
        </w:rPr>
        <w:t>Downtown Boston 115 kV Cables</w:t>
      </w:r>
    </w:p>
    <w:p w:rsidR="00F645C1" w:rsidRPr="00F645C1" w:rsidRDefault="00F645C1" w:rsidP="003D70FB">
      <w:pPr>
        <w:numPr>
          <w:ilvl w:val="0"/>
          <w:numId w:val="64"/>
        </w:numPr>
        <w:spacing w:after="120"/>
        <w:rPr>
          <w:rFonts w:eastAsia="Times New Roman"/>
          <w:szCs w:val="24"/>
        </w:rPr>
      </w:pPr>
      <w:r w:rsidRPr="00F645C1">
        <w:rPr>
          <w:rFonts w:eastAsia="Times New Roman"/>
          <w:szCs w:val="24"/>
        </w:rPr>
        <w:t xml:space="preserve">Sudbury, Marlboro, and Northborough Area </w:t>
      </w:r>
    </w:p>
    <w:p w:rsidR="00F645C1" w:rsidRPr="00F645C1" w:rsidRDefault="00F645C1" w:rsidP="003D70FB">
      <w:pPr>
        <w:numPr>
          <w:ilvl w:val="0"/>
          <w:numId w:val="64"/>
        </w:numPr>
        <w:spacing w:after="120"/>
        <w:rPr>
          <w:rFonts w:eastAsia="Times New Roman"/>
          <w:szCs w:val="24"/>
        </w:rPr>
      </w:pPr>
      <w:r w:rsidRPr="00F645C1">
        <w:rPr>
          <w:rFonts w:eastAsia="Times New Roman"/>
          <w:szCs w:val="24"/>
        </w:rPr>
        <w:t xml:space="preserve">Holbrook and W. Walpole Area </w:t>
      </w:r>
    </w:p>
    <w:p w:rsidR="00F645C1" w:rsidRPr="00F645C1" w:rsidRDefault="00F645C1" w:rsidP="003D70FB">
      <w:pPr>
        <w:numPr>
          <w:ilvl w:val="0"/>
          <w:numId w:val="64"/>
        </w:numPr>
        <w:spacing w:after="120"/>
        <w:rPr>
          <w:rFonts w:eastAsia="Times New Roman"/>
          <w:szCs w:val="24"/>
        </w:rPr>
      </w:pPr>
      <w:r w:rsidRPr="00F645C1">
        <w:rPr>
          <w:rFonts w:eastAsia="Times New Roman"/>
          <w:szCs w:val="24"/>
        </w:rPr>
        <w:t xml:space="preserve">Boston, Golden Hills and Wakefield Junction Area </w:t>
      </w:r>
    </w:p>
    <w:p w:rsidR="00F645C1" w:rsidRPr="00F645C1" w:rsidRDefault="00F645C1" w:rsidP="003D70FB">
      <w:pPr>
        <w:numPr>
          <w:ilvl w:val="0"/>
          <w:numId w:val="64"/>
        </w:numPr>
        <w:rPr>
          <w:rFonts w:eastAsia="Times New Roman"/>
          <w:szCs w:val="24"/>
        </w:rPr>
      </w:pPr>
      <w:r w:rsidRPr="00F645C1">
        <w:rPr>
          <w:rFonts w:eastAsia="Times New Roman"/>
          <w:szCs w:val="24"/>
        </w:rPr>
        <w:t>115 kV Lines Near Tewksbury</w:t>
      </w:r>
    </w:p>
    <w:p w:rsidR="00F645C1" w:rsidRPr="00F645C1" w:rsidRDefault="00F645C1" w:rsidP="00F645C1">
      <w:r w:rsidRPr="00F645C1">
        <w:t>The Greater Boston study area has gone through two study efforts over the past 10 years. The first needs assessment, with a study horizon of 2013 and 2018, was published in 2010.</w:t>
      </w:r>
      <w:r w:rsidRPr="00F645C1">
        <w:rPr>
          <w:vertAlign w:val="superscript"/>
        </w:rPr>
        <w:footnoteReference w:id="144"/>
      </w:r>
      <w:r w:rsidRPr="00F645C1">
        <w:t xml:space="preserve"> Because the study area changed significantly, a second needs assessment, with a study horizon of 2018 and 2023, was published in 2015.</w:t>
      </w:r>
      <w:r w:rsidRPr="00F645C1">
        <w:rPr>
          <w:vertAlign w:val="superscript"/>
        </w:rPr>
        <w:footnoteReference w:id="145"/>
      </w:r>
      <w:r w:rsidRPr="00F645C1">
        <w:t xml:space="preserve"> The changes that prompted the updates can be categorized into four topics: load forecast and demand resources, resource additions and retirements, transmission system topology, and system modeling. </w:t>
      </w:r>
    </w:p>
    <w:p w:rsidR="00F645C1" w:rsidRPr="00F645C1" w:rsidRDefault="00F645C1" w:rsidP="00F645C1">
      <w:r w:rsidRPr="00F645C1">
        <w:t xml:space="preserve">The needs assessments showed thermal and voltage needs under peak load conditions in the Greater Boston study area, high-voltage needs in the Greater Boston study area under minimum load conditions, and, as part of the short-circuit analysis, overdutied breakers in the downtown Boston subarea. The Greater Boston solutions study solved the needs from the latest needs assessment, the preferred solution components were presented to the PAC in February 2015, and the solutions study report was completed </w:t>
      </w:r>
      <w:r w:rsidRPr="00F645C1">
        <w:lastRenderedPageBreak/>
        <w:t>in August 2015.</w:t>
      </w:r>
      <w:r w:rsidRPr="00F645C1">
        <w:rPr>
          <w:vertAlign w:val="superscript"/>
        </w:rPr>
        <w:footnoteReference w:id="146"/>
      </w:r>
      <w:r w:rsidRPr="00F645C1">
        <w:t xml:space="preserve"> The major components of the preferred solutions for addressing the needs includes multiple new 345 kV facilities, new 115 kV facilities, and upgrades to existing equipment within the study area. The Greater Boston suite of projects also included the addition of a +/-200 MVAR</w:t>
      </w:r>
      <w:r w:rsidR="00DD55B1">
        <w:t xml:space="preserve"> </w:t>
      </w:r>
      <w:r w:rsidR="00DD55B1" w:rsidRPr="00DD55B1">
        <w:t xml:space="preserve">static synchronous compensator </w:t>
      </w:r>
      <w:r w:rsidR="00DD55B1">
        <w:t>(</w:t>
      </w:r>
      <w:r w:rsidRPr="00F645C1">
        <w:t>STATCOM</w:t>
      </w:r>
      <w:r w:rsidR="00DD55B1">
        <w:t>)</w:t>
      </w:r>
      <w:r w:rsidRPr="00F645C1">
        <w:t xml:space="preserve"> in Maine based on the stability testing performed for the preferred solution. Several of the projects within the Greater Boston suite of projects are already in service, and all the components of the preferred solutions are expected to be in service by December 2019. The details for the different solution components are included in the latest version of the </w:t>
      </w:r>
      <w:r w:rsidRPr="00F645C1">
        <w:rPr>
          <w:i/>
        </w:rPr>
        <w:t>RSP Project List</w:t>
      </w:r>
      <w:r w:rsidR="001C59E8">
        <w:rPr>
          <w:i/>
        </w:rPr>
        <w:t xml:space="preserve"> </w:t>
      </w:r>
      <w:r w:rsidR="001C59E8">
        <w:t xml:space="preserve">(see Section </w:t>
      </w:r>
      <w:r w:rsidR="001C59E8">
        <w:fldChar w:fldCharType="begin"/>
      </w:r>
      <w:r w:rsidR="001C59E8">
        <w:instrText xml:space="preserve"> REF _Ref485720285 \w \h </w:instrText>
      </w:r>
      <w:r w:rsidR="001C59E8">
        <w:fldChar w:fldCharType="separate"/>
      </w:r>
      <w:r w:rsidR="00314781">
        <w:t>5.9</w:t>
      </w:r>
      <w:r w:rsidR="001C59E8">
        <w:fldChar w:fldCharType="end"/>
      </w:r>
      <w:r w:rsidR="001C59E8">
        <w:t>)</w:t>
      </w:r>
      <w:r w:rsidRPr="00F645C1">
        <w:t>.</w:t>
      </w:r>
    </w:p>
    <w:p w:rsidR="00F645C1" w:rsidRPr="00F645C1" w:rsidRDefault="00F645C1" w:rsidP="00F645C1">
      <w:pPr>
        <w:pStyle w:val="Heading3"/>
      </w:pPr>
      <w:bookmarkStart w:id="580" w:name="_Ref485733796"/>
      <w:bookmarkStart w:id="581" w:name="_Ref485733954"/>
      <w:bookmarkStart w:id="582" w:name="_Toc490323049"/>
      <w:r w:rsidRPr="00F645C1">
        <w:t>Southeastern Massachusetts and Rhode Island Key Study Area</w:t>
      </w:r>
      <w:r w:rsidRPr="00F645C1">
        <w:rPr>
          <w:rFonts w:asciiTheme="minorHAnsi" w:hAnsiTheme="minorHAnsi"/>
          <w:vertAlign w:val="superscript"/>
        </w:rPr>
        <w:footnoteReference w:id="147"/>
      </w:r>
      <w:bookmarkEnd w:id="580"/>
      <w:bookmarkEnd w:id="581"/>
      <w:bookmarkEnd w:id="582"/>
      <w:r w:rsidRPr="00F645C1">
        <w:t xml:space="preserve"> </w:t>
      </w:r>
    </w:p>
    <w:p w:rsidR="00F645C1" w:rsidRPr="00F645C1" w:rsidRDefault="00F645C1" w:rsidP="00F645C1">
      <w:r w:rsidRPr="00F645C1">
        <w:t>The Southeastern Massachusetts and Rhode Island (SEMA/RI) study area focuses on the SEMA and the RI load zones, which encompass the areas within Massachusetts located south of Boston and the entire state of Rhode Island. The SEMA/RI study area is divided into six subareas: Farnum, West Medway–West Walpole, South Shore, Industrial Park, Somerset–Newport, and Cape Cod.</w:t>
      </w:r>
      <w:r w:rsidRPr="00F645C1">
        <w:rPr>
          <w:vertAlign w:val="superscript"/>
        </w:rPr>
        <w:footnoteReference w:id="148"/>
      </w:r>
    </w:p>
    <w:p w:rsidR="00F645C1" w:rsidRPr="00F645C1" w:rsidRDefault="00F645C1" w:rsidP="00F645C1">
      <w:r w:rsidRPr="00F645C1">
        <w:t>The major goals of the SEMA/RI study were to determine any long-term system needs required to integrally serve the broad SEMA and Rhode Island areas. Several PAC presentations detailed needs in the study area, but a needs assessment was never completed due to the retirement announcements of Brayton Point in late 2013 and Pilgrim Nuclear Power Station (Pilgrim) in late 2015.</w:t>
      </w:r>
      <w:r w:rsidRPr="00F645C1">
        <w:rPr>
          <w:vertAlign w:val="superscript"/>
        </w:rPr>
        <w:footnoteReference w:id="149"/>
      </w:r>
      <w:r w:rsidRPr="00F645C1">
        <w:t xml:space="preserve"> After the Pilgrim retirement announcement, the SEMA/RI study was restarted in late 2015 with a study horizon of 2026. The 2026 needs assessment was presented to PAC in March 2016, and the report was published in May 2016.</w:t>
      </w:r>
      <w:r w:rsidRPr="00F645C1">
        <w:rPr>
          <w:vertAlign w:val="superscript"/>
        </w:rPr>
        <w:footnoteReference w:id="150"/>
      </w:r>
      <w:r w:rsidRPr="00F645C1">
        <w:t xml:space="preserve"> The needs assessment results continued to show various time-sensitive needs on the 115 kV system in all the SEMA/RI subareas. A 2026 solutions study solved the time-sensitive needs from the 2026 needs assessment; the preferred solution components were presented to the PAC in December </w:t>
      </w:r>
      <w:r w:rsidRPr="00F645C1">
        <w:lastRenderedPageBreak/>
        <w:t>2016, and the solutions study report was completed in March 2017.</w:t>
      </w:r>
      <w:r w:rsidRPr="00F645C1">
        <w:rPr>
          <w:vertAlign w:val="superscript"/>
        </w:rPr>
        <w:footnoteReference w:id="151"/>
      </w:r>
      <w:r w:rsidRPr="00F645C1">
        <w:rPr>
          <w:vertAlign w:val="superscript"/>
        </w:rPr>
        <w:t xml:space="preserve"> </w:t>
      </w:r>
      <w:r w:rsidRPr="00F645C1">
        <w:t xml:space="preserve">Most of the preferred solution components were identified on the 115 kV system and included adding a new switching station, reconductoring lines, installing new lines, separating double-circuit towers, and adding reactive support to maintain voltage. One 345 kV project required the separation of a DCT. The major components of the preferred solutions for addressing the needs are included in the latest version of the </w:t>
      </w:r>
      <w:r w:rsidRPr="00F645C1">
        <w:rPr>
          <w:i/>
        </w:rPr>
        <w:t>RSP Project List</w:t>
      </w:r>
      <w:r w:rsidRPr="00F645C1">
        <w:t xml:space="preserve">. The project to replace the wave trap on the 114 line at the Tremont station has been cancelled because the work was previously performed as part of other station work. </w:t>
      </w:r>
    </w:p>
    <w:p w:rsidR="00F645C1" w:rsidRPr="00F645C1" w:rsidRDefault="00F645C1" w:rsidP="00F645C1">
      <w:r w:rsidRPr="00F645C1">
        <w:t>The Aquidneck Island area, which is part of the Somerset–Newport subarea, underwent an advanced needs assessment and solutions study in early 2015,</w:t>
      </w:r>
      <w:r w:rsidRPr="00F645C1">
        <w:rPr>
          <w:vertAlign w:val="superscript"/>
        </w:rPr>
        <w:footnoteReference w:id="152"/>
      </w:r>
      <w:r w:rsidRPr="00F645C1">
        <w:t xml:space="preserve"> The needs assessment results showed thermal overloads on the 115/69 kV autotransformer and 69 kV lines serving the area. The preferred solution components included the rebuild of a station and 69 kV lines and the conversion of 69 kV equipment to 115 kV. The major components of the preferred solutions for addressing the needs are included in the latest version of the </w:t>
      </w:r>
      <w:r w:rsidRPr="00F645C1">
        <w:rPr>
          <w:i/>
        </w:rPr>
        <w:t>RSP Project List</w:t>
      </w:r>
      <w:r w:rsidR="001C59E8">
        <w:rPr>
          <w:i/>
        </w:rPr>
        <w:t xml:space="preserve"> </w:t>
      </w:r>
      <w:r w:rsidR="001C59E8">
        <w:t xml:space="preserve">(see Section </w:t>
      </w:r>
      <w:r w:rsidR="001C59E8">
        <w:fldChar w:fldCharType="begin"/>
      </w:r>
      <w:r w:rsidR="001C59E8">
        <w:instrText xml:space="preserve"> REF _Ref485720285 \w \h </w:instrText>
      </w:r>
      <w:r w:rsidR="001C59E8">
        <w:fldChar w:fldCharType="separate"/>
      </w:r>
      <w:r w:rsidR="00314781">
        <w:t>5.9</w:t>
      </w:r>
      <w:r w:rsidR="001C59E8">
        <w:fldChar w:fldCharType="end"/>
      </w:r>
      <w:r w:rsidR="001C59E8">
        <w:t>)</w:t>
      </w:r>
      <w:r w:rsidRPr="00F645C1">
        <w:t>.</w:t>
      </w:r>
    </w:p>
    <w:p w:rsidR="00F645C1" w:rsidRPr="00F645C1" w:rsidRDefault="00F645C1" w:rsidP="00F645C1">
      <w:r w:rsidRPr="00F645C1">
        <w:t>The SEMA/RI study area will undergo another needs assessment beginning in mid-2017 to identify remaining needs, if any. This needs assessment will consider the preferred solutions, which were developed to solve time-sensitive needs found in the SEMA/RI 2026 needs assessment.</w:t>
      </w:r>
    </w:p>
    <w:p w:rsidR="00F645C1" w:rsidRPr="00F645C1" w:rsidRDefault="00F645C1" w:rsidP="00F645C1">
      <w:r w:rsidRPr="00F645C1">
        <w:t>In late 2016, a SEMA/RI minimum-load needs assessment began to evaluate the reliability performance and identify reliability-based transmission needs in the SEMA/RI study area under minimum load conditions. The SEMA/RI minimum-load needs assessment was presented to PAC in November 2016.</w:t>
      </w:r>
      <w:r w:rsidRPr="00F645C1">
        <w:rPr>
          <w:vertAlign w:val="superscript"/>
        </w:rPr>
        <w:footnoteReference w:id="153"/>
      </w:r>
      <w:r w:rsidRPr="00F645C1">
        <w:t xml:space="preserve"> An updated presentation was made to PAC in March 2017, and the draft needs assessment report was completed in June 2017.</w:t>
      </w:r>
      <w:r w:rsidRPr="00F645C1">
        <w:rPr>
          <w:vertAlign w:val="superscript"/>
        </w:rPr>
        <w:footnoteReference w:id="154"/>
      </w:r>
    </w:p>
    <w:p w:rsidR="00F645C1" w:rsidRPr="00F645C1" w:rsidRDefault="00F645C1" w:rsidP="00F645C1">
      <w:pPr>
        <w:pStyle w:val="Heading3"/>
      </w:pPr>
      <w:bookmarkStart w:id="583" w:name="_Ref485733829"/>
      <w:bookmarkStart w:id="584" w:name="_Toc490323050"/>
      <w:r w:rsidRPr="00F645C1">
        <w:t>Maine Key Study Area</w:t>
      </w:r>
      <w:r w:rsidRPr="00F645C1">
        <w:rPr>
          <w:rFonts w:asciiTheme="minorHAnsi" w:hAnsiTheme="minorHAnsi"/>
          <w:vertAlign w:val="superscript"/>
        </w:rPr>
        <w:footnoteReference w:id="155"/>
      </w:r>
      <w:bookmarkEnd w:id="583"/>
      <w:bookmarkEnd w:id="584"/>
      <w:r w:rsidRPr="00F645C1">
        <w:t xml:space="preserve">  </w:t>
      </w:r>
    </w:p>
    <w:p w:rsidR="00F645C1" w:rsidRPr="00F645C1" w:rsidRDefault="00F645C1" w:rsidP="00F645C1">
      <w:r w:rsidRPr="00F645C1">
        <w:t xml:space="preserve">In 2013, as a follow up to the Maine Power Reliability Program, a 2023 needs assessment studied the Maine transmission system. The 2023 needs assessment was presented to PAC in September 2014, and </w:t>
      </w:r>
      <w:r w:rsidRPr="00F645C1">
        <w:lastRenderedPageBreak/>
        <w:t>the report was published in December 2016.</w:t>
      </w:r>
      <w:r w:rsidRPr="00F645C1">
        <w:rPr>
          <w:vertAlign w:val="superscript"/>
        </w:rPr>
        <w:footnoteReference w:id="156"/>
      </w:r>
      <w:r w:rsidRPr="00F645C1">
        <w:t xml:space="preserve"> The results of the 2023 needs assessment show various time-sensitive needs on the 115 kV system. </w:t>
      </w:r>
    </w:p>
    <w:p w:rsidR="00F645C1" w:rsidRPr="00F645C1" w:rsidRDefault="00F645C1" w:rsidP="00F645C1">
      <w:r w:rsidRPr="00F645C1">
        <w:t>Due to a large mill retirement, significant transmission system upgrades added to the study area since the 2023 needs assessment was completed, and further review and analysis of the needs results, an addendum analysis report to the 2023 Maine needs assessment was completed.</w:t>
      </w:r>
      <w:r w:rsidRPr="00F645C1">
        <w:rPr>
          <w:vertAlign w:val="superscript"/>
        </w:rPr>
        <w:footnoteReference w:id="157"/>
      </w:r>
      <w:r w:rsidRPr="00F645C1">
        <w:t xml:space="preserve"> The results of the addendum to the 2023 needs assessment continued to show various time-sensitive needs on the 115 kV system and high-voltage needs on the 345 kV system at minimum load levels. A 2023 solutions study developed alternatives to address the identified time-sensitive needs from the 2023 needs assessment, which the ISO presented to PAC.</w:t>
      </w:r>
      <w:r w:rsidRPr="00F645C1">
        <w:rPr>
          <w:vertAlign w:val="superscript"/>
        </w:rPr>
        <w:footnoteReference w:id="158"/>
      </w:r>
      <w:r w:rsidRPr="00F645C1">
        <w:t xml:space="preserve"> In early 2017, the 2023 solutions study was suspended, however, for the following reasons:</w:t>
      </w:r>
    </w:p>
    <w:p w:rsidR="00F645C1" w:rsidRPr="0082193C" w:rsidRDefault="00F645C1" w:rsidP="003D70FB">
      <w:pPr>
        <w:numPr>
          <w:ilvl w:val="0"/>
          <w:numId w:val="65"/>
        </w:numPr>
        <w:spacing w:after="120"/>
        <w:rPr>
          <w:rFonts w:eastAsia="Times New Roman"/>
          <w:szCs w:val="24"/>
        </w:rPr>
      </w:pPr>
      <w:r w:rsidRPr="00AD031F">
        <w:rPr>
          <w:rFonts w:eastAsia="Times New Roman"/>
          <w:szCs w:val="24"/>
        </w:rPr>
        <w:t>Changes to Planning Procedure No. 3 (PP</w:t>
      </w:r>
      <w:r w:rsidR="00AD031F" w:rsidRPr="00AD031F">
        <w:rPr>
          <w:rFonts w:eastAsia="Times New Roman"/>
          <w:szCs w:val="24"/>
        </w:rPr>
        <w:t xml:space="preserve"> </w:t>
      </w:r>
      <w:r w:rsidRPr="00AD031F">
        <w:rPr>
          <w:rFonts w:eastAsia="Times New Roman"/>
          <w:szCs w:val="24"/>
        </w:rPr>
        <w:t xml:space="preserve">3), </w:t>
      </w:r>
      <w:r w:rsidRPr="00AD031F">
        <w:rPr>
          <w:rFonts w:eastAsia="Times New Roman"/>
          <w:i/>
          <w:szCs w:val="24"/>
        </w:rPr>
        <w:t>Reliability Standards for the New England Area Pool</w:t>
      </w:r>
      <w:r w:rsidRPr="0082193C">
        <w:rPr>
          <w:rFonts w:eastAsia="Times New Roman"/>
          <w:i/>
          <w:szCs w:val="24"/>
        </w:rPr>
        <w:t xml:space="preserve"> Transmission Facilities</w:t>
      </w:r>
      <w:r w:rsidRPr="0082193C">
        <w:rPr>
          <w:rFonts w:eastAsia="Times New Roman"/>
          <w:i/>
          <w:szCs w:val="24"/>
          <w:vertAlign w:val="superscript"/>
        </w:rPr>
        <w:footnoteReference w:id="159"/>
      </w:r>
    </w:p>
    <w:p w:rsidR="00F645C1" w:rsidRPr="0082193C" w:rsidRDefault="00F645C1" w:rsidP="003D70FB">
      <w:pPr>
        <w:numPr>
          <w:ilvl w:val="0"/>
          <w:numId w:val="65"/>
        </w:numPr>
        <w:spacing w:after="120"/>
        <w:rPr>
          <w:rFonts w:eastAsia="Times New Roman"/>
          <w:szCs w:val="24"/>
        </w:rPr>
      </w:pPr>
      <w:r w:rsidRPr="0082193C">
        <w:rPr>
          <w:rFonts w:eastAsia="Times New Roman"/>
          <w:szCs w:val="24"/>
        </w:rPr>
        <w:t>Incorporation of probabilistic planning methods to establish the local dispatch used in needs assessment studies</w:t>
      </w:r>
      <w:r w:rsidRPr="0082193C">
        <w:rPr>
          <w:rFonts w:eastAsia="Times New Roman"/>
          <w:szCs w:val="24"/>
          <w:vertAlign w:val="superscript"/>
        </w:rPr>
        <w:footnoteReference w:id="160"/>
      </w:r>
    </w:p>
    <w:p w:rsidR="00F645C1" w:rsidRPr="0082193C" w:rsidRDefault="00F645C1" w:rsidP="003D70FB">
      <w:pPr>
        <w:numPr>
          <w:ilvl w:val="0"/>
          <w:numId w:val="65"/>
        </w:numPr>
        <w:spacing w:after="120"/>
        <w:rPr>
          <w:rFonts w:eastAsia="Times New Roman"/>
          <w:szCs w:val="24"/>
        </w:rPr>
      </w:pPr>
      <w:r w:rsidRPr="0082193C">
        <w:rPr>
          <w:rFonts w:eastAsia="Times New Roman"/>
          <w:szCs w:val="24"/>
        </w:rPr>
        <w:t>Addition of resources as a result of FCA #11</w:t>
      </w:r>
    </w:p>
    <w:p w:rsidR="00F645C1" w:rsidRPr="0082193C" w:rsidRDefault="00F645C1" w:rsidP="003D70FB">
      <w:pPr>
        <w:numPr>
          <w:ilvl w:val="0"/>
          <w:numId w:val="65"/>
        </w:numPr>
        <w:spacing w:after="120"/>
        <w:rPr>
          <w:rFonts w:eastAsia="Times New Roman"/>
          <w:szCs w:val="24"/>
        </w:rPr>
      </w:pPr>
      <w:r w:rsidRPr="0082193C">
        <w:rPr>
          <w:rFonts w:eastAsia="Times New Roman"/>
          <w:szCs w:val="24"/>
        </w:rPr>
        <w:t>Retirement delist bids for FCA #12</w:t>
      </w:r>
    </w:p>
    <w:p w:rsidR="00F645C1" w:rsidRPr="0082193C" w:rsidRDefault="00F645C1" w:rsidP="003D70FB">
      <w:pPr>
        <w:numPr>
          <w:ilvl w:val="0"/>
          <w:numId w:val="65"/>
        </w:numPr>
        <w:spacing w:after="120"/>
        <w:rPr>
          <w:rFonts w:eastAsia="Times New Roman"/>
          <w:szCs w:val="24"/>
        </w:rPr>
      </w:pPr>
      <w:r w:rsidRPr="0082193C">
        <w:rPr>
          <w:rFonts w:eastAsia="Times New Roman"/>
          <w:szCs w:val="24"/>
        </w:rPr>
        <w:t>Updated load, energy-efficiency and photovoltaic forecasts</w:t>
      </w:r>
    </w:p>
    <w:p w:rsidR="00F645C1" w:rsidRPr="00DD18AA" w:rsidRDefault="00F645C1" w:rsidP="00DD18AA">
      <w:pPr>
        <w:numPr>
          <w:ilvl w:val="0"/>
          <w:numId w:val="65"/>
        </w:numPr>
        <w:rPr>
          <w:rFonts w:eastAsia="Times New Roman"/>
          <w:szCs w:val="24"/>
        </w:rPr>
      </w:pPr>
      <w:r w:rsidRPr="0082193C">
        <w:rPr>
          <w:rFonts w:eastAsia="Times New Roman"/>
          <w:szCs w:val="24"/>
        </w:rPr>
        <w:t>Results of changes to NPCC classification of the bulk power system (BPS)</w:t>
      </w:r>
      <w:r w:rsidRPr="00AD031F">
        <w:rPr>
          <w:rFonts w:eastAsia="Times New Roman"/>
          <w:szCs w:val="24"/>
          <w:vertAlign w:val="superscript"/>
        </w:rPr>
        <w:footnoteReference w:id="161"/>
      </w:r>
    </w:p>
    <w:p w:rsidR="00F645C1" w:rsidRPr="00F645C1" w:rsidRDefault="00F645C1" w:rsidP="00F645C1">
      <w:r w:rsidRPr="00F645C1">
        <w:t xml:space="preserve">Taking into account all these changes, a new needs assessment for the Maine study area will begin in mid-2017. </w:t>
      </w:r>
    </w:p>
    <w:p w:rsidR="00F645C1" w:rsidRPr="00F645C1" w:rsidRDefault="00F645C1" w:rsidP="00BD6545">
      <w:pPr>
        <w:pStyle w:val="Heading3"/>
      </w:pPr>
      <w:bookmarkStart w:id="585" w:name="_Ref485733820"/>
      <w:bookmarkStart w:id="586" w:name="_Toc490323051"/>
      <w:r w:rsidRPr="00F645C1">
        <w:t>New Hampshire and Vermont Key Study Area</w:t>
      </w:r>
      <w:r w:rsidRPr="00F645C1">
        <w:rPr>
          <w:rFonts w:asciiTheme="minorHAnsi" w:hAnsiTheme="minorHAnsi"/>
          <w:vertAlign w:val="superscript"/>
        </w:rPr>
        <w:footnoteReference w:id="162"/>
      </w:r>
      <w:bookmarkEnd w:id="585"/>
      <w:bookmarkEnd w:id="586"/>
    </w:p>
    <w:p w:rsidR="00F645C1" w:rsidRPr="00F645C1" w:rsidRDefault="00F645C1" w:rsidP="00F645C1">
      <w:r w:rsidRPr="00F645C1">
        <w:t xml:space="preserve">As a follow up to the New Hampshire/Vermont 2020 Upgrades, the latest NH/VT needs assessment was completed using a study horizon of 2023. The 2023 needs assessment included updated load and </w:t>
      </w:r>
      <w:r w:rsidRPr="00F645C1">
        <w:lastRenderedPageBreak/>
        <w:t>resource assumptions and the retirement of the Vermont Yankee Nuclear Plant. The 2023 needs assessment was presented to PAC in March 2014, and the report was published in August 2014.</w:t>
      </w:r>
      <w:r w:rsidRPr="00F645C1">
        <w:rPr>
          <w:vertAlign w:val="superscript"/>
        </w:rPr>
        <w:footnoteReference w:id="163"/>
      </w:r>
      <w:r w:rsidRPr="00F645C1">
        <w:t xml:space="preserve"> </w:t>
      </w:r>
    </w:p>
    <w:p w:rsidR="00F645C1" w:rsidRPr="00F645C1" w:rsidRDefault="00F645C1" w:rsidP="00F645C1">
      <w:r w:rsidRPr="00F645C1">
        <w:t>The results of the 2023 needs assessment show various time-sensitive thermal and voltage needs on the 115 kV system in New Hampshire and Vermont and high-voltage needs on the 345 kV system at minimum load levels in New Hampshire. For the Vermont study area, solution components for the needs identified in the 2023 needs assessment were developed in a 2023 solutions study, the preferred components were presented to the PAC in September 2014, and the solutions study report was completed in November 2014.</w:t>
      </w:r>
      <w:r w:rsidRPr="00F645C1">
        <w:rPr>
          <w:vertAlign w:val="superscript"/>
        </w:rPr>
        <w:footnoteReference w:id="164"/>
      </w:r>
      <w:r w:rsidRPr="00F645C1">
        <w:t xml:space="preserve"> The preferred solution components were for the 115 kV system and included rebuilding a new switching station, rebuilding a line, and adding reactive support to maintain voltage. </w:t>
      </w:r>
    </w:p>
    <w:p w:rsidR="00F645C1" w:rsidRPr="00F645C1" w:rsidRDefault="00F645C1" w:rsidP="00F645C1">
      <w:r w:rsidRPr="00F645C1">
        <w:t>An addendum report to the 2023 needs assessment was published in October 2015 to address topology changes.</w:t>
      </w:r>
      <w:r w:rsidRPr="00F645C1">
        <w:rPr>
          <w:vertAlign w:val="superscript"/>
        </w:rPr>
        <w:footnoteReference w:id="165"/>
      </w:r>
      <w:r w:rsidRPr="00F645C1">
        <w:t xml:space="preserve"> The results continued to show time-sensitive thermal and voltage needs on the 115 kV system and high-voltage needs on the 345 kV system at minimum load levels in New Hampshire. A New Hampshire 2023 solutions study was initiated, and potential solutions to address the time-sensitive needs from the 2023 needs assessment were developed and presented to PAC.</w:t>
      </w:r>
      <w:r w:rsidRPr="00F645C1">
        <w:rPr>
          <w:vertAlign w:val="superscript"/>
        </w:rPr>
        <w:footnoteReference w:id="166"/>
      </w:r>
    </w:p>
    <w:p w:rsidR="00F645C1" w:rsidRDefault="00F645C1" w:rsidP="00F645C1">
      <w:r w:rsidRPr="00F645C1">
        <w:t>The ISO has cancelled the Amherst substation project (RSP ID 1269) and the Eversource portion of the load transfer project (RSP ID 1300) from the New Hampshire/Vermont 2020 Upgrades. The Amherst project was cancelled due to concerns with the feasibility of its implementation. This project consists of adding a 345 kV breaker and two 25 MVAR capacitor banks to the substation. The Eversource portion of the load-transfer project was cancelled because the 2023 NH/VT needs assessment found that it was not adequate to address the related needs. The Eversource portion of this project consists of a load transfer at Pemigewasset to Laconia for certain system conditions. Time-sensitive needs related to these projects are documented in the 2023 needs assessment addendum report, and alternatives to these projects were explored as part of the potential solutions presented to PAC. In early 2017, the 2023 solutions study was suspended for the same reasons the Maine 2023 solutions study was suspended, as listed above. Taking into account all these changes, a new needs assessment for the New Hampshire area will begin in mid-2017.</w:t>
      </w:r>
    </w:p>
    <w:p w:rsidR="00427BB5" w:rsidRPr="00427BB5" w:rsidRDefault="00427BB5" w:rsidP="007A4909">
      <w:pPr>
        <w:pStyle w:val="Heading3"/>
      </w:pPr>
      <w:bookmarkStart w:id="587" w:name="_Ref486322140"/>
      <w:bookmarkStart w:id="588" w:name="_Toc490323052"/>
      <w:r w:rsidRPr="00427BB5">
        <w:lastRenderedPageBreak/>
        <w:t>Eastern Connecticut Key Study Area</w:t>
      </w:r>
      <w:r w:rsidRPr="00427BB5">
        <w:rPr>
          <w:rFonts w:asciiTheme="minorHAnsi" w:hAnsiTheme="minorHAnsi"/>
          <w:vertAlign w:val="superscript"/>
        </w:rPr>
        <w:footnoteReference w:id="167"/>
      </w:r>
      <w:bookmarkEnd w:id="587"/>
      <w:bookmarkEnd w:id="588"/>
    </w:p>
    <w:p w:rsidR="00427BB5" w:rsidRPr="00427BB5" w:rsidRDefault="00427BB5" w:rsidP="00427BB5">
      <w:r w:rsidRPr="00427BB5">
        <w:t xml:space="preserve">The </w:t>
      </w:r>
      <w:r w:rsidR="002422A4" w:rsidRPr="002422A4">
        <w:t xml:space="preserve">Eastern Connecticut </w:t>
      </w:r>
      <w:r w:rsidR="002422A4">
        <w:t>(</w:t>
      </w:r>
      <w:r w:rsidRPr="00427BB5">
        <w:t>ECT</w:t>
      </w:r>
      <w:r w:rsidR="002422A4">
        <w:t>)</w:t>
      </w:r>
      <w:r w:rsidRPr="00427BB5">
        <w:t xml:space="preserve"> study area is the area in the eastern part of Connecticut not covered by the SWCT or GHCC studies. The ECT study area is located outside the western Connecticut import interface and inside the Connecticut import/export interface. The study area also borders part of the New England east–west and west–east interfaces mainly along the Rhode Island border. </w:t>
      </w:r>
    </w:p>
    <w:p w:rsidR="00427BB5" w:rsidRPr="00427BB5" w:rsidRDefault="00427BB5" w:rsidP="00427BB5">
      <w:r w:rsidRPr="00427BB5">
        <w:t>The ECT study area is a large load pocket served from the Killingly, Card, and Montville stations and a 115</w:t>
      </w:r>
      <w:r>
        <w:t> </w:t>
      </w:r>
      <w:r w:rsidRPr="00427BB5">
        <w:t xml:space="preserve">kV line from Rhode Island. A needs assessment with a study horizon of 2022 was presented to </w:t>
      </w:r>
      <w:r>
        <w:t xml:space="preserve">the </w:t>
      </w:r>
      <w:r w:rsidRPr="00427BB5">
        <w:t>PAC in May and June 2013, and the report was published in June 2015.</w:t>
      </w:r>
      <w:r w:rsidRPr="00427BB5">
        <w:rPr>
          <w:vertAlign w:val="superscript"/>
        </w:rPr>
        <w:footnoteReference w:id="168"/>
      </w:r>
      <w:r w:rsidRPr="00427BB5">
        <w:t xml:space="preserve"> The results of the 2022 needs assessment showed various time-sensitive needs on the 115 kV and 69 kV portions of the system. </w:t>
      </w:r>
    </w:p>
    <w:p w:rsidR="00427BB5" w:rsidRPr="00427BB5" w:rsidRDefault="00427BB5" w:rsidP="00427BB5">
      <w:r w:rsidRPr="00427BB5">
        <w:t>A 2022 ECT solutions study began to address the time-sensitive needs found in the 2022 needs assessment, and solution alternatives were presented to PAC in September 2016.</w:t>
      </w:r>
      <w:r w:rsidRPr="00427BB5">
        <w:rPr>
          <w:vertAlign w:val="superscript"/>
        </w:rPr>
        <w:footnoteReference w:id="169"/>
      </w:r>
      <w:r w:rsidRPr="00427BB5">
        <w:t xml:space="preserve"> In early 2017, the 202</w:t>
      </w:r>
      <w:r w:rsidR="00C556C7">
        <w:t>2</w:t>
      </w:r>
      <w:r w:rsidRPr="00427BB5">
        <w:t xml:space="preserve"> solutions study was suspended due to the same reasons the Maine and New Hampshire 2023 solutions studies were suspended, as listed above. Taking into account all these changes, a new needs assessment will begin in mid-2017.</w:t>
      </w:r>
    </w:p>
    <w:p w:rsidR="00427BB5" w:rsidRPr="00427BB5" w:rsidRDefault="00427BB5" w:rsidP="00427BB5">
      <w:pPr>
        <w:keepNext/>
        <w:keepLines/>
        <w:numPr>
          <w:ilvl w:val="1"/>
          <w:numId w:val="26"/>
        </w:numPr>
        <w:pBdr>
          <w:bottom w:val="single" w:sz="2" w:space="1" w:color="auto"/>
        </w:pBdr>
        <w:spacing w:after="120"/>
        <w:outlineLvl w:val="1"/>
        <w:rPr>
          <w:rFonts w:ascii="Calibri" w:eastAsiaTheme="majorEastAsia" w:hAnsi="Calibri" w:cstheme="majorBidi"/>
          <w:b/>
          <w:bCs/>
          <w:sz w:val="24"/>
          <w:szCs w:val="26"/>
        </w:rPr>
      </w:pPr>
      <w:bookmarkStart w:id="589" w:name="_Toc490323053"/>
      <w:r w:rsidRPr="00427BB5">
        <w:rPr>
          <w:rFonts w:ascii="Calibri" w:eastAsiaTheme="majorEastAsia" w:hAnsi="Calibri" w:cstheme="majorBidi"/>
          <w:b/>
          <w:bCs/>
          <w:sz w:val="24"/>
          <w:szCs w:val="26"/>
        </w:rPr>
        <w:t>General Need for Future Transmission</w:t>
      </w:r>
      <w:bookmarkEnd w:id="589"/>
    </w:p>
    <w:p w:rsidR="00427BB5" w:rsidRPr="00F645C1" w:rsidRDefault="00A533B9" w:rsidP="00F645C1">
      <w:r>
        <w:t>S</w:t>
      </w:r>
      <w:r w:rsidRPr="00427BB5">
        <w:t>ince 2002</w:t>
      </w:r>
      <w:r>
        <w:t>,</w:t>
      </w:r>
      <w:r w:rsidRPr="00427BB5">
        <w:t xml:space="preserve"> </w:t>
      </w:r>
      <w:r w:rsidR="00427BB5" w:rsidRPr="00427BB5">
        <w:t>714 project components have been placed in service across the region to fortify the transmission system.</w:t>
      </w:r>
      <w:r w:rsidR="00427BB5" w:rsidRPr="00427BB5">
        <w:rPr>
          <w:vertAlign w:val="superscript"/>
        </w:rPr>
        <w:footnoteReference w:id="170"/>
      </w:r>
      <w:r w:rsidR="00427BB5" w:rsidRPr="00427BB5">
        <w:t xml:space="preserve"> In addition, 153 project components have a status of planned, proposed, or under construction. Overall, the estimated investment in New England to maintain reliability has been $12.4</w:t>
      </w:r>
      <w:r w:rsidR="00427BB5">
        <w:t> </w:t>
      </w:r>
      <w:r w:rsidR="00427BB5" w:rsidRPr="00427BB5">
        <w:t>billion since 2002.</w:t>
      </w:r>
      <w:r w:rsidR="00427BB5" w:rsidRPr="00427BB5">
        <w:rPr>
          <w:vertAlign w:val="superscript"/>
        </w:rPr>
        <w:footnoteReference w:id="171"/>
      </w:r>
      <w:r w:rsidR="00427BB5" w:rsidRPr="00427BB5">
        <w:t xml:space="preserve"> With these system upgrades in place, combined with the changes in assumptions to needs assessments described previously, the need for additional reliability-based transmission upgrades, as shown by the steady-state studies of peak load, is expected to decline over the planning horizon. Conversely, generation retirements and studies reviewing system performance, accounting for the integration of nonsynchronous resources and improved load modeling, may drive the need for some additional reliability-based transmission upgrades. </w:t>
      </w:r>
    </w:p>
    <w:p w:rsidR="00F645C1" w:rsidRPr="00F645C1" w:rsidRDefault="00F645C1" w:rsidP="00BD6545">
      <w:pPr>
        <w:pStyle w:val="Heading2"/>
      </w:pPr>
      <w:bookmarkStart w:id="590" w:name="_Toc490323054"/>
      <w:r w:rsidRPr="00F645C1">
        <w:lastRenderedPageBreak/>
        <w:t>New England Asset Management</w:t>
      </w:r>
      <w:r w:rsidRPr="00F645C1">
        <w:rPr>
          <w:rFonts w:asciiTheme="minorHAnsi" w:hAnsiTheme="minorHAnsi"/>
          <w:vertAlign w:val="superscript"/>
        </w:rPr>
        <w:footnoteReference w:id="172"/>
      </w:r>
      <w:bookmarkEnd w:id="590"/>
    </w:p>
    <w:p w:rsidR="00F645C1" w:rsidRPr="00F645C1" w:rsidRDefault="00F645C1" w:rsidP="00F645C1">
      <w:r w:rsidRPr="00F645C1">
        <w:t>Because of the general age of the transmission system in New England, many assets are reaching their end of life and are requiring significant refurbishment. These activities are spread across the system and are being addressed either individually or as part of an ongoing solutions assessment. The New England Asset Management Key Study Area is a repository to store all asset-condition-related PAC presentations.</w:t>
      </w:r>
      <w:r w:rsidRPr="00F645C1">
        <w:rPr>
          <w:vertAlign w:val="superscript"/>
        </w:rPr>
        <w:footnoteReference w:id="173"/>
      </w:r>
      <w:r w:rsidRPr="00F645C1">
        <w:t xml:space="preserve">   </w:t>
      </w:r>
    </w:p>
    <w:p w:rsidR="00F645C1" w:rsidRPr="00F645C1" w:rsidRDefault="00F645C1" w:rsidP="00F645C1">
      <w:r w:rsidRPr="00F645C1">
        <w:t xml:space="preserve">The ISO announced at the October 2015 PAC meeting during the Regional System Plan transmission projects update that the </w:t>
      </w:r>
      <w:r w:rsidRPr="00F645C1">
        <w:rPr>
          <w:i/>
        </w:rPr>
        <w:t>RSP Project List</w:t>
      </w:r>
      <w:r w:rsidRPr="00F645C1">
        <w:t xml:space="preserve"> would not capture asset-condition projects beyond the May 18, 2015, effective date of Order No. 1000.</w:t>
      </w:r>
      <w:r w:rsidRPr="00F645C1">
        <w:rPr>
          <w:vertAlign w:val="superscript"/>
        </w:rPr>
        <w:footnoteReference w:id="174"/>
      </w:r>
      <w:r w:rsidRPr="00F645C1">
        <w:t xml:space="preserve"> The decision was based on the fact that Section 4.1(a) of Attachment K of the OATT does not identify the asset-condition classification as a trigger for a needs assessment, and the equipment owner, not the ISO, must identify asset-condition issues.</w:t>
      </w:r>
    </w:p>
    <w:p w:rsidR="00F645C1" w:rsidRPr="00F645C1" w:rsidRDefault="00843374" w:rsidP="00F645C1">
      <w:r>
        <w:t>In 2016, the ISO created a</w:t>
      </w:r>
      <w:r w:rsidR="00F645C1" w:rsidRPr="00F645C1">
        <w:t xml:space="preserve"> New England Asset-Condition Update List </w:t>
      </w:r>
      <w:r>
        <w:t xml:space="preserve">to </w:t>
      </w:r>
      <w:r w:rsidR="00F645C1" w:rsidRPr="00F645C1">
        <w:t>capture all asset-condition PAC presentations</w:t>
      </w:r>
      <w:r w:rsidR="00A533B9">
        <w:t xml:space="preserve"> that</w:t>
      </w:r>
      <w:r w:rsidR="00F645C1" w:rsidRPr="00F645C1">
        <w:t xml:space="preserve"> occurred after May 18, 2015. The </w:t>
      </w:r>
      <w:r w:rsidR="00CE08F9">
        <w:t xml:space="preserve">ISO updates the </w:t>
      </w:r>
      <w:r w:rsidR="00F645C1" w:rsidRPr="00F645C1">
        <w:t xml:space="preserve">new Asset-Condition Update List three times per year along with the </w:t>
      </w:r>
      <w:r w:rsidR="00F645C1" w:rsidRPr="00F645C1">
        <w:rPr>
          <w:i/>
        </w:rPr>
        <w:t>RSP Project List</w:t>
      </w:r>
      <w:r w:rsidR="00F645C1" w:rsidRPr="00F645C1">
        <w:t xml:space="preserve">. </w:t>
      </w:r>
    </w:p>
    <w:p w:rsidR="00F645C1" w:rsidRPr="00F645C1" w:rsidRDefault="00F645C1" w:rsidP="00BD6545">
      <w:pPr>
        <w:pStyle w:val="Heading2"/>
      </w:pPr>
      <w:bookmarkStart w:id="591" w:name="_Toc490323055"/>
      <w:r w:rsidRPr="00F645C1">
        <w:t>Local System Plan</w:t>
      </w:r>
      <w:bookmarkEnd w:id="591"/>
    </w:p>
    <w:p w:rsidR="00F645C1" w:rsidRPr="00F645C1" w:rsidRDefault="00F645C1" w:rsidP="00F645C1">
      <w:r w:rsidRPr="00F645C1">
        <w:t xml:space="preserve">The Local System Plan (LSP) process is described in Appendix 1 to Attachment K of the </w:t>
      </w:r>
      <w:r w:rsidRPr="00F645C1">
        <w:rPr>
          <w:i/>
        </w:rPr>
        <w:t>Open Access Transmission Tariff</w:t>
      </w:r>
      <w:r w:rsidRPr="00F645C1">
        <w:t xml:space="preserve">. In general, LSP projects are needed to maintain the reliability of the non-pool transmission facility (PTF) system. While LSP projects are designed to serve the needs of the non-PTF, they typically involve PTF components. Under </w:t>
      </w:r>
      <w:r w:rsidR="00DD18AA">
        <w:t xml:space="preserve">FERC </w:t>
      </w:r>
      <w:r w:rsidRPr="00F645C1">
        <w:t>Order No. 1000, projects eligible for regionalization of costs should be subject to a competitive solicitation, unless they are excluded by FERC. LSP projects are considered non-regionalized and therefore fall under the FERC exclusion. Currently, Appendix 1 does not have a list of excluded-from-competition type PTF projects or a mechanism for a competitive solicitation. Until this concern is resolved, as of the May 18, 2015, Order No. 1000, effective date, the ISO is no longer places LSP projects on the</w:t>
      </w:r>
      <w:r w:rsidRPr="00F645C1">
        <w:rPr>
          <w:i/>
        </w:rPr>
        <w:t xml:space="preserve"> RSP Project Lis</w:t>
      </w:r>
      <w:r w:rsidRPr="00F645C1">
        <w:t>t. Information regarding LSP projects is provided to stakeholders through the Transmission Owner Planning Advisory Committee (TOPAC) meetings.</w:t>
      </w:r>
      <w:r w:rsidRPr="00F645C1">
        <w:rPr>
          <w:vertAlign w:val="superscript"/>
        </w:rPr>
        <w:footnoteReference w:id="175"/>
      </w:r>
      <w:r w:rsidRPr="00F645C1">
        <w:t xml:space="preserve"> </w:t>
      </w:r>
    </w:p>
    <w:p w:rsidR="00F645C1" w:rsidRPr="00F645C1" w:rsidRDefault="00F645C1" w:rsidP="00BD6545">
      <w:pPr>
        <w:pStyle w:val="Heading2"/>
      </w:pPr>
      <w:bookmarkStart w:id="592" w:name="_Ref485720285"/>
      <w:bookmarkStart w:id="593" w:name="_Toc490323056"/>
      <w:r w:rsidRPr="00F645C1">
        <w:t>RSP Project List and Projected Transmission Project Costs</w:t>
      </w:r>
      <w:bookmarkEnd w:id="566"/>
      <w:bookmarkEnd w:id="567"/>
      <w:bookmarkEnd w:id="592"/>
      <w:bookmarkEnd w:id="593"/>
    </w:p>
    <w:p w:rsidR="00F645C1" w:rsidRPr="00F645C1" w:rsidRDefault="00F645C1" w:rsidP="00F645C1">
      <w:r w:rsidRPr="00A4152D">
        <w:t xml:space="preserve">The </w:t>
      </w:r>
      <w:r w:rsidRPr="00A4152D">
        <w:rPr>
          <w:i/>
        </w:rPr>
        <w:t xml:space="preserve">RSP Project List </w:t>
      </w:r>
      <w:r w:rsidRPr="00A4152D">
        <w:t>is a summary of needed transmission projects for the region and includes</w:t>
      </w:r>
      <w:r w:rsidRPr="00F645C1">
        <w:t xml:space="preserve"> information on project type, the primary owner, the transmission upgrades and their status, and the estimated cost of the PTF portion of the project.</w:t>
      </w:r>
      <w:r w:rsidRPr="00F645C1">
        <w:rPr>
          <w:vertAlign w:val="superscript"/>
        </w:rPr>
        <w:footnoteReference w:id="176"/>
      </w:r>
      <w:r w:rsidRPr="00F645C1">
        <w:t xml:space="preserve"> The </w:t>
      </w:r>
      <w:r w:rsidRPr="00F645C1">
        <w:rPr>
          <w:i/>
        </w:rPr>
        <w:t>RSP Project List</w:t>
      </w:r>
      <w:r w:rsidRPr="00F645C1">
        <w:t xml:space="preserve"> includes the status of reliability </w:t>
      </w:r>
      <w:r w:rsidRPr="00F645C1">
        <w:lastRenderedPageBreak/>
        <w:t>transmission upgrades, market-efficiency transmission upgrades, elective transmission upgrades, and generator-interconnection transmission upgrades (described in Section </w:t>
      </w:r>
      <w:r w:rsidRPr="00F645C1">
        <w:fldChar w:fldCharType="begin"/>
      </w:r>
      <w:r w:rsidRPr="00F645C1">
        <w:instrText xml:space="preserve"> REF _Ref418856844 \r \h  \* MERGEFORMAT </w:instrText>
      </w:r>
      <w:r w:rsidRPr="00F645C1">
        <w:fldChar w:fldCharType="separate"/>
      </w:r>
      <w:r w:rsidR="00314781">
        <w:t>2.1.1</w:t>
      </w:r>
      <w:r w:rsidRPr="00F645C1">
        <w:fldChar w:fldCharType="end"/>
      </w:r>
      <w:r w:rsidRPr="00F645C1">
        <w:t xml:space="preserve">). The list also will include public policy transmission upgrades. The ISO updates this list at least three times per year. Additional information on the project classifications included in the </w:t>
      </w:r>
      <w:r w:rsidRPr="00F645C1">
        <w:rPr>
          <w:i/>
        </w:rPr>
        <w:t>RSP Project List</w:t>
      </w:r>
      <w:r w:rsidRPr="00F645C1">
        <w:t xml:space="preserve"> is available in the </w:t>
      </w:r>
      <w:r w:rsidRPr="00F645C1">
        <w:rPr>
          <w:i/>
        </w:rPr>
        <w:t>Transmission Planning Process Guide</w:t>
      </w:r>
      <w:r w:rsidRPr="00F645C1">
        <w:t xml:space="preserve">. </w:t>
      </w:r>
    </w:p>
    <w:p w:rsidR="00F645C1" w:rsidRPr="00F645C1" w:rsidRDefault="00F645C1" w:rsidP="00F645C1">
      <w:r w:rsidRPr="00F645C1">
        <w:t>The ISO regularly updates the PAC on RTU and METU (and eventually PPTU) study schedules, scopes of work, assumptions, draft and final results, and project costs.</w:t>
      </w:r>
      <w:r w:rsidRPr="00F645C1">
        <w:rPr>
          <w:vertAlign w:val="superscript"/>
        </w:rPr>
        <w:footnoteReference w:id="177"/>
      </w:r>
      <w:r w:rsidRPr="00F645C1">
        <w:t xml:space="preserve"> Projects are considered part of the Regional System Plan consistent with their status and are subject to transmission cost allocation for the region. RSP17 incorporates information from the </w:t>
      </w:r>
      <w:r w:rsidR="00A427DA">
        <w:t>June</w:t>
      </w:r>
      <w:r w:rsidRPr="00F645C1">
        <w:t xml:space="preserve"> 2017 </w:t>
      </w:r>
      <w:r w:rsidRPr="00F645C1">
        <w:rPr>
          <w:i/>
        </w:rPr>
        <w:t>RSP Project List.</w:t>
      </w:r>
      <w:r w:rsidRPr="00F645C1">
        <w:t xml:space="preserve"> </w:t>
      </w:r>
    </w:p>
    <w:p w:rsidR="00F645C1" w:rsidRPr="00F645C1" w:rsidRDefault="00F645C1" w:rsidP="00F645C1">
      <w:r w:rsidRPr="00F645C1">
        <w:t xml:space="preserve">This section discusses RTUs underway and their costs and the status of the ETUs in the region. It also explains why no market-efficiency-related transmission upgrades have been needed and provides information on several transmission upgrades developed and paid for by generator developers. </w:t>
      </w:r>
    </w:p>
    <w:p w:rsidR="00F645C1" w:rsidRPr="00F645C1" w:rsidRDefault="00F645C1" w:rsidP="00BD6545">
      <w:pPr>
        <w:pStyle w:val="Heading3"/>
      </w:pPr>
      <w:bookmarkStart w:id="594" w:name="_Toc429063421"/>
      <w:bookmarkStart w:id="595" w:name="_Toc490323057"/>
      <w:r w:rsidRPr="00F645C1">
        <w:t>Reliability Transmission Upgrades</w:t>
      </w:r>
      <w:bookmarkEnd w:id="594"/>
      <w:bookmarkEnd w:id="595"/>
    </w:p>
    <w:p w:rsidR="00F645C1" w:rsidRPr="00F645C1" w:rsidRDefault="00F645C1" w:rsidP="00F645C1">
      <w:r w:rsidRPr="00F645C1">
        <w:t xml:space="preserve">As of </w:t>
      </w:r>
      <w:r w:rsidR="00D64DC3">
        <w:t>June</w:t>
      </w:r>
      <w:r w:rsidRPr="00F645C1">
        <w:t xml:space="preserve"> 2017, the total estimated cost of transmission upgrades—proposed, planned, and under construction—was approximately $4.0 billion, as shown in </w:t>
      </w:r>
      <w:r w:rsidRPr="00F645C1">
        <w:fldChar w:fldCharType="begin"/>
      </w:r>
      <w:r w:rsidRPr="00F645C1">
        <w:instrText xml:space="preserve"> REF _Ref419567319 \h  \* MERGEFORMAT </w:instrText>
      </w:r>
      <w:r w:rsidRPr="00F645C1">
        <w:fldChar w:fldCharType="separate"/>
      </w:r>
      <w:r w:rsidR="00314781" w:rsidRPr="000162C8">
        <w:rPr>
          <w:bCs/>
          <w:szCs w:val="18"/>
        </w:rPr>
        <w:t xml:space="preserve">Table </w:t>
      </w:r>
      <w:r w:rsidR="00314781" w:rsidRPr="000162C8">
        <w:rPr>
          <w:bCs/>
          <w:noProof/>
          <w:szCs w:val="18"/>
        </w:rPr>
        <w:t>5</w:t>
      </w:r>
      <w:r w:rsidR="00314781" w:rsidRPr="000162C8">
        <w:rPr>
          <w:bCs/>
          <w:noProof/>
          <w:szCs w:val="18"/>
        </w:rPr>
        <w:noBreakHyphen/>
        <w:t>1</w:t>
      </w:r>
      <w:r w:rsidRPr="00F645C1">
        <w:fldChar w:fldCharType="end"/>
      </w:r>
      <w:r w:rsidRPr="00F645C1">
        <w:t>.</w:t>
      </w:r>
    </w:p>
    <w:p w:rsidR="00F645C1" w:rsidRPr="00F645C1" w:rsidRDefault="00F645C1" w:rsidP="00F645C1">
      <w:pPr>
        <w:keepNext/>
        <w:keepLines/>
        <w:spacing w:after="120" w:line="240" w:lineRule="auto"/>
        <w:ind w:left="547" w:right="547"/>
        <w:jc w:val="center"/>
        <w:rPr>
          <w:rFonts w:ascii="Calibri" w:hAnsi="Calibri"/>
          <w:b/>
          <w:bCs/>
          <w:szCs w:val="18"/>
        </w:rPr>
      </w:pPr>
      <w:bookmarkStart w:id="596" w:name="_Ref419567319"/>
      <w:bookmarkStart w:id="597" w:name="_Toc429063569"/>
      <w:bookmarkStart w:id="598" w:name="_Toc491244014"/>
      <w:r w:rsidRPr="00F645C1">
        <w:rPr>
          <w:rFonts w:ascii="Calibri" w:hAnsi="Calibri"/>
          <w:b/>
          <w:bCs/>
          <w:szCs w:val="18"/>
        </w:rPr>
        <w:lastRenderedPageBreak/>
        <w:t xml:space="preserve">Table </w:t>
      </w:r>
      <w:r w:rsidR="00D95957">
        <w:rPr>
          <w:rFonts w:ascii="Calibri" w:hAnsi="Calibri"/>
          <w:b/>
          <w:bCs/>
          <w:szCs w:val="18"/>
        </w:rPr>
        <w:fldChar w:fldCharType="begin"/>
      </w:r>
      <w:r w:rsidR="00D95957">
        <w:rPr>
          <w:rFonts w:ascii="Calibri" w:hAnsi="Calibri"/>
          <w:b/>
          <w:bCs/>
          <w:szCs w:val="18"/>
        </w:rPr>
        <w:instrText xml:space="preserve"> STYLEREF 1 \s </w:instrText>
      </w:r>
      <w:r w:rsidR="00D95957">
        <w:rPr>
          <w:rFonts w:ascii="Calibri" w:hAnsi="Calibri"/>
          <w:b/>
          <w:bCs/>
          <w:szCs w:val="18"/>
        </w:rPr>
        <w:fldChar w:fldCharType="separate"/>
      </w:r>
      <w:r w:rsidR="00D95957">
        <w:rPr>
          <w:rFonts w:ascii="Calibri" w:hAnsi="Calibri"/>
          <w:b/>
          <w:bCs/>
          <w:noProof/>
          <w:szCs w:val="18"/>
        </w:rPr>
        <w:t>5</w:t>
      </w:r>
      <w:r w:rsidR="00D95957">
        <w:rPr>
          <w:rFonts w:ascii="Calibri" w:hAnsi="Calibri"/>
          <w:b/>
          <w:bCs/>
          <w:szCs w:val="18"/>
        </w:rPr>
        <w:fldChar w:fldCharType="end"/>
      </w:r>
      <w:r w:rsidR="00D95957">
        <w:rPr>
          <w:rFonts w:ascii="Calibri" w:hAnsi="Calibri"/>
          <w:b/>
          <w:bCs/>
          <w:szCs w:val="18"/>
        </w:rPr>
        <w:noBreakHyphen/>
      </w:r>
      <w:r w:rsidR="00D95957">
        <w:rPr>
          <w:rFonts w:ascii="Calibri" w:hAnsi="Calibri"/>
          <w:b/>
          <w:bCs/>
          <w:szCs w:val="18"/>
        </w:rPr>
        <w:fldChar w:fldCharType="begin"/>
      </w:r>
      <w:r w:rsidR="00D95957">
        <w:rPr>
          <w:rFonts w:ascii="Calibri" w:hAnsi="Calibri"/>
          <w:b/>
          <w:bCs/>
          <w:szCs w:val="18"/>
        </w:rPr>
        <w:instrText xml:space="preserve"> SEQ Table \* ARABIC \s 1 </w:instrText>
      </w:r>
      <w:r w:rsidR="00D95957">
        <w:rPr>
          <w:rFonts w:ascii="Calibri" w:hAnsi="Calibri"/>
          <w:b/>
          <w:bCs/>
          <w:szCs w:val="18"/>
        </w:rPr>
        <w:fldChar w:fldCharType="separate"/>
      </w:r>
      <w:r w:rsidR="00D95957">
        <w:rPr>
          <w:rFonts w:ascii="Calibri" w:hAnsi="Calibri"/>
          <w:b/>
          <w:bCs/>
          <w:noProof/>
          <w:szCs w:val="18"/>
        </w:rPr>
        <w:t>1</w:t>
      </w:r>
      <w:r w:rsidR="00D95957">
        <w:rPr>
          <w:rFonts w:ascii="Calibri" w:hAnsi="Calibri"/>
          <w:b/>
          <w:bCs/>
          <w:szCs w:val="18"/>
        </w:rPr>
        <w:fldChar w:fldCharType="end"/>
      </w:r>
      <w:bookmarkEnd w:id="596"/>
      <w:r w:rsidRPr="00F645C1">
        <w:rPr>
          <w:rFonts w:ascii="Calibri" w:hAnsi="Calibri"/>
          <w:b/>
          <w:bCs/>
          <w:szCs w:val="18"/>
        </w:rPr>
        <w:br/>
      </w:r>
      <w:r w:rsidRPr="00F645C1">
        <w:rPr>
          <w:rFonts w:asciiTheme="minorHAnsi" w:eastAsia="Times New Roman" w:hAnsiTheme="minorHAnsi"/>
          <w:b/>
          <w:bCs/>
        </w:rPr>
        <w:t>Estimated C</w:t>
      </w:r>
      <w:r w:rsidRPr="00F645C1">
        <w:rPr>
          <w:rFonts w:asciiTheme="minorHAnsi" w:eastAsia="Times New Roman" w:hAnsiTheme="minorHAnsi"/>
          <w:b/>
          <w:szCs w:val="18"/>
        </w:rPr>
        <w:t xml:space="preserve">ost of Reliability Projects as of </w:t>
      </w:r>
      <w:r w:rsidR="00AD13B2">
        <w:rPr>
          <w:rFonts w:asciiTheme="minorHAnsi" w:eastAsia="Times New Roman" w:hAnsiTheme="minorHAnsi"/>
          <w:b/>
          <w:szCs w:val="18"/>
        </w:rPr>
        <w:t>June</w:t>
      </w:r>
      <w:r w:rsidRPr="00F645C1">
        <w:rPr>
          <w:rFonts w:asciiTheme="minorHAnsi" w:eastAsia="Times New Roman" w:hAnsiTheme="minorHAnsi"/>
          <w:b/>
          <w:bCs/>
        </w:rPr>
        <w:t xml:space="preserve"> 2017</w:t>
      </w:r>
      <w:r w:rsidRPr="00F645C1">
        <w:rPr>
          <w:rFonts w:asciiTheme="minorHAnsi" w:eastAsia="Times New Roman" w:hAnsiTheme="minorHAnsi"/>
          <w:b/>
          <w:szCs w:val="18"/>
        </w:rPr>
        <w:t xml:space="preserve"> Plan Update (Million $)</w:t>
      </w:r>
      <w:bookmarkEnd w:id="597"/>
      <w:bookmarkEnd w:id="598"/>
    </w:p>
    <w:tbl>
      <w:tblPr>
        <w:tblW w:w="0" w:type="auto"/>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6495"/>
        <w:gridCol w:w="2174"/>
      </w:tblGrid>
      <w:tr w:rsidR="00F645C1" w:rsidRPr="00D1131C" w:rsidTr="003021D4">
        <w:trPr>
          <w:trHeight w:val="500"/>
          <w:jc w:val="center"/>
        </w:trPr>
        <w:tc>
          <w:tcPr>
            <w:tcW w:w="6495" w:type="dxa"/>
            <w:vMerge w:val="restart"/>
            <w:shd w:val="clear" w:color="auto" w:fill="1795D2" w:themeFill="accent1"/>
            <w:noWrap/>
            <w:tcMar>
              <w:top w:w="14" w:type="dxa"/>
              <w:left w:w="115" w:type="dxa"/>
              <w:bottom w:w="14" w:type="dxa"/>
              <w:right w:w="115" w:type="dxa"/>
            </w:tcMar>
            <w:vAlign w:val="center"/>
            <w:hideMark/>
          </w:tcPr>
          <w:p w:rsidR="00F645C1" w:rsidRPr="00D1131C" w:rsidRDefault="00F645C1" w:rsidP="00F645C1">
            <w:pPr>
              <w:keepNext/>
              <w:keepLines/>
              <w:spacing w:before="20" w:after="20" w:line="240" w:lineRule="auto"/>
              <w:jc w:val="center"/>
              <w:rPr>
                <w:rFonts w:asciiTheme="minorHAnsi" w:eastAsia="Times New Roman" w:hAnsiTheme="minorHAnsi" w:cs="Arial"/>
                <w:b/>
                <w:bCs/>
                <w:color w:val="FFFFFF" w:themeColor="background1"/>
                <w:sz w:val="18"/>
                <w:szCs w:val="18"/>
              </w:rPr>
            </w:pPr>
            <w:r w:rsidRPr="00D1131C">
              <w:rPr>
                <w:rFonts w:asciiTheme="minorHAnsi" w:eastAsia="Times New Roman" w:hAnsiTheme="minorHAnsi" w:cs="Arial"/>
                <w:b/>
                <w:bCs/>
                <w:color w:val="FFFFFF" w:themeColor="background1"/>
                <w:sz w:val="18"/>
                <w:szCs w:val="18"/>
              </w:rPr>
              <w:t>Projects</w:t>
            </w:r>
          </w:p>
        </w:tc>
        <w:tc>
          <w:tcPr>
            <w:tcW w:w="2174" w:type="dxa"/>
            <w:vMerge w:val="restart"/>
            <w:shd w:val="clear" w:color="auto" w:fill="1795D2" w:themeFill="accent1"/>
            <w:tcMar>
              <w:top w:w="14" w:type="dxa"/>
              <w:left w:w="115" w:type="dxa"/>
              <w:bottom w:w="14" w:type="dxa"/>
              <w:right w:w="115" w:type="dxa"/>
            </w:tcMar>
            <w:vAlign w:val="center"/>
            <w:hideMark/>
          </w:tcPr>
          <w:p w:rsidR="00F645C1" w:rsidRPr="00D1131C" w:rsidRDefault="00F645C1" w:rsidP="00F645C1">
            <w:pPr>
              <w:keepNext/>
              <w:keepLines/>
              <w:spacing w:before="20" w:after="20" w:line="240" w:lineRule="auto"/>
              <w:jc w:val="center"/>
              <w:rPr>
                <w:rFonts w:asciiTheme="minorHAnsi" w:eastAsia="Times New Roman" w:hAnsiTheme="minorHAnsi" w:cs="Arial"/>
                <w:b/>
                <w:bCs/>
                <w:color w:val="FFFFFF" w:themeColor="background1"/>
                <w:sz w:val="18"/>
                <w:szCs w:val="18"/>
              </w:rPr>
            </w:pPr>
            <w:r w:rsidRPr="00D1131C">
              <w:rPr>
                <w:rFonts w:asciiTheme="minorHAnsi" w:eastAsia="Times New Roman" w:hAnsiTheme="minorHAnsi" w:cs="Arial"/>
                <w:b/>
                <w:bCs/>
                <w:color w:val="FFFFFF" w:themeColor="background1"/>
                <w:sz w:val="18"/>
                <w:szCs w:val="18"/>
              </w:rPr>
              <w:t>Project Costs</w:t>
            </w:r>
            <w:r w:rsidRPr="00D1131C">
              <w:rPr>
                <w:rFonts w:asciiTheme="minorHAnsi" w:eastAsia="Times New Roman" w:hAnsiTheme="minorHAnsi" w:cs="Arial"/>
                <w:b/>
                <w:bCs/>
                <w:color w:val="FFFFFF" w:themeColor="background1"/>
                <w:sz w:val="18"/>
                <w:szCs w:val="18"/>
              </w:rPr>
              <w:br/>
              <w:t xml:space="preserve"> (millions of $)</w:t>
            </w:r>
            <w:r w:rsidRPr="00D1131C">
              <w:rPr>
                <w:rFonts w:asciiTheme="minorHAnsi" w:eastAsia="Times New Roman" w:hAnsiTheme="minorHAnsi"/>
                <w:b/>
                <w:bCs/>
                <w:color w:val="FFFFFF" w:themeColor="background1"/>
                <w:vertAlign w:val="superscript"/>
              </w:rPr>
              <w:t>(a)</w:t>
            </w:r>
          </w:p>
        </w:tc>
      </w:tr>
      <w:tr w:rsidR="00F645C1" w:rsidRPr="00D1131C" w:rsidTr="003021D4">
        <w:trPr>
          <w:trHeight w:val="260"/>
          <w:jc w:val="center"/>
        </w:trPr>
        <w:tc>
          <w:tcPr>
            <w:tcW w:w="6495" w:type="dxa"/>
            <w:vMerge/>
            <w:shd w:val="clear" w:color="auto" w:fill="1795D2" w:themeFill="accent1"/>
            <w:tcMar>
              <w:top w:w="14" w:type="dxa"/>
              <w:left w:w="115" w:type="dxa"/>
              <w:bottom w:w="14" w:type="dxa"/>
              <w:right w:w="115" w:type="dxa"/>
            </w:tcMar>
            <w:vAlign w:val="center"/>
            <w:hideMark/>
          </w:tcPr>
          <w:p w:rsidR="00F645C1" w:rsidRPr="00D1131C" w:rsidRDefault="00F645C1" w:rsidP="00F645C1">
            <w:pPr>
              <w:keepNext/>
              <w:keepLines/>
              <w:spacing w:before="20" w:after="20" w:line="240" w:lineRule="auto"/>
              <w:rPr>
                <w:rFonts w:asciiTheme="minorHAnsi" w:eastAsia="Times New Roman" w:hAnsiTheme="minorHAnsi" w:cs="Arial"/>
                <w:color w:val="000000"/>
                <w:sz w:val="18"/>
                <w:szCs w:val="18"/>
              </w:rPr>
            </w:pPr>
          </w:p>
        </w:tc>
        <w:tc>
          <w:tcPr>
            <w:tcW w:w="2174" w:type="dxa"/>
            <w:vMerge/>
            <w:shd w:val="clear" w:color="auto" w:fill="1795D2" w:themeFill="accent1"/>
            <w:tcMar>
              <w:top w:w="14" w:type="dxa"/>
              <w:left w:w="115" w:type="dxa"/>
              <w:bottom w:w="14" w:type="dxa"/>
              <w:right w:w="115" w:type="dxa"/>
            </w:tcMar>
            <w:vAlign w:val="center"/>
            <w:hideMark/>
          </w:tcPr>
          <w:p w:rsidR="00F645C1" w:rsidRPr="00D1131C" w:rsidRDefault="00F645C1" w:rsidP="00F645C1">
            <w:pPr>
              <w:keepNext/>
              <w:keepLines/>
              <w:spacing w:before="20" w:after="20" w:line="240" w:lineRule="auto"/>
              <w:rPr>
                <w:rFonts w:asciiTheme="minorHAnsi" w:eastAsia="Times New Roman" w:hAnsiTheme="minorHAnsi" w:cs="Arial"/>
                <w:b/>
                <w:bCs/>
                <w:color w:val="000000"/>
                <w:sz w:val="18"/>
                <w:szCs w:val="18"/>
              </w:rPr>
            </w:pPr>
          </w:p>
        </w:tc>
      </w:tr>
      <w:tr w:rsidR="00F645C1" w:rsidRPr="00D1131C" w:rsidTr="003021D4">
        <w:trPr>
          <w:trHeight w:val="278"/>
          <w:jc w:val="center"/>
        </w:trPr>
        <w:tc>
          <w:tcPr>
            <w:tcW w:w="8669" w:type="dxa"/>
            <w:gridSpan w:val="2"/>
            <w:shd w:val="clear" w:color="auto" w:fill="CCEAF9" w:themeFill="accent1" w:themeFillTint="33"/>
            <w:noWrap/>
            <w:tcMar>
              <w:top w:w="14" w:type="dxa"/>
              <w:left w:w="115" w:type="dxa"/>
              <w:bottom w:w="14" w:type="dxa"/>
              <w:right w:w="115" w:type="dxa"/>
            </w:tcMar>
            <w:vAlign w:val="center"/>
            <w:hideMark/>
          </w:tcPr>
          <w:p w:rsidR="00F645C1" w:rsidRPr="00D1131C" w:rsidRDefault="00F645C1" w:rsidP="00F645C1">
            <w:pPr>
              <w:keepNext/>
              <w:keepLines/>
              <w:spacing w:before="20" w:after="20" w:line="240" w:lineRule="auto"/>
              <w:rPr>
                <w:rFonts w:asciiTheme="minorHAnsi" w:eastAsia="Times New Roman" w:hAnsiTheme="minorHAnsi" w:cs="Arial"/>
                <w:color w:val="000000"/>
                <w:sz w:val="18"/>
                <w:szCs w:val="18"/>
              </w:rPr>
            </w:pPr>
            <w:r w:rsidRPr="00D1131C">
              <w:rPr>
                <w:rFonts w:asciiTheme="minorHAnsi" w:eastAsia="Times New Roman" w:hAnsiTheme="minorHAnsi" w:cs="Arial"/>
                <w:b/>
                <w:bCs/>
                <w:color w:val="000000"/>
                <w:sz w:val="18"/>
                <w:szCs w:val="18"/>
              </w:rPr>
              <w:t>Major projects</w:t>
            </w:r>
          </w:p>
        </w:tc>
      </w:tr>
      <w:tr w:rsidR="00F645C1" w:rsidRPr="00D1131C" w:rsidTr="003021D4">
        <w:trPr>
          <w:trHeight w:val="405"/>
          <w:jc w:val="center"/>
        </w:trPr>
        <w:tc>
          <w:tcPr>
            <w:tcW w:w="6495" w:type="dxa"/>
            <w:shd w:val="clear" w:color="auto" w:fill="auto"/>
            <w:noWrap/>
            <w:tcMar>
              <w:top w:w="14" w:type="dxa"/>
              <w:left w:w="115" w:type="dxa"/>
              <w:bottom w:w="14" w:type="dxa"/>
              <w:right w:w="115" w:type="dxa"/>
            </w:tcMar>
            <w:vAlign w:val="center"/>
            <w:hideMark/>
          </w:tcPr>
          <w:p w:rsidR="00F645C1" w:rsidRPr="00D1131C" w:rsidRDefault="00F645C1" w:rsidP="00F645C1">
            <w:pPr>
              <w:keepNext/>
              <w:keepLines/>
              <w:spacing w:before="20" w:after="20" w:line="240" w:lineRule="auto"/>
              <w:rPr>
                <w:rFonts w:asciiTheme="minorHAnsi" w:eastAsia="Times New Roman" w:hAnsiTheme="minorHAnsi" w:cs="Arial"/>
                <w:b/>
                <w:color w:val="000000"/>
                <w:sz w:val="18"/>
                <w:szCs w:val="18"/>
              </w:rPr>
            </w:pPr>
            <w:r w:rsidRPr="00D1131C">
              <w:rPr>
                <w:rFonts w:asciiTheme="minorHAnsi" w:eastAsia="Times New Roman" w:hAnsiTheme="minorHAnsi" w:cs="Arial"/>
                <w:b/>
                <w:color w:val="000000"/>
                <w:sz w:val="18"/>
                <w:szCs w:val="18"/>
              </w:rPr>
              <w:t>Maine Power Reliability Program</w:t>
            </w:r>
          </w:p>
        </w:tc>
        <w:tc>
          <w:tcPr>
            <w:tcW w:w="2174" w:type="dxa"/>
            <w:shd w:val="clear" w:color="auto" w:fill="auto"/>
            <w:noWrap/>
            <w:tcMar>
              <w:top w:w="14" w:type="dxa"/>
              <w:left w:w="115" w:type="dxa"/>
              <w:bottom w:w="14" w:type="dxa"/>
              <w:right w:w="115" w:type="dxa"/>
            </w:tcMar>
            <w:vAlign w:val="center"/>
            <w:hideMark/>
          </w:tcPr>
          <w:p w:rsidR="00F645C1" w:rsidRPr="00D1131C" w:rsidRDefault="00F645C1" w:rsidP="00F645C1">
            <w:pPr>
              <w:keepNext/>
              <w:keepLines/>
              <w:spacing w:before="20" w:after="20" w:line="240" w:lineRule="auto"/>
              <w:jc w:val="right"/>
              <w:rPr>
                <w:rFonts w:asciiTheme="minorHAnsi" w:eastAsia="Times New Roman" w:hAnsiTheme="minorHAnsi" w:cs="Arial"/>
                <w:color w:val="000000"/>
                <w:sz w:val="18"/>
                <w:szCs w:val="18"/>
              </w:rPr>
            </w:pPr>
            <w:r w:rsidRPr="00D1131C">
              <w:rPr>
                <w:rFonts w:asciiTheme="minorHAnsi" w:eastAsia="Times New Roman" w:hAnsiTheme="minorHAnsi" w:cs="Arial"/>
                <w:color w:val="000000"/>
                <w:sz w:val="18"/>
                <w:szCs w:val="18"/>
              </w:rPr>
              <w:t>1,459</w:t>
            </w:r>
          </w:p>
        </w:tc>
      </w:tr>
      <w:tr w:rsidR="00F645C1" w:rsidRPr="00D1131C" w:rsidTr="003021D4">
        <w:trPr>
          <w:trHeight w:val="375"/>
          <w:jc w:val="center"/>
        </w:trPr>
        <w:tc>
          <w:tcPr>
            <w:tcW w:w="6495" w:type="dxa"/>
            <w:shd w:val="clear" w:color="auto" w:fill="auto"/>
            <w:noWrap/>
            <w:tcMar>
              <w:top w:w="14" w:type="dxa"/>
              <w:left w:w="115" w:type="dxa"/>
              <w:bottom w:w="14" w:type="dxa"/>
              <w:right w:w="115" w:type="dxa"/>
            </w:tcMar>
            <w:vAlign w:val="center"/>
          </w:tcPr>
          <w:p w:rsidR="00F645C1" w:rsidRPr="00D1131C" w:rsidRDefault="00F645C1" w:rsidP="00F645C1">
            <w:pPr>
              <w:keepNext/>
              <w:keepLines/>
              <w:spacing w:before="20" w:after="20" w:line="240" w:lineRule="auto"/>
              <w:rPr>
                <w:rFonts w:asciiTheme="minorHAnsi" w:eastAsia="Times New Roman" w:hAnsiTheme="minorHAnsi" w:cs="Arial"/>
                <w:b/>
                <w:color w:val="000000"/>
                <w:sz w:val="18"/>
                <w:szCs w:val="18"/>
              </w:rPr>
            </w:pPr>
            <w:r w:rsidRPr="00D1131C">
              <w:rPr>
                <w:rFonts w:asciiTheme="minorHAnsi" w:eastAsia="Times New Roman" w:hAnsiTheme="minorHAnsi" w:cs="Arial"/>
                <w:b/>
                <w:color w:val="000000"/>
                <w:sz w:val="18"/>
                <w:szCs w:val="18"/>
              </w:rPr>
              <w:t>Greater Hartford and Central Connecticut</w:t>
            </w:r>
          </w:p>
        </w:tc>
        <w:tc>
          <w:tcPr>
            <w:tcW w:w="2174" w:type="dxa"/>
            <w:shd w:val="clear" w:color="auto" w:fill="auto"/>
            <w:noWrap/>
            <w:tcMar>
              <w:top w:w="14" w:type="dxa"/>
              <w:left w:w="115" w:type="dxa"/>
              <w:bottom w:w="14" w:type="dxa"/>
              <w:right w:w="115" w:type="dxa"/>
            </w:tcMar>
            <w:vAlign w:val="center"/>
          </w:tcPr>
          <w:p w:rsidR="00F645C1" w:rsidRPr="00D1131C" w:rsidRDefault="00F645C1" w:rsidP="00F645C1">
            <w:pPr>
              <w:keepNext/>
              <w:keepLines/>
              <w:spacing w:before="20" w:after="20" w:line="240" w:lineRule="auto"/>
              <w:jc w:val="right"/>
              <w:rPr>
                <w:rFonts w:asciiTheme="minorHAnsi" w:eastAsia="Times New Roman" w:hAnsiTheme="minorHAnsi" w:cs="Arial"/>
                <w:color w:val="000000"/>
                <w:sz w:val="18"/>
                <w:szCs w:val="18"/>
              </w:rPr>
            </w:pPr>
            <w:r w:rsidRPr="00D1131C">
              <w:rPr>
                <w:rFonts w:asciiTheme="minorHAnsi" w:eastAsia="Times New Roman" w:hAnsiTheme="minorHAnsi" w:cs="Arial"/>
                <w:color w:val="000000"/>
                <w:sz w:val="18"/>
                <w:szCs w:val="18"/>
              </w:rPr>
              <w:t>337</w:t>
            </w:r>
          </w:p>
        </w:tc>
      </w:tr>
      <w:tr w:rsidR="00F645C1" w:rsidRPr="00D1131C" w:rsidTr="003021D4">
        <w:trPr>
          <w:trHeight w:val="345"/>
          <w:jc w:val="center"/>
        </w:trPr>
        <w:tc>
          <w:tcPr>
            <w:tcW w:w="6495" w:type="dxa"/>
            <w:shd w:val="clear" w:color="auto" w:fill="auto"/>
            <w:tcMar>
              <w:top w:w="14" w:type="dxa"/>
              <w:left w:w="115" w:type="dxa"/>
              <w:bottom w:w="14" w:type="dxa"/>
              <w:right w:w="115" w:type="dxa"/>
            </w:tcMar>
            <w:vAlign w:val="center"/>
            <w:hideMark/>
          </w:tcPr>
          <w:p w:rsidR="00F645C1" w:rsidRPr="00D1131C" w:rsidRDefault="00F645C1" w:rsidP="00F645C1">
            <w:pPr>
              <w:keepNext/>
              <w:keepLines/>
              <w:spacing w:before="20" w:after="20" w:line="240" w:lineRule="auto"/>
              <w:rPr>
                <w:rFonts w:asciiTheme="minorHAnsi" w:eastAsia="Times New Roman" w:hAnsiTheme="minorHAnsi" w:cs="Arial"/>
                <w:b/>
                <w:color w:val="000000"/>
                <w:sz w:val="18"/>
                <w:szCs w:val="18"/>
              </w:rPr>
            </w:pPr>
            <w:r w:rsidRPr="00D1131C">
              <w:rPr>
                <w:rFonts w:asciiTheme="minorHAnsi" w:eastAsia="Times New Roman" w:hAnsiTheme="minorHAnsi" w:cs="Arial"/>
                <w:b/>
                <w:color w:val="000000"/>
                <w:sz w:val="18"/>
                <w:szCs w:val="18"/>
              </w:rPr>
              <w:t>New England East–West Solution (NEEWS)</w:t>
            </w:r>
          </w:p>
        </w:tc>
        <w:tc>
          <w:tcPr>
            <w:tcW w:w="2174" w:type="dxa"/>
            <w:shd w:val="clear" w:color="auto" w:fill="auto"/>
            <w:noWrap/>
            <w:tcMar>
              <w:top w:w="14" w:type="dxa"/>
              <w:left w:w="115" w:type="dxa"/>
              <w:bottom w:w="14" w:type="dxa"/>
              <w:right w:w="115" w:type="dxa"/>
            </w:tcMar>
            <w:vAlign w:val="center"/>
            <w:hideMark/>
          </w:tcPr>
          <w:p w:rsidR="00F645C1" w:rsidRPr="00D1131C" w:rsidRDefault="00F645C1" w:rsidP="00F645C1">
            <w:pPr>
              <w:keepNext/>
              <w:keepLines/>
              <w:spacing w:before="20" w:after="20" w:line="240" w:lineRule="auto"/>
              <w:jc w:val="right"/>
              <w:rPr>
                <w:rFonts w:asciiTheme="minorHAnsi" w:eastAsia="Times New Roman" w:hAnsiTheme="minorHAnsi" w:cs="Arial"/>
                <w:color w:val="000000"/>
                <w:sz w:val="18"/>
                <w:szCs w:val="18"/>
              </w:rPr>
            </w:pPr>
            <w:r w:rsidRPr="00D1131C">
              <w:rPr>
                <w:rFonts w:asciiTheme="minorHAnsi" w:eastAsia="Times New Roman" w:hAnsiTheme="minorHAnsi" w:cs="Arial"/>
                <w:color w:val="000000"/>
                <w:sz w:val="18"/>
                <w:szCs w:val="18"/>
              </w:rPr>
              <w:t>1,581</w:t>
            </w:r>
          </w:p>
        </w:tc>
      </w:tr>
      <w:tr w:rsidR="00F645C1" w:rsidRPr="00D1131C" w:rsidTr="003021D4">
        <w:trPr>
          <w:trHeight w:val="270"/>
          <w:jc w:val="center"/>
        </w:trPr>
        <w:tc>
          <w:tcPr>
            <w:tcW w:w="6495" w:type="dxa"/>
            <w:shd w:val="clear" w:color="auto" w:fill="auto"/>
            <w:tcMar>
              <w:top w:w="14" w:type="dxa"/>
              <w:left w:w="115" w:type="dxa"/>
              <w:bottom w:w="14" w:type="dxa"/>
              <w:right w:w="115" w:type="dxa"/>
            </w:tcMar>
            <w:vAlign w:val="center"/>
            <w:hideMark/>
          </w:tcPr>
          <w:p w:rsidR="00F645C1" w:rsidRPr="00D1131C" w:rsidRDefault="00F645C1" w:rsidP="00F645C1">
            <w:pPr>
              <w:keepNext/>
              <w:keepLines/>
              <w:spacing w:before="20" w:after="20" w:line="240" w:lineRule="auto"/>
              <w:ind w:left="288"/>
              <w:rPr>
                <w:rFonts w:asciiTheme="minorHAnsi" w:eastAsia="Times New Roman" w:hAnsiTheme="minorHAnsi" w:cs="Arial"/>
                <w:b/>
                <w:color w:val="000000"/>
                <w:sz w:val="18"/>
                <w:szCs w:val="18"/>
              </w:rPr>
            </w:pPr>
            <w:r w:rsidRPr="00D1131C">
              <w:rPr>
                <w:rFonts w:asciiTheme="minorHAnsi" w:eastAsia="Times New Roman" w:hAnsiTheme="minorHAnsi" w:cs="Arial"/>
                <w:b/>
                <w:color w:val="000000"/>
                <w:sz w:val="18"/>
                <w:szCs w:val="18"/>
              </w:rPr>
              <w:t>NEEWS (Greater Springfield Reliability Project)—$676.0 million</w:t>
            </w:r>
          </w:p>
        </w:tc>
        <w:tc>
          <w:tcPr>
            <w:tcW w:w="2174" w:type="dxa"/>
            <w:shd w:val="clear" w:color="auto" w:fill="auto"/>
            <w:noWrap/>
            <w:tcMar>
              <w:top w:w="14" w:type="dxa"/>
              <w:left w:w="115" w:type="dxa"/>
              <w:bottom w:w="14" w:type="dxa"/>
              <w:right w:w="115" w:type="dxa"/>
            </w:tcMar>
            <w:vAlign w:val="center"/>
            <w:hideMark/>
          </w:tcPr>
          <w:p w:rsidR="00F645C1" w:rsidRPr="00D1131C" w:rsidRDefault="00F645C1" w:rsidP="00F645C1">
            <w:pPr>
              <w:keepNext/>
              <w:keepLines/>
              <w:spacing w:before="20" w:after="20" w:line="240" w:lineRule="auto"/>
              <w:jc w:val="right"/>
              <w:rPr>
                <w:rFonts w:asciiTheme="minorHAnsi" w:eastAsia="Times New Roman" w:hAnsiTheme="minorHAnsi" w:cs="Arial"/>
                <w:color w:val="000000"/>
                <w:sz w:val="18"/>
                <w:szCs w:val="18"/>
              </w:rPr>
            </w:pPr>
          </w:p>
        </w:tc>
      </w:tr>
      <w:tr w:rsidR="00F645C1" w:rsidRPr="00D1131C" w:rsidTr="003021D4">
        <w:trPr>
          <w:trHeight w:val="270"/>
          <w:jc w:val="center"/>
        </w:trPr>
        <w:tc>
          <w:tcPr>
            <w:tcW w:w="6495" w:type="dxa"/>
            <w:shd w:val="clear" w:color="auto" w:fill="auto"/>
            <w:tcMar>
              <w:top w:w="14" w:type="dxa"/>
              <w:left w:w="115" w:type="dxa"/>
              <w:bottom w:w="14" w:type="dxa"/>
              <w:right w:w="115" w:type="dxa"/>
            </w:tcMar>
            <w:vAlign w:val="center"/>
            <w:hideMark/>
          </w:tcPr>
          <w:p w:rsidR="00F645C1" w:rsidRPr="00D1131C" w:rsidRDefault="00F645C1" w:rsidP="00F645C1">
            <w:pPr>
              <w:keepNext/>
              <w:keepLines/>
              <w:spacing w:before="20" w:after="20" w:line="240" w:lineRule="auto"/>
              <w:ind w:left="288"/>
              <w:rPr>
                <w:rFonts w:asciiTheme="minorHAnsi" w:eastAsia="Times New Roman" w:hAnsiTheme="minorHAnsi" w:cs="Arial"/>
                <w:b/>
                <w:color w:val="000000"/>
                <w:sz w:val="18"/>
                <w:szCs w:val="18"/>
              </w:rPr>
            </w:pPr>
            <w:r w:rsidRPr="00D1131C">
              <w:rPr>
                <w:rFonts w:asciiTheme="minorHAnsi" w:eastAsia="Times New Roman" w:hAnsiTheme="minorHAnsi" w:cs="Arial"/>
                <w:b/>
                <w:color w:val="000000"/>
                <w:sz w:val="18"/>
                <w:szCs w:val="18"/>
              </w:rPr>
              <w:t>NEEWS (Rhode Island Reliability Project)—$362.3 million</w:t>
            </w:r>
          </w:p>
        </w:tc>
        <w:tc>
          <w:tcPr>
            <w:tcW w:w="2174" w:type="dxa"/>
            <w:shd w:val="clear" w:color="auto" w:fill="auto"/>
            <w:noWrap/>
            <w:tcMar>
              <w:top w:w="14" w:type="dxa"/>
              <w:left w:w="115" w:type="dxa"/>
              <w:bottom w:w="14" w:type="dxa"/>
              <w:right w:w="115" w:type="dxa"/>
            </w:tcMar>
            <w:vAlign w:val="center"/>
            <w:hideMark/>
          </w:tcPr>
          <w:p w:rsidR="00F645C1" w:rsidRPr="00D1131C" w:rsidRDefault="00F645C1" w:rsidP="00F645C1">
            <w:pPr>
              <w:keepNext/>
              <w:keepLines/>
              <w:spacing w:before="20" w:after="20" w:line="240" w:lineRule="auto"/>
              <w:jc w:val="right"/>
              <w:rPr>
                <w:rFonts w:asciiTheme="minorHAnsi" w:eastAsia="Times New Roman" w:hAnsiTheme="minorHAnsi" w:cs="Arial"/>
                <w:color w:val="000000"/>
                <w:sz w:val="18"/>
                <w:szCs w:val="18"/>
              </w:rPr>
            </w:pPr>
          </w:p>
        </w:tc>
      </w:tr>
      <w:tr w:rsidR="00F645C1" w:rsidRPr="00D1131C" w:rsidTr="003021D4">
        <w:trPr>
          <w:trHeight w:val="270"/>
          <w:jc w:val="center"/>
        </w:trPr>
        <w:tc>
          <w:tcPr>
            <w:tcW w:w="6495" w:type="dxa"/>
            <w:shd w:val="clear" w:color="auto" w:fill="auto"/>
            <w:tcMar>
              <w:top w:w="14" w:type="dxa"/>
              <w:left w:w="115" w:type="dxa"/>
              <w:bottom w:w="14" w:type="dxa"/>
              <w:right w:w="115" w:type="dxa"/>
            </w:tcMar>
            <w:vAlign w:val="center"/>
            <w:hideMark/>
          </w:tcPr>
          <w:p w:rsidR="00F645C1" w:rsidRPr="00D1131C" w:rsidRDefault="00F645C1" w:rsidP="00F645C1">
            <w:pPr>
              <w:keepNext/>
              <w:keepLines/>
              <w:spacing w:before="20" w:after="20" w:line="240" w:lineRule="auto"/>
              <w:ind w:left="288"/>
              <w:rPr>
                <w:rFonts w:asciiTheme="minorHAnsi" w:eastAsia="Times New Roman" w:hAnsiTheme="minorHAnsi" w:cs="Arial"/>
                <w:b/>
                <w:color w:val="000000"/>
                <w:sz w:val="18"/>
                <w:szCs w:val="18"/>
              </w:rPr>
            </w:pPr>
            <w:r w:rsidRPr="00D1131C">
              <w:rPr>
                <w:rFonts w:asciiTheme="minorHAnsi" w:eastAsia="Times New Roman" w:hAnsiTheme="minorHAnsi" w:cs="Arial"/>
                <w:b/>
                <w:color w:val="000000"/>
                <w:sz w:val="18"/>
                <w:szCs w:val="18"/>
              </w:rPr>
              <w:t>NEEWS (Interstate Reliability Project)—$482.3 million</w:t>
            </w:r>
          </w:p>
        </w:tc>
        <w:tc>
          <w:tcPr>
            <w:tcW w:w="2174" w:type="dxa"/>
            <w:shd w:val="clear" w:color="auto" w:fill="auto"/>
            <w:noWrap/>
            <w:tcMar>
              <w:top w:w="14" w:type="dxa"/>
              <w:left w:w="115" w:type="dxa"/>
              <w:bottom w:w="14" w:type="dxa"/>
              <w:right w:w="115" w:type="dxa"/>
            </w:tcMar>
            <w:vAlign w:val="center"/>
            <w:hideMark/>
          </w:tcPr>
          <w:p w:rsidR="00F645C1" w:rsidRPr="00D1131C" w:rsidRDefault="00F645C1" w:rsidP="00F645C1">
            <w:pPr>
              <w:keepNext/>
              <w:keepLines/>
              <w:spacing w:before="20" w:after="20" w:line="240" w:lineRule="auto"/>
              <w:jc w:val="right"/>
              <w:rPr>
                <w:rFonts w:asciiTheme="minorHAnsi" w:eastAsia="Times New Roman" w:hAnsiTheme="minorHAnsi" w:cs="Arial"/>
                <w:color w:val="000000"/>
                <w:sz w:val="18"/>
                <w:szCs w:val="18"/>
              </w:rPr>
            </w:pPr>
          </w:p>
        </w:tc>
      </w:tr>
      <w:tr w:rsidR="00F645C1" w:rsidRPr="00D1131C" w:rsidTr="003021D4">
        <w:trPr>
          <w:trHeight w:val="270"/>
          <w:jc w:val="center"/>
        </w:trPr>
        <w:tc>
          <w:tcPr>
            <w:tcW w:w="6495" w:type="dxa"/>
            <w:shd w:val="clear" w:color="auto" w:fill="auto"/>
            <w:tcMar>
              <w:top w:w="14" w:type="dxa"/>
              <w:left w:w="115" w:type="dxa"/>
              <w:bottom w:w="14" w:type="dxa"/>
              <w:right w:w="115" w:type="dxa"/>
            </w:tcMar>
            <w:vAlign w:val="center"/>
            <w:hideMark/>
          </w:tcPr>
          <w:p w:rsidR="00F645C1" w:rsidRPr="00D1131C" w:rsidRDefault="00F645C1" w:rsidP="00F645C1">
            <w:pPr>
              <w:keepNext/>
              <w:keepLines/>
              <w:spacing w:before="20" w:after="20" w:line="240" w:lineRule="auto"/>
              <w:ind w:left="288"/>
              <w:rPr>
                <w:rFonts w:asciiTheme="minorHAnsi" w:eastAsia="Times New Roman" w:hAnsiTheme="minorHAnsi" w:cs="Arial"/>
                <w:b/>
                <w:color w:val="000000"/>
                <w:sz w:val="18"/>
                <w:szCs w:val="18"/>
              </w:rPr>
            </w:pPr>
            <w:r w:rsidRPr="00D1131C">
              <w:rPr>
                <w:rFonts w:asciiTheme="minorHAnsi" w:eastAsia="Times New Roman" w:hAnsiTheme="minorHAnsi" w:cs="Arial"/>
                <w:b/>
                <w:color w:val="000000"/>
                <w:sz w:val="18"/>
                <w:szCs w:val="18"/>
              </w:rPr>
              <w:t>NEEWS (other)—$59.6 million</w:t>
            </w:r>
          </w:p>
        </w:tc>
        <w:tc>
          <w:tcPr>
            <w:tcW w:w="2174" w:type="dxa"/>
            <w:shd w:val="clear" w:color="auto" w:fill="auto"/>
            <w:noWrap/>
            <w:tcMar>
              <w:top w:w="14" w:type="dxa"/>
              <w:left w:w="115" w:type="dxa"/>
              <w:bottom w:w="14" w:type="dxa"/>
              <w:right w:w="115" w:type="dxa"/>
            </w:tcMar>
            <w:vAlign w:val="center"/>
            <w:hideMark/>
          </w:tcPr>
          <w:p w:rsidR="00F645C1" w:rsidRPr="00D1131C" w:rsidRDefault="00F645C1" w:rsidP="00F645C1">
            <w:pPr>
              <w:keepNext/>
              <w:keepLines/>
              <w:spacing w:before="20" w:after="20" w:line="240" w:lineRule="auto"/>
              <w:jc w:val="right"/>
              <w:rPr>
                <w:rFonts w:asciiTheme="minorHAnsi" w:eastAsia="Times New Roman" w:hAnsiTheme="minorHAnsi" w:cs="Arial"/>
                <w:color w:val="000000"/>
                <w:sz w:val="18"/>
                <w:szCs w:val="18"/>
              </w:rPr>
            </w:pPr>
          </w:p>
        </w:tc>
      </w:tr>
      <w:tr w:rsidR="00AD13B2" w:rsidRPr="00D1131C" w:rsidTr="003021D4">
        <w:trPr>
          <w:trHeight w:val="278"/>
          <w:jc w:val="center"/>
        </w:trPr>
        <w:tc>
          <w:tcPr>
            <w:tcW w:w="6495" w:type="dxa"/>
            <w:shd w:val="clear" w:color="auto" w:fill="auto"/>
            <w:tcMar>
              <w:top w:w="14" w:type="dxa"/>
              <w:left w:w="115" w:type="dxa"/>
              <w:bottom w:w="14" w:type="dxa"/>
              <w:right w:w="115" w:type="dxa"/>
            </w:tcMar>
            <w:vAlign w:val="center"/>
            <w:hideMark/>
          </w:tcPr>
          <w:p w:rsidR="00AD13B2" w:rsidRPr="00D1131C" w:rsidRDefault="00AD13B2" w:rsidP="00F645C1">
            <w:pPr>
              <w:keepNext/>
              <w:keepLines/>
              <w:spacing w:before="20" w:after="20" w:line="240" w:lineRule="auto"/>
              <w:rPr>
                <w:rFonts w:asciiTheme="minorHAnsi" w:eastAsia="Times New Roman" w:hAnsiTheme="minorHAnsi" w:cs="Arial"/>
                <w:b/>
                <w:color w:val="000000"/>
                <w:sz w:val="18"/>
                <w:szCs w:val="18"/>
              </w:rPr>
            </w:pPr>
            <w:r w:rsidRPr="00D1131C">
              <w:rPr>
                <w:rFonts w:asciiTheme="minorHAnsi" w:eastAsia="Times New Roman" w:hAnsiTheme="minorHAnsi" w:cs="Arial"/>
                <w:b/>
                <w:color w:val="000000"/>
                <w:sz w:val="18"/>
                <w:szCs w:val="18"/>
              </w:rPr>
              <w:t>Southeast Massachusetts/Rhode Island Reliability Project</w:t>
            </w:r>
          </w:p>
        </w:tc>
        <w:tc>
          <w:tcPr>
            <w:tcW w:w="2174" w:type="dxa"/>
            <w:shd w:val="clear" w:color="auto" w:fill="auto"/>
            <w:noWrap/>
            <w:tcMar>
              <w:top w:w="14" w:type="dxa"/>
              <w:left w:w="115" w:type="dxa"/>
              <w:bottom w:w="14" w:type="dxa"/>
              <w:right w:w="115" w:type="dxa"/>
            </w:tcMar>
            <w:vAlign w:val="center"/>
            <w:hideMark/>
          </w:tcPr>
          <w:p w:rsidR="00AD13B2" w:rsidRPr="00D1131C" w:rsidRDefault="00AD13B2" w:rsidP="00F645C1">
            <w:pPr>
              <w:keepNext/>
              <w:keepLines/>
              <w:spacing w:before="20" w:after="20" w:line="240" w:lineRule="auto"/>
              <w:jc w:val="right"/>
              <w:rPr>
                <w:rFonts w:asciiTheme="minorHAnsi" w:eastAsia="Times New Roman" w:hAnsiTheme="minorHAnsi" w:cs="Arial"/>
                <w:color w:val="000000"/>
                <w:sz w:val="18"/>
                <w:szCs w:val="18"/>
              </w:rPr>
            </w:pPr>
            <w:r w:rsidRPr="00D1131C">
              <w:rPr>
                <w:rFonts w:asciiTheme="minorHAnsi" w:eastAsia="Times New Roman" w:hAnsiTheme="minorHAnsi" w:cs="Arial"/>
                <w:color w:val="000000"/>
                <w:sz w:val="18"/>
                <w:szCs w:val="18"/>
              </w:rPr>
              <w:t>309</w:t>
            </w:r>
          </w:p>
        </w:tc>
      </w:tr>
      <w:tr w:rsidR="00AD13B2" w:rsidRPr="00D1131C" w:rsidTr="003021D4">
        <w:trPr>
          <w:trHeight w:val="278"/>
          <w:jc w:val="center"/>
        </w:trPr>
        <w:tc>
          <w:tcPr>
            <w:tcW w:w="6495" w:type="dxa"/>
            <w:shd w:val="clear" w:color="auto" w:fill="auto"/>
            <w:noWrap/>
            <w:tcMar>
              <w:top w:w="14" w:type="dxa"/>
              <w:left w:w="115" w:type="dxa"/>
              <w:bottom w:w="14" w:type="dxa"/>
              <w:right w:w="115" w:type="dxa"/>
            </w:tcMar>
            <w:vAlign w:val="center"/>
            <w:hideMark/>
          </w:tcPr>
          <w:p w:rsidR="00AD13B2" w:rsidRPr="00D1131C" w:rsidRDefault="00AD13B2" w:rsidP="00F645C1">
            <w:pPr>
              <w:keepNext/>
              <w:keepLines/>
              <w:spacing w:before="20" w:after="20" w:line="240" w:lineRule="auto"/>
              <w:rPr>
                <w:rFonts w:asciiTheme="minorHAnsi" w:eastAsia="Times New Roman" w:hAnsiTheme="minorHAnsi" w:cs="Arial"/>
                <w:b/>
                <w:color w:val="000000"/>
                <w:sz w:val="18"/>
                <w:szCs w:val="18"/>
              </w:rPr>
            </w:pPr>
            <w:r w:rsidRPr="00D1131C">
              <w:rPr>
                <w:rFonts w:asciiTheme="minorHAnsi" w:eastAsia="Times New Roman" w:hAnsiTheme="minorHAnsi" w:cs="Arial"/>
                <w:b/>
                <w:color w:val="000000"/>
                <w:sz w:val="18"/>
                <w:szCs w:val="18"/>
              </w:rPr>
              <w:t>Pittsfield-Greenfield Project</w:t>
            </w:r>
          </w:p>
        </w:tc>
        <w:tc>
          <w:tcPr>
            <w:tcW w:w="2174" w:type="dxa"/>
            <w:shd w:val="clear" w:color="auto" w:fill="auto"/>
            <w:noWrap/>
            <w:tcMar>
              <w:top w:w="14" w:type="dxa"/>
              <w:left w:w="115" w:type="dxa"/>
              <w:bottom w:w="14" w:type="dxa"/>
              <w:right w:w="115" w:type="dxa"/>
            </w:tcMar>
            <w:vAlign w:val="center"/>
            <w:hideMark/>
          </w:tcPr>
          <w:p w:rsidR="00AD13B2" w:rsidRPr="00D1131C" w:rsidRDefault="00AD13B2" w:rsidP="00F645C1">
            <w:pPr>
              <w:keepNext/>
              <w:keepLines/>
              <w:spacing w:before="20" w:after="20" w:line="240" w:lineRule="auto"/>
              <w:jc w:val="right"/>
              <w:rPr>
                <w:rFonts w:asciiTheme="minorHAnsi" w:eastAsia="Times New Roman" w:hAnsiTheme="minorHAnsi" w:cs="Arial"/>
                <w:color w:val="000000"/>
                <w:sz w:val="18"/>
                <w:szCs w:val="18"/>
              </w:rPr>
            </w:pPr>
            <w:r w:rsidRPr="00D1131C">
              <w:rPr>
                <w:rFonts w:asciiTheme="minorHAnsi" w:eastAsia="Times New Roman" w:hAnsiTheme="minorHAnsi" w:cs="Arial"/>
                <w:color w:val="000000"/>
                <w:sz w:val="18"/>
                <w:szCs w:val="18"/>
              </w:rPr>
              <w:t>191</w:t>
            </w:r>
          </w:p>
        </w:tc>
      </w:tr>
      <w:tr w:rsidR="00AD13B2" w:rsidRPr="00D1131C" w:rsidTr="003021D4">
        <w:trPr>
          <w:trHeight w:val="278"/>
          <w:jc w:val="center"/>
        </w:trPr>
        <w:tc>
          <w:tcPr>
            <w:tcW w:w="6495" w:type="dxa"/>
            <w:shd w:val="clear" w:color="auto" w:fill="auto"/>
            <w:noWrap/>
            <w:tcMar>
              <w:top w:w="14" w:type="dxa"/>
              <w:left w:w="115" w:type="dxa"/>
              <w:bottom w:w="14" w:type="dxa"/>
              <w:right w:w="115" w:type="dxa"/>
            </w:tcMar>
            <w:vAlign w:val="center"/>
            <w:hideMark/>
          </w:tcPr>
          <w:p w:rsidR="00AD13B2" w:rsidRPr="00D1131C" w:rsidRDefault="00AD13B2" w:rsidP="00F645C1">
            <w:pPr>
              <w:keepNext/>
              <w:keepLines/>
              <w:spacing w:before="20" w:after="20" w:line="240" w:lineRule="auto"/>
              <w:rPr>
                <w:rFonts w:asciiTheme="minorHAnsi" w:eastAsia="Times New Roman" w:hAnsiTheme="minorHAnsi" w:cs="Arial"/>
                <w:b/>
                <w:color w:val="000000"/>
                <w:sz w:val="18"/>
                <w:szCs w:val="18"/>
              </w:rPr>
            </w:pPr>
            <w:r w:rsidRPr="00D1131C">
              <w:rPr>
                <w:rFonts w:asciiTheme="minorHAnsi" w:eastAsia="Times New Roman" w:hAnsiTheme="minorHAnsi" w:cs="Arial"/>
                <w:b/>
                <w:color w:val="000000"/>
                <w:sz w:val="18"/>
                <w:szCs w:val="18"/>
              </w:rPr>
              <w:t>Greater Boston—North, South, Central, Western Suburbs</w:t>
            </w:r>
          </w:p>
        </w:tc>
        <w:tc>
          <w:tcPr>
            <w:tcW w:w="2174" w:type="dxa"/>
            <w:shd w:val="clear" w:color="auto" w:fill="auto"/>
            <w:noWrap/>
            <w:tcMar>
              <w:top w:w="14" w:type="dxa"/>
              <w:left w:w="115" w:type="dxa"/>
              <w:bottom w:w="14" w:type="dxa"/>
              <w:right w:w="115" w:type="dxa"/>
            </w:tcMar>
            <w:vAlign w:val="center"/>
            <w:hideMark/>
          </w:tcPr>
          <w:p w:rsidR="00AD13B2" w:rsidRPr="00D1131C" w:rsidRDefault="00AD13B2" w:rsidP="00F645C1">
            <w:pPr>
              <w:keepNext/>
              <w:keepLines/>
              <w:spacing w:before="20" w:after="20" w:line="240" w:lineRule="auto"/>
              <w:jc w:val="right"/>
              <w:rPr>
                <w:rFonts w:asciiTheme="minorHAnsi" w:eastAsia="Times New Roman" w:hAnsiTheme="minorHAnsi" w:cs="Arial"/>
                <w:color w:val="000000"/>
                <w:sz w:val="18"/>
                <w:szCs w:val="18"/>
              </w:rPr>
            </w:pPr>
            <w:r w:rsidRPr="00D1131C">
              <w:rPr>
                <w:rFonts w:asciiTheme="minorHAnsi" w:eastAsia="Times New Roman" w:hAnsiTheme="minorHAnsi" w:cs="Arial"/>
                <w:color w:val="000000"/>
                <w:sz w:val="18"/>
                <w:szCs w:val="18"/>
              </w:rPr>
              <w:t>827</w:t>
            </w:r>
          </w:p>
        </w:tc>
      </w:tr>
      <w:tr w:rsidR="00AD13B2" w:rsidRPr="00D1131C" w:rsidTr="003021D4">
        <w:trPr>
          <w:trHeight w:val="278"/>
          <w:jc w:val="center"/>
        </w:trPr>
        <w:tc>
          <w:tcPr>
            <w:tcW w:w="6495" w:type="dxa"/>
            <w:shd w:val="clear" w:color="auto" w:fill="auto"/>
            <w:tcMar>
              <w:top w:w="14" w:type="dxa"/>
              <w:left w:w="115" w:type="dxa"/>
              <w:bottom w:w="14" w:type="dxa"/>
              <w:right w:w="115" w:type="dxa"/>
            </w:tcMar>
            <w:vAlign w:val="center"/>
            <w:hideMark/>
          </w:tcPr>
          <w:p w:rsidR="00AD13B2" w:rsidRPr="00D1131C" w:rsidRDefault="00AD13B2" w:rsidP="00F645C1">
            <w:pPr>
              <w:keepNext/>
              <w:keepLines/>
              <w:spacing w:before="20" w:after="20" w:line="240" w:lineRule="auto"/>
              <w:rPr>
                <w:rFonts w:asciiTheme="minorHAnsi" w:eastAsia="Times New Roman" w:hAnsiTheme="minorHAnsi" w:cs="Arial"/>
                <w:b/>
                <w:color w:val="000000"/>
                <w:sz w:val="18"/>
                <w:szCs w:val="18"/>
              </w:rPr>
            </w:pPr>
            <w:r w:rsidRPr="00D1131C">
              <w:rPr>
                <w:rFonts w:asciiTheme="minorHAnsi" w:eastAsia="Times New Roman" w:hAnsiTheme="minorHAnsi" w:cs="Arial"/>
                <w:b/>
                <w:color w:val="000000"/>
                <w:sz w:val="18"/>
                <w:szCs w:val="18"/>
              </w:rPr>
              <w:t>New Hampshire Solution—Southern, Central, Seacoast, Northern</w:t>
            </w:r>
          </w:p>
        </w:tc>
        <w:tc>
          <w:tcPr>
            <w:tcW w:w="2174" w:type="dxa"/>
            <w:shd w:val="clear" w:color="auto" w:fill="auto"/>
            <w:noWrap/>
            <w:tcMar>
              <w:top w:w="14" w:type="dxa"/>
              <w:left w:w="115" w:type="dxa"/>
              <w:bottom w:w="14" w:type="dxa"/>
              <w:right w:w="115" w:type="dxa"/>
            </w:tcMar>
            <w:vAlign w:val="center"/>
            <w:hideMark/>
          </w:tcPr>
          <w:p w:rsidR="00AD13B2" w:rsidRPr="00D1131C" w:rsidRDefault="00AD13B2" w:rsidP="00F645C1">
            <w:pPr>
              <w:keepNext/>
              <w:keepLines/>
              <w:spacing w:before="20" w:after="20" w:line="240" w:lineRule="auto"/>
              <w:jc w:val="right"/>
              <w:rPr>
                <w:rFonts w:asciiTheme="minorHAnsi" w:eastAsia="Times New Roman" w:hAnsiTheme="minorHAnsi" w:cs="Arial"/>
                <w:color w:val="000000"/>
                <w:sz w:val="18"/>
                <w:szCs w:val="18"/>
              </w:rPr>
            </w:pPr>
            <w:r w:rsidRPr="00D1131C">
              <w:rPr>
                <w:rFonts w:asciiTheme="minorHAnsi" w:eastAsia="Times New Roman" w:hAnsiTheme="minorHAnsi" w:cs="Arial"/>
                <w:color w:val="000000"/>
                <w:sz w:val="18"/>
                <w:szCs w:val="18"/>
              </w:rPr>
              <w:t>328</w:t>
            </w:r>
          </w:p>
        </w:tc>
      </w:tr>
      <w:tr w:rsidR="00AD13B2" w:rsidRPr="00D1131C" w:rsidTr="003021D4">
        <w:trPr>
          <w:trHeight w:val="285"/>
          <w:jc w:val="center"/>
        </w:trPr>
        <w:tc>
          <w:tcPr>
            <w:tcW w:w="6495" w:type="dxa"/>
            <w:shd w:val="clear" w:color="auto" w:fill="auto"/>
            <w:tcMar>
              <w:top w:w="14" w:type="dxa"/>
              <w:left w:w="115" w:type="dxa"/>
              <w:bottom w:w="14" w:type="dxa"/>
              <w:right w:w="115" w:type="dxa"/>
            </w:tcMar>
            <w:vAlign w:val="center"/>
            <w:hideMark/>
          </w:tcPr>
          <w:p w:rsidR="00AD13B2" w:rsidRPr="00D1131C" w:rsidRDefault="00AD13B2" w:rsidP="00F645C1">
            <w:pPr>
              <w:keepNext/>
              <w:keepLines/>
              <w:spacing w:before="20" w:after="20" w:line="240" w:lineRule="auto"/>
              <w:rPr>
                <w:rFonts w:asciiTheme="minorHAnsi" w:eastAsia="Times New Roman" w:hAnsiTheme="minorHAnsi" w:cs="Arial"/>
                <w:b/>
                <w:color w:val="000000"/>
                <w:sz w:val="18"/>
                <w:szCs w:val="18"/>
              </w:rPr>
            </w:pPr>
            <w:r w:rsidRPr="00D1131C">
              <w:rPr>
                <w:rFonts w:asciiTheme="minorHAnsi" w:eastAsia="Times New Roman" w:hAnsiTheme="minorHAnsi" w:cs="Arial"/>
                <w:b/>
                <w:color w:val="000000"/>
                <w:sz w:val="18"/>
                <w:szCs w:val="18"/>
              </w:rPr>
              <w:t>Vermont Solution—Southeastern, Connecticut River</w:t>
            </w:r>
          </w:p>
        </w:tc>
        <w:tc>
          <w:tcPr>
            <w:tcW w:w="2174" w:type="dxa"/>
            <w:shd w:val="clear" w:color="auto" w:fill="auto"/>
            <w:noWrap/>
            <w:tcMar>
              <w:top w:w="14" w:type="dxa"/>
              <w:left w:w="115" w:type="dxa"/>
              <w:bottom w:w="14" w:type="dxa"/>
              <w:right w:w="115" w:type="dxa"/>
            </w:tcMar>
            <w:vAlign w:val="center"/>
            <w:hideMark/>
          </w:tcPr>
          <w:p w:rsidR="00AD13B2" w:rsidRPr="00D1131C" w:rsidRDefault="00AD13B2" w:rsidP="00F645C1">
            <w:pPr>
              <w:keepNext/>
              <w:keepLines/>
              <w:spacing w:before="20" w:after="20" w:line="240" w:lineRule="auto"/>
              <w:jc w:val="right"/>
              <w:rPr>
                <w:rFonts w:asciiTheme="minorHAnsi" w:eastAsia="Times New Roman" w:hAnsiTheme="minorHAnsi" w:cs="Arial"/>
                <w:color w:val="000000"/>
                <w:sz w:val="18"/>
                <w:szCs w:val="18"/>
              </w:rPr>
            </w:pPr>
            <w:r w:rsidRPr="00D1131C">
              <w:rPr>
                <w:rFonts w:asciiTheme="minorHAnsi" w:eastAsia="Times New Roman" w:hAnsiTheme="minorHAnsi" w:cs="Arial"/>
                <w:color w:val="000000"/>
                <w:sz w:val="18"/>
                <w:szCs w:val="18"/>
              </w:rPr>
              <w:t>96</w:t>
            </w:r>
          </w:p>
        </w:tc>
      </w:tr>
      <w:tr w:rsidR="00AD13B2" w:rsidRPr="00D1131C" w:rsidTr="003021D4">
        <w:trPr>
          <w:trHeight w:val="285"/>
          <w:jc w:val="center"/>
        </w:trPr>
        <w:tc>
          <w:tcPr>
            <w:tcW w:w="6495" w:type="dxa"/>
            <w:shd w:val="clear" w:color="auto" w:fill="auto"/>
            <w:tcMar>
              <w:top w:w="14" w:type="dxa"/>
              <w:left w:w="115" w:type="dxa"/>
              <w:bottom w:w="14" w:type="dxa"/>
              <w:right w:w="115" w:type="dxa"/>
            </w:tcMar>
            <w:vAlign w:val="center"/>
            <w:hideMark/>
          </w:tcPr>
          <w:p w:rsidR="00AD13B2" w:rsidRPr="00D1131C" w:rsidRDefault="00AD13B2" w:rsidP="00F645C1">
            <w:pPr>
              <w:keepNext/>
              <w:keepLines/>
              <w:spacing w:before="20" w:after="20" w:line="240" w:lineRule="auto"/>
              <w:rPr>
                <w:rFonts w:asciiTheme="minorHAnsi" w:eastAsia="Times New Roman" w:hAnsiTheme="minorHAnsi" w:cs="Arial"/>
                <w:b/>
                <w:color w:val="000000"/>
                <w:sz w:val="18"/>
                <w:szCs w:val="18"/>
              </w:rPr>
            </w:pPr>
            <w:r w:rsidRPr="00D1131C">
              <w:rPr>
                <w:rFonts w:asciiTheme="minorHAnsi" w:eastAsia="Times New Roman" w:hAnsiTheme="minorHAnsi" w:cs="Arial"/>
                <w:b/>
                <w:color w:val="000000"/>
                <w:sz w:val="18"/>
                <w:szCs w:val="18"/>
              </w:rPr>
              <w:t>Southwest Connecticut</w:t>
            </w:r>
          </w:p>
        </w:tc>
        <w:tc>
          <w:tcPr>
            <w:tcW w:w="2174" w:type="dxa"/>
            <w:shd w:val="clear" w:color="auto" w:fill="auto"/>
            <w:noWrap/>
            <w:tcMar>
              <w:top w:w="14" w:type="dxa"/>
              <w:left w:w="115" w:type="dxa"/>
              <w:bottom w:w="14" w:type="dxa"/>
              <w:right w:w="115" w:type="dxa"/>
            </w:tcMar>
            <w:vAlign w:val="center"/>
            <w:hideMark/>
          </w:tcPr>
          <w:p w:rsidR="00AD13B2" w:rsidRPr="00D1131C" w:rsidRDefault="00AD13B2" w:rsidP="00F645C1">
            <w:pPr>
              <w:keepNext/>
              <w:keepLines/>
              <w:spacing w:before="20" w:after="20" w:line="240" w:lineRule="auto"/>
              <w:jc w:val="right"/>
              <w:rPr>
                <w:rFonts w:asciiTheme="minorHAnsi" w:eastAsia="Times New Roman" w:hAnsiTheme="minorHAnsi" w:cs="Arial"/>
                <w:color w:val="000000"/>
                <w:sz w:val="18"/>
                <w:szCs w:val="18"/>
              </w:rPr>
            </w:pPr>
            <w:r w:rsidRPr="00D1131C">
              <w:rPr>
                <w:rFonts w:asciiTheme="minorHAnsi" w:eastAsia="Times New Roman" w:hAnsiTheme="minorHAnsi" w:cs="Arial"/>
                <w:color w:val="000000"/>
                <w:sz w:val="18"/>
                <w:szCs w:val="18"/>
              </w:rPr>
              <w:t>415</w:t>
            </w:r>
          </w:p>
        </w:tc>
      </w:tr>
      <w:tr w:rsidR="00AD13B2" w:rsidRPr="00D1131C" w:rsidTr="003021D4">
        <w:trPr>
          <w:trHeight w:val="278"/>
          <w:jc w:val="center"/>
        </w:trPr>
        <w:tc>
          <w:tcPr>
            <w:tcW w:w="6495" w:type="dxa"/>
            <w:shd w:val="clear" w:color="auto" w:fill="CCEAF9" w:themeFill="accent1" w:themeFillTint="33"/>
            <w:noWrap/>
            <w:tcMar>
              <w:top w:w="14" w:type="dxa"/>
              <w:left w:w="115" w:type="dxa"/>
              <w:bottom w:w="14" w:type="dxa"/>
              <w:right w:w="115" w:type="dxa"/>
            </w:tcMar>
            <w:vAlign w:val="center"/>
            <w:hideMark/>
          </w:tcPr>
          <w:p w:rsidR="00AD13B2" w:rsidRPr="00D1131C" w:rsidRDefault="00AD13B2" w:rsidP="00F645C1">
            <w:pPr>
              <w:keepNext/>
              <w:keepLines/>
              <w:spacing w:before="20" w:after="20" w:line="240" w:lineRule="auto"/>
              <w:jc w:val="right"/>
              <w:rPr>
                <w:rFonts w:asciiTheme="minorHAnsi" w:eastAsia="Times New Roman" w:hAnsiTheme="minorHAnsi" w:cs="Arial"/>
                <w:b/>
                <w:color w:val="000000"/>
                <w:sz w:val="18"/>
                <w:szCs w:val="18"/>
              </w:rPr>
            </w:pPr>
            <w:r w:rsidRPr="00D1131C">
              <w:rPr>
                <w:rFonts w:asciiTheme="minorHAnsi" w:eastAsia="Times New Roman" w:hAnsiTheme="minorHAnsi" w:cs="Arial"/>
                <w:b/>
                <w:color w:val="000000"/>
                <w:sz w:val="18"/>
                <w:szCs w:val="18"/>
              </w:rPr>
              <w:t>Subtotal</w:t>
            </w:r>
            <w:r w:rsidRPr="00D1131C">
              <w:rPr>
                <w:rFonts w:asciiTheme="minorHAnsi" w:eastAsia="Times New Roman" w:hAnsiTheme="minorHAnsi" w:cs="Arial"/>
                <w:b/>
                <w:color w:val="000000"/>
                <w:sz w:val="18"/>
                <w:szCs w:val="18"/>
                <w:vertAlign w:val="superscript"/>
              </w:rPr>
              <w:t>(b)</w:t>
            </w:r>
          </w:p>
        </w:tc>
        <w:tc>
          <w:tcPr>
            <w:tcW w:w="2174" w:type="dxa"/>
            <w:shd w:val="clear" w:color="auto" w:fill="CCEAF9" w:themeFill="accent1" w:themeFillTint="33"/>
            <w:noWrap/>
            <w:tcMar>
              <w:top w:w="14" w:type="dxa"/>
              <w:left w:w="115" w:type="dxa"/>
              <w:bottom w:w="14" w:type="dxa"/>
              <w:right w:w="115" w:type="dxa"/>
            </w:tcMar>
            <w:vAlign w:val="center"/>
            <w:hideMark/>
          </w:tcPr>
          <w:p w:rsidR="00AD13B2" w:rsidRPr="00D1131C" w:rsidRDefault="00AD13B2" w:rsidP="00F645C1">
            <w:pPr>
              <w:keepNext/>
              <w:keepLines/>
              <w:spacing w:before="20" w:after="20" w:line="240" w:lineRule="auto"/>
              <w:jc w:val="right"/>
              <w:rPr>
                <w:rFonts w:asciiTheme="minorHAnsi" w:eastAsia="Times New Roman" w:hAnsiTheme="minorHAnsi" w:cs="Arial"/>
                <w:b/>
                <w:bCs/>
                <w:color w:val="000000"/>
                <w:sz w:val="18"/>
                <w:szCs w:val="18"/>
              </w:rPr>
            </w:pPr>
            <w:r w:rsidRPr="00D1131C">
              <w:rPr>
                <w:rFonts w:asciiTheme="minorHAnsi" w:eastAsia="Times New Roman" w:hAnsiTheme="minorHAnsi" w:cs="Arial"/>
                <w:b/>
                <w:bCs/>
                <w:color w:val="000000"/>
                <w:sz w:val="18"/>
                <w:szCs w:val="18"/>
              </w:rPr>
              <w:t>5,543</w:t>
            </w:r>
          </w:p>
        </w:tc>
      </w:tr>
      <w:tr w:rsidR="00AD13B2" w:rsidRPr="00D1131C" w:rsidTr="003021D4">
        <w:trPr>
          <w:trHeight w:val="323"/>
          <w:jc w:val="center"/>
        </w:trPr>
        <w:tc>
          <w:tcPr>
            <w:tcW w:w="6495" w:type="dxa"/>
            <w:shd w:val="clear" w:color="auto" w:fill="CCEAF9" w:themeFill="accent1" w:themeFillTint="33"/>
            <w:tcMar>
              <w:top w:w="14" w:type="dxa"/>
              <w:left w:w="115" w:type="dxa"/>
              <w:bottom w:w="14" w:type="dxa"/>
              <w:right w:w="115" w:type="dxa"/>
            </w:tcMar>
            <w:vAlign w:val="center"/>
            <w:hideMark/>
          </w:tcPr>
          <w:p w:rsidR="00AD13B2" w:rsidRPr="00D1131C" w:rsidRDefault="00AD13B2" w:rsidP="00F645C1">
            <w:pPr>
              <w:keepNext/>
              <w:keepLines/>
              <w:spacing w:before="20" w:after="20" w:line="240" w:lineRule="auto"/>
              <w:rPr>
                <w:rFonts w:asciiTheme="minorHAnsi" w:eastAsia="Times New Roman" w:hAnsiTheme="minorHAnsi" w:cs="Arial"/>
                <w:b/>
                <w:bCs/>
                <w:color w:val="000000"/>
                <w:sz w:val="18"/>
                <w:szCs w:val="18"/>
                <w:vertAlign w:val="superscript"/>
              </w:rPr>
            </w:pPr>
            <w:r w:rsidRPr="00D1131C">
              <w:rPr>
                <w:rFonts w:asciiTheme="minorHAnsi" w:eastAsia="Times New Roman" w:hAnsiTheme="minorHAnsi" w:cs="Arial"/>
                <w:b/>
                <w:bCs/>
                <w:color w:val="000000"/>
                <w:sz w:val="18"/>
                <w:szCs w:val="18"/>
              </w:rPr>
              <w:t>Other projects</w:t>
            </w:r>
            <w:r w:rsidRPr="00D1131C">
              <w:rPr>
                <w:rFonts w:asciiTheme="minorHAnsi" w:eastAsia="Times New Roman" w:hAnsiTheme="minorHAnsi" w:cs="Arial"/>
                <w:b/>
                <w:bCs/>
                <w:color w:val="000000"/>
                <w:sz w:val="18"/>
                <w:szCs w:val="18"/>
                <w:vertAlign w:val="superscript"/>
              </w:rPr>
              <w:t>(c)</w:t>
            </w:r>
          </w:p>
        </w:tc>
        <w:tc>
          <w:tcPr>
            <w:tcW w:w="2174" w:type="dxa"/>
            <w:shd w:val="clear" w:color="auto" w:fill="CCEAF9" w:themeFill="accent1" w:themeFillTint="33"/>
            <w:noWrap/>
            <w:tcMar>
              <w:top w:w="14" w:type="dxa"/>
              <w:left w:w="115" w:type="dxa"/>
              <w:bottom w:w="14" w:type="dxa"/>
              <w:right w:w="115" w:type="dxa"/>
            </w:tcMar>
            <w:vAlign w:val="center"/>
            <w:hideMark/>
          </w:tcPr>
          <w:p w:rsidR="00AD13B2" w:rsidRPr="00D1131C" w:rsidRDefault="00AD13B2" w:rsidP="00F645C1">
            <w:pPr>
              <w:keepNext/>
              <w:keepLines/>
              <w:spacing w:before="20" w:after="20" w:line="240" w:lineRule="auto"/>
              <w:jc w:val="right"/>
              <w:rPr>
                <w:rFonts w:asciiTheme="minorHAnsi" w:eastAsia="Times New Roman" w:hAnsiTheme="minorHAnsi" w:cs="Arial"/>
                <w:b/>
                <w:color w:val="000000"/>
                <w:sz w:val="18"/>
                <w:szCs w:val="18"/>
              </w:rPr>
            </w:pPr>
            <w:r w:rsidRPr="00D1131C">
              <w:rPr>
                <w:rFonts w:asciiTheme="minorHAnsi" w:eastAsia="Times New Roman" w:hAnsiTheme="minorHAnsi" w:cs="Arial"/>
                <w:b/>
                <w:color w:val="000000"/>
                <w:sz w:val="18"/>
                <w:szCs w:val="18"/>
              </w:rPr>
              <w:t>6,817</w:t>
            </w:r>
          </w:p>
        </w:tc>
      </w:tr>
      <w:tr w:rsidR="00AD13B2" w:rsidRPr="00D1131C" w:rsidTr="003021D4">
        <w:trPr>
          <w:trHeight w:val="390"/>
          <w:jc w:val="center"/>
        </w:trPr>
        <w:tc>
          <w:tcPr>
            <w:tcW w:w="6495" w:type="dxa"/>
            <w:shd w:val="clear" w:color="auto" w:fill="CCEAF9" w:themeFill="accent1" w:themeFillTint="33"/>
            <w:tcMar>
              <w:top w:w="14" w:type="dxa"/>
              <w:left w:w="115" w:type="dxa"/>
              <w:bottom w:w="14" w:type="dxa"/>
              <w:right w:w="115" w:type="dxa"/>
            </w:tcMar>
            <w:vAlign w:val="center"/>
            <w:hideMark/>
          </w:tcPr>
          <w:p w:rsidR="00AD13B2" w:rsidRPr="00D1131C" w:rsidRDefault="00AD13B2" w:rsidP="00601631">
            <w:pPr>
              <w:keepNext/>
              <w:keepLines/>
              <w:spacing w:before="20" w:after="20" w:line="240" w:lineRule="auto"/>
              <w:rPr>
                <w:rFonts w:asciiTheme="minorHAnsi" w:eastAsia="Times New Roman" w:hAnsiTheme="minorHAnsi" w:cs="Arial"/>
                <w:b/>
                <w:bCs/>
                <w:color w:val="000000"/>
                <w:sz w:val="18"/>
                <w:szCs w:val="18"/>
                <w:vertAlign w:val="superscript"/>
              </w:rPr>
            </w:pPr>
            <w:r w:rsidRPr="00D1131C">
              <w:rPr>
                <w:rFonts w:asciiTheme="minorHAnsi" w:eastAsia="Times New Roman" w:hAnsiTheme="minorHAnsi" w:cs="Arial"/>
                <w:b/>
                <w:bCs/>
                <w:color w:val="000000"/>
                <w:sz w:val="18"/>
                <w:szCs w:val="18"/>
              </w:rPr>
              <w:t xml:space="preserve">New </w:t>
            </w:r>
            <w:r w:rsidRPr="00945012">
              <w:rPr>
                <w:rFonts w:asciiTheme="minorHAnsi" w:eastAsia="Times New Roman" w:hAnsiTheme="minorHAnsi" w:cs="Arial"/>
                <w:b/>
                <w:bCs/>
                <w:color w:val="000000"/>
                <w:sz w:val="18"/>
                <w:szCs w:val="18"/>
              </w:rPr>
              <w:t>projects</w:t>
            </w:r>
            <w:r w:rsidRPr="00945012">
              <w:rPr>
                <w:rFonts w:asciiTheme="minorHAnsi" w:eastAsia="Times New Roman" w:hAnsiTheme="minorHAnsi" w:cs="Arial"/>
                <w:b/>
                <w:bCs/>
                <w:color w:val="000000"/>
                <w:sz w:val="18"/>
                <w:szCs w:val="18"/>
                <w:vertAlign w:val="superscript"/>
              </w:rPr>
              <w:t>(d)</w:t>
            </w:r>
          </w:p>
        </w:tc>
        <w:tc>
          <w:tcPr>
            <w:tcW w:w="2174" w:type="dxa"/>
            <w:shd w:val="clear" w:color="auto" w:fill="CCEAF9" w:themeFill="accent1" w:themeFillTint="33"/>
            <w:noWrap/>
            <w:tcMar>
              <w:top w:w="14" w:type="dxa"/>
              <w:left w:w="115" w:type="dxa"/>
              <w:bottom w:w="14" w:type="dxa"/>
              <w:right w:w="115" w:type="dxa"/>
            </w:tcMar>
            <w:vAlign w:val="center"/>
            <w:hideMark/>
          </w:tcPr>
          <w:p w:rsidR="00AD13B2" w:rsidRPr="00D1131C" w:rsidRDefault="00AD13B2" w:rsidP="00F645C1">
            <w:pPr>
              <w:keepNext/>
              <w:keepLines/>
              <w:spacing w:before="20" w:after="20" w:line="240" w:lineRule="auto"/>
              <w:jc w:val="right"/>
              <w:rPr>
                <w:rFonts w:asciiTheme="minorHAnsi" w:eastAsia="Times New Roman" w:hAnsiTheme="minorHAnsi" w:cs="Arial"/>
                <w:b/>
                <w:color w:val="000000"/>
                <w:sz w:val="18"/>
                <w:szCs w:val="18"/>
              </w:rPr>
            </w:pPr>
            <w:r w:rsidRPr="00D1131C">
              <w:rPr>
                <w:rFonts w:asciiTheme="minorHAnsi" w:eastAsia="Times New Roman" w:hAnsiTheme="minorHAnsi" w:cs="Arial"/>
                <w:b/>
                <w:color w:val="000000"/>
                <w:sz w:val="18"/>
                <w:szCs w:val="18"/>
              </w:rPr>
              <w:t>43</w:t>
            </w:r>
          </w:p>
        </w:tc>
      </w:tr>
      <w:tr w:rsidR="00AD13B2" w:rsidRPr="00D1131C" w:rsidTr="003021D4">
        <w:trPr>
          <w:trHeight w:val="349"/>
          <w:jc w:val="center"/>
        </w:trPr>
        <w:tc>
          <w:tcPr>
            <w:tcW w:w="6495" w:type="dxa"/>
            <w:shd w:val="clear" w:color="auto" w:fill="9AD6F4" w:themeFill="accent1" w:themeFillTint="66"/>
            <w:noWrap/>
            <w:tcMar>
              <w:top w:w="14" w:type="dxa"/>
              <w:left w:w="115" w:type="dxa"/>
              <w:bottom w:w="14" w:type="dxa"/>
              <w:right w:w="115" w:type="dxa"/>
            </w:tcMar>
            <w:vAlign w:val="center"/>
            <w:hideMark/>
          </w:tcPr>
          <w:p w:rsidR="00AD13B2" w:rsidRPr="00D1131C" w:rsidRDefault="00AD13B2" w:rsidP="00F645C1">
            <w:pPr>
              <w:keepNext/>
              <w:keepLines/>
              <w:spacing w:before="20" w:after="20" w:line="240" w:lineRule="auto"/>
              <w:jc w:val="right"/>
              <w:rPr>
                <w:rFonts w:asciiTheme="minorHAnsi" w:eastAsia="Times New Roman" w:hAnsiTheme="minorHAnsi" w:cs="Arial"/>
                <w:b/>
                <w:color w:val="FFFFFF" w:themeColor="background1"/>
                <w:sz w:val="18"/>
                <w:szCs w:val="18"/>
              </w:rPr>
            </w:pPr>
            <w:r w:rsidRPr="00D1131C">
              <w:rPr>
                <w:rFonts w:asciiTheme="minorHAnsi" w:eastAsia="Times New Roman" w:hAnsiTheme="minorHAnsi" w:cs="Arial"/>
                <w:b/>
                <w:color w:val="FFFFFF" w:themeColor="background1"/>
                <w:sz w:val="18"/>
                <w:szCs w:val="18"/>
              </w:rPr>
              <w:t>Total</w:t>
            </w:r>
            <w:r w:rsidRPr="00D1131C">
              <w:rPr>
                <w:rFonts w:asciiTheme="minorHAnsi" w:eastAsia="Times New Roman" w:hAnsiTheme="minorHAnsi" w:cs="Arial"/>
                <w:b/>
                <w:color w:val="FFFFFF" w:themeColor="background1"/>
                <w:sz w:val="18"/>
                <w:szCs w:val="18"/>
                <w:vertAlign w:val="superscript"/>
              </w:rPr>
              <w:t>(b)</w:t>
            </w:r>
          </w:p>
        </w:tc>
        <w:tc>
          <w:tcPr>
            <w:tcW w:w="2174" w:type="dxa"/>
            <w:shd w:val="clear" w:color="auto" w:fill="9AD6F4" w:themeFill="accent1" w:themeFillTint="66"/>
            <w:noWrap/>
            <w:tcMar>
              <w:top w:w="14" w:type="dxa"/>
              <w:left w:w="115" w:type="dxa"/>
              <w:bottom w:w="14" w:type="dxa"/>
              <w:right w:w="115" w:type="dxa"/>
            </w:tcMar>
            <w:vAlign w:val="center"/>
            <w:hideMark/>
          </w:tcPr>
          <w:p w:rsidR="00AD13B2" w:rsidRPr="00D1131C" w:rsidRDefault="00AD13B2" w:rsidP="00F645C1">
            <w:pPr>
              <w:keepNext/>
              <w:keepLines/>
              <w:spacing w:before="20" w:after="20" w:line="240" w:lineRule="auto"/>
              <w:jc w:val="right"/>
              <w:rPr>
                <w:rFonts w:asciiTheme="minorHAnsi" w:eastAsia="Times New Roman" w:hAnsiTheme="minorHAnsi" w:cs="Arial"/>
                <w:b/>
                <w:bCs/>
                <w:color w:val="FFFFFF" w:themeColor="background1"/>
                <w:sz w:val="18"/>
                <w:szCs w:val="18"/>
              </w:rPr>
            </w:pPr>
            <w:r w:rsidRPr="00D1131C">
              <w:rPr>
                <w:rFonts w:asciiTheme="minorHAnsi" w:eastAsia="Times New Roman" w:hAnsiTheme="minorHAnsi" w:cs="Arial"/>
                <w:b/>
                <w:bCs/>
                <w:color w:val="FFFFFF" w:themeColor="background1"/>
                <w:sz w:val="18"/>
                <w:szCs w:val="18"/>
              </w:rPr>
              <w:t>12,403</w:t>
            </w:r>
          </w:p>
        </w:tc>
      </w:tr>
      <w:tr w:rsidR="00AD13B2" w:rsidRPr="00D1131C" w:rsidTr="003021D4">
        <w:trPr>
          <w:trHeight w:val="270"/>
          <w:jc w:val="center"/>
        </w:trPr>
        <w:tc>
          <w:tcPr>
            <w:tcW w:w="6495" w:type="dxa"/>
            <w:shd w:val="clear" w:color="auto" w:fill="C8E3F4" w:themeFill="text2" w:themeFillTint="33"/>
            <w:tcMar>
              <w:top w:w="14" w:type="dxa"/>
              <w:left w:w="115" w:type="dxa"/>
              <w:bottom w:w="14" w:type="dxa"/>
              <w:right w:w="115" w:type="dxa"/>
            </w:tcMar>
            <w:vAlign w:val="center"/>
            <w:hideMark/>
          </w:tcPr>
          <w:p w:rsidR="00AD13B2" w:rsidRPr="00D1131C" w:rsidRDefault="00AD13B2" w:rsidP="00F645C1">
            <w:pPr>
              <w:keepNext/>
              <w:keepLines/>
              <w:spacing w:before="20" w:after="20" w:line="240" w:lineRule="auto"/>
              <w:rPr>
                <w:rFonts w:asciiTheme="minorHAnsi" w:eastAsia="Times New Roman" w:hAnsiTheme="minorHAnsi" w:cs="Arial"/>
                <w:b/>
                <w:color w:val="000000"/>
                <w:sz w:val="18"/>
                <w:szCs w:val="18"/>
              </w:rPr>
            </w:pPr>
            <w:r w:rsidRPr="00D1131C">
              <w:rPr>
                <w:rFonts w:asciiTheme="minorHAnsi" w:eastAsia="Times New Roman" w:hAnsiTheme="minorHAnsi" w:cs="Arial"/>
                <w:b/>
                <w:color w:val="000000"/>
                <w:sz w:val="18"/>
                <w:szCs w:val="18"/>
              </w:rPr>
              <w:t>Minus “concept” projects</w:t>
            </w:r>
          </w:p>
        </w:tc>
        <w:tc>
          <w:tcPr>
            <w:tcW w:w="2174" w:type="dxa"/>
            <w:shd w:val="clear" w:color="auto" w:fill="C8E3F4" w:themeFill="text2" w:themeFillTint="33"/>
            <w:noWrap/>
            <w:tcMar>
              <w:top w:w="14" w:type="dxa"/>
              <w:left w:w="115" w:type="dxa"/>
              <w:bottom w:w="14" w:type="dxa"/>
              <w:right w:w="115" w:type="dxa"/>
            </w:tcMar>
            <w:vAlign w:val="center"/>
            <w:hideMark/>
          </w:tcPr>
          <w:p w:rsidR="00AD13B2" w:rsidRPr="00D1131C" w:rsidRDefault="00AD13B2" w:rsidP="00F645C1">
            <w:pPr>
              <w:keepNext/>
              <w:keepLines/>
              <w:spacing w:before="20" w:after="20" w:line="240" w:lineRule="auto"/>
              <w:jc w:val="right"/>
              <w:rPr>
                <w:rFonts w:asciiTheme="minorHAnsi" w:eastAsia="Times New Roman" w:hAnsiTheme="minorHAnsi" w:cs="Arial"/>
                <w:b/>
                <w:color w:val="000000"/>
                <w:sz w:val="18"/>
                <w:szCs w:val="18"/>
              </w:rPr>
            </w:pPr>
            <w:r w:rsidRPr="00D1131C">
              <w:rPr>
                <w:rFonts w:asciiTheme="minorHAnsi" w:eastAsia="Times New Roman" w:hAnsiTheme="minorHAnsi" w:cs="Arial"/>
                <w:b/>
                <w:color w:val="000000"/>
                <w:sz w:val="18"/>
                <w:szCs w:val="18"/>
              </w:rPr>
              <w:t>0</w:t>
            </w:r>
          </w:p>
        </w:tc>
      </w:tr>
      <w:tr w:rsidR="00AD13B2" w:rsidRPr="00D1131C" w:rsidTr="003021D4">
        <w:trPr>
          <w:trHeight w:val="338"/>
          <w:jc w:val="center"/>
        </w:trPr>
        <w:tc>
          <w:tcPr>
            <w:tcW w:w="6495" w:type="dxa"/>
            <w:shd w:val="clear" w:color="auto" w:fill="C8E3F4" w:themeFill="text2" w:themeFillTint="33"/>
            <w:tcMar>
              <w:top w:w="14" w:type="dxa"/>
              <w:left w:w="115" w:type="dxa"/>
              <w:bottom w:w="14" w:type="dxa"/>
              <w:right w:w="115" w:type="dxa"/>
            </w:tcMar>
            <w:vAlign w:val="center"/>
            <w:hideMark/>
          </w:tcPr>
          <w:p w:rsidR="00AD13B2" w:rsidRPr="00D1131C" w:rsidRDefault="00AD13B2" w:rsidP="00F645C1">
            <w:pPr>
              <w:keepNext/>
              <w:keepLines/>
              <w:spacing w:before="20" w:after="20" w:line="240" w:lineRule="auto"/>
              <w:rPr>
                <w:rFonts w:asciiTheme="minorHAnsi" w:eastAsia="Times New Roman" w:hAnsiTheme="minorHAnsi" w:cs="Arial"/>
                <w:b/>
                <w:color w:val="000000"/>
                <w:sz w:val="18"/>
                <w:szCs w:val="18"/>
              </w:rPr>
            </w:pPr>
            <w:r w:rsidRPr="00D1131C">
              <w:rPr>
                <w:rFonts w:asciiTheme="minorHAnsi" w:eastAsia="Times New Roman" w:hAnsiTheme="minorHAnsi" w:cs="Arial"/>
                <w:b/>
                <w:color w:val="000000"/>
                <w:sz w:val="18"/>
                <w:szCs w:val="18"/>
              </w:rPr>
              <w:t>Minus “in-service” projects</w:t>
            </w:r>
          </w:p>
        </w:tc>
        <w:tc>
          <w:tcPr>
            <w:tcW w:w="2174" w:type="dxa"/>
            <w:shd w:val="clear" w:color="auto" w:fill="C8E3F4" w:themeFill="text2" w:themeFillTint="33"/>
            <w:noWrap/>
            <w:tcMar>
              <w:top w:w="14" w:type="dxa"/>
              <w:left w:w="115" w:type="dxa"/>
              <w:bottom w:w="14" w:type="dxa"/>
              <w:right w:w="115" w:type="dxa"/>
            </w:tcMar>
            <w:vAlign w:val="center"/>
            <w:hideMark/>
          </w:tcPr>
          <w:p w:rsidR="00AD13B2" w:rsidRPr="00D1131C" w:rsidRDefault="00AD13B2" w:rsidP="00F645C1">
            <w:pPr>
              <w:keepNext/>
              <w:keepLines/>
              <w:spacing w:before="20" w:after="20" w:line="240" w:lineRule="auto"/>
              <w:jc w:val="right"/>
              <w:rPr>
                <w:rFonts w:asciiTheme="minorHAnsi" w:eastAsia="Times New Roman" w:hAnsiTheme="minorHAnsi" w:cs="Arial"/>
                <w:b/>
                <w:color w:val="000000"/>
                <w:sz w:val="18"/>
                <w:szCs w:val="18"/>
              </w:rPr>
            </w:pPr>
            <w:r w:rsidRPr="00D1131C">
              <w:rPr>
                <w:rFonts w:asciiTheme="minorHAnsi" w:eastAsia="Times New Roman" w:hAnsiTheme="minorHAnsi" w:cs="Arial"/>
                <w:b/>
                <w:color w:val="000000"/>
                <w:sz w:val="18"/>
                <w:szCs w:val="18"/>
              </w:rPr>
              <w:t>−8,426</w:t>
            </w:r>
          </w:p>
        </w:tc>
      </w:tr>
      <w:tr w:rsidR="00AD13B2" w:rsidRPr="00F645C1" w:rsidTr="003021D4">
        <w:trPr>
          <w:trHeight w:val="373"/>
          <w:jc w:val="center"/>
        </w:trPr>
        <w:tc>
          <w:tcPr>
            <w:tcW w:w="6495" w:type="dxa"/>
            <w:shd w:val="clear" w:color="auto" w:fill="1795D2" w:themeFill="accent1"/>
            <w:tcMar>
              <w:top w:w="14" w:type="dxa"/>
              <w:left w:w="115" w:type="dxa"/>
              <w:bottom w:w="14" w:type="dxa"/>
              <w:right w:w="115" w:type="dxa"/>
            </w:tcMar>
            <w:vAlign w:val="center"/>
            <w:hideMark/>
          </w:tcPr>
          <w:p w:rsidR="00AD13B2" w:rsidRPr="00D1131C" w:rsidRDefault="00AD13B2" w:rsidP="00F645C1">
            <w:pPr>
              <w:keepNext/>
              <w:keepLines/>
              <w:spacing w:before="20" w:after="20" w:line="240" w:lineRule="auto"/>
              <w:rPr>
                <w:rFonts w:asciiTheme="minorHAnsi" w:eastAsia="Times New Roman" w:hAnsiTheme="minorHAnsi" w:cs="Arial"/>
                <w:b/>
                <w:bCs/>
                <w:color w:val="FFFFFF" w:themeColor="background1"/>
                <w:sz w:val="18"/>
                <w:szCs w:val="18"/>
              </w:rPr>
            </w:pPr>
            <w:r w:rsidRPr="00D1131C">
              <w:rPr>
                <w:rFonts w:asciiTheme="minorHAnsi" w:eastAsia="Times New Roman" w:hAnsiTheme="minorHAnsi" w:cs="Arial"/>
                <w:b/>
                <w:bCs/>
                <w:color w:val="FFFFFF" w:themeColor="background1"/>
                <w:sz w:val="18"/>
                <w:szCs w:val="18"/>
              </w:rPr>
              <w:t>Aggregate estimate of active projects in the plan</w:t>
            </w:r>
            <w:r w:rsidRPr="00D1131C">
              <w:rPr>
                <w:rFonts w:asciiTheme="minorHAnsi" w:eastAsia="Times New Roman" w:hAnsiTheme="minorHAnsi" w:cs="Arial"/>
                <w:b/>
                <w:bCs/>
                <w:color w:val="FFFFFF" w:themeColor="background1"/>
                <w:sz w:val="18"/>
                <w:szCs w:val="18"/>
                <w:vertAlign w:val="superscript"/>
              </w:rPr>
              <w:t>(b)</w:t>
            </w:r>
          </w:p>
        </w:tc>
        <w:tc>
          <w:tcPr>
            <w:tcW w:w="2174" w:type="dxa"/>
            <w:shd w:val="clear" w:color="auto" w:fill="1795D2" w:themeFill="accent1"/>
            <w:noWrap/>
            <w:tcMar>
              <w:top w:w="14" w:type="dxa"/>
              <w:left w:w="115" w:type="dxa"/>
              <w:bottom w:w="14" w:type="dxa"/>
              <w:right w:w="115" w:type="dxa"/>
            </w:tcMar>
            <w:vAlign w:val="center"/>
            <w:hideMark/>
          </w:tcPr>
          <w:p w:rsidR="00AD13B2" w:rsidRPr="00AD13B2" w:rsidRDefault="00AD13B2" w:rsidP="00F645C1">
            <w:pPr>
              <w:keepNext/>
              <w:keepLines/>
              <w:spacing w:before="20" w:after="20" w:line="240" w:lineRule="auto"/>
              <w:jc w:val="right"/>
              <w:rPr>
                <w:rFonts w:asciiTheme="minorHAnsi" w:eastAsia="Times New Roman" w:hAnsiTheme="minorHAnsi" w:cs="Arial"/>
                <w:b/>
                <w:bCs/>
                <w:color w:val="FFFFFF" w:themeColor="background1"/>
                <w:sz w:val="18"/>
                <w:szCs w:val="18"/>
              </w:rPr>
            </w:pPr>
            <w:r w:rsidRPr="00D1131C">
              <w:rPr>
                <w:rFonts w:asciiTheme="minorHAnsi" w:eastAsia="Times New Roman" w:hAnsiTheme="minorHAnsi" w:cs="Arial"/>
                <w:b/>
                <w:bCs/>
                <w:color w:val="FFFFFF" w:themeColor="background1"/>
                <w:sz w:val="18"/>
                <w:szCs w:val="18"/>
              </w:rPr>
              <w:t>3,977</w:t>
            </w:r>
          </w:p>
        </w:tc>
      </w:tr>
    </w:tbl>
    <w:p w:rsidR="00F645C1" w:rsidRPr="00F645C1" w:rsidRDefault="00F645C1" w:rsidP="00F645C1">
      <w:pPr>
        <w:keepNext/>
        <w:keepLines/>
        <w:spacing w:before="120" w:after="80" w:line="240" w:lineRule="auto"/>
        <w:ind w:left="461" w:hanging="274"/>
        <w:rPr>
          <w:rFonts w:asciiTheme="minorHAnsi" w:hAnsiTheme="minorHAnsi"/>
          <w:sz w:val="16"/>
          <w:szCs w:val="16"/>
        </w:rPr>
      </w:pPr>
      <w:r w:rsidRPr="0082193C">
        <w:rPr>
          <w:rFonts w:asciiTheme="minorHAnsi" w:hAnsiTheme="minorHAnsi"/>
          <w:sz w:val="16"/>
          <w:szCs w:val="16"/>
        </w:rPr>
        <w:t xml:space="preserve">(a) </w:t>
      </w:r>
      <w:r w:rsidRPr="0082193C">
        <w:rPr>
          <w:rFonts w:asciiTheme="minorHAnsi" w:hAnsiTheme="minorHAnsi"/>
          <w:sz w:val="16"/>
          <w:szCs w:val="16"/>
        </w:rPr>
        <w:tab/>
        <w:t xml:space="preserve">Transmission owners provided all estimated costs, which may not meet the guidelines described in Planning Procedure No. 4, </w:t>
      </w:r>
      <w:r w:rsidRPr="0082193C">
        <w:rPr>
          <w:rFonts w:asciiTheme="minorHAnsi" w:hAnsiTheme="minorHAnsi"/>
          <w:i/>
          <w:sz w:val="16"/>
          <w:szCs w:val="16"/>
        </w:rPr>
        <w:t>Procedure for Pool-Supported PTF Cost Review</w:t>
      </w:r>
      <w:r w:rsidRPr="0082193C">
        <w:rPr>
          <w:rFonts w:asciiTheme="minorHAnsi" w:hAnsiTheme="minorHAnsi"/>
          <w:sz w:val="16"/>
          <w:szCs w:val="16"/>
        </w:rPr>
        <w:t>, Attachment D, “Project Cost Estimating Guidelines” (</w:t>
      </w:r>
      <w:r w:rsidR="0082193C" w:rsidRPr="0082193C">
        <w:rPr>
          <w:rFonts w:asciiTheme="minorHAnsi" w:hAnsiTheme="minorHAnsi"/>
          <w:sz w:val="16"/>
          <w:szCs w:val="16"/>
        </w:rPr>
        <w:t>May 6, 2016</w:t>
      </w:r>
      <w:r w:rsidRPr="0082193C">
        <w:rPr>
          <w:rFonts w:asciiTheme="minorHAnsi" w:hAnsiTheme="minorHAnsi"/>
          <w:sz w:val="16"/>
          <w:szCs w:val="16"/>
        </w:rPr>
        <w:t>),</w:t>
      </w:r>
      <w:r w:rsidR="0082193C" w:rsidRPr="0082193C">
        <w:t xml:space="preserve"> </w:t>
      </w:r>
      <w:hyperlink r:id="rId53" w:history="1">
        <w:r w:rsidR="0082193C" w:rsidRPr="00601631">
          <w:rPr>
            <w:rStyle w:val="Hyperlink"/>
            <w:rFonts w:asciiTheme="minorHAnsi" w:hAnsiTheme="minorHAnsi"/>
            <w:sz w:val="16"/>
            <w:szCs w:val="16"/>
          </w:rPr>
          <w:t>https://www.iso-ne.com/static-assets/documents/rules_proceds/isone_plan/pp04_0/pp4_0.pdf</w:t>
        </w:r>
      </w:hyperlink>
      <w:r w:rsidR="0082193C" w:rsidRPr="0082193C">
        <w:rPr>
          <w:rFonts w:asciiTheme="minorHAnsi" w:hAnsiTheme="minorHAnsi"/>
          <w:sz w:val="16"/>
          <w:szCs w:val="16"/>
        </w:rPr>
        <w:t>.</w:t>
      </w:r>
    </w:p>
    <w:p w:rsidR="00F645C1" w:rsidRPr="00F645C1" w:rsidRDefault="00F645C1" w:rsidP="00F645C1">
      <w:pPr>
        <w:keepNext/>
        <w:keepLines/>
        <w:spacing w:after="80" w:line="240" w:lineRule="auto"/>
        <w:ind w:left="461" w:hanging="270"/>
        <w:rPr>
          <w:rFonts w:asciiTheme="minorHAnsi" w:hAnsiTheme="minorHAnsi"/>
          <w:sz w:val="16"/>
          <w:szCs w:val="16"/>
        </w:rPr>
      </w:pPr>
      <w:r w:rsidRPr="00F645C1">
        <w:rPr>
          <w:rFonts w:asciiTheme="minorHAnsi" w:hAnsiTheme="minorHAnsi"/>
          <w:sz w:val="16"/>
          <w:szCs w:val="16"/>
        </w:rPr>
        <w:t xml:space="preserve">(b) </w:t>
      </w:r>
      <w:r w:rsidRPr="00F645C1">
        <w:rPr>
          <w:rFonts w:asciiTheme="minorHAnsi" w:hAnsiTheme="minorHAnsi"/>
          <w:sz w:val="16"/>
          <w:szCs w:val="16"/>
        </w:rPr>
        <w:tab/>
        <w:t xml:space="preserve">Totals may not sum </w:t>
      </w:r>
      <w:r w:rsidR="00E43403">
        <w:rPr>
          <w:rFonts w:asciiTheme="minorHAnsi" w:hAnsiTheme="minorHAnsi"/>
          <w:sz w:val="16"/>
          <w:szCs w:val="16"/>
        </w:rPr>
        <w:t>due to</w:t>
      </w:r>
      <w:r w:rsidRPr="00F645C1">
        <w:rPr>
          <w:rFonts w:asciiTheme="minorHAnsi" w:hAnsiTheme="minorHAnsi"/>
          <w:sz w:val="16"/>
          <w:szCs w:val="16"/>
        </w:rPr>
        <w:t xml:space="preserve"> rounding.</w:t>
      </w:r>
    </w:p>
    <w:p w:rsidR="00F645C1" w:rsidRDefault="00F645C1" w:rsidP="00601631">
      <w:pPr>
        <w:keepNext/>
        <w:keepLines/>
        <w:spacing w:after="80" w:line="240" w:lineRule="auto"/>
        <w:ind w:left="461" w:hanging="274"/>
        <w:rPr>
          <w:rFonts w:asciiTheme="minorHAnsi" w:hAnsiTheme="minorHAnsi"/>
          <w:sz w:val="16"/>
          <w:szCs w:val="16"/>
        </w:rPr>
      </w:pPr>
      <w:r w:rsidRPr="00F645C1">
        <w:rPr>
          <w:rFonts w:asciiTheme="minorHAnsi" w:hAnsiTheme="minorHAnsi"/>
          <w:sz w:val="16"/>
          <w:szCs w:val="16"/>
        </w:rPr>
        <w:t xml:space="preserve">(c) </w:t>
      </w:r>
      <w:r w:rsidRPr="00F645C1">
        <w:rPr>
          <w:rFonts w:asciiTheme="minorHAnsi" w:hAnsiTheme="minorHAnsi"/>
          <w:sz w:val="16"/>
          <w:szCs w:val="16"/>
        </w:rPr>
        <w:tab/>
        <w:t xml:space="preserve">The "Other Projects" category is the sum of all other project costs in the </w:t>
      </w:r>
      <w:r w:rsidRPr="00F645C1">
        <w:rPr>
          <w:rFonts w:asciiTheme="minorHAnsi" w:hAnsiTheme="minorHAnsi"/>
          <w:i/>
          <w:sz w:val="16"/>
          <w:szCs w:val="16"/>
        </w:rPr>
        <w:t>RSP Project List</w:t>
      </w:r>
      <w:r w:rsidRPr="00F645C1">
        <w:rPr>
          <w:rFonts w:asciiTheme="minorHAnsi" w:hAnsiTheme="minorHAnsi"/>
          <w:sz w:val="16"/>
          <w:szCs w:val="16"/>
        </w:rPr>
        <w:t xml:space="preserve"> not explicitly listed above. The cost estimates for projects in the “Major Projects” category move to the “Other Projects” category once they are completed.</w:t>
      </w:r>
    </w:p>
    <w:p w:rsidR="00601631" w:rsidRPr="00F645C1" w:rsidRDefault="00601631" w:rsidP="0075264C">
      <w:pPr>
        <w:spacing w:line="240" w:lineRule="auto"/>
        <w:ind w:left="461" w:hanging="274"/>
        <w:rPr>
          <w:rFonts w:asciiTheme="minorHAnsi" w:hAnsiTheme="minorHAnsi"/>
          <w:sz w:val="16"/>
          <w:szCs w:val="16"/>
        </w:rPr>
      </w:pPr>
      <w:r w:rsidRPr="00945012">
        <w:rPr>
          <w:rFonts w:asciiTheme="minorHAnsi" w:hAnsiTheme="minorHAnsi"/>
          <w:sz w:val="16"/>
          <w:szCs w:val="16"/>
        </w:rPr>
        <w:t xml:space="preserve">(d) </w:t>
      </w:r>
      <w:r w:rsidR="00945012" w:rsidRPr="0075264C">
        <w:rPr>
          <w:rFonts w:asciiTheme="minorHAnsi" w:hAnsiTheme="minorHAnsi"/>
          <w:sz w:val="16"/>
          <w:szCs w:val="16"/>
        </w:rPr>
        <w:tab/>
        <w:t xml:space="preserve">The cost for </w:t>
      </w:r>
      <w:r w:rsidR="00945012">
        <w:rPr>
          <w:rFonts w:asciiTheme="minorHAnsi" w:hAnsiTheme="minorHAnsi"/>
          <w:sz w:val="16"/>
          <w:szCs w:val="16"/>
        </w:rPr>
        <w:t>the “N</w:t>
      </w:r>
      <w:r w:rsidR="00945012" w:rsidRPr="0075264C">
        <w:rPr>
          <w:rFonts w:asciiTheme="minorHAnsi" w:hAnsiTheme="minorHAnsi"/>
          <w:sz w:val="16"/>
          <w:szCs w:val="16"/>
        </w:rPr>
        <w:t xml:space="preserve">ew </w:t>
      </w:r>
      <w:r w:rsidR="00945012">
        <w:rPr>
          <w:rFonts w:asciiTheme="minorHAnsi" w:hAnsiTheme="minorHAnsi"/>
          <w:sz w:val="16"/>
          <w:szCs w:val="16"/>
        </w:rPr>
        <w:t>P</w:t>
      </w:r>
      <w:r w:rsidR="00945012" w:rsidRPr="0075264C">
        <w:rPr>
          <w:rFonts w:asciiTheme="minorHAnsi" w:hAnsiTheme="minorHAnsi"/>
          <w:sz w:val="16"/>
          <w:szCs w:val="16"/>
        </w:rPr>
        <w:t>rojects</w:t>
      </w:r>
      <w:r w:rsidR="00945012">
        <w:rPr>
          <w:rFonts w:asciiTheme="minorHAnsi" w:hAnsiTheme="minorHAnsi"/>
          <w:sz w:val="16"/>
          <w:szCs w:val="16"/>
        </w:rPr>
        <w:t xml:space="preserve">” </w:t>
      </w:r>
      <w:r w:rsidR="00A302DC">
        <w:rPr>
          <w:rFonts w:asciiTheme="minorHAnsi" w:hAnsiTheme="minorHAnsi"/>
          <w:sz w:val="16"/>
          <w:szCs w:val="16"/>
        </w:rPr>
        <w:t>category</w:t>
      </w:r>
      <w:r w:rsidR="00945012" w:rsidRPr="0075264C">
        <w:rPr>
          <w:rFonts w:asciiTheme="minorHAnsi" w:hAnsiTheme="minorHAnsi"/>
          <w:sz w:val="16"/>
          <w:szCs w:val="16"/>
        </w:rPr>
        <w:t xml:space="preserve"> reflects updated costs from the June 2017 project list update compared with the March 2017 update</w:t>
      </w:r>
      <w:r w:rsidR="00945012" w:rsidRPr="00945012">
        <w:rPr>
          <w:rFonts w:asciiTheme="minorHAnsi" w:hAnsiTheme="minorHAnsi"/>
          <w:sz w:val="16"/>
          <w:szCs w:val="16"/>
        </w:rPr>
        <w:t>.</w:t>
      </w:r>
    </w:p>
    <w:p w:rsidR="00F645C1" w:rsidRPr="00F645C1" w:rsidRDefault="00F645C1" w:rsidP="00F645C1">
      <w:r w:rsidRPr="00F645C1">
        <w:t xml:space="preserve">The PTO Administrative Committee provides annual informational filings to FERC on the current regional transmission service rates and annual updates to the ISO and NEPOOL on projected regional </w:t>
      </w:r>
      <w:r w:rsidRPr="00D1131C">
        <w:t xml:space="preserve">transmission rates, as shown in </w:t>
      </w:r>
      <w:r w:rsidR="00D1131C" w:rsidRPr="00D1131C">
        <w:fldChar w:fldCharType="begin"/>
      </w:r>
      <w:r w:rsidR="00D1131C" w:rsidRPr="00D1131C">
        <w:instrText xml:space="preserve"> REF _Ref486007674 \h  \* MERGEFORMAT </w:instrText>
      </w:r>
      <w:r w:rsidR="00D1131C" w:rsidRPr="00D1131C">
        <w:fldChar w:fldCharType="separate"/>
      </w:r>
      <w:r w:rsidR="00314781" w:rsidRPr="000162C8">
        <w:rPr>
          <w:bCs/>
          <w:szCs w:val="18"/>
        </w:rPr>
        <w:t xml:space="preserve">Table </w:t>
      </w:r>
      <w:r w:rsidR="00314781" w:rsidRPr="000162C8">
        <w:rPr>
          <w:bCs/>
          <w:noProof/>
          <w:szCs w:val="18"/>
        </w:rPr>
        <w:t>5</w:t>
      </w:r>
      <w:r w:rsidR="00314781" w:rsidRPr="000162C8">
        <w:rPr>
          <w:bCs/>
          <w:noProof/>
          <w:szCs w:val="18"/>
        </w:rPr>
        <w:noBreakHyphen/>
        <w:t>2</w:t>
      </w:r>
      <w:r w:rsidR="00D1131C" w:rsidRPr="00D1131C">
        <w:fldChar w:fldCharType="end"/>
      </w:r>
      <w:r w:rsidRPr="00D1131C">
        <w:t>.</w:t>
      </w:r>
      <w:r w:rsidRPr="00D1131C">
        <w:rPr>
          <w:vertAlign w:val="superscript"/>
        </w:rPr>
        <w:footnoteReference w:id="178"/>
      </w:r>
    </w:p>
    <w:p w:rsidR="004463FA" w:rsidRPr="00BA16FE" w:rsidRDefault="00F645C1" w:rsidP="00BA16FE">
      <w:pPr>
        <w:keepNext/>
        <w:keepLines/>
        <w:spacing w:after="120" w:line="240" w:lineRule="auto"/>
        <w:jc w:val="center"/>
        <w:rPr>
          <w:rFonts w:ascii="Calibri" w:hAnsi="Calibri"/>
          <w:b/>
          <w:szCs w:val="18"/>
          <w:vertAlign w:val="superscript"/>
        </w:rPr>
      </w:pPr>
      <w:bookmarkStart w:id="599" w:name="_Ref486007674"/>
      <w:bookmarkStart w:id="600" w:name="_Toc429063570"/>
      <w:bookmarkStart w:id="601" w:name="_Toc491244015"/>
      <w:r w:rsidRPr="00BA16FE">
        <w:rPr>
          <w:rFonts w:ascii="Calibri" w:hAnsi="Calibri"/>
          <w:b/>
          <w:bCs/>
          <w:szCs w:val="18"/>
        </w:rPr>
        <w:lastRenderedPageBreak/>
        <w:t xml:space="preserve">Table </w:t>
      </w:r>
      <w:r w:rsidR="00D95957">
        <w:rPr>
          <w:rFonts w:ascii="Calibri" w:hAnsi="Calibri"/>
          <w:b/>
          <w:bCs/>
          <w:szCs w:val="18"/>
        </w:rPr>
        <w:fldChar w:fldCharType="begin"/>
      </w:r>
      <w:r w:rsidR="00D95957">
        <w:rPr>
          <w:rFonts w:ascii="Calibri" w:hAnsi="Calibri"/>
          <w:b/>
          <w:bCs/>
          <w:szCs w:val="18"/>
        </w:rPr>
        <w:instrText xml:space="preserve"> STYLEREF 1 \s </w:instrText>
      </w:r>
      <w:r w:rsidR="00D95957">
        <w:rPr>
          <w:rFonts w:ascii="Calibri" w:hAnsi="Calibri"/>
          <w:b/>
          <w:bCs/>
          <w:szCs w:val="18"/>
        </w:rPr>
        <w:fldChar w:fldCharType="separate"/>
      </w:r>
      <w:r w:rsidR="00D95957">
        <w:rPr>
          <w:rFonts w:ascii="Calibri" w:hAnsi="Calibri"/>
          <w:b/>
          <w:bCs/>
          <w:noProof/>
          <w:szCs w:val="18"/>
        </w:rPr>
        <w:t>5</w:t>
      </w:r>
      <w:r w:rsidR="00D95957">
        <w:rPr>
          <w:rFonts w:ascii="Calibri" w:hAnsi="Calibri"/>
          <w:b/>
          <w:bCs/>
          <w:szCs w:val="18"/>
        </w:rPr>
        <w:fldChar w:fldCharType="end"/>
      </w:r>
      <w:r w:rsidR="00D95957">
        <w:rPr>
          <w:rFonts w:ascii="Calibri" w:hAnsi="Calibri"/>
          <w:b/>
          <w:bCs/>
          <w:szCs w:val="18"/>
        </w:rPr>
        <w:noBreakHyphen/>
      </w:r>
      <w:r w:rsidR="00D95957">
        <w:rPr>
          <w:rFonts w:ascii="Calibri" w:hAnsi="Calibri"/>
          <w:b/>
          <w:bCs/>
          <w:szCs w:val="18"/>
        </w:rPr>
        <w:fldChar w:fldCharType="begin"/>
      </w:r>
      <w:r w:rsidR="00D95957">
        <w:rPr>
          <w:rFonts w:ascii="Calibri" w:hAnsi="Calibri"/>
          <w:b/>
          <w:bCs/>
          <w:szCs w:val="18"/>
        </w:rPr>
        <w:instrText xml:space="preserve"> SEQ Table \* ARABIC \s 1 </w:instrText>
      </w:r>
      <w:r w:rsidR="00D95957">
        <w:rPr>
          <w:rFonts w:ascii="Calibri" w:hAnsi="Calibri"/>
          <w:b/>
          <w:bCs/>
          <w:szCs w:val="18"/>
        </w:rPr>
        <w:fldChar w:fldCharType="separate"/>
      </w:r>
      <w:r w:rsidR="00D95957">
        <w:rPr>
          <w:rFonts w:ascii="Calibri" w:hAnsi="Calibri"/>
          <w:b/>
          <w:bCs/>
          <w:noProof/>
          <w:szCs w:val="18"/>
        </w:rPr>
        <w:t>2</w:t>
      </w:r>
      <w:r w:rsidR="00D95957">
        <w:rPr>
          <w:rFonts w:ascii="Calibri" w:hAnsi="Calibri"/>
          <w:b/>
          <w:bCs/>
          <w:szCs w:val="18"/>
        </w:rPr>
        <w:fldChar w:fldCharType="end"/>
      </w:r>
      <w:bookmarkEnd w:id="599"/>
      <w:r w:rsidRPr="00BA16FE">
        <w:rPr>
          <w:rFonts w:ascii="Calibri" w:hAnsi="Calibri"/>
          <w:b/>
          <w:szCs w:val="18"/>
        </w:rPr>
        <w:br/>
        <w:t>Actual and Forecast Regional Transmission Service Rates, 2016 to 2021</w:t>
      </w:r>
      <w:r w:rsidRPr="00BA16FE">
        <w:rPr>
          <w:rFonts w:ascii="Calibri" w:hAnsi="Calibri"/>
          <w:b/>
          <w:szCs w:val="18"/>
          <w:vertAlign w:val="superscript"/>
        </w:rPr>
        <w:t>(a)</w:t>
      </w:r>
      <w:bookmarkEnd w:id="600"/>
      <w:bookmarkEnd w:id="601"/>
    </w:p>
    <w:tbl>
      <w:tblPr>
        <w:tblStyle w:val="TableGrid3"/>
        <w:tblW w:w="9032" w:type="dxa"/>
        <w:jc w:val="center"/>
        <w:tblInd w:w="-491"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115" w:type="dxa"/>
          <w:right w:w="115" w:type="dxa"/>
        </w:tblCellMar>
        <w:tblLook w:val="04A0" w:firstRow="1" w:lastRow="0" w:firstColumn="1" w:lastColumn="0" w:noHBand="0" w:noVBand="1"/>
      </w:tblPr>
      <w:tblGrid>
        <w:gridCol w:w="2729"/>
        <w:gridCol w:w="1050"/>
        <w:gridCol w:w="1050"/>
        <w:gridCol w:w="1050"/>
        <w:gridCol w:w="1051"/>
        <w:gridCol w:w="1051"/>
        <w:gridCol w:w="1051"/>
      </w:tblGrid>
      <w:tr w:rsidR="006D4FD7" w:rsidTr="00611013">
        <w:trPr>
          <w:cantSplit/>
          <w:trHeight w:val="360"/>
          <w:jc w:val="center"/>
        </w:trPr>
        <w:tc>
          <w:tcPr>
            <w:tcW w:w="2729" w:type="dxa"/>
            <w:vMerge w:val="restart"/>
            <w:tcBorders>
              <w:top w:val="single" w:sz="2" w:space="0" w:color="auto"/>
              <w:left w:val="single" w:sz="2" w:space="0" w:color="auto"/>
              <w:bottom w:val="single" w:sz="2" w:space="0" w:color="auto"/>
              <w:right w:val="single" w:sz="2" w:space="0" w:color="auto"/>
            </w:tcBorders>
            <w:shd w:val="clear" w:color="auto" w:fill="1795D2" w:themeFill="accent1"/>
            <w:tcMar>
              <w:top w:w="14" w:type="dxa"/>
              <w:left w:w="115" w:type="dxa"/>
              <w:bottom w:w="14" w:type="dxa"/>
              <w:right w:w="115" w:type="dxa"/>
            </w:tcMar>
            <w:vAlign w:val="center"/>
          </w:tcPr>
          <w:p w:rsidR="006D4FD7" w:rsidRDefault="006D4FD7" w:rsidP="00DD55B1">
            <w:pPr>
              <w:keepNext/>
              <w:keepLines/>
              <w:spacing w:before="20" w:after="20" w:line="240" w:lineRule="auto"/>
              <w:rPr>
                <w:rFonts w:asciiTheme="minorHAnsi" w:hAnsiTheme="minorHAnsi" w:cs="Arial"/>
                <w:b/>
                <w:bCs/>
                <w:color w:val="FFFFFF" w:themeColor="background1"/>
                <w:sz w:val="18"/>
                <w:szCs w:val="18"/>
              </w:rPr>
            </w:pPr>
          </w:p>
        </w:tc>
        <w:tc>
          <w:tcPr>
            <w:tcW w:w="1050" w:type="dxa"/>
            <w:tcBorders>
              <w:top w:val="single" w:sz="2" w:space="0" w:color="auto"/>
              <w:left w:val="single" w:sz="2" w:space="0" w:color="auto"/>
              <w:bottom w:val="single" w:sz="2" w:space="0" w:color="auto"/>
              <w:right w:val="single" w:sz="2" w:space="0" w:color="auto"/>
            </w:tcBorders>
            <w:shd w:val="clear" w:color="auto" w:fill="1795D2" w:themeFill="accent1"/>
            <w:tcMar>
              <w:top w:w="14" w:type="dxa"/>
              <w:left w:w="115" w:type="dxa"/>
              <w:bottom w:w="14" w:type="dxa"/>
              <w:right w:w="115" w:type="dxa"/>
            </w:tcMar>
            <w:vAlign w:val="center"/>
            <w:hideMark/>
          </w:tcPr>
          <w:p w:rsidR="006D4FD7" w:rsidRDefault="006D4FD7" w:rsidP="00DD55B1">
            <w:pPr>
              <w:keepNext/>
              <w:keepLines/>
              <w:spacing w:before="20" w:after="20" w:line="240" w:lineRule="auto"/>
              <w:jc w:val="center"/>
              <w:rPr>
                <w:rFonts w:asciiTheme="minorHAnsi" w:hAnsiTheme="minorHAnsi" w:cs="Arial"/>
                <w:b/>
                <w:color w:val="FFFFFF" w:themeColor="background1"/>
                <w:sz w:val="18"/>
                <w:szCs w:val="18"/>
              </w:rPr>
            </w:pPr>
            <w:r>
              <w:rPr>
                <w:rFonts w:asciiTheme="minorHAnsi" w:hAnsiTheme="minorHAnsi" w:cs="Arial"/>
                <w:b/>
                <w:color w:val="FFFFFF" w:themeColor="background1"/>
                <w:sz w:val="18"/>
                <w:szCs w:val="18"/>
              </w:rPr>
              <w:t>2016</w:t>
            </w:r>
          </w:p>
        </w:tc>
        <w:tc>
          <w:tcPr>
            <w:tcW w:w="1050" w:type="dxa"/>
            <w:tcBorders>
              <w:top w:val="single" w:sz="2" w:space="0" w:color="auto"/>
              <w:left w:val="single" w:sz="2" w:space="0" w:color="auto"/>
              <w:bottom w:val="single" w:sz="2" w:space="0" w:color="auto"/>
              <w:right w:val="single" w:sz="2" w:space="0" w:color="auto"/>
            </w:tcBorders>
            <w:shd w:val="clear" w:color="auto" w:fill="1795D2" w:themeFill="accent1"/>
            <w:tcMar>
              <w:top w:w="14" w:type="dxa"/>
              <w:left w:w="115" w:type="dxa"/>
              <w:bottom w:w="14" w:type="dxa"/>
              <w:right w:w="115" w:type="dxa"/>
            </w:tcMar>
            <w:vAlign w:val="center"/>
            <w:hideMark/>
          </w:tcPr>
          <w:p w:rsidR="006D4FD7" w:rsidRDefault="006D4FD7" w:rsidP="00DD55B1">
            <w:pPr>
              <w:keepNext/>
              <w:keepLines/>
              <w:spacing w:before="20" w:after="20" w:line="240" w:lineRule="auto"/>
              <w:jc w:val="center"/>
              <w:rPr>
                <w:rFonts w:asciiTheme="minorHAnsi" w:hAnsiTheme="minorHAnsi" w:cs="Arial"/>
                <w:b/>
                <w:color w:val="FFFFFF" w:themeColor="background1"/>
                <w:sz w:val="18"/>
                <w:szCs w:val="18"/>
              </w:rPr>
            </w:pPr>
            <w:r>
              <w:rPr>
                <w:rFonts w:asciiTheme="minorHAnsi" w:hAnsiTheme="minorHAnsi" w:cs="Arial"/>
                <w:b/>
                <w:color w:val="FFFFFF" w:themeColor="background1"/>
                <w:sz w:val="18"/>
                <w:szCs w:val="18"/>
              </w:rPr>
              <w:t>2017</w:t>
            </w:r>
          </w:p>
        </w:tc>
        <w:tc>
          <w:tcPr>
            <w:tcW w:w="1050" w:type="dxa"/>
            <w:tcBorders>
              <w:top w:val="single" w:sz="2" w:space="0" w:color="auto"/>
              <w:left w:val="single" w:sz="2" w:space="0" w:color="auto"/>
              <w:bottom w:val="single" w:sz="2" w:space="0" w:color="auto"/>
              <w:right w:val="single" w:sz="2" w:space="0" w:color="auto"/>
            </w:tcBorders>
            <w:shd w:val="clear" w:color="auto" w:fill="1795D2" w:themeFill="accent1"/>
            <w:tcMar>
              <w:top w:w="14" w:type="dxa"/>
              <w:left w:w="115" w:type="dxa"/>
              <w:bottom w:w="14" w:type="dxa"/>
              <w:right w:w="115" w:type="dxa"/>
            </w:tcMar>
            <w:vAlign w:val="center"/>
            <w:hideMark/>
          </w:tcPr>
          <w:p w:rsidR="006D4FD7" w:rsidRDefault="006D4FD7" w:rsidP="00DD55B1">
            <w:pPr>
              <w:keepNext/>
              <w:keepLines/>
              <w:spacing w:before="20" w:after="20" w:line="240" w:lineRule="auto"/>
              <w:jc w:val="center"/>
              <w:rPr>
                <w:rFonts w:asciiTheme="minorHAnsi" w:hAnsiTheme="minorHAnsi" w:cs="Arial"/>
                <w:b/>
                <w:color w:val="FFFFFF" w:themeColor="background1"/>
                <w:sz w:val="18"/>
                <w:szCs w:val="18"/>
              </w:rPr>
            </w:pPr>
            <w:r>
              <w:rPr>
                <w:rFonts w:asciiTheme="minorHAnsi" w:hAnsiTheme="minorHAnsi" w:cs="Arial"/>
                <w:b/>
                <w:color w:val="FFFFFF" w:themeColor="background1"/>
                <w:sz w:val="18"/>
                <w:szCs w:val="18"/>
              </w:rPr>
              <w:t>2018</w:t>
            </w:r>
          </w:p>
        </w:tc>
        <w:tc>
          <w:tcPr>
            <w:tcW w:w="1051" w:type="dxa"/>
            <w:tcBorders>
              <w:top w:val="single" w:sz="2" w:space="0" w:color="auto"/>
              <w:left w:val="single" w:sz="2" w:space="0" w:color="auto"/>
              <w:bottom w:val="single" w:sz="2" w:space="0" w:color="auto"/>
              <w:right w:val="single" w:sz="2" w:space="0" w:color="auto"/>
            </w:tcBorders>
            <w:shd w:val="clear" w:color="auto" w:fill="1795D2" w:themeFill="accent1"/>
            <w:tcMar>
              <w:top w:w="14" w:type="dxa"/>
              <w:left w:w="115" w:type="dxa"/>
              <w:bottom w:w="14" w:type="dxa"/>
              <w:right w:w="115" w:type="dxa"/>
            </w:tcMar>
            <w:vAlign w:val="center"/>
            <w:hideMark/>
          </w:tcPr>
          <w:p w:rsidR="006D4FD7" w:rsidRDefault="006D4FD7" w:rsidP="00DD55B1">
            <w:pPr>
              <w:keepNext/>
              <w:keepLines/>
              <w:spacing w:before="20" w:after="20" w:line="240" w:lineRule="auto"/>
              <w:jc w:val="center"/>
              <w:rPr>
                <w:rFonts w:asciiTheme="minorHAnsi" w:hAnsiTheme="minorHAnsi" w:cs="Arial"/>
                <w:b/>
                <w:color w:val="FFFFFF" w:themeColor="background1"/>
                <w:sz w:val="18"/>
                <w:szCs w:val="18"/>
              </w:rPr>
            </w:pPr>
            <w:r>
              <w:rPr>
                <w:rFonts w:asciiTheme="minorHAnsi" w:hAnsiTheme="minorHAnsi" w:cs="Arial"/>
                <w:b/>
                <w:color w:val="FFFFFF" w:themeColor="background1"/>
                <w:sz w:val="18"/>
                <w:szCs w:val="18"/>
              </w:rPr>
              <w:t>2019</w:t>
            </w:r>
          </w:p>
        </w:tc>
        <w:tc>
          <w:tcPr>
            <w:tcW w:w="1051" w:type="dxa"/>
            <w:tcBorders>
              <w:top w:val="single" w:sz="2" w:space="0" w:color="auto"/>
              <w:left w:val="single" w:sz="2" w:space="0" w:color="auto"/>
              <w:bottom w:val="single" w:sz="2" w:space="0" w:color="auto"/>
              <w:right w:val="single" w:sz="2" w:space="0" w:color="auto"/>
            </w:tcBorders>
            <w:shd w:val="clear" w:color="auto" w:fill="1795D2" w:themeFill="accent1"/>
            <w:tcMar>
              <w:top w:w="14" w:type="dxa"/>
              <w:left w:w="115" w:type="dxa"/>
              <w:bottom w:w="14" w:type="dxa"/>
              <w:right w:w="115" w:type="dxa"/>
            </w:tcMar>
            <w:vAlign w:val="center"/>
            <w:hideMark/>
          </w:tcPr>
          <w:p w:rsidR="006D4FD7" w:rsidRDefault="006D4FD7" w:rsidP="00DD55B1">
            <w:pPr>
              <w:keepNext/>
              <w:keepLines/>
              <w:spacing w:before="20" w:after="20" w:line="240" w:lineRule="auto"/>
              <w:jc w:val="center"/>
              <w:rPr>
                <w:rFonts w:asciiTheme="minorHAnsi" w:hAnsiTheme="minorHAnsi" w:cs="Arial"/>
                <w:b/>
                <w:color w:val="FFFFFF" w:themeColor="background1"/>
                <w:sz w:val="18"/>
                <w:szCs w:val="18"/>
              </w:rPr>
            </w:pPr>
            <w:r>
              <w:rPr>
                <w:rFonts w:asciiTheme="minorHAnsi" w:hAnsiTheme="minorHAnsi" w:cs="Arial"/>
                <w:b/>
                <w:color w:val="FFFFFF" w:themeColor="background1"/>
                <w:sz w:val="18"/>
                <w:szCs w:val="18"/>
              </w:rPr>
              <w:t>2020</w:t>
            </w:r>
          </w:p>
        </w:tc>
        <w:tc>
          <w:tcPr>
            <w:tcW w:w="1051" w:type="dxa"/>
            <w:tcBorders>
              <w:top w:val="single" w:sz="2" w:space="0" w:color="auto"/>
              <w:left w:val="single" w:sz="2" w:space="0" w:color="auto"/>
              <w:bottom w:val="single" w:sz="2" w:space="0" w:color="auto"/>
              <w:right w:val="single" w:sz="2" w:space="0" w:color="auto"/>
            </w:tcBorders>
            <w:shd w:val="clear" w:color="auto" w:fill="1795D2" w:themeFill="accent1"/>
            <w:tcMar>
              <w:top w:w="14" w:type="dxa"/>
              <w:left w:w="115" w:type="dxa"/>
              <w:bottom w:w="14" w:type="dxa"/>
              <w:right w:w="115" w:type="dxa"/>
            </w:tcMar>
            <w:vAlign w:val="center"/>
            <w:hideMark/>
          </w:tcPr>
          <w:p w:rsidR="006D4FD7" w:rsidRDefault="006D4FD7" w:rsidP="00DD55B1">
            <w:pPr>
              <w:keepNext/>
              <w:keepLines/>
              <w:spacing w:before="20" w:after="20" w:line="240" w:lineRule="auto"/>
              <w:jc w:val="center"/>
              <w:rPr>
                <w:rFonts w:asciiTheme="minorHAnsi" w:hAnsiTheme="minorHAnsi" w:cs="Arial"/>
                <w:b/>
                <w:color w:val="FFFFFF" w:themeColor="background1"/>
                <w:sz w:val="18"/>
                <w:szCs w:val="18"/>
              </w:rPr>
            </w:pPr>
            <w:r>
              <w:rPr>
                <w:rFonts w:asciiTheme="minorHAnsi" w:hAnsiTheme="minorHAnsi" w:cs="Arial"/>
                <w:b/>
                <w:color w:val="FFFFFF" w:themeColor="background1"/>
                <w:sz w:val="18"/>
                <w:szCs w:val="18"/>
              </w:rPr>
              <w:t>2021</w:t>
            </w:r>
          </w:p>
        </w:tc>
      </w:tr>
      <w:tr w:rsidR="006D4FD7" w:rsidTr="00611013">
        <w:trPr>
          <w:cantSplit/>
          <w:trHeight w:val="360"/>
          <w:jc w:val="center"/>
        </w:trPr>
        <w:tc>
          <w:tcPr>
            <w:tcW w:w="0" w:type="auto"/>
            <w:vMerge/>
            <w:tcBorders>
              <w:top w:val="single" w:sz="2" w:space="0" w:color="auto"/>
              <w:left w:val="single" w:sz="2" w:space="0" w:color="auto"/>
              <w:bottom w:val="single" w:sz="2" w:space="0" w:color="auto"/>
              <w:right w:val="single" w:sz="2" w:space="0" w:color="auto"/>
            </w:tcBorders>
            <w:shd w:val="clear" w:color="auto" w:fill="1795D2" w:themeFill="accent1"/>
            <w:vAlign w:val="center"/>
            <w:hideMark/>
          </w:tcPr>
          <w:p w:rsidR="006D4FD7" w:rsidRDefault="006D4FD7" w:rsidP="00DD55B1">
            <w:pPr>
              <w:keepNext/>
              <w:keepLines/>
              <w:spacing w:before="20" w:after="20" w:line="240" w:lineRule="auto"/>
              <w:rPr>
                <w:rFonts w:asciiTheme="minorHAnsi" w:hAnsiTheme="minorHAnsi" w:cs="Arial"/>
                <w:b/>
                <w:bCs/>
                <w:color w:val="FFFFFF" w:themeColor="background1"/>
                <w:sz w:val="18"/>
                <w:szCs w:val="18"/>
              </w:rPr>
            </w:pPr>
          </w:p>
        </w:tc>
        <w:tc>
          <w:tcPr>
            <w:tcW w:w="2100" w:type="dxa"/>
            <w:gridSpan w:val="2"/>
            <w:tcBorders>
              <w:top w:val="single" w:sz="2" w:space="0" w:color="auto"/>
              <w:left w:val="single" w:sz="2" w:space="0" w:color="auto"/>
              <w:bottom w:val="single" w:sz="2" w:space="0" w:color="auto"/>
              <w:right w:val="single" w:sz="2" w:space="0" w:color="auto"/>
            </w:tcBorders>
            <w:shd w:val="clear" w:color="auto" w:fill="1795D2" w:themeFill="accent1"/>
            <w:tcMar>
              <w:top w:w="14" w:type="dxa"/>
              <w:left w:w="115" w:type="dxa"/>
              <w:bottom w:w="14" w:type="dxa"/>
              <w:right w:w="115" w:type="dxa"/>
            </w:tcMar>
            <w:vAlign w:val="center"/>
            <w:hideMark/>
          </w:tcPr>
          <w:p w:rsidR="006D4FD7" w:rsidRDefault="006D4FD7" w:rsidP="00DD55B1">
            <w:pPr>
              <w:keepNext/>
              <w:keepLines/>
              <w:spacing w:before="20" w:after="20" w:line="240" w:lineRule="auto"/>
              <w:jc w:val="center"/>
              <w:rPr>
                <w:rFonts w:asciiTheme="minorHAnsi" w:hAnsiTheme="minorHAnsi" w:cs="Arial"/>
                <w:b/>
                <w:color w:val="FFFFFF" w:themeColor="background1"/>
                <w:sz w:val="18"/>
                <w:szCs w:val="18"/>
              </w:rPr>
            </w:pPr>
            <w:r>
              <w:rPr>
                <w:rFonts w:asciiTheme="minorHAnsi" w:hAnsiTheme="minorHAnsi" w:cs="Arial"/>
                <w:b/>
                <w:color w:val="FFFFFF" w:themeColor="background1"/>
                <w:sz w:val="18"/>
                <w:szCs w:val="18"/>
              </w:rPr>
              <w:t>Actual</w:t>
            </w:r>
            <w:r>
              <w:rPr>
                <w:rFonts w:asciiTheme="minorHAnsi" w:hAnsiTheme="minorHAnsi" w:cs="Arial"/>
                <w:b/>
                <w:color w:val="FFFFFF" w:themeColor="background1"/>
                <w:sz w:val="18"/>
                <w:szCs w:val="18"/>
                <w:vertAlign w:val="superscript"/>
              </w:rPr>
              <w:t>(b)</w:t>
            </w:r>
          </w:p>
        </w:tc>
        <w:tc>
          <w:tcPr>
            <w:tcW w:w="4203" w:type="dxa"/>
            <w:gridSpan w:val="4"/>
            <w:tcBorders>
              <w:top w:val="single" w:sz="2" w:space="0" w:color="auto"/>
              <w:left w:val="single" w:sz="2" w:space="0" w:color="auto"/>
              <w:bottom w:val="single" w:sz="2" w:space="0" w:color="auto"/>
              <w:right w:val="single" w:sz="2" w:space="0" w:color="auto"/>
            </w:tcBorders>
            <w:shd w:val="clear" w:color="auto" w:fill="1795D2" w:themeFill="accent1"/>
            <w:tcMar>
              <w:top w:w="14" w:type="dxa"/>
              <w:left w:w="115" w:type="dxa"/>
              <w:bottom w:w="14" w:type="dxa"/>
              <w:right w:w="115" w:type="dxa"/>
            </w:tcMar>
            <w:vAlign w:val="center"/>
            <w:hideMark/>
          </w:tcPr>
          <w:p w:rsidR="006D4FD7" w:rsidRDefault="006D4FD7" w:rsidP="00DD55B1">
            <w:pPr>
              <w:keepNext/>
              <w:keepLines/>
              <w:spacing w:before="20" w:after="20" w:line="240" w:lineRule="auto"/>
              <w:jc w:val="center"/>
              <w:rPr>
                <w:rFonts w:asciiTheme="minorHAnsi" w:hAnsiTheme="minorHAnsi" w:cs="Arial"/>
                <w:b/>
                <w:color w:val="FFFFFF" w:themeColor="background1"/>
                <w:sz w:val="18"/>
                <w:szCs w:val="18"/>
              </w:rPr>
            </w:pPr>
            <w:r>
              <w:rPr>
                <w:rFonts w:asciiTheme="minorHAnsi" w:hAnsiTheme="minorHAnsi" w:cs="Arial"/>
                <w:b/>
                <w:color w:val="FFFFFF" w:themeColor="background1"/>
                <w:sz w:val="18"/>
                <w:szCs w:val="18"/>
              </w:rPr>
              <w:t>Forecast</w:t>
            </w:r>
            <w:r>
              <w:rPr>
                <w:rFonts w:asciiTheme="minorHAnsi" w:hAnsiTheme="minorHAnsi" w:cs="Arial"/>
                <w:b/>
                <w:color w:val="FFFFFF" w:themeColor="background1"/>
                <w:sz w:val="18"/>
                <w:szCs w:val="18"/>
                <w:vertAlign w:val="superscript"/>
              </w:rPr>
              <w:t>(c)</w:t>
            </w:r>
          </w:p>
        </w:tc>
      </w:tr>
      <w:tr w:rsidR="006D4FD7" w:rsidTr="006D4FD7">
        <w:trPr>
          <w:cantSplit/>
          <w:trHeight w:val="360"/>
          <w:jc w:val="center"/>
        </w:trPr>
        <w:tc>
          <w:tcPr>
            <w:tcW w:w="2729" w:type="dxa"/>
            <w:tcBorders>
              <w:top w:val="single" w:sz="2" w:space="0" w:color="auto"/>
              <w:left w:val="single" w:sz="2" w:space="0" w:color="auto"/>
              <w:bottom w:val="single" w:sz="2" w:space="0" w:color="auto"/>
              <w:right w:val="single" w:sz="2" w:space="0" w:color="auto"/>
            </w:tcBorders>
            <w:tcMar>
              <w:top w:w="14" w:type="dxa"/>
              <w:left w:w="115" w:type="dxa"/>
              <w:bottom w:w="14" w:type="dxa"/>
              <w:right w:w="115" w:type="dxa"/>
            </w:tcMar>
            <w:vAlign w:val="center"/>
            <w:hideMark/>
          </w:tcPr>
          <w:p w:rsidR="006D4FD7" w:rsidRDefault="006D4FD7" w:rsidP="00DD55B1">
            <w:pPr>
              <w:keepNext/>
              <w:keepLines/>
              <w:spacing w:before="20" w:after="20" w:line="240" w:lineRule="auto"/>
              <w:rPr>
                <w:rFonts w:asciiTheme="minorHAnsi" w:hAnsiTheme="minorHAnsi" w:cs="Arial"/>
                <w:b/>
                <w:sz w:val="18"/>
                <w:szCs w:val="18"/>
              </w:rPr>
            </w:pPr>
            <w:r>
              <w:rPr>
                <w:rFonts w:asciiTheme="minorHAnsi" w:hAnsiTheme="minorHAnsi" w:cs="Arial"/>
                <w:b/>
                <w:sz w:val="18"/>
                <w:szCs w:val="18"/>
              </w:rPr>
              <w:t xml:space="preserve">Estimated additions in service and </w:t>
            </w:r>
            <w:r w:rsidRPr="00A302DC">
              <w:rPr>
                <w:rFonts w:asciiTheme="minorHAnsi" w:hAnsiTheme="minorHAnsi" w:cs="Arial"/>
                <w:b/>
                <w:sz w:val="18"/>
                <w:szCs w:val="18"/>
              </w:rPr>
              <w:t>CWIP (</w:t>
            </w:r>
            <w:r>
              <w:rPr>
                <w:rFonts w:asciiTheme="minorHAnsi" w:hAnsiTheme="minorHAnsi" w:cs="Arial"/>
                <w:b/>
                <w:sz w:val="18"/>
                <w:szCs w:val="18"/>
              </w:rPr>
              <w:t>$ millions)</w:t>
            </w:r>
            <w:r>
              <w:rPr>
                <w:rFonts w:asciiTheme="minorHAnsi" w:hAnsiTheme="minorHAnsi" w:cs="Arial"/>
                <w:b/>
                <w:sz w:val="18"/>
                <w:szCs w:val="18"/>
                <w:vertAlign w:val="superscript"/>
              </w:rPr>
              <w:t>(d)</w:t>
            </w:r>
          </w:p>
        </w:tc>
        <w:tc>
          <w:tcPr>
            <w:tcW w:w="1050" w:type="dxa"/>
            <w:tcBorders>
              <w:top w:val="single" w:sz="2" w:space="0" w:color="auto"/>
              <w:left w:val="single" w:sz="2" w:space="0" w:color="auto"/>
              <w:bottom w:val="single" w:sz="2" w:space="0" w:color="auto"/>
              <w:right w:val="single" w:sz="2" w:space="0" w:color="auto"/>
            </w:tcBorders>
            <w:tcMar>
              <w:top w:w="14" w:type="dxa"/>
              <w:left w:w="115" w:type="dxa"/>
              <w:bottom w:w="14" w:type="dxa"/>
              <w:right w:w="115" w:type="dxa"/>
            </w:tcMar>
            <w:vAlign w:val="center"/>
            <w:hideMark/>
          </w:tcPr>
          <w:p w:rsidR="006D4FD7" w:rsidRDefault="006D4FD7" w:rsidP="00DD55B1">
            <w:pPr>
              <w:keepNext/>
              <w:keepLines/>
              <w:spacing w:before="20" w:after="20" w:line="240" w:lineRule="auto"/>
              <w:jc w:val="center"/>
              <w:rPr>
                <w:rFonts w:asciiTheme="minorHAnsi" w:hAnsiTheme="minorHAnsi" w:cs="Arial"/>
                <w:sz w:val="18"/>
                <w:szCs w:val="18"/>
              </w:rPr>
            </w:pPr>
            <w:r>
              <w:rPr>
                <w:rFonts w:ascii="Calibri" w:hAnsi="Calibri"/>
                <w:color w:val="000000"/>
                <w:sz w:val="18"/>
                <w:szCs w:val="18"/>
              </w:rPr>
              <w:t>N/A</w:t>
            </w:r>
          </w:p>
        </w:tc>
        <w:tc>
          <w:tcPr>
            <w:tcW w:w="1050" w:type="dxa"/>
            <w:tcBorders>
              <w:top w:val="single" w:sz="2" w:space="0" w:color="auto"/>
              <w:left w:val="single" w:sz="2" w:space="0" w:color="auto"/>
              <w:bottom w:val="single" w:sz="2" w:space="0" w:color="auto"/>
              <w:right w:val="single" w:sz="2" w:space="0" w:color="auto"/>
            </w:tcBorders>
            <w:tcMar>
              <w:top w:w="14" w:type="dxa"/>
              <w:left w:w="115" w:type="dxa"/>
              <w:bottom w:w="14" w:type="dxa"/>
              <w:right w:w="115" w:type="dxa"/>
            </w:tcMar>
            <w:vAlign w:val="center"/>
            <w:hideMark/>
          </w:tcPr>
          <w:p w:rsidR="006D4FD7" w:rsidRDefault="006D4FD7" w:rsidP="00DD55B1">
            <w:pPr>
              <w:keepNext/>
              <w:keepLines/>
              <w:spacing w:before="20" w:after="20" w:line="240" w:lineRule="auto"/>
              <w:jc w:val="center"/>
              <w:rPr>
                <w:rFonts w:asciiTheme="minorHAnsi" w:hAnsiTheme="minorHAnsi" w:cs="Arial"/>
                <w:sz w:val="18"/>
                <w:szCs w:val="18"/>
              </w:rPr>
            </w:pPr>
            <w:r>
              <w:rPr>
                <w:rFonts w:ascii="Calibri" w:hAnsi="Calibri"/>
                <w:color w:val="000000"/>
                <w:sz w:val="18"/>
                <w:szCs w:val="18"/>
              </w:rPr>
              <w:t>N/A</w:t>
            </w:r>
          </w:p>
        </w:tc>
        <w:tc>
          <w:tcPr>
            <w:tcW w:w="1050" w:type="dxa"/>
            <w:tcBorders>
              <w:top w:val="single" w:sz="2" w:space="0" w:color="auto"/>
              <w:left w:val="single" w:sz="2" w:space="0" w:color="auto"/>
              <w:bottom w:val="single" w:sz="2" w:space="0" w:color="auto"/>
              <w:right w:val="single" w:sz="2" w:space="0" w:color="auto"/>
            </w:tcBorders>
            <w:tcMar>
              <w:top w:w="14" w:type="dxa"/>
              <w:left w:w="115" w:type="dxa"/>
              <w:bottom w:w="14" w:type="dxa"/>
              <w:right w:w="115" w:type="dxa"/>
            </w:tcMar>
            <w:vAlign w:val="center"/>
            <w:hideMark/>
          </w:tcPr>
          <w:p w:rsidR="006D4FD7" w:rsidRDefault="006D4FD7" w:rsidP="00DD55B1">
            <w:pPr>
              <w:keepNext/>
              <w:keepLines/>
              <w:spacing w:before="20" w:after="20" w:line="240" w:lineRule="auto"/>
              <w:jc w:val="center"/>
              <w:rPr>
                <w:rFonts w:asciiTheme="minorHAnsi" w:hAnsiTheme="minorHAnsi" w:cs="Arial"/>
                <w:sz w:val="18"/>
                <w:szCs w:val="18"/>
              </w:rPr>
            </w:pPr>
            <w:r>
              <w:rPr>
                <w:rFonts w:asciiTheme="minorHAnsi" w:hAnsiTheme="minorHAnsi" w:cs="Arial"/>
                <w:sz w:val="18"/>
                <w:szCs w:val="18"/>
              </w:rPr>
              <w:t>1,098</w:t>
            </w:r>
          </w:p>
        </w:tc>
        <w:tc>
          <w:tcPr>
            <w:tcW w:w="1051" w:type="dxa"/>
            <w:tcBorders>
              <w:top w:val="single" w:sz="2" w:space="0" w:color="auto"/>
              <w:left w:val="single" w:sz="2" w:space="0" w:color="auto"/>
              <w:bottom w:val="single" w:sz="2" w:space="0" w:color="auto"/>
              <w:right w:val="single" w:sz="2" w:space="0" w:color="auto"/>
            </w:tcBorders>
            <w:tcMar>
              <w:top w:w="14" w:type="dxa"/>
              <w:left w:w="115" w:type="dxa"/>
              <w:bottom w:w="14" w:type="dxa"/>
              <w:right w:w="115" w:type="dxa"/>
            </w:tcMar>
            <w:vAlign w:val="center"/>
            <w:hideMark/>
          </w:tcPr>
          <w:p w:rsidR="006D4FD7" w:rsidRDefault="006D4FD7" w:rsidP="00DD55B1">
            <w:pPr>
              <w:keepNext/>
              <w:keepLines/>
              <w:spacing w:before="20" w:after="20" w:line="240" w:lineRule="auto"/>
              <w:jc w:val="center"/>
              <w:rPr>
                <w:rFonts w:asciiTheme="minorHAnsi" w:hAnsiTheme="minorHAnsi" w:cs="Arial"/>
                <w:sz w:val="18"/>
                <w:szCs w:val="18"/>
              </w:rPr>
            </w:pPr>
            <w:r>
              <w:rPr>
                <w:rFonts w:ascii="Calibri" w:hAnsi="Calibri"/>
                <w:color w:val="000000"/>
                <w:sz w:val="18"/>
                <w:szCs w:val="18"/>
              </w:rPr>
              <w:t>1,059</w:t>
            </w:r>
          </w:p>
        </w:tc>
        <w:tc>
          <w:tcPr>
            <w:tcW w:w="1051" w:type="dxa"/>
            <w:tcBorders>
              <w:top w:val="single" w:sz="2" w:space="0" w:color="auto"/>
              <w:left w:val="single" w:sz="2" w:space="0" w:color="auto"/>
              <w:bottom w:val="single" w:sz="2" w:space="0" w:color="auto"/>
              <w:right w:val="single" w:sz="2" w:space="0" w:color="auto"/>
            </w:tcBorders>
            <w:tcMar>
              <w:top w:w="14" w:type="dxa"/>
              <w:left w:w="115" w:type="dxa"/>
              <w:bottom w:w="14" w:type="dxa"/>
              <w:right w:w="115" w:type="dxa"/>
            </w:tcMar>
            <w:vAlign w:val="center"/>
            <w:hideMark/>
          </w:tcPr>
          <w:p w:rsidR="006D4FD7" w:rsidRDefault="006D4FD7" w:rsidP="00DD55B1">
            <w:pPr>
              <w:keepNext/>
              <w:keepLines/>
              <w:spacing w:before="20" w:after="20" w:line="240" w:lineRule="auto"/>
              <w:jc w:val="center"/>
              <w:rPr>
                <w:rFonts w:asciiTheme="minorHAnsi" w:hAnsiTheme="minorHAnsi" w:cs="Arial"/>
                <w:sz w:val="18"/>
                <w:szCs w:val="18"/>
              </w:rPr>
            </w:pPr>
            <w:r>
              <w:rPr>
                <w:rFonts w:asciiTheme="minorHAnsi" w:hAnsiTheme="minorHAnsi" w:cs="Arial"/>
                <w:sz w:val="18"/>
                <w:szCs w:val="18"/>
              </w:rPr>
              <w:t>589</w:t>
            </w:r>
          </w:p>
        </w:tc>
        <w:tc>
          <w:tcPr>
            <w:tcW w:w="1051" w:type="dxa"/>
            <w:tcBorders>
              <w:top w:val="single" w:sz="2" w:space="0" w:color="auto"/>
              <w:left w:val="single" w:sz="2" w:space="0" w:color="auto"/>
              <w:bottom w:val="single" w:sz="2" w:space="0" w:color="auto"/>
              <w:right w:val="single" w:sz="2" w:space="0" w:color="auto"/>
            </w:tcBorders>
            <w:tcMar>
              <w:top w:w="14" w:type="dxa"/>
              <w:left w:w="115" w:type="dxa"/>
              <w:bottom w:w="14" w:type="dxa"/>
              <w:right w:w="115" w:type="dxa"/>
            </w:tcMar>
            <w:vAlign w:val="center"/>
            <w:hideMark/>
          </w:tcPr>
          <w:p w:rsidR="006D4FD7" w:rsidRDefault="006D4FD7" w:rsidP="00DD55B1">
            <w:pPr>
              <w:keepNext/>
              <w:keepLines/>
              <w:spacing w:before="20" w:after="20" w:line="240" w:lineRule="auto"/>
              <w:jc w:val="center"/>
              <w:rPr>
                <w:rFonts w:asciiTheme="minorHAnsi" w:hAnsiTheme="minorHAnsi" w:cs="Arial"/>
                <w:sz w:val="18"/>
                <w:szCs w:val="18"/>
              </w:rPr>
            </w:pPr>
            <w:r>
              <w:rPr>
                <w:rFonts w:asciiTheme="minorHAnsi" w:hAnsiTheme="minorHAnsi" w:cs="Arial"/>
                <w:sz w:val="18"/>
                <w:szCs w:val="18"/>
              </w:rPr>
              <w:t>446</w:t>
            </w:r>
          </w:p>
        </w:tc>
      </w:tr>
      <w:tr w:rsidR="006D4FD7" w:rsidTr="00611013">
        <w:trPr>
          <w:cantSplit/>
          <w:trHeight w:val="360"/>
          <w:jc w:val="center"/>
        </w:trPr>
        <w:tc>
          <w:tcPr>
            <w:tcW w:w="2729" w:type="dxa"/>
            <w:tcBorders>
              <w:top w:val="single" w:sz="2" w:space="0" w:color="auto"/>
              <w:left w:val="single" w:sz="2" w:space="0" w:color="auto"/>
              <w:bottom w:val="single" w:sz="2" w:space="0" w:color="auto"/>
              <w:right w:val="single" w:sz="2" w:space="0" w:color="auto"/>
            </w:tcBorders>
            <w:shd w:val="clear" w:color="auto" w:fill="CCEAF9" w:themeFill="accent1" w:themeFillTint="33"/>
            <w:tcMar>
              <w:top w:w="14" w:type="dxa"/>
              <w:left w:w="115" w:type="dxa"/>
              <w:bottom w:w="14" w:type="dxa"/>
              <w:right w:w="115" w:type="dxa"/>
            </w:tcMar>
            <w:vAlign w:val="center"/>
            <w:hideMark/>
          </w:tcPr>
          <w:p w:rsidR="006D4FD7" w:rsidRDefault="006D4FD7" w:rsidP="00DD55B1">
            <w:pPr>
              <w:keepNext/>
              <w:keepLines/>
              <w:spacing w:before="20" w:after="20" w:line="240" w:lineRule="auto"/>
              <w:rPr>
                <w:rFonts w:asciiTheme="minorHAnsi" w:hAnsiTheme="minorHAnsi" w:cs="Arial"/>
                <w:b/>
                <w:sz w:val="18"/>
                <w:szCs w:val="18"/>
              </w:rPr>
            </w:pPr>
            <w:r>
              <w:rPr>
                <w:rFonts w:asciiTheme="minorHAnsi" w:hAnsiTheme="minorHAnsi" w:cs="Arial"/>
                <w:b/>
                <w:sz w:val="18"/>
                <w:szCs w:val="18"/>
              </w:rPr>
              <w:t>Forecasted revenue requirement</w:t>
            </w:r>
          </w:p>
          <w:p w:rsidR="006D4FD7" w:rsidRDefault="006D4FD7" w:rsidP="00DD55B1">
            <w:pPr>
              <w:keepNext/>
              <w:keepLines/>
              <w:spacing w:before="20" w:after="20" w:line="240" w:lineRule="auto"/>
              <w:rPr>
                <w:rFonts w:asciiTheme="minorHAnsi" w:hAnsiTheme="minorHAnsi" w:cs="Arial"/>
                <w:b/>
                <w:sz w:val="18"/>
                <w:szCs w:val="18"/>
              </w:rPr>
            </w:pPr>
            <w:r>
              <w:rPr>
                <w:rFonts w:asciiTheme="minorHAnsi" w:hAnsiTheme="minorHAnsi" w:cs="Arial"/>
                <w:b/>
                <w:sz w:val="18"/>
                <w:szCs w:val="18"/>
              </w:rPr>
              <w:t>($ millions)</w:t>
            </w:r>
          </w:p>
        </w:tc>
        <w:tc>
          <w:tcPr>
            <w:tcW w:w="1050" w:type="dxa"/>
            <w:tcBorders>
              <w:top w:val="single" w:sz="2" w:space="0" w:color="auto"/>
              <w:left w:val="single" w:sz="2" w:space="0" w:color="auto"/>
              <w:bottom w:val="single" w:sz="2" w:space="0" w:color="auto"/>
              <w:right w:val="single" w:sz="2" w:space="0" w:color="auto"/>
            </w:tcBorders>
            <w:shd w:val="clear" w:color="auto" w:fill="CCEAF9" w:themeFill="accent1" w:themeFillTint="33"/>
            <w:tcMar>
              <w:top w:w="14" w:type="dxa"/>
              <w:left w:w="115" w:type="dxa"/>
              <w:bottom w:w="14" w:type="dxa"/>
              <w:right w:w="115" w:type="dxa"/>
            </w:tcMar>
            <w:vAlign w:val="center"/>
            <w:hideMark/>
          </w:tcPr>
          <w:p w:rsidR="006D4FD7" w:rsidRDefault="006D4FD7" w:rsidP="00DD55B1">
            <w:pPr>
              <w:keepNext/>
              <w:keepLines/>
              <w:spacing w:before="20" w:after="20" w:line="240" w:lineRule="auto"/>
              <w:jc w:val="center"/>
              <w:rPr>
                <w:rFonts w:asciiTheme="minorHAnsi" w:hAnsiTheme="minorHAnsi" w:cs="Arial"/>
                <w:sz w:val="18"/>
                <w:szCs w:val="18"/>
              </w:rPr>
            </w:pPr>
            <w:r>
              <w:rPr>
                <w:rFonts w:asciiTheme="minorHAnsi" w:hAnsiTheme="minorHAnsi" w:cs="Arial"/>
                <w:sz w:val="18"/>
                <w:szCs w:val="18"/>
              </w:rPr>
              <w:t>159</w:t>
            </w:r>
          </w:p>
        </w:tc>
        <w:tc>
          <w:tcPr>
            <w:tcW w:w="1050" w:type="dxa"/>
            <w:tcBorders>
              <w:top w:val="single" w:sz="2" w:space="0" w:color="auto"/>
              <w:left w:val="single" w:sz="2" w:space="0" w:color="auto"/>
              <w:bottom w:val="single" w:sz="2" w:space="0" w:color="auto"/>
              <w:right w:val="single" w:sz="2" w:space="0" w:color="auto"/>
            </w:tcBorders>
            <w:shd w:val="clear" w:color="auto" w:fill="CCEAF9" w:themeFill="accent1" w:themeFillTint="33"/>
            <w:tcMar>
              <w:top w:w="14" w:type="dxa"/>
              <w:left w:w="115" w:type="dxa"/>
              <w:bottom w:w="14" w:type="dxa"/>
              <w:right w:w="115" w:type="dxa"/>
            </w:tcMar>
            <w:vAlign w:val="center"/>
            <w:hideMark/>
          </w:tcPr>
          <w:p w:rsidR="006D4FD7" w:rsidRDefault="006D4FD7" w:rsidP="00DD55B1">
            <w:pPr>
              <w:keepNext/>
              <w:keepLines/>
              <w:spacing w:before="20" w:after="20" w:line="240" w:lineRule="auto"/>
              <w:jc w:val="center"/>
              <w:rPr>
                <w:rFonts w:asciiTheme="minorHAnsi" w:hAnsiTheme="minorHAnsi" w:cs="Arial"/>
                <w:sz w:val="18"/>
                <w:szCs w:val="18"/>
              </w:rPr>
            </w:pPr>
            <w:r>
              <w:rPr>
                <w:rFonts w:asciiTheme="minorHAnsi" w:hAnsiTheme="minorHAnsi" w:cs="Arial"/>
                <w:sz w:val="18"/>
                <w:szCs w:val="18"/>
              </w:rPr>
              <w:t>162</w:t>
            </w:r>
          </w:p>
        </w:tc>
        <w:tc>
          <w:tcPr>
            <w:tcW w:w="1050" w:type="dxa"/>
            <w:tcBorders>
              <w:top w:val="single" w:sz="2" w:space="0" w:color="auto"/>
              <w:left w:val="single" w:sz="2" w:space="0" w:color="auto"/>
              <w:bottom w:val="single" w:sz="2" w:space="0" w:color="auto"/>
              <w:right w:val="single" w:sz="2" w:space="0" w:color="auto"/>
            </w:tcBorders>
            <w:shd w:val="clear" w:color="auto" w:fill="CCEAF9" w:themeFill="accent1" w:themeFillTint="33"/>
            <w:tcMar>
              <w:top w:w="14" w:type="dxa"/>
              <w:left w:w="115" w:type="dxa"/>
              <w:bottom w:w="14" w:type="dxa"/>
              <w:right w:w="115" w:type="dxa"/>
            </w:tcMar>
            <w:vAlign w:val="center"/>
            <w:hideMark/>
          </w:tcPr>
          <w:p w:rsidR="006D4FD7" w:rsidRDefault="006D4FD7" w:rsidP="00DD55B1">
            <w:pPr>
              <w:keepNext/>
              <w:keepLines/>
              <w:spacing w:before="20" w:after="20" w:line="240" w:lineRule="auto"/>
              <w:jc w:val="center"/>
              <w:rPr>
                <w:rFonts w:asciiTheme="minorHAnsi" w:hAnsiTheme="minorHAnsi" w:cs="Arial"/>
                <w:sz w:val="18"/>
                <w:szCs w:val="18"/>
              </w:rPr>
            </w:pPr>
            <w:r>
              <w:rPr>
                <w:rFonts w:asciiTheme="minorHAnsi" w:hAnsiTheme="minorHAnsi" w:cs="Arial"/>
                <w:sz w:val="18"/>
                <w:szCs w:val="18"/>
              </w:rPr>
              <w:t>165</w:t>
            </w:r>
          </w:p>
        </w:tc>
        <w:tc>
          <w:tcPr>
            <w:tcW w:w="1051" w:type="dxa"/>
            <w:tcBorders>
              <w:top w:val="single" w:sz="2" w:space="0" w:color="auto"/>
              <w:left w:val="single" w:sz="2" w:space="0" w:color="auto"/>
              <w:bottom w:val="single" w:sz="2" w:space="0" w:color="auto"/>
              <w:right w:val="single" w:sz="2" w:space="0" w:color="auto"/>
            </w:tcBorders>
            <w:shd w:val="clear" w:color="auto" w:fill="CCEAF9" w:themeFill="accent1" w:themeFillTint="33"/>
            <w:tcMar>
              <w:top w:w="14" w:type="dxa"/>
              <w:left w:w="115" w:type="dxa"/>
              <w:bottom w:w="14" w:type="dxa"/>
              <w:right w:w="115" w:type="dxa"/>
            </w:tcMar>
            <w:vAlign w:val="center"/>
            <w:hideMark/>
          </w:tcPr>
          <w:p w:rsidR="006D4FD7" w:rsidRDefault="006D4FD7" w:rsidP="00DD55B1">
            <w:pPr>
              <w:keepNext/>
              <w:keepLines/>
              <w:spacing w:before="20" w:after="20" w:line="240" w:lineRule="auto"/>
              <w:jc w:val="center"/>
              <w:rPr>
                <w:rFonts w:asciiTheme="minorHAnsi" w:hAnsiTheme="minorHAnsi" w:cs="Arial"/>
                <w:sz w:val="18"/>
                <w:szCs w:val="18"/>
              </w:rPr>
            </w:pPr>
            <w:r>
              <w:rPr>
                <w:rFonts w:ascii="Calibri" w:hAnsi="Calibri"/>
                <w:color w:val="000000"/>
                <w:sz w:val="18"/>
                <w:szCs w:val="18"/>
              </w:rPr>
              <w:t>155</w:t>
            </w:r>
          </w:p>
        </w:tc>
        <w:tc>
          <w:tcPr>
            <w:tcW w:w="1051" w:type="dxa"/>
            <w:tcBorders>
              <w:top w:val="single" w:sz="2" w:space="0" w:color="auto"/>
              <w:left w:val="single" w:sz="2" w:space="0" w:color="auto"/>
              <w:bottom w:val="single" w:sz="2" w:space="0" w:color="auto"/>
              <w:right w:val="single" w:sz="2" w:space="0" w:color="auto"/>
            </w:tcBorders>
            <w:shd w:val="clear" w:color="auto" w:fill="CCEAF9" w:themeFill="accent1" w:themeFillTint="33"/>
            <w:tcMar>
              <w:top w:w="14" w:type="dxa"/>
              <w:left w:w="115" w:type="dxa"/>
              <w:bottom w:w="14" w:type="dxa"/>
              <w:right w:w="115" w:type="dxa"/>
            </w:tcMar>
            <w:vAlign w:val="center"/>
            <w:hideMark/>
          </w:tcPr>
          <w:p w:rsidR="006D4FD7" w:rsidRDefault="006D4FD7" w:rsidP="00DD55B1">
            <w:pPr>
              <w:keepNext/>
              <w:keepLines/>
              <w:spacing w:before="20" w:after="20" w:line="240" w:lineRule="auto"/>
              <w:jc w:val="center"/>
              <w:rPr>
                <w:rFonts w:asciiTheme="minorHAnsi" w:hAnsiTheme="minorHAnsi" w:cs="Arial"/>
                <w:sz w:val="18"/>
                <w:szCs w:val="18"/>
              </w:rPr>
            </w:pPr>
            <w:r>
              <w:rPr>
                <w:rFonts w:ascii="Calibri" w:hAnsi="Calibri"/>
                <w:color w:val="000000"/>
                <w:sz w:val="18"/>
                <w:szCs w:val="18"/>
              </w:rPr>
              <w:t>93</w:t>
            </w:r>
          </w:p>
        </w:tc>
        <w:tc>
          <w:tcPr>
            <w:tcW w:w="1051" w:type="dxa"/>
            <w:tcBorders>
              <w:top w:val="single" w:sz="2" w:space="0" w:color="auto"/>
              <w:left w:val="single" w:sz="2" w:space="0" w:color="auto"/>
              <w:bottom w:val="single" w:sz="2" w:space="0" w:color="auto"/>
              <w:right w:val="single" w:sz="2" w:space="0" w:color="auto"/>
            </w:tcBorders>
            <w:shd w:val="clear" w:color="auto" w:fill="CCEAF9" w:themeFill="accent1" w:themeFillTint="33"/>
            <w:tcMar>
              <w:top w:w="14" w:type="dxa"/>
              <w:left w:w="115" w:type="dxa"/>
              <w:bottom w:w="14" w:type="dxa"/>
              <w:right w:w="115" w:type="dxa"/>
            </w:tcMar>
            <w:vAlign w:val="center"/>
            <w:hideMark/>
          </w:tcPr>
          <w:p w:rsidR="006D4FD7" w:rsidRDefault="006D4FD7" w:rsidP="00DD55B1">
            <w:pPr>
              <w:keepNext/>
              <w:keepLines/>
              <w:spacing w:before="20" w:after="20" w:line="240" w:lineRule="auto"/>
              <w:jc w:val="center"/>
              <w:rPr>
                <w:rFonts w:asciiTheme="minorHAnsi" w:hAnsiTheme="minorHAnsi" w:cs="Arial"/>
                <w:sz w:val="18"/>
                <w:szCs w:val="18"/>
              </w:rPr>
            </w:pPr>
            <w:r>
              <w:rPr>
                <w:rFonts w:asciiTheme="minorHAnsi" w:hAnsiTheme="minorHAnsi" w:cs="Arial"/>
                <w:sz w:val="18"/>
                <w:szCs w:val="18"/>
              </w:rPr>
              <w:t>68</w:t>
            </w:r>
          </w:p>
        </w:tc>
      </w:tr>
      <w:tr w:rsidR="006D4FD7" w:rsidTr="006D4FD7">
        <w:trPr>
          <w:cantSplit/>
          <w:trHeight w:val="360"/>
          <w:jc w:val="center"/>
        </w:trPr>
        <w:tc>
          <w:tcPr>
            <w:tcW w:w="2729" w:type="dxa"/>
            <w:tcBorders>
              <w:top w:val="single" w:sz="2" w:space="0" w:color="auto"/>
              <w:left w:val="single" w:sz="2" w:space="0" w:color="auto"/>
              <w:bottom w:val="single" w:sz="2" w:space="0" w:color="auto"/>
              <w:right w:val="single" w:sz="2" w:space="0" w:color="auto"/>
            </w:tcBorders>
            <w:tcMar>
              <w:top w:w="14" w:type="dxa"/>
              <w:left w:w="115" w:type="dxa"/>
              <w:bottom w:w="14" w:type="dxa"/>
              <w:right w:w="115" w:type="dxa"/>
            </w:tcMar>
            <w:vAlign w:val="center"/>
            <w:hideMark/>
          </w:tcPr>
          <w:p w:rsidR="006D4FD7" w:rsidRDefault="006D4FD7" w:rsidP="00DD55B1">
            <w:pPr>
              <w:keepNext/>
              <w:keepLines/>
              <w:spacing w:before="20" w:after="20" w:line="240" w:lineRule="auto"/>
              <w:rPr>
                <w:rFonts w:asciiTheme="minorHAnsi" w:hAnsiTheme="minorHAnsi" w:cs="Arial"/>
                <w:b/>
                <w:sz w:val="18"/>
                <w:szCs w:val="18"/>
              </w:rPr>
            </w:pPr>
            <w:r>
              <w:rPr>
                <w:rFonts w:asciiTheme="minorHAnsi" w:hAnsiTheme="minorHAnsi" w:cs="Arial"/>
                <w:b/>
                <w:sz w:val="18"/>
                <w:szCs w:val="18"/>
              </w:rPr>
              <w:t>Total revenue requirement</w:t>
            </w:r>
          </w:p>
        </w:tc>
        <w:tc>
          <w:tcPr>
            <w:tcW w:w="1050" w:type="dxa"/>
            <w:tcBorders>
              <w:top w:val="single" w:sz="2" w:space="0" w:color="auto"/>
              <w:left w:val="single" w:sz="2" w:space="0" w:color="auto"/>
              <w:bottom w:val="single" w:sz="2" w:space="0" w:color="auto"/>
              <w:right w:val="single" w:sz="2" w:space="0" w:color="auto"/>
            </w:tcBorders>
            <w:tcMar>
              <w:top w:w="14" w:type="dxa"/>
              <w:left w:w="115" w:type="dxa"/>
              <w:bottom w:w="14" w:type="dxa"/>
              <w:right w:w="115" w:type="dxa"/>
            </w:tcMar>
            <w:vAlign w:val="center"/>
            <w:hideMark/>
          </w:tcPr>
          <w:p w:rsidR="006D4FD7" w:rsidRDefault="006D4FD7" w:rsidP="00DD55B1">
            <w:pPr>
              <w:keepNext/>
              <w:keepLines/>
              <w:spacing w:before="20" w:after="20" w:line="240" w:lineRule="auto"/>
              <w:jc w:val="center"/>
              <w:rPr>
                <w:rFonts w:asciiTheme="minorHAnsi" w:hAnsiTheme="minorHAnsi"/>
                <w:color w:val="000000"/>
                <w:sz w:val="18"/>
                <w:szCs w:val="18"/>
              </w:rPr>
            </w:pPr>
            <w:r>
              <w:rPr>
                <w:rFonts w:asciiTheme="minorHAnsi" w:hAnsiTheme="minorHAnsi" w:cs="Arial"/>
                <w:sz w:val="18"/>
                <w:szCs w:val="18"/>
              </w:rPr>
              <w:t>2,069</w:t>
            </w:r>
          </w:p>
        </w:tc>
        <w:tc>
          <w:tcPr>
            <w:tcW w:w="1050" w:type="dxa"/>
            <w:tcBorders>
              <w:top w:val="single" w:sz="2" w:space="0" w:color="auto"/>
              <w:left w:val="single" w:sz="2" w:space="0" w:color="auto"/>
              <w:bottom w:val="single" w:sz="2" w:space="0" w:color="auto"/>
              <w:right w:val="single" w:sz="2" w:space="0" w:color="auto"/>
            </w:tcBorders>
            <w:tcMar>
              <w:top w:w="14" w:type="dxa"/>
              <w:left w:w="115" w:type="dxa"/>
              <w:bottom w:w="14" w:type="dxa"/>
              <w:right w:w="115" w:type="dxa"/>
            </w:tcMar>
            <w:vAlign w:val="center"/>
            <w:hideMark/>
          </w:tcPr>
          <w:p w:rsidR="006D4FD7" w:rsidRDefault="006D4FD7" w:rsidP="00DD55B1">
            <w:pPr>
              <w:keepNext/>
              <w:keepLines/>
              <w:spacing w:before="20" w:after="20" w:line="240" w:lineRule="auto"/>
              <w:jc w:val="center"/>
              <w:rPr>
                <w:rFonts w:asciiTheme="minorHAnsi" w:hAnsiTheme="minorHAnsi"/>
                <w:color w:val="000000"/>
                <w:sz w:val="18"/>
                <w:szCs w:val="18"/>
              </w:rPr>
            </w:pPr>
            <w:r>
              <w:rPr>
                <w:rFonts w:asciiTheme="minorHAnsi" w:hAnsiTheme="minorHAnsi"/>
                <w:color w:val="000000"/>
                <w:sz w:val="18"/>
                <w:szCs w:val="18"/>
              </w:rPr>
              <w:t>2,195</w:t>
            </w:r>
          </w:p>
        </w:tc>
        <w:tc>
          <w:tcPr>
            <w:tcW w:w="1050" w:type="dxa"/>
            <w:tcBorders>
              <w:top w:val="single" w:sz="2" w:space="0" w:color="auto"/>
              <w:left w:val="single" w:sz="2" w:space="0" w:color="auto"/>
              <w:bottom w:val="single" w:sz="2" w:space="0" w:color="auto"/>
              <w:right w:val="single" w:sz="2" w:space="0" w:color="auto"/>
            </w:tcBorders>
            <w:tcMar>
              <w:top w:w="14" w:type="dxa"/>
              <w:left w:w="115" w:type="dxa"/>
              <w:bottom w:w="14" w:type="dxa"/>
              <w:right w:w="115" w:type="dxa"/>
            </w:tcMar>
            <w:vAlign w:val="center"/>
            <w:hideMark/>
          </w:tcPr>
          <w:p w:rsidR="006D4FD7" w:rsidRDefault="006D4FD7" w:rsidP="00DD55B1">
            <w:pPr>
              <w:keepNext/>
              <w:keepLines/>
              <w:spacing w:before="20" w:after="20" w:line="240" w:lineRule="auto"/>
              <w:jc w:val="center"/>
              <w:rPr>
                <w:rFonts w:asciiTheme="minorHAnsi" w:hAnsiTheme="minorHAnsi"/>
                <w:color w:val="000000"/>
                <w:sz w:val="18"/>
                <w:szCs w:val="18"/>
              </w:rPr>
            </w:pPr>
            <w:r>
              <w:rPr>
                <w:rFonts w:asciiTheme="minorHAnsi" w:hAnsiTheme="minorHAnsi"/>
                <w:color w:val="000000"/>
                <w:sz w:val="18"/>
                <w:szCs w:val="18"/>
              </w:rPr>
              <w:t>2,360</w:t>
            </w:r>
          </w:p>
        </w:tc>
        <w:tc>
          <w:tcPr>
            <w:tcW w:w="1051" w:type="dxa"/>
            <w:tcBorders>
              <w:top w:val="single" w:sz="2" w:space="0" w:color="auto"/>
              <w:left w:val="single" w:sz="2" w:space="0" w:color="auto"/>
              <w:bottom w:val="single" w:sz="2" w:space="0" w:color="auto"/>
              <w:right w:val="single" w:sz="2" w:space="0" w:color="auto"/>
            </w:tcBorders>
            <w:tcMar>
              <w:top w:w="14" w:type="dxa"/>
              <w:left w:w="115" w:type="dxa"/>
              <w:bottom w:w="14" w:type="dxa"/>
              <w:right w:w="115" w:type="dxa"/>
            </w:tcMar>
            <w:vAlign w:val="center"/>
            <w:hideMark/>
          </w:tcPr>
          <w:p w:rsidR="006D4FD7" w:rsidRDefault="006D4FD7" w:rsidP="00DD55B1">
            <w:pPr>
              <w:keepNext/>
              <w:keepLines/>
              <w:spacing w:before="20" w:after="20" w:line="240" w:lineRule="auto"/>
              <w:jc w:val="center"/>
              <w:rPr>
                <w:rFonts w:asciiTheme="minorHAnsi" w:hAnsiTheme="minorHAnsi"/>
                <w:color w:val="000000"/>
                <w:sz w:val="18"/>
                <w:szCs w:val="18"/>
              </w:rPr>
            </w:pPr>
            <w:r>
              <w:rPr>
                <w:rFonts w:asciiTheme="minorHAnsi" w:hAnsiTheme="minorHAnsi"/>
                <w:color w:val="000000"/>
                <w:sz w:val="18"/>
                <w:szCs w:val="18"/>
              </w:rPr>
              <w:t>2,515</w:t>
            </w:r>
          </w:p>
        </w:tc>
        <w:tc>
          <w:tcPr>
            <w:tcW w:w="1051" w:type="dxa"/>
            <w:tcBorders>
              <w:top w:val="single" w:sz="2" w:space="0" w:color="auto"/>
              <w:left w:val="single" w:sz="2" w:space="0" w:color="auto"/>
              <w:bottom w:val="single" w:sz="2" w:space="0" w:color="auto"/>
              <w:right w:val="single" w:sz="2" w:space="0" w:color="auto"/>
            </w:tcBorders>
            <w:tcMar>
              <w:top w:w="14" w:type="dxa"/>
              <w:left w:w="115" w:type="dxa"/>
              <w:bottom w:w="14" w:type="dxa"/>
              <w:right w:w="115" w:type="dxa"/>
            </w:tcMar>
            <w:vAlign w:val="center"/>
            <w:hideMark/>
          </w:tcPr>
          <w:p w:rsidR="006D4FD7" w:rsidRDefault="006D4FD7" w:rsidP="00DD55B1">
            <w:pPr>
              <w:keepNext/>
              <w:keepLines/>
              <w:spacing w:before="20" w:after="20" w:line="240" w:lineRule="auto"/>
              <w:jc w:val="center"/>
              <w:rPr>
                <w:rFonts w:asciiTheme="minorHAnsi" w:hAnsiTheme="minorHAnsi"/>
                <w:color w:val="000000"/>
                <w:sz w:val="18"/>
                <w:szCs w:val="18"/>
              </w:rPr>
            </w:pPr>
            <w:r>
              <w:rPr>
                <w:rFonts w:asciiTheme="minorHAnsi" w:hAnsiTheme="minorHAnsi"/>
                <w:color w:val="000000"/>
                <w:sz w:val="18"/>
                <w:szCs w:val="18"/>
              </w:rPr>
              <w:t>2,608</w:t>
            </w:r>
          </w:p>
        </w:tc>
        <w:tc>
          <w:tcPr>
            <w:tcW w:w="1051" w:type="dxa"/>
            <w:tcBorders>
              <w:top w:val="single" w:sz="2" w:space="0" w:color="auto"/>
              <w:left w:val="single" w:sz="2" w:space="0" w:color="auto"/>
              <w:bottom w:val="single" w:sz="2" w:space="0" w:color="auto"/>
              <w:right w:val="single" w:sz="2" w:space="0" w:color="auto"/>
            </w:tcBorders>
            <w:tcMar>
              <w:top w:w="14" w:type="dxa"/>
              <w:left w:w="115" w:type="dxa"/>
              <w:bottom w:w="14" w:type="dxa"/>
              <w:right w:w="115" w:type="dxa"/>
            </w:tcMar>
            <w:vAlign w:val="center"/>
            <w:hideMark/>
          </w:tcPr>
          <w:p w:rsidR="006D4FD7" w:rsidRDefault="006D4FD7" w:rsidP="00DD55B1">
            <w:pPr>
              <w:keepNext/>
              <w:keepLines/>
              <w:spacing w:before="20" w:after="20" w:line="240" w:lineRule="auto"/>
              <w:jc w:val="center"/>
              <w:rPr>
                <w:rFonts w:asciiTheme="minorHAnsi" w:hAnsiTheme="minorHAnsi"/>
                <w:color w:val="000000"/>
                <w:sz w:val="18"/>
                <w:szCs w:val="18"/>
              </w:rPr>
            </w:pPr>
            <w:r>
              <w:rPr>
                <w:rFonts w:asciiTheme="minorHAnsi" w:hAnsiTheme="minorHAnsi"/>
                <w:color w:val="000000"/>
                <w:sz w:val="18"/>
                <w:szCs w:val="18"/>
              </w:rPr>
              <w:t>2,676</w:t>
            </w:r>
          </w:p>
        </w:tc>
      </w:tr>
      <w:tr w:rsidR="006D4FD7" w:rsidTr="00611013">
        <w:trPr>
          <w:cantSplit/>
          <w:trHeight w:val="360"/>
          <w:jc w:val="center"/>
        </w:trPr>
        <w:tc>
          <w:tcPr>
            <w:tcW w:w="2729" w:type="dxa"/>
            <w:tcBorders>
              <w:top w:val="single" w:sz="2" w:space="0" w:color="auto"/>
              <w:left w:val="single" w:sz="2" w:space="0" w:color="auto"/>
              <w:bottom w:val="single" w:sz="2" w:space="0" w:color="auto"/>
              <w:right w:val="single" w:sz="2" w:space="0" w:color="auto"/>
            </w:tcBorders>
            <w:shd w:val="clear" w:color="auto" w:fill="CCEAF9" w:themeFill="accent1" w:themeFillTint="33"/>
            <w:tcMar>
              <w:top w:w="14" w:type="dxa"/>
              <w:left w:w="115" w:type="dxa"/>
              <w:bottom w:w="14" w:type="dxa"/>
              <w:right w:w="115" w:type="dxa"/>
            </w:tcMar>
            <w:vAlign w:val="center"/>
            <w:hideMark/>
          </w:tcPr>
          <w:p w:rsidR="006D4FD7" w:rsidRDefault="006D4FD7" w:rsidP="00DD55B1">
            <w:pPr>
              <w:keepNext/>
              <w:keepLines/>
              <w:spacing w:before="20" w:after="20" w:line="240" w:lineRule="auto"/>
              <w:rPr>
                <w:rFonts w:asciiTheme="minorHAnsi" w:hAnsiTheme="minorHAnsi" w:cs="Arial"/>
                <w:b/>
                <w:sz w:val="18"/>
                <w:szCs w:val="18"/>
              </w:rPr>
            </w:pPr>
            <w:r>
              <w:rPr>
                <w:rFonts w:asciiTheme="minorHAnsi" w:hAnsiTheme="minorHAnsi" w:cs="Arial"/>
                <w:b/>
                <w:sz w:val="18"/>
                <w:szCs w:val="18"/>
              </w:rPr>
              <w:t>Year-prior 12 CP (kW)</w:t>
            </w:r>
            <w:r>
              <w:rPr>
                <w:rFonts w:asciiTheme="minorHAnsi" w:hAnsiTheme="minorHAnsi" w:cs="Arial"/>
                <w:b/>
                <w:sz w:val="18"/>
                <w:szCs w:val="18"/>
                <w:vertAlign w:val="superscript"/>
              </w:rPr>
              <w:t>(e)</w:t>
            </w:r>
          </w:p>
        </w:tc>
        <w:tc>
          <w:tcPr>
            <w:tcW w:w="1050" w:type="dxa"/>
            <w:tcBorders>
              <w:top w:val="single" w:sz="2" w:space="0" w:color="auto"/>
              <w:left w:val="single" w:sz="2" w:space="0" w:color="auto"/>
              <w:bottom w:val="single" w:sz="2" w:space="0" w:color="auto"/>
              <w:right w:val="single" w:sz="2" w:space="0" w:color="auto"/>
            </w:tcBorders>
            <w:shd w:val="clear" w:color="auto" w:fill="CCEAF9" w:themeFill="accent1" w:themeFillTint="33"/>
            <w:tcMar>
              <w:top w:w="14" w:type="dxa"/>
              <w:left w:w="115" w:type="dxa"/>
              <w:bottom w:w="14" w:type="dxa"/>
              <w:right w:w="115" w:type="dxa"/>
            </w:tcMar>
            <w:vAlign w:val="center"/>
            <w:hideMark/>
          </w:tcPr>
          <w:p w:rsidR="006D4FD7" w:rsidRDefault="006D4FD7" w:rsidP="00DD55B1">
            <w:pPr>
              <w:keepNext/>
              <w:keepLines/>
              <w:spacing w:before="20" w:after="20" w:line="240" w:lineRule="auto"/>
              <w:jc w:val="center"/>
              <w:rPr>
                <w:rFonts w:asciiTheme="minorHAnsi" w:hAnsiTheme="minorHAnsi"/>
                <w:color w:val="000000"/>
                <w:sz w:val="18"/>
                <w:szCs w:val="18"/>
              </w:rPr>
            </w:pPr>
            <w:r>
              <w:rPr>
                <w:rFonts w:asciiTheme="minorHAnsi" w:hAnsiTheme="minorHAnsi"/>
                <w:color w:val="000000"/>
                <w:sz w:val="18"/>
                <w:szCs w:val="18"/>
              </w:rPr>
              <w:t>19,871,253</w:t>
            </w:r>
          </w:p>
        </w:tc>
        <w:tc>
          <w:tcPr>
            <w:tcW w:w="1050" w:type="dxa"/>
            <w:tcBorders>
              <w:top w:val="single" w:sz="2" w:space="0" w:color="auto"/>
              <w:left w:val="single" w:sz="2" w:space="0" w:color="auto"/>
              <w:bottom w:val="single" w:sz="2" w:space="0" w:color="auto"/>
              <w:right w:val="single" w:sz="2" w:space="0" w:color="auto"/>
            </w:tcBorders>
            <w:shd w:val="clear" w:color="auto" w:fill="CCEAF9" w:themeFill="accent1" w:themeFillTint="33"/>
            <w:tcMar>
              <w:top w:w="14" w:type="dxa"/>
              <w:left w:w="115" w:type="dxa"/>
              <w:bottom w:w="14" w:type="dxa"/>
              <w:right w:w="115" w:type="dxa"/>
            </w:tcMar>
            <w:vAlign w:val="center"/>
            <w:hideMark/>
          </w:tcPr>
          <w:p w:rsidR="006D4FD7" w:rsidRDefault="006D4FD7" w:rsidP="00DD55B1">
            <w:pPr>
              <w:keepNext/>
              <w:keepLines/>
              <w:spacing w:before="20" w:after="20" w:line="240" w:lineRule="auto"/>
              <w:jc w:val="center"/>
              <w:rPr>
                <w:rFonts w:asciiTheme="minorHAnsi" w:hAnsiTheme="minorHAnsi"/>
                <w:color w:val="000000"/>
                <w:sz w:val="18"/>
                <w:szCs w:val="18"/>
              </w:rPr>
            </w:pPr>
            <w:r>
              <w:rPr>
                <w:rFonts w:asciiTheme="minorHAnsi" w:hAnsiTheme="minorHAnsi"/>
                <w:color w:val="000000"/>
                <w:sz w:val="18"/>
                <w:szCs w:val="18"/>
              </w:rPr>
              <w:t>19,605,055</w:t>
            </w:r>
          </w:p>
        </w:tc>
        <w:tc>
          <w:tcPr>
            <w:tcW w:w="1050" w:type="dxa"/>
            <w:tcBorders>
              <w:top w:val="single" w:sz="2" w:space="0" w:color="auto"/>
              <w:left w:val="single" w:sz="2" w:space="0" w:color="auto"/>
              <w:bottom w:val="single" w:sz="2" w:space="0" w:color="auto"/>
              <w:right w:val="single" w:sz="2" w:space="0" w:color="auto"/>
            </w:tcBorders>
            <w:shd w:val="clear" w:color="auto" w:fill="CCEAF9" w:themeFill="accent1" w:themeFillTint="33"/>
            <w:tcMar>
              <w:top w:w="14" w:type="dxa"/>
              <w:left w:w="115" w:type="dxa"/>
              <w:bottom w:w="14" w:type="dxa"/>
              <w:right w:w="115" w:type="dxa"/>
            </w:tcMar>
            <w:vAlign w:val="center"/>
            <w:hideMark/>
          </w:tcPr>
          <w:p w:rsidR="006D4FD7" w:rsidRDefault="006D4FD7" w:rsidP="00DD55B1">
            <w:pPr>
              <w:keepNext/>
              <w:keepLines/>
              <w:spacing w:before="20" w:after="20" w:line="240" w:lineRule="auto"/>
              <w:jc w:val="center"/>
              <w:rPr>
                <w:rFonts w:asciiTheme="minorHAnsi" w:hAnsiTheme="minorHAnsi"/>
                <w:color w:val="000000"/>
                <w:sz w:val="18"/>
                <w:szCs w:val="18"/>
              </w:rPr>
            </w:pPr>
            <w:r>
              <w:rPr>
                <w:rFonts w:asciiTheme="minorHAnsi" w:hAnsiTheme="minorHAnsi"/>
                <w:color w:val="000000"/>
                <w:sz w:val="18"/>
                <w:szCs w:val="18"/>
              </w:rPr>
              <w:t>19,605,055</w:t>
            </w:r>
          </w:p>
        </w:tc>
        <w:tc>
          <w:tcPr>
            <w:tcW w:w="1051" w:type="dxa"/>
            <w:tcBorders>
              <w:top w:val="single" w:sz="2" w:space="0" w:color="auto"/>
              <w:left w:val="single" w:sz="2" w:space="0" w:color="auto"/>
              <w:bottom w:val="single" w:sz="2" w:space="0" w:color="auto"/>
              <w:right w:val="single" w:sz="2" w:space="0" w:color="auto"/>
            </w:tcBorders>
            <w:shd w:val="clear" w:color="auto" w:fill="CCEAF9" w:themeFill="accent1" w:themeFillTint="33"/>
            <w:tcMar>
              <w:top w:w="14" w:type="dxa"/>
              <w:left w:w="115" w:type="dxa"/>
              <w:bottom w:w="14" w:type="dxa"/>
              <w:right w:w="115" w:type="dxa"/>
            </w:tcMar>
            <w:vAlign w:val="center"/>
            <w:hideMark/>
          </w:tcPr>
          <w:p w:rsidR="006D4FD7" w:rsidRDefault="006D4FD7" w:rsidP="00DD55B1">
            <w:pPr>
              <w:keepNext/>
              <w:keepLines/>
              <w:spacing w:before="20" w:after="20" w:line="240" w:lineRule="auto"/>
              <w:jc w:val="center"/>
              <w:rPr>
                <w:rFonts w:asciiTheme="minorHAnsi" w:hAnsiTheme="minorHAnsi"/>
                <w:color w:val="000000"/>
                <w:sz w:val="18"/>
                <w:szCs w:val="18"/>
              </w:rPr>
            </w:pPr>
            <w:r>
              <w:rPr>
                <w:rFonts w:asciiTheme="minorHAnsi" w:hAnsiTheme="minorHAnsi"/>
                <w:color w:val="000000"/>
                <w:sz w:val="18"/>
                <w:szCs w:val="18"/>
              </w:rPr>
              <w:t>19,605,055</w:t>
            </w:r>
          </w:p>
        </w:tc>
        <w:tc>
          <w:tcPr>
            <w:tcW w:w="1051" w:type="dxa"/>
            <w:tcBorders>
              <w:top w:val="single" w:sz="2" w:space="0" w:color="auto"/>
              <w:left w:val="single" w:sz="2" w:space="0" w:color="auto"/>
              <w:bottom w:val="single" w:sz="2" w:space="0" w:color="auto"/>
              <w:right w:val="single" w:sz="2" w:space="0" w:color="auto"/>
            </w:tcBorders>
            <w:shd w:val="clear" w:color="auto" w:fill="CCEAF9" w:themeFill="accent1" w:themeFillTint="33"/>
            <w:tcMar>
              <w:top w:w="14" w:type="dxa"/>
              <w:left w:w="115" w:type="dxa"/>
              <w:bottom w:w="14" w:type="dxa"/>
              <w:right w:w="115" w:type="dxa"/>
            </w:tcMar>
            <w:vAlign w:val="center"/>
            <w:hideMark/>
          </w:tcPr>
          <w:p w:rsidR="006D4FD7" w:rsidRDefault="006D4FD7" w:rsidP="00DD55B1">
            <w:pPr>
              <w:keepNext/>
              <w:keepLines/>
              <w:spacing w:before="20" w:after="20" w:line="240" w:lineRule="auto"/>
              <w:jc w:val="center"/>
              <w:rPr>
                <w:rFonts w:asciiTheme="minorHAnsi" w:hAnsiTheme="minorHAnsi"/>
                <w:color w:val="000000"/>
                <w:sz w:val="18"/>
                <w:szCs w:val="18"/>
              </w:rPr>
            </w:pPr>
            <w:r>
              <w:rPr>
                <w:rFonts w:asciiTheme="minorHAnsi" w:hAnsiTheme="minorHAnsi"/>
                <w:color w:val="000000"/>
                <w:sz w:val="18"/>
                <w:szCs w:val="18"/>
              </w:rPr>
              <w:t>19,605,055</w:t>
            </w:r>
          </w:p>
        </w:tc>
        <w:tc>
          <w:tcPr>
            <w:tcW w:w="1051" w:type="dxa"/>
            <w:tcBorders>
              <w:top w:val="single" w:sz="2" w:space="0" w:color="auto"/>
              <w:left w:val="single" w:sz="2" w:space="0" w:color="auto"/>
              <w:bottom w:val="single" w:sz="2" w:space="0" w:color="auto"/>
              <w:right w:val="single" w:sz="2" w:space="0" w:color="auto"/>
            </w:tcBorders>
            <w:shd w:val="clear" w:color="auto" w:fill="CCEAF9" w:themeFill="accent1" w:themeFillTint="33"/>
            <w:tcMar>
              <w:top w:w="14" w:type="dxa"/>
              <w:left w:w="115" w:type="dxa"/>
              <w:bottom w:w="14" w:type="dxa"/>
              <w:right w:w="115" w:type="dxa"/>
            </w:tcMar>
            <w:vAlign w:val="center"/>
            <w:hideMark/>
          </w:tcPr>
          <w:p w:rsidR="006D4FD7" w:rsidRDefault="006D4FD7" w:rsidP="00DD55B1">
            <w:pPr>
              <w:keepNext/>
              <w:keepLines/>
              <w:spacing w:before="20" w:after="20" w:line="240" w:lineRule="auto"/>
              <w:jc w:val="center"/>
              <w:rPr>
                <w:rFonts w:asciiTheme="minorHAnsi" w:hAnsiTheme="minorHAnsi"/>
                <w:color w:val="000000"/>
                <w:sz w:val="18"/>
                <w:szCs w:val="18"/>
              </w:rPr>
            </w:pPr>
            <w:r>
              <w:rPr>
                <w:rFonts w:asciiTheme="minorHAnsi" w:hAnsiTheme="minorHAnsi"/>
                <w:color w:val="000000"/>
                <w:sz w:val="18"/>
                <w:szCs w:val="18"/>
              </w:rPr>
              <w:t>19,605,055</w:t>
            </w:r>
          </w:p>
        </w:tc>
      </w:tr>
      <w:tr w:rsidR="006D4FD7" w:rsidTr="006D4FD7">
        <w:trPr>
          <w:cantSplit/>
          <w:trHeight w:val="360"/>
          <w:jc w:val="center"/>
        </w:trPr>
        <w:tc>
          <w:tcPr>
            <w:tcW w:w="2729" w:type="dxa"/>
            <w:tcBorders>
              <w:top w:val="single" w:sz="2" w:space="0" w:color="auto"/>
              <w:left w:val="single" w:sz="2" w:space="0" w:color="auto"/>
              <w:bottom w:val="single" w:sz="2" w:space="0" w:color="auto"/>
              <w:right w:val="single" w:sz="2" w:space="0" w:color="auto"/>
            </w:tcBorders>
            <w:tcMar>
              <w:top w:w="14" w:type="dxa"/>
              <w:left w:w="115" w:type="dxa"/>
              <w:bottom w:w="14" w:type="dxa"/>
              <w:right w:w="115" w:type="dxa"/>
            </w:tcMar>
            <w:vAlign w:val="center"/>
            <w:hideMark/>
          </w:tcPr>
          <w:p w:rsidR="006D4FD7" w:rsidRDefault="006D4FD7" w:rsidP="00DD55B1">
            <w:pPr>
              <w:keepNext/>
              <w:keepLines/>
              <w:spacing w:before="20" w:after="20" w:line="240" w:lineRule="auto"/>
              <w:rPr>
                <w:rFonts w:asciiTheme="minorHAnsi" w:hAnsiTheme="minorHAnsi" w:cs="Arial"/>
                <w:b/>
                <w:sz w:val="18"/>
                <w:szCs w:val="18"/>
              </w:rPr>
            </w:pPr>
            <w:r>
              <w:rPr>
                <w:rFonts w:asciiTheme="minorHAnsi" w:hAnsiTheme="minorHAnsi" w:cs="Arial"/>
                <w:b/>
                <w:sz w:val="18"/>
                <w:szCs w:val="18"/>
              </w:rPr>
              <w:t>RNS rate increase from prior year ($/kW-year)</w:t>
            </w:r>
          </w:p>
        </w:tc>
        <w:tc>
          <w:tcPr>
            <w:tcW w:w="1050" w:type="dxa"/>
            <w:tcBorders>
              <w:top w:val="single" w:sz="2" w:space="0" w:color="auto"/>
              <w:left w:val="single" w:sz="2" w:space="0" w:color="auto"/>
              <w:bottom w:val="single" w:sz="2" w:space="0" w:color="auto"/>
              <w:right w:val="single" w:sz="2" w:space="0" w:color="auto"/>
            </w:tcBorders>
            <w:tcMar>
              <w:top w:w="14" w:type="dxa"/>
              <w:left w:w="115" w:type="dxa"/>
              <w:bottom w:w="14" w:type="dxa"/>
              <w:right w:w="115" w:type="dxa"/>
            </w:tcMar>
            <w:vAlign w:val="center"/>
            <w:hideMark/>
          </w:tcPr>
          <w:p w:rsidR="006D4FD7" w:rsidRDefault="006D4FD7" w:rsidP="00DD55B1">
            <w:pPr>
              <w:keepNext/>
              <w:keepLines/>
              <w:spacing w:before="20" w:after="20" w:line="240" w:lineRule="auto"/>
              <w:jc w:val="center"/>
              <w:rPr>
                <w:rFonts w:asciiTheme="minorHAnsi" w:hAnsiTheme="minorHAnsi" w:cs="Arial"/>
                <w:sz w:val="18"/>
                <w:szCs w:val="18"/>
              </w:rPr>
            </w:pPr>
            <w:r>
              <w:rPr>
                <w:rFonts w:asciiTheme="minorHAnsi" w:hAnsiTheme="minorHAnsi" w:cs="Arial"/>
                <w:sz w:val="18"/>
                <w:szCs w:val="18"/>
              </w:rPr>
              <w:t>5.40</w:t>
            </w:r>
          </w:p>
        </w:tc>
        <w:tc>
          <w:tcPr>
            <w:tcW w:w="1050" w:type="dxa"/>
            <w:tcBorders>
              <w:top w:val="single" w:sz="2" w:space="0" w:color="auto"/>
              <w:left w:val="single" w:sz="2" w:space="0" w:color="auto"/>
              <w:bottom w:val="single" w:sz="2" w:space="0" w:color="auto"/>
              <w:right w:val="single" w:sz="2" w:space="0" w:color="auto"/>
            </w:tcBorders>
            <w:tcMar>
              <w:top w:w="14" w:type="dxa"/>
              <w:left w:w="115" w:type="dxa"/>
              <w:bottom w:w="14" w:type="dxa"/>
              <w:right w:w="115" w:type="dxa"/>
            </w:tcMar>
            <w:vAlign w:val="center"/>
            <w:hideMark/>
          </w:tcPr>
          <w:p w:rsidR="006D4FD7" w:rsidRDefault="006D4FD7" w:rsidP="00DD55B1">
            <w:pPr>
              <w:keepNext/>
              <w:keepLines/>
              <w:spacing w:before="20" w:after="20" w:line="240" w:lineRule="auto"/>
              <w:jc w:val="center"/>
              <w:rPr>
                <w:rFonts w:asciiTheme="minorHAnsi" w:hAnsiTheme="minorHAnsi" w:cs="Arial"/>
                <w:sz w:val="18"/>
                <w:szCs w:val="18"/>
              </w:rPr>
            </w:pPr>
            <w:r>
              <w:rPr>
                <w:rFonts w:asciiTheme="minorHAnsi" w:hAnsiTheme="minorHAnsi" w:cs="Arial"/>
                <w:sz w:val="18"/>
                <w:szCs w:val="18"/>
              </w:rPr>
              <w:t>7.86</w:t>
            </w:r>
          </w:p>
        </w:tc>
        <w:tc>
          <w:tcPr>
            <w:tcW w:w="1050" w:type="dxa"/>
            <w:tcBorders>
              <w:top w:val="single" w:sz="2" w:space="0" w:color="auto"/>
              <w:left w:val="single" w:sz="2" w:space="0" w:color="auto"/>
              <w:bottom w:val="single" w:sz="2" w:space="0" w:color="auto"/>
              <w:right w:val="single" w:sz="2" w:space="0" w:color="auto"/>
            </w:tcBorders>
            <w:tcMar>
              <w:top w:w="14" w:type="dxa"/>
              <w:left w:w="115" w:type="dxa"/>
              <w:bottom w:w="14" w:type="dxa"/>
              <w:right w:w="115" w:type="dxa"/>
            </w:tcMar>
            <w:vAlign w:val="center"/>
            <w:hideMark/>
          </w:tcPr>
          <w:p w:rsidR="006D4FD7" w:rsidRDefault="006D4FD7" w:rsidP="00DD55B1">
            <w:pPr>
              <w:keepNext/>
              <w:keepLines/>
              <w:spacing w:before="20" w:after="20" w:line="240" w:lineRule="auto"/>
              <w:jc w:val="center"/>
              <w:rPr>
                <w:rFonts w:asciiTheme="minorHAnsi" w:hAnsiTheme="minorHAnsi" w:cs="Arial"/>
                <w:sz w:val="18"/>
                <w:szCs w:val="18"/>
              </w:rPr>
            </w:pPr>
            <w:r w:rsidRPr="00914EEB">
              <w:rPr>
                <w:rFonts w:asciiTheme="minorHAnsi" w:hAnsiTheme="minorHAnsi" w:cs="Arial"/>
                <w:sz w:val="18"/>
                <w:szCs w:val="18"/>
              </w:rPr>
              <w:t>8</w:t>
            </w:r>
          </w:p>
        </w:tc>
        <w:tc>
          <w:tcPr>
            <w:tcW w:w="1051" w:type="dxa"/>
            <w:tcBorders>
              <w:top w:val="single" w:sz="2" w:space="0" w:color="auto"/>
              <w:left w:val="single" w:sz="2" w:space="0" w:color="auto"/>
              <w:bottom w:val="single" w:sz="2" w:space="0" w:color="auto"/>
              <w:right w:val="single" w:sz="2" w:space="0" w:color="auto"/>
            </w:tcBorders>
            <w:tcMar>
              <w:top w:w="14" w:type="dxa"/>
              <w:left w:w="115" w:type="dxa"/>
              <w:bottom w:w="14" w:type="dxa"/>
              <w:right w:w="115" w:type="dxa"/>
            </w:tcMar>
            <w:vAlign w:val="center"/>
            <w:hideMark/>
          </w:tcPr>
          <w:p w:rsidR="006D4FD7" w:rsidRDefault="006D4FD7" w:rsidP="00DD55B1">
            <w:pPr>
              <w:keepNext/>
              <w:keepLines/>
              <w:spacing w:before="20" w:after="20" w:line="240" w:lineRule="auto"/>
              <w:jc w:val="center"/>
              <w:rPr>
                <w:rFonts w:asciiTheme="minorHAnsi" w:hAnsiTheme="minorHAnsi" w:cs="Arial"/>
                <w:sz w:val="18"/>
                <w:szCs w:val="18"/>
              </w:rPr>
            </w:pPr>
            <w:r>
              <w:rPr>
                <w:rFonts w:asciiTheme="minorHAnsi" w:hAnsiTheme="minorHAnsi" w:cs="Arial"/>
                <w:sz w:val="18"/>
                <w:szCs w:val="18"/>
              </w:rPr>
              <w:t>8</w:t>
            </w:r>
          </w:p>
        </w:tc>
        <w:tc>
          <w:tcPr>
            <w:tcW w:w="1051" w:type="dxa"/>
            <w:tcBorders>
              <w:top w:val="single" w:sz="2" w:space="0" w:color="auto"/>
              <w:left w:val="single" w:sz="2" w:space="0" w:color="auto"/>
              <w:bottom w:val="single" w:sz="2" w:space="0" w:color="auto"/>
              <w:right w:val="single" w:sz="2" w:space="0" w:color="auto"/>
            </w:tcBorders>
            <w:tcMar>
              <w:top w:w="14" w:type="dxa"/>
              <w:left w:w="115" w:type="dxa"/>
              <w:bottom w:w="14" w:type="dxa"/>
              <w:right w:w="115" w:type="dxa"/>
            </w:tcMar>
            <w:vAlign w:val="center"/>
            <w:hideMark/>
          </w:tcPr>
          <w:p w:rsidR="006D4FD7" w:rsidRDefault="006D4FD7" w:rsidP="00DD55B1">
            <w:pPr>
              <w:keepNext/>
              <w:keepLines/>
              <w:spacing w:before="20" w:after="20" w:line="240" w:lineRule="auto"/>
              <w:jc w:val="center"/>
              <w:rPr>
                <w:rFonts w:asciiTheme="minorHAnsi" w:hAnsiTheme="minorHAnsi" w:cs="Arial"/>
                <w:sz w:val="18"/>
                <w:szCs w:val="18"/>
              </w:rPr>
            </w:pPr>
            <w:r>
              <w:rPr>
                <w:rFonts w:asciiTheme="minorHAnsi" w:hAnsiTheme="minorHAnsi" w:cs="Arial"/>
                <w:sz w:val="18"/>
                <w:szCs w:val="18"/>
              </w:rPr>
              <w:t>5</w:t>
            </w:r>
          </w:p>
        </w:tc>
        <w:tc>
          <w:tcPr>
            <w:tcW w:w="1051" w:type="dxa"/>
            <w:tcBorders>
              <w:top w:val="single" w:sz="2" w:space="0" w:color="auto"/>
              <w:left w:val="single" w:sz="2" w:space="0" w:color="auto"/>
              <w:bottom w:val="single" w:sz="2" w:space="0" w:color="auto"/>
              <w:right w:val="single" w:sz="2" w:space="0" w:color="auto"/>
            </w:tcBorders>
            <w:tcMar>
              <w:top w:w="14" w:type="dxa"/>
              <w:left w:w="115" w:type="dxa"/>
              <w:bottom w:w="14" w:type="dxa"/>
              <w:right w:w="115" w:type="dxa"/>
            </w:tcMar>
            <w:vAlign w:val="center"/>
            <w:hideMark/>
          </w:tcPr>
          <w:p w:rsidR="006D4FD7" w:rsidRDefault="006D4FD7" w:rsidP="00DD55B1">
            <w:pPr>
              <w:keepNext/>
              <w:keepLines/>
              <w:spacing w:before="20" w:after="20" w:line="240" w:lineRule="auto"/>
              <w:jc w:val="center"/>
              <w:rPr>
                <w:rFonts w:asciiTheme="minorHAnsi" w:hAnsiTheme="minorHAnsi" w:cs="Arial"/>
                <w:sz w:val="18"/>
                <w:szCs w:val="18"/>
              </w:rPr>
            </w:pPr>
            <w:r>
              <w:rPr>
                <w:rFonts w:asciiTheme="minorHAnsi" w:hAnsiTheme="minorHAnsi" w:cs="Arial"/>
                <w:sz w:val="18"/>
                <w:szCs w:val="18"/>
              </w:rPr>
              <w:t>4</w:t>
            </w:r>
          </w:p>
        </w:tc>
      </w:tr>
      <w:tr w:rsidR="006D4FD7" w:rsidTr="00611013">
        <w:trPr>
          <w:cantSplit/>
          <w:trHeight w:val="360"/>
          <w:jc w:val="center"/>
        </w:trPr>
        <w:tc>
          <w:tcPr>
            <w:tcW w:w="2729" w:type="dxa"/>
            <w:tcBorders>
              <w:top w:val="single" w:sz="2" w:space="0" w:color="auto"/>
              <w:left w:val="single" w:sz="2" w:space="0" w:color="auto"/>
              <w:bottom w:val="single" w:sz="2" w:space="0" w:color="auto"/>
              <w:right w:val="single" w:sz="2" w:space="0" w:color="auto"/>
            </w:tcBorders>
            <w:shd w:val="clear" w:color="auto" w:fill="CCEAF9" w:themeFill="accent1" w:themeFillTint="33"/>
            <w:tcMar>
              <w:top w:w="14" w:type="dxa"/>
              <w:left w:w="115" w:type="dxa"/>
              <w:bottom w:w="14" w:type="dxa"/>
              <w:right w:w="115" w:type="dxa"/>
            </w:tcMar>
            <w:vAlign w:val="center"/>
            <w:hideMark/>
          </w:tcPr>
          <w:p w:rsidR="006D4FD7" w:rsidRDefault="006D4FD7" w:rsidP="00DD55B1">
            <w:pPr>
              <w:keepNext/>
              <w:keepLines/>
              <w:spacing w:before="20" w:after="20" w:line="240" w:lineRule="auto"/>
              <w:rPr>
                <w:rFonts w:asciiTheme="minorHAnsi" w:hAnsiTheme="minorHAnsi" w:cs="Arial"/>
                <w:b/>
                <w:sz w:val="18"/>
                <w:szCs w:val="18"/>
              </w:rPr>
            </w:pPr>
            <w:r>
              <w:rPr>
                <w:rFonts w:asciiTheme="minorHAnsi" w:hAnsiTheme="minorHAnsi" w:cs="Arial"/>
                <w:b/>
                <w:sz w:val="18"/>
                <w:szCs w:val="18"/>
              </w:rPr>
              <w:t>RNS rate ($/kW-year)</w:t>
            </w:r>
          </w:p>
        </w:tc>
        <w:tc>
          <w:tcPr>
            <w:tcW w:w="1050" w:type="dxa"/>
            <w:tcBorders>
              <w:top w:val="single" w:sz="2" w:space="0" w:color="auto"/>
              <w:left w:val="single" w:sz="2" w:space="0" w:color="auto"/>
              <w:bottom w:val="single" w:sz="2" w:space="0" w:color="auto"/>
              <w:right w:val="single" w:sz="2" w:space="0" w:color="auto"/>
            </w:tcBorders>
            <w:shd w:val="clear" w:color="auto" w:fill="CCEAF9" w:themeFill="accent1" w:themeFillTint="33"/>
            <w:tcMar>
              <w:top w:w="14" w:type="dxa"/>
              <w:left w:w="115" w:type="dxa"/>
              <w:bottom w:w="14" w:type="dxa"/>
              <w:right w:w="115" w:type="dxa"/>
            </w:tcMar>
            <w:vAlign w:val="center"/>
            <w:hideMark/>
          </w:tcPr>
          <w:p w:rsidR="006D4FD7" w:rsidRDefault="006D4FD7" w:rsidP="00DD55B1">
            <w:pPr>
              <w:keepNext/>
              <w:keepLines/>
              <w:spacing w:before="20" w:after="20" w:line="240" w:lineRule="auto"/>
              <w:jc w:val="center"/>
              <w:rPr>
                <w:rFonts w:asciiTheme="minorHAnsi" w:hAnsiTheme="minorHAnsi" w:cs="Arial"/>
                <w:sz w:val="18"/>
                <w:szCs w:val="18"/>
              </w:rPr>
            </w:pPr>
            <w:r>
              <w:rPr>
                <w:rFonts w:asciiTheme="minorHAnsi" w:hAnsiTheme="minorHAnsi" w:cs="Arial"/>
                <w:sz w:val="18"/>
                <w:szCs w:val="18"/>
              </w:rPr>
              <w:t>104.10</w:t>
            </w:r>
          </w:p>
        </w:tc>
        <w:tc>
          <w:tcPr>
            <w:tcW w:w="1050" w:type="dxa"/>
            <w:tcBorders>
              <w:top w:val="single" w:sz="2" w:space="0" w:color="auto"/>
              <w:left w:val="single" w:sz="2" w:space="0" w:color="auto"/>
              <w:bottom w:val="single" w:sz="2" w:space="0" w:color="auto"/>
              <w:right w:val="single" w:sz="2" w:space="0" w:color="auto"/>
            </w:tcBorders>
            <w:shd w:val="clear" w:color="auto" w:fill="CCEAF9" w:themeFill="accent1" w:themeFillTint="33"/>
            <w:tcMar>
              <w:top w:w="14" w:type="dxa"/>
              <w:left w:w="115" w:type="dxa"/>
              <w:bottom w:w="14" w:type="dxa"/>
              <w:right w:w="115" w:type="dxa"/>
            </w:tcMar>
            <w:vAlign w:val="center"/>
            <w:hideMark/>
          </w:tcPr>
          <w:p w:rsidR="006D4FD7" w:rsidRDefault="006D4FD7" w:rsidP="00DD55B1">
            <w:pPr>
              <w:keepNext/>
              <w:keepLines/>
              <w:spacing w:before="20" w:after="20" w:line="240" w:lineRule="auto"/>
              <w:jc w:val="center"/>
              <w:rPr>
                <w:rFonts w:asciiTheme="minorHAnsi" w:hAnsiTheme="minorHAnsi" w:cs="Arial"/>
                <w:sz w:val="18"/>
                <w:szCs w:val="18"/>
              </w:rPr>
            </w:pPr>
            <w:r>
              <w:rPr>
                <w:rFonts w:asciiTheme="minorHAnsi" w:hAnsiTheme="minorHAnsi" w:cs="Arial"/>
                <w:sz w:val="18"/>
                <w:szCs w:val="18"/>
              </w:rPr>
              <w:t>111.96</w:t>
            </w:r>
          </w:p>
        </w:tc>
        <w:tc>
          <w:tcPr>
            <w:tcW w:w="1050" w:type="dxa"/>
            <w:tcBorders>
              <w:top w:val="single" w:sz="2" w:space="0" w:color="auto"/>
              <w:left w:val="single" w:sz="2" w:space="0" w:color="auto"/>
              <w:bottom w:val="single" w:sz="2" w:space="0" w:color="auto"/>
              <w:right w:val="single" w:sz="2" w:space="0" w:color="auto"/>
            </w:tcBorders>
            <w:shd w:val="clear" w:color="auto" w:fill="CCEAF9" w:themeFill="accent1" w:themeFillTint="33"/>
            <w:tcMar>
              <w:top w:w="14" w:type="dxa"/>
              <w:left w:w="115" w:type="dxa"/>
              <w:bottom w:w="14" w:type="dxa"/>
              <w:right w:w="115" w:type="dxa"/>
            </w:tcMar>
            <w:vAlign w:val="center"/>
            <w:hideMark/>
          </w:tcPr>
          <w:p w:rsidR="006D4FD7" w:rsidRDefault="006D4FD7" w:rsidP="00DD55B1">
            <w:pPr>
              <w:keepNext/>
              <w:keepLines/>
              <w:spacing w:before="20" w:after="20" w:line="240" w:lineRule="auto"/>
              <w:jc w:val="center"/>
              <w:rPr>
                <w:rFonts w:asciiTheme="minorHAnsi" w:hAnsiTheme="minorHAnsi" w:cs="Arial"/>
                <w:sz w:val="18"/>
                <w:szCs w:val="18"/>
              </w:rPr>
            </w:pPr>
            <w:r>
              <w:rPr>
                <w:rFonts w:asciiTheme="minorHAnsi" w:hAnsiTheme="minorHAnsi" w:cs="Arial"/>
                <w:sz w:val="18"/>
                <w:szCs w:val="18"/>
              </w:rPr>
              <w:t>120</w:t>
            </w:r>
          </w:p>
        </w:tc>
        <w:tc>
          <w:tcPr>
            <w:tcW w:w="1051" w:type="dxa"/>
            <w:tcBorders>
              <w:top w:val="single" w:sz="2" w:space="0" w:color="auto"/>
              <w:left w:val="single" w:sz="2" w:space="0" w:color="auto"/>
              <w:bottom w:val="single" w:sz="2" w:space="0" w:color="auto"/>
              <w:right w:val="single" w:sz="2" w:space="0" w:color="auto"/>
            </w:tcBorders>
            <w:shd w:val="clear" w:color="auto" w:fill="CCEAF9" w:themeFill="accent1" w:themeFillTint="33"/>
            <w:tcMar>
              <w:top w:w="14" w:type="dxa"/>
              <w:left w:w="115" w:type="dxa"/>
              <w:bottom w:w="14" w:type="dxa"/>
              <w:right w:w="115" w:type="dxa"/>
            </w:tcMar>
            <w:vAlign w:val="center"/>
            <w:hideMark/>
          </w:tcPr>
          <w:p w:rsidR="006D4FD7" w:rsidRDefault="006D4FD7" w:rsidP="00DD55B1">
            <w:pPr>
              <w:keepNext/>
              <w:keepLines/>
              <w:spacing w:before="20" w:after="20" w:line="240" w:lineRule="auto"/>
              <w:jc w:val="center"/>
              <w:rPr>
                <w:rFonts w:asciiTheme="minorHAnsi" w:hAnsiTheme="minorHAnsi" w:cs="Arial"/>
                <w:sz w:val="18"/>
                <w:szCs w:val="18"/>
              </w:rPr>
            </w:pPr>
            <w:r>
              <w:rPr>
                <w:rFonts w:asciiTheme="minorHAnsi" w:hAnsiTheme="minorHAnsi" w:cs="Arial"/>
                <w:sz w:val="18"/>
                <w:szCs w:val="18"/>
              </w:rPr>
              <w:t>128</w:t>
            </w:r>
          </w:p>
        </w:tc>
        <w:tc>
          <w:tcPr>
            <w:tcW w:w="1051" w:type="dxa"/>
            <w:tcBorders>
              <w:top w:val="single" w:sz="2" w:space="0" w:color="auto"/>
              <w:left w:val="single" w:sz="2" w:space="0" w:color="auto"/>
              <w:bottom w:val="single" w:sz="2" w:space="0" w:color="auto"/>
              <w:right w:val="single" w:sz="2" w:space="0" w:color="auto"/>
            </w:tcBorders>
            <w:shd w:val="clear" w:color="auto" w:fill="CCEAF9" w:themeFill="accent1" w:themeFillTint="33"/>
            <w:tcMar>
              <w:top w:w="14" w:type="dxa"/>
              <w:left w:w="115" w:type="dxa"/>
              <w:bottom w:w="14" w:type="dxa"/>
              <w:right w:w="115" w:type="dxa"/>
            </w:tcMar>
            <w:vAlign w:val="center"/>
            <w:hideMark/>
          </w:tcPr>
          <w:p w:rsidR="006D4FD7" w:rsidRDefault="006D4FD7" w:rsidP="00DD55B1">
            <w:pPr>
              <w:keepNext/>
              <w:keepLines/>
              <w:spacing w:before="20" w:after="20" w:line="240" w:lineRule="auto"/>
              <w:jc w:val="center"/>
              <w:rPr>
                <w:rFonts w:asciiTheme="minorHAnsi" w:hAnsiTheme="minorHAnsi" w:cs="Arial"/>
                <w:sz w:val="18"/>
                <w:szCs w:val="18"/>
              </w:rPr>
            </w:pPr>
            <w:r>
              <w:rPr>
                <w:rFonts w:asciiTheme="minorHAnsi" w:hAnsiTheme="minorHAnsi" w:cs="Arial"/>
                <w:sz w:val="18"/>
                <w:szCs w:val="18"/>
              </w:rPr>
              <w:t>133</w:t>
            </w:r>
          </w:p>
        </w:tc>
        <w:tc>
          <w:tcPr>
            <w:tcW w:w="1051" w:type="dxa"/>
            <w:tcBorders>
              <w:top w:val="single" w:sz="2" w:space="0" w:color="auto"/>
              <w:left w:val="single" w:sz="2" w:space="0" w:color="auto"/>
              <w:bottom w:val="single" w:sz="2" w:space="0" w:color="auto"/>
              <w:right w:val="single" w:sz="2" w:space="0" w:color="auto"/>
            </w:tcBorders>
            <w:shd w:val="clear" w:color="auto" w:fill="CCEAF9" w:themeFill="accent1" w:themeFillTint="33"/>
            <w:tcMar>
              <w:top w:w="14" w:type="dxa"/>
              <w:left w:w="115" w:type="dxa"/>
              <w:bottom w:w="14" w:type="dxa"/>
              <w:right w:w="115" w:type="dxa"/>
            </w:tcMar>
            <w:vAlign w:val="center"/>
            <w:hideMark/>
          </w:tcPr>
          <w:p w:rsidR="006D4FD7" w:rsidRDefault="006D4FD7" w:rsidP="00DD55B1">
            <w:pPr>
              <w:keepNext/>
              <w:keepLines/>
              <w:spacing w:before="20" w:after="20" w:line="240" w:lineRule="auto"/>
              <w:jc w:val="center"/>
              <w:rPr>
                <w:rFonts w:asciiTheme="minorHAnsi" w:hAnsiTheme="minorHAnsi" w:cs="Arial"/>
                <w:sz w:val="18"/>
                <w:szCs w:val="18"/>
              </w:rPr>
            </w:pPr>
            <w:r>
              <w:rPr>
                <w:rFonts w:asciiTheme="minorHAnsi" w:hAnsiTheme="minorHAnsi" w:cs="Arial"/>
                <w:sz w:val="18"/>
                <w:szCs w:val="18"/>
              </w:rPr>
              <w:t>137</w:t>
            </w:r>
          </w:p>
        </w:tc>
      </w:tr>
      <w:tr w:rsidR="006D4FD7" w:rsidTr="006D4FD7">
        <w:trPr>
          <w:cantSplit/>
          <w:trHeight w:val="360"/>
          <w:jc w:val="center"/>
        </w:trPr>
        <w:tc>
          <w:tcPr>
            <w:tcW w:w="2729" w:type="dxa"/>
            <w:tcBorders>
              <w:top w:val="single" w:sz="2" w:space="0" w:color="auto"/>
              <w:left w:val="single" w:sz="2" w:space="0" w:color="auto"/>
              <w:bottom w:val="single" w:sz="2" w:space="0" w:color="auto"/>
              <w:right w:val="single" w:sz="2" w:space="0" w:color="auto"/>
            </w:tcBorders>
            <w:tcMar>
              <w:top w:w="14" w:type="dxa"/>
              <w:left w:w="115" w:type="dxa"/>
              <w:bottom w:w="14" w:type="dxa"/>
              <w:right w:w="115" w:type="dxa"/>
            </w:tcMar>
            <w:vAlign w:val="center"/>
            <w:hideMark/>
          </w:tcPr>
          <w:p w:rsidR="006D4FD7" w:rsidRDefault="006D4FD7" w:rsidP="00DD55B1">
            <w:pPr>
              <w:keepNext/>
              <w:keepLines/>
              <w:spacing w:before="20" w:after="20" w:line="240" w:lineRule="auto"/>
              <w:rPr>
                <w:rFonts w:asciiTheme="minorHAnsi" w:hAnsiTheme="minorHAnsi" w:cs="Arial"/>
                <w:b/>
                <w:sz w:val="18"/>
                <w:szCs w:val="18"/>
              </w:rPr>
            </w:pPr>
            <w:r>
              <w:rPr>
                <w:rFonts w:asciiTheme="minorHAnsi" w:hAnsiTheme="minorHAnsi" w:cs="Arial"/>
                <w:b/>
                <w:sz w:val="18"/>
                <w:szCs w:val="18"/>
              </w:rPr>
              <w:t>RNS rate forecast using a 55.5% load factor) ($/kWh)</w:t>
            </w:r>
          </w:p>
        </w:tc>
        <w:tc>
          <w:tcPr>
            <w:tcW w:w="1050" w:type="dxa"/>
            <w:tcBorders>
              <w:top w:val="single" w:sz="2" w:space="0" w:color="auto"/>
              <w:left w:val="single" w:sz="2" w:space="0" w:color="auto"/>
              <w:bottom w:val="single" w:sz="2" w:space="0" w:color="auto"/>
              <w:right w:val="single" w:sz="2" w:space="0" w:color="auto"/>
            </w:tcBorders>
            <w:tcMar>
              <w:top w:w="14" w:type="dxa"/>
              <w:left w:w="115" w:type="dxa"/>
              <w:bottom w:w="14" w:type="dxa"/>
              <w:right w:w="115" w:type="dxa"/>
            </w:tcMar>
            <w:vAlign w:val="center"/>
            <w:hideMark/>
          </w:tcPr>
          <w:p w:rsidR="006D4FD7" w:rsidRDefault="00BA16FE" w:rsidP="00DD55B1">
            <w:pPr>
              <w:keepNext/>
              <w:keepLines/>
              <w:spacing w:before="20" w:after="20" w:line="240" w:lineRule="auto"/>
              <w:jc w:val="center"/>
              <w:rPr>
                <w:rFonts w:asciiTheme="minorHAnsi" w:hAnsiTheme="minorHAnsi" w:cs="Arial"/>
                <w:sz w:val="18"/>
                <w:szCs w:val="18"/>
              </w:rPr>
            </w:pPr>
            <w:r>
              <w:rPr>
                <w:rFonts w:asciiTheme="minorHAnsi" w:hAnsiTheme="minorHAnsi" w:cs="Arial"/>
                <w:sz w:val="18"/>
                <w:szCs w:val="18"/>
              </w:rPr>
              <w:t>0.021</w:t>
            </w:r>
          </w:p>
        </w:tc>
        <w:tc>
          <w:tcPr>
            <w:tcW w:w="1050" w:type="dxa"/>
            <w:tcBorders>
              <w:top w:val="single" w:sz="2" w:space="0" w:color="auto"/>
              <w:left w:val="single" w:sz="2" w:space="0" w:color="auto"/>
              <w:bottom w:val="single" w:sz="2" w:space="0" w:color="auto"/>
              <w:right w:val="single" w:sz="2" w:space="0" w:color="auto"/>
            </w:tcBorders>
            <w:tcMar>
              <w:top w:w="14" w:type="dxa"/>
              <w:left w:w="115" w:type="dxa"/>
              <w:bottom w:w="14" w:type="dxa"/>
              <w:right w:w="115" w:type="dxa"/>
            </w:tcMar>
            <w:vAlign w:val="center"/>
            <w:hideMark/>
          </w:tcPr>
          <w:p w:rsidR="006D4FD7" w:rsidRDefault="00BA16FE" w:rsidP="00DD55B1">
            <w:pPr>
              <w:keepNext/>
              <w:keepLines/>
              <w:spacing w:before="20" w:after="20" w:line="240" w:lineRule="auto"/>
              <w:jc w:val="center"/>
              <w:rPr>
                <w:rFonts w:asciiTheme="minorHAnsi" w:hAnsiTheme="minorHAnsi" w:cs="Arial"/>
                <w:sz w:val="18"/>
                <w:szCs w:val="18"/>
              </w:rPr>
            </w:pPr>
            <w:r>
              <w:rPr>
                <w:rFonts w:asciiTheme="minorHAnsi" w:hAnsiTheme="minorHAnsi" w:cs="Arial"/>
                <w:sz w:val="18"/>
                <w:szCs w:val="18"/>
              </w:rPr>
              <w:t>0.023</w:t>
            </w:r>
          </w:p>
        </w:tc>
        <w:tc>
          <w:tcPr>
            <w:tcW w:w="1050" w:type="dxa"/>
            <w:tcBorders>
              <w:top w:val="single" w:sz="2" w:space="0" w:color="auto"/>
              <w:left w:val="single" w:sz="2" w:space="0" w:color="auto"/>
              <w:bottom w:val="single" w:sz="2" w:space="0" w:color="auto"/>
              <w:right w:val="single" w:sz="2" w:space="0" w:color="auto"/>
            </w:tcBorders>
            <w:tcMar>
              <w:top w:w="14" w:type="dxa"/>
              <w:left w:w="115" w:type="dxa"/>
              <w:bottom w:w="14" w:type="dxa"/>
              <w:right w:w="115" w:type="dxa"/>
            </w:tcMar>
            <w:vAlign w:val="center"/>
            <w:hideMark/>
          </w:tcPr>
          <w:p w:rsidR="006D4FD7" w:rsidRDefault="006D4FD7" w:rsidP="00DD55B1">
            <w:pPr>
              <w:keepNext/>
              <w:keepLines/>
              <w:spacing w:before="20" w:after="20" w:line="240" w:lineRule="auto"/>
              <w:jc w:val="center"/>
              <w:rPr>
                <w:rFonts w:asciiTheme="minorHAnsi" w:hAnsiTheme="minorHAnsi" w:cs="Arial"/>
                <w:sz w:val="18"/>
                <w:szCs w:val="18"/>
              </w:rPr>
            </w:pPr>
            <w:r>
              <w:rPr>
                <w:rFonts w:asciiTheme="minorHAnsi" w:hAnsiTheme="minorHAnsi" w:cs="Arial"/>
                <w:sz w:val="18"/>
                <w:szCs w:val="18"/>
              </w:rPr>
              <w:t>0.025</w:t>
            </w:r>
          </w:p>
        </w:tc>
        <w:tc>
          <w:tcPr>
            <w:tcW w:w="1051" w:type="dxa"/>
            <w:tcBorders>
              <w:top w:val="single" w:sz="2" w:space="0" w:color="auto"/>
              <w:left w:val="single" w:sz="2" w:space="0" w:color="auto"/>
              <w:bottom w:val="single" w:sz="2" w:space="0" w:color="auto"/>
              <w:right w:val="single" w:sz="2" w:space="0" w:color="auto"/>
            </w:tcBorders>
            <w:tcMar>
              <w:top w:w="14" w:type="dxa"/>
              <w:left w:w="115" w:type="dxa"/>
              <w:bottom w:w="14" w:type="dxa"/>
              <w:right w:w="115" w:type="dxa"/>
            </w:tcMar>
            <w:vAlign w:val="center"/>
            <w:hideMark/>
          </w:tcPr>
          <w:p w:rsidR="006D4FD7" w:rsidRDefault="006D4FD7" w:rsidP="00DD55B1">
            <w:pPr>
              <w:keepNext/>
              <w:keepLines/>
              <w:spacing w:before="20" w:after="20" w:line="240" w:lineRule="auto"/>
              <w:jc w:val="center"/>
              <w:rPr>
                <w:rFonts w:asciiTheme="minorHAnsi" w:hAnsiTheme="minorHAnsi" w:cs="Arial"/>
                <w:sz w:val="18"/>
                <w:szCs w:val="18"/>
              </w:rPr>
            </w:pPr>
            <w:r>
              <w:rPr>
                <w:rFonts w:asciiTheme="minorHAnsi" w:hAnsiTheme="minorHAnsi" w:cs="Arial"/>
                <w:sz w:val="18"/>
                <w:szCs w:val="18"/>
              </w:rPr>
              <w:t>0.026</w:t>
            </w:r>
          </w:p>
        </w:tc>
        <w:tc>
          <w:tcPr>
            <w:tcW w:w="1051" w:type="dxa"/>
            <w:tcBorders>
              <w:top w:val="single" w:sz="2" w:space="0" w:color="auto"/>
              <w:left w:val="single" w:sz="2" w:space="0" w:color="auto"/>
              <w:bottom w:val="single" w:sz="2" w:space="0" w:color="auto"/>
              <w:right w:val="single" w:sz="2" w:space="0" w:color="auto"/>
            </w:tcBorders>
            <w:tcMar>
              <w:top w:w="14" w:type="dxa"/>
              <w:left w:w="115" w:type="dxa"/>
              <w:bottom w:w="14" w:type="dxa"/>
              <w:right w:w="115" w:type="dxa"/>
            </w:tcMar>
            <w:vAlign w:val="center"/>
            <w:hideMark/>
          </w:tcPr>
          <w:p w:rsidR="006D4FD7" w:rsidRDefault="006D4FD7" w:rsidP="00DD55B1">
            <w:pPr>
              <w:keepNext/>
              <w:keepLines/>
              <w:spacing w:before="20" w:after="20" w:line="240" w:lineRule="auto"/>
              <w:jc w:val="center"/>
              <w:rPr>
                <w:rFonts w:asciiTheme="minorHAnsi" w:hAnsiTheme="minorHAnsi" w:cs="Arial"/>
                <w:sz w:val="18"/>
                <w:szCs w:val="18"/>
              </w:rPr>
            </w:pPr>
            <w:r>
              <w:rPr>
                <w:rFonts w:asciiTheme="minorHAnsi" w:hAnsiTheme="minorHAnsi" w:cs="Arial"/>
                <w:sz w:val="18"/>
                <w:szCs w:val="18"/>
              </w:rPr>
              <w:t>0.027</w:t>
            </w:r>
          </w:p>
        </w:tc>
        <w:tc>
          <w:tcPr>
            <w:tcW w:w="1051" w:type="dxa"/>
            <w:tcBorders>
              <w:top w:val="single" w:sz="2" w:space="0" w:color="auto"/>
              <w:left w:val="single" w:sz="2" w:space="0" w:color="auto"/>
              <w:bottom w:val="single" w:sz="2" w:space="0" w:color="auto"/>
              <w:right w:val="single" w:sz="2" w:space="0" w:color="auto"/>
            </w:tcBorders>
            <w:tcMar>
              <w:top w:w="14" w:type="dxa"/>
              <w:left w:w="115" w:type="dxa"/>
              <w:bottom w:w="14" w:type="dxa"/>
              <w:right w:w="115" w:type="dxa"/>
            </w:tcMar>
            <w:vAlign w:val="center"/>
            <w:hideMark/>
          </w:tcPr>
          <w:p w:rsidR="006D4FD7" w:rsidRDefault="006D4FD7" w:rsidP="00DD55B1">
            <w:pPr>
              <w:keepNext/>
              <w:keepLines/>
              <w:spacing w:before="20" w:after="20" w:line="240" w:lineRule="auto"/>
              <w:jc w:val="center"/>
              <w:rPr>
                <w:rFonts w:asciiTheme="minorHAnsi" w:hAnsiTheme="minorHAnsi" w:cs="Arial"/>
                <w:sz w:val="18"/>
                <w:szCs w:val="18"/>
              </w:rPr>
            </w:pPr>
            <w:r>
              <w:rPr>
                <w:rFonts w:asciiTheme="minorHAnsi" w:hAnsiTheme="minorHAnsi" w:cs="Arial"/>
                <w:sz w:val="18"/>
                <w:szCs w:val="18"/>
              </w:rPr>
              <w:t>0.028</w:t>
            </w:r>
          </w:p>
        </w:tc>
      </w:tr>
      <w:tr w:rsidR="006D4FD7" w:rsidTr="00611013">
        <w:trPr>
          <w:cantSplit/>
          <w:trHeight w:val="360"/>
          <w:jc w:val="center"/>
        </w:trPr>
        <w:tc>
          <w:tcPr>
            <w:tcW w:w="2729" w:type="dxa"/>
            <w:tcBorders>
              <w:top w:val="single" w:sz="2" w:space="0" w:color="auto"/>
              <w:left w:val="single" w:sz="2" w:space="0" w:color="auto"/>
              <w:bottom w:val="single" w:sz="2" w:space="0" w:color="auto"/>
              <w:right w:val="single" w:sz="2" w:space="0" w:color="auto"/>
            </w:tcBorders>
            <w:shd w:val="clear" w:color="auto" w:fill="CCEAF9" w:themeFill="accent1" w:themeFillTint="33"/>
            <w:tcMar>
              <w:top w:w="14" w:type="dxa"/>
              <w:left w:w="115" w:type="dxa"/>
              <w:bottom w:w="14" w:type="dxa"/>
              <w:right w:w="115" w:type="dxa"/>
            </w:tcMar>
            <w:vAlign w:val="center"/>
            <w:hideMark/>
          </w:tcPr>
          <w:p w:rsidR="006D4FD7" w:rsidRDefault="006D4FD7" w:rsidP="00DD55B1">
            <w:pPr>
              <w:keepNext/>
              <w:keepLines/>
              <w:spacing w:before="20" w:after="20" w:line="240" w:lineRule="auto"/>
              <w:rPr>
                <w:rFonts w:asciiTheme="minorHAnsi" w:hAnsiTheme="minorHAnsi" w:cs="Arial"/>
                <w:b/>
                <w:sz w:val="18"/>
                <w:szCs w:val="18"/>
              </w:rPr>
            </w:pPr>
            <w:r>
              <w:rPr>
                <w:rFonts w:asciiTheme="minorHAnsi" w:hAnsiTheme="minorHAnsi" w:cs="Arial"/>
                <w:b/>
                <w:sz w:val="18"/>
                <w:szCs w:val="18"/>
              </w:rPr>
              <w:t>TOUT service rate ($/kWh)</w:t>
            </w:r>
          </w:p>
        </w:tc>
        <w:tc>
          <w:tcPr>
            <w:tcW w:w="1050" w:type="dxa"/>
            <w:tcBorders>
              <w:top w:val="single" w:sz="2" w:space="0" w:color="auto"/>
              <w:left w:val="single" w:sz="2" w:space="0" w:color="auto"/>
              <w:bottom w:val="single" w:sz="2" w:space="0" w:color="auto"/>
              <w:right w:val="single" w:sz="2" w:space="0" w:color="auto"/>
            </w:tcBorders>
            <w:shd w:val="clear" w:color="auto" w:fill="CCEAF9" w:themeFill="accent1" w:themeFillTint="33"/>
            <w:tcMar>
              <w:top w:w="14" w:type="dxa"/>
              <w:left w:w="115" w:type="dxa"/>
              <w:bottom w:w="14" w:type="dxa"/>
              <w:right w:w="115" w:type="dxa"/>
            </w:tcMar>
            <w:vAlign w:val="center"/>
            <w:hideMark/>
          </w:tcPr>
          <w:p w:rsidR="006D4FD7" w:rsidRDefault="006D4FD7" w:rsidP="00DD55B1">
            <w:pPr>
              <w:keepNext/>
              <w:keepLines/>
              <w:spacing w:before="20" w:after="20" w:line="240" w:lineRule="auto"/>
              <w:jc w:val="center"/>
              <w:rPr>
                <w:rFonts w:asciiTheme="minorHAnsi" w:hAnsiTheme="minorHAnsi"/>
                <w:color w:val="000000"/>
                <w:sz w:val="18"/>
                <w:szCs w:val="18"/>
              </w:rPr>
            </w:pPr>
            <w:r>
              <w:rPr>
                <w:rFonts w:asciiTheme="minorHAnsi" w:hAnsiTheme="minorHAnsi"/>
                <w:color w:val="000000"/>
                <w:sz w:val="18"/>
                <w:szCs w:val="18"/>
              </w:rPr>
              <w:t>0.01188</w:t>
            </w:r>
          </w:p>
        </w:tc>
        <w:tc>
          <w:tcPr>
            <w:tcW w:w="1050" w:type="dxa"/>
            <w:tcBorders>
              <w:top w:val="single" w:sz="2" w:space="0" w:color="auto"/>
              <w:left w:val="single" w:sz="2" w:space="0" w:color="auto"/>
              <w:bottom w:val="single" w:sz="2" w:space="0" w:color="auto"/>
              <w:right w:val="single" w:sz="2" w:space="0" w:color="auto"/>
            </w:tcBorders>
            <w:shd w:val="clear" w:color="auto" w:fill="CCEAF9" w:themeFill="accent1" w:themeFillTint="33"/>
            <w:tcMar>
              <w:top w:w="14" w:type="dxa"/>
              <w:left w:w="115" w:type="dxa"/>
              <w:bottom w:w="14" w:type="dxa"/>
              <w:right w:w="115" w:type="dxa"/>
            </w:tcMar>
            <w:vAlign w:val="center"/>
            <w:hideMark/>
          </w:tcPr>
          <w:p w:rsidR="006D4FD7" w:rsidRDefault="006D4FD7" w:rsidP="00DD55B1">
            <w:pPr>
              <w:keepNext/>
              <w:keepLines/>
              <w:spacing w:before="20" w:after="20" w:line="240" w:lineRule="auto"/>
              <w:jc w:val="center"/>
              <w:rPr>
                <w:rFonts w:asciiTheme="minorHAnsi" w:hAnsiTheme="minorHAnsi"/>
                <w:color w:val="000000"/>
                <w:sz w:val="18"/>
                <w:szCs w:val="18"/>
              </w:rPr>
            </w:pPr>
            <w:r>
              <w:rPr>
                <w:rFonts w:asciiTheme="minorHAnsi" w:hAnsiTheme="minorHAnsi"/>
                <w:color w:val="000000"/>
                <w:sz w:val="18"/>
                <w:szCs w:val="18"/>
              </w:rPr>
              <w:t>0.01278</w:t>
            </w:r>
          </w:p>
        </w:tc>
        <w:tc>
          <w:tcPr>
            <w:tcW w:w="1050" w:type="dxa"/>
            <w:tcBorders>
              <w:top w:val="single" w:sz="2" w:space="0" w:color="auto"/>
              <w:left w:val="single" w:sz="2" w:space="0" w:color="auto"/>
              <w:bottom w:val="single" w:sz="2" w:space="0" w:color="auto"/>
              <w:right w:val="single" w:sz="2" w:space="0" w:color="auto"/>
            </w:tcBorders>
            <w:shd w:val="clear" w:color="auto" w:fill="CCEAF9" w:themeFill="accent1" w:themeFillTint="33"/>
            <w:tcMar>
              <w:top w:w="14" w:type="dxa"/>
              <w:left w:w="115" w:type="dxa"/>
              <w:bottom w:w="14" w:type="dxa"/>
              <w:right w:w="115" w:type="dxa"/>
            </w:tcMar>
            <w:vAlign w:val="center"/>
            <w:hideMark/>
          </w:tcPr>
          <w:p w:rsidR="006D4FD7" w:rsidRDefault="006D4FD7" w:rsidP="00DD55B1">
            <w:pPr>
              <w:keepNext/>
              <w:keepLines/>
              <w:spacing w:before="20" w:after="20" w:line="240" w:lineRule="auto"/>
              <w:jc w:val="center"/>
              <w:rPr>
                <w:rFonts w:asciiTheme="minorHAnsi" w:hAnsiTheme="minorHAnsi"/>
                <w:color w:val="000000"/>
                <w:sz w:val="18"/>
                <w:szCs w:val="18"/>
              </w:rPr>
            </w:pPr>
            <w:r>
              <w:rPr>
                <w:rFonts w:asciiTheme="minorHAnsi" w:hAnsiTheme="minorHAnsi"/>
                <w:color w:val="000000"/>
                <w:sz w:val="18"/>
                <w:szCs w:val="18"/>
              </w:rPr>
              <w:t>0.014</w:t>
            </w:r>
          </w:p>
        </w:tc>
        <w:tc>
          <w:tcPr>
            <w:tcW w:w="1051" w:type="dxa"/>
            <w:tcBorders>
              <w:top w:val="single" w:sz="2" w:space="0" w:color="auto"/>
              <w:left w:val="single" w:sz="2" w:space="0" w:color="auto"/>
              <w:bottom w:val="single" w:sz="2" w:space="0" w:color="auto"/>
              <w:right w:val="single" w:sz="2" w:space="0" w:color="auto"/>
            </w:tcBorders>
            <w:shd w:val="clear" w:color="auto" w:fill="CCEAF9" w:themeFill="accent1" w:themeFillTint="33"/>
            <w:tcMar>
              <w:top w:w="14" w:type="dxa"/>
              <w:left w:w="115" w:type="dxa"/>
              <w:bottom w:w="14" w:type="dxa"/>
              <w:right w:w="115" w:type="dxa"/>
            </w:tcMar>
            <w:vAlign w:val="center"/>
            <w:hideMark/>
          </w:tcPr>
          <w:p w:rsidR="006D4FD7" w:rsidRDefault="006D4FD7" w:rsidP="00DD55B1">
            <w:pPr>
              <w:keepNext/>
              <w:keepLines/>
              <w:spacing w:before="20" w:after="20" w:line="240" w:lineRule="auto"/>
              <w:jc w:val="center"/>
              <w:rPr>
                <w:rFonts w:asciiTheme="minorHAnsi" w:hAnsiTheme="minorHAnsi"/>
                <w:color w:val="000000"/>
                <w:sz w:val="18"/>
                <w:szCs w:val="18"/>
              </w:rPr>
            </w:pPr>
            <w:r>
              <w:rPr>
                <w:rFonts w:asciiTheme="minorHAnsi" w:hAnsiTheme="minorHAnsi"/>
                <w:color w:val="000000"/>
                <w:sz w:val="18"/>
                <w:szCs w:val="18"/>
              </w:rPr>
              <w:t>0.015</w:t>
            </w:r>
          </w:p>
        </w:tc>
        <w:tc>
          <w:tcPr>
            <w:tcW w:w="1051" w:type="dxa"/>
            <w:tcBorders>
              <w:top w:val="single" w:sz="2" w:space="0" w:color="auto"/>
              <w:left w:val="single" w:sz="2" w:space="0" w:color="auto"/>
              <w:bottom w:val="single" w:sz="2" w:space="0" w:color="auto"/>
              <w:right w:val="single" w:sz="2" w:space="0" w:color="auto"/>
            </w:tcBorders>
            <w:shd w:val="clear" w:color="auto" w:fill="CCEAF9" w:themeFill="accent1" w:themeFillTint="33"/>
            <w:tcMar>
              <w:top w:w="14" w:type="dxa"/>
              <w:left w:w="115" w:type="dxa"/>
              <w:bottom w:w="14" w:type="dxa"/>
              <w:right w:w="115" w:type="dxa"/>
            </w:tcMar>
            <w:vAlign w:val="center"/>
            <w:hideMark/>
          </w:tcPr>
          <w:p w:rsidR="006D4FD7" w:rsidRDefault="006D4FD7" w:rsidP="00DD55B1">
            <w:pPr>
              <w:keepNext/>
              <w:keepLines/>
              <w:spacing w:before="20" w:after="20" w:line="240" w:lineRule="auto"/>
              <w:jc w:val="center"/>
              <w:rPr>
                <w:rFonts w:asciiTheme="minorHAnsi" w:hAnsiTheme="minorHAnsi"/>
                <w:color w:val="000000"/>
                <w:sz w:val="18"/>
                <w:szCs w:val="18"/>
              </w:rPr>
            </w:pPr>
            <w:r>
              <w:rPr>
                <w:rFonts w:asciiTheme="minorHAnsi" w:hAnsiTheme="minorHAnsi"/>
                <w:color w:val="000000"/>
                <w:sz w:val="18"/>
                <w:szCs w:val="18"/>
              </w:rPr>
              <w:t>0.015</w:t>
            </w:r>
          </w:p>
        </w:tc>
        <w:tc>
          <w:tcPr>
            <w:tcW w:w="1051" w:type="dxa"/>
            <w:tcBorders>
              <w:top w:val="single" w:sz="2" w:space="0" w:color="auto"/>
              <w:left w:val="single" w:sz="2" w:space="0" w:color="auto"/>
              <w:bottom w:val="single" w:sz="2" w:space="0" w:color="auto"/>
              <w:right w:val="single" w:sz="2" w:space="0" w:color="auto"/>
            </w:tcBorders>
            <w:shd w:val="clear" w:color="auto" w:fill="CCEAF9" w:themeFill="accent1" w:themeFillTint="33"/>
            <w:tcMar>
              <w:top w:w="14" w:type="dxa"/>
              <w:left w:w="115" w:type="dxa"/>
              <w:bottom w:w="14" w:type="dxa"/>
              <w:right w:w="115" w:type="dxa"/>
            </w:tcMar>
            <w:vAlign w:val="center"/>
            <w:hideMark/>
          </w:tcPr>
          <w:p w:rsidR="006D4FD7" w:rsidRDefault="006D4FD7" w:rsidP="00DD55B1">
            <w:pPr>
              <w:keepNext/>
              <w:keepLines/>
              <w:spacing w:before="20" w:after="20" w:line="240" w:lineRule="auto"/>
              <w:jc w:val="center"/>
              <w:rPr>
                <w:rFonts w:asciiTheme="minorHAnsi" w:hAnsiTheme="minorHAnsi"/>
                <w:color w:val="000000"/>
                <w:sz w:val="18"/>
                <w:szCs w:val="18"/>
              </w:rPr>
            </w:pPr>
            <w:r>
              <w:rPr>
                <w:rFonts w:asciiTheme="minorHAnsi" w:hAnsiTheme="minorHAnsi"/>
                <w:color w:val="000000"/>
                <w:sz w:val="18"/>
                <w:szCs w:val="18"/>
              </w:rPr>
              <w:t>0.016</w:t>
            </w:r>
          </w:p>
        </w:tc>
      </w:tr>
    </w:tbl>
    <w:p w:rsidR="00F645C1" w:rsidRPr="00EB44F9" w:rsidRDefault="00F645C1" w:rsidP="00524174">
      <w:pPr>
        <w:keepNext/>
        <w:keepLines/>
        <w:tabs>
          <w:tab w:val="left" w:pos="720"/>
        </w:tabs>
        <w:spacing w:before="120" w:after="80" w:line="240" w:lineRule="auto"/>
        <w:ind w:left="270" w:right="270" w:hanging="270"/>
        <w:rPr>
          <w:rFonts w:asciiTheme="minorHAnsi" w:hAnsiTheme="minorHAnsi" w:cs="Arial"/>
          <w:sz w:val="16"/>
          <w:szCs w:val="16"/>
        </w:rPr>
      </w:pPr>
      <w:r w:rsidRPr="00EB44F9">
        <w:rPr>
          <w:rFonts w:asciiTheme="minorHAnsi" w:hAnsiTheme="minorHAnsi" w:cs="Arial"/>
          <w:sz w:val="16"/>
          <w:szCs w:val="16"/>
        </w:rPr>
        <w:t xml:space="preserve">(a) </w:t>
      </w:r>
      <w:r w:rsidRPr="00EB44F9">
        <w:rPr>
          <w:rFonts w:asciiTheme="minorHAnsi" w:hAnsiTheme="minorHAnsi" w:cs="Arial"/>
          <w:sz w:val="16"/>
          <w:szCs w:val="16"/>
        </w:rPr>
        <w:tab/>
        <w:t>The figures may not agree because of rounding.</w:t>
      </w:r>
    </w:p>
    <w:p w:rsidR="00F645C1" w:rsidRPr="00EB44F9" w:rsidRDefault="00F645C1" w:rsidP="00524174">
      <w:pPr>
        <w:keepNext/>
        <w:keepLines/>
        <w:tabs>
          <w:tab w:val="left" w:pos="720"/>
        </w:tabs>
        <w:spacing w:after="80" w:line="240" w:lineRule="auto"/>
        <w:ind w:left="270" w:right="270" w:hanging="270"/>
        <w:rPr>
          <w:rFonts w:ascii="Calibri" w:eastAsia="Calibri" w:hAnsi="Calibri" w:cs="Arial"/>
          <w:color w:val="000000"/>
          <w:sz w:val="16"/>
          <w:szCs w:val="16"/>
        </w:rPr>
      </w:pPr>
      <w:r w:rsidRPr="005F00B1">
        <w:rPr>
          <w:rFonts w:asciiTheme="minorHAnsi" w:hAnsiTheme="minorHAnsi" w:cs="Arial"/>
          <w:sz w:val="16"/>
          <w:szCs w:val="16"/>
        </w:rPr>
        <w:t xml:space="preserve">(b) </w:t>
      </w:r>
      <w:r w:rsidRPr="005F00B1">
        <w:rPr>
          <w:rFonts w:asciiTheme="minorHAnsi" w:hAnsiTheme="minorHAnsi" w:cs="Arial"/>
          <w:sz w:val="16"/>
          <w:szCs w:val="16"/>
        </w:rPr>
        <w:tab/>
      </w:r>
      <w:r w:rsidR="005F00B1" w:rsidRPr="00696735">
        <w:rPr>
          <w:rFonts w:ascii="Calibri" w:eastAsia="Calibri" w:hAnsi="Calibri" w:cs="Arial"/>
          <w:color w:val="000000"/>
          <w:sz w:val="16"/>
          <w:szCs w:val="16"/>
        </w:rPr>
        <w:t>2016 PTO</w:t>
      </w:r>
      <w:r w:rsidR="00696735" w:rsidRPr="0075264C">
        <w:rPr>
          <w:rFonts w:ascii="Calibri" w:eastAsia="Calibri" w:hAnsi="Calibri" w:cs="Arial"/>
          <w:color w:val="000000"/>
          <w:sz w:val="16"/>
          <w:szCs w:val="16"/>
        </w:rPr>
        <w:t xml:space="preserve"> </w:t>
      </w:r>
      <w:r w:rsidR="005F00B1" w:rsidRPr="00696735">
        <w:rPr>
          <w:rFonts w:ascii="Calibri" w:eastAsia="Calibri" w:hAnsi="Calibri" w:cs="Arial"/>
          <w:color w:val="000000"/>
          <w:sz w:val="16"/>
          <w:szCs w:val="16"/>
        </w:rPr>
        <w:t>A</w:t>
      </w:r>
      <w:r w:rsidR="00696735" w:rsidRPr="0075264C">
        <w:rPr>
          <w:rFonts w:ascii="Calibri" w:eastAsia="Calibri" w:hAnsi="Calibri" w:cs="Arial"/>
          <w:color w:val="000000"/>
          <w:sz w:val="16"/>
          <w:szCs w:val="16"/>
        </w:rPr>
        <w:t xml:space="preserve">dministrative </w:t>
      </w:r>
      <w:r w:rsidR="005F00B1" w:rsidRPr="00696735">
        <w:rPr>
          <w:rFonts w:ascii="Calibri" w:eastAsia="Calibri" w:hAnsi="Calibri" w:cs="Arial"/>
          <w:color w:val="000000"/>
          <w:sz w:val="16"/>
          <w:szCs w:val="16"/>
        </w:rPr>
        <w:t>C</w:t>
      </w:r>
      <w:r w:rsidR="00696735" w:rsidRPr="00696735">
        <w:rPr>
          <w:rFonts w:ascii="Calibri" w:eastAsia="Calibri" w:hAnsi="Calibri" w:cs="Arial"/>
          <w:color w:val="000000"/>
          <w:sz w:val="16"/>
          <w:szCs w:val="16"/>
        </w:rPr>
        <w:t>ommittee</w:t>
      </w:r>
      <w:r w:rsidR="00696735">
        <w:rPr>
          <w:rFonts w:ascii="Calibri" w:eastAsia="Calibri" w:hAnsi="Calibri" w:cs="Arial"/>
          <w:color w:val="000000"/>
          <w:sz w:val="16"/>
          <w:szCs w:val="16"/>
        </w:rPr>
        <w:t xml:space="preserve"> (PTO-AC) </w:t>
      </w:r>
      <w:r w:rsidR="005F00B1" w:rsidRPr="005F00B1">
        <w:rPr>
          <w:rFonts w:ascii="Calibri" w:eastAsia="Calibri" w:hAnsi="Calibri" w:cs="Arial"/>
          <w:color w:val="000000"/>
          <w:sz w:val="16"/>
          <w:szCs w:val="16"/>
        </w:rPr>
        <w:t xml:space="preserve"> Informational Filing, 2017 PTO-AC Informational Filing.</w:t>
      </w:r>
    </w:p>
    <w:p w:rsidR="00F645C1" w:rsidRPr="00EB44F9" w:rsidRDefault="00F645C1" w:rsidP="00524174">
      <w:pPr>
        <w:keepNext/>
        <w:keepLines/>
        <w:tabs>
          <w:tab w:val="left" w:pos="720"/>
        </w:tabs>
        <w:spacing w:after="80" w:line="240" w:lineRule="auto"/>
        <w:ind w:left="270" w:right="270" w:hanging="270"/>
        <w:rPr>
          <w:rFonts w:asciiTheme="minorHAnsi" w:hAnsiTheme="minorHAnsi" w:cs="Arial"/>
          <w:sz w:val="16"/>
          <w:szCs w:val="16"/>
        </w:rPr>
      </w:pPr>
      <w:r w:rsidRPr="00EB44F9">
        <w:rPr>
          <w:rFonts w:asciiTheme="minorHAnsi" w:hAnsiTheme="minorHAnsi" w:cs="Arial"/>
          <w:sz w:val="16"/>
          <w:szCs w:val="16"/>
        </w:rPr>
        <w:t>(c)</w:t>
      </w:r>
      <w:r w:rsidRPr="00EB44F9">
        <w:rPr>
          <w:rFonts w:asciiTheme="minorHAnsi" w:hAnsiTheme="minorHAnsi" w:cs="Arial"/>
          <w:sz w:val="16"/>
          <w:szCs w:val="16"/>
        </w:rPr>
        <w:tab/>
        <w:t xml:space="preserve">Source: </w:t>
      </w:r>
      <w:r w:rsidRPr="00EB44F9">
        <w:rPr>
          <w:rFonts w:asciiTheme="minorHAnsi" w:hAnsiTheme="minorHAnsi" w:cs="Arial"/>
          <w:i/>
          <w:sz w:val="16"/>
          <w:szCs w:val="16"/>
        </w:rPr>
        <w:t xml:space="preserve">RNS Rates: </w:t>
      </w:r>
      <w:r w:rsidR="005F00B1" w:rsidRPr="004E0A7B">
        <w:rPr>
          <w:rFonts w:asciiTheme="minorHAnsi" w:hAnsiTheme="minorHAnsi" w:cs="Arial"/>
          <w:i/>
          <w:sz w:val="16"/>
          <w:szCs w:val="16"/>
        </w:rPr>
        <w:t>PTF Forecast</w:t>
      </w:r>
      <w:r w:rsidR="005F00B1" w:rsidRPr="005F00B1">
        <w:rPr>
          <w:rFonts w:asciiTheme="minorHAnsi" w:hAnsiTheme="minorHAnsi" w:cs="Arial"/>
          <w:sz w:val="16"/>
          <w:szCs w:val="16"/>
        </w:rPr>
        <w:t>, PTO</w:t>
      </w:r>
      <w:r w:rsidR="00696735">
        <w:rPr>
          <w:rFonts w:asciiTheme="minorHAnsi" w:hAnsiTheme="minorHAnsi" w:cs="Arial"/>
          <w:sz w:val="16"/>
          <w:szCs w:val="16"/>
        </w:rPr>
        <w:t xml:space="preserve">-AC </w:t>
      </w:r>
      <w:r w:rsidR="005F00B1" w:rsidRPr="005F00B1">
        <w:rPr>
          <w:rFonts w:asciiTheme="minorHAnsi" w:hAnsiTheme="minorHAnsi" w:cs="Arial"/>
          <w:sz w:val="16"/>
          <w:szCs w:val="16"/>
        </w:rPr>
        <w:t xml:space="preserve"> Rates Working Group presentation at the NEPOOL R</w:t>
      </w:r>
      <w:r w:rsidR="00696735">
        <w:rPr>
          <w:rFonts w:asciiTheme="minorHAnsi" w:hAnsiTheme="minorHAnsi" w:cs="Arial"/>
          <w:sz w:val="16"/>
          <w:szCs w:val="16"/>
        </w:rPr>
        <w:t xml:space="preserve">C </w:t>
      </w:r>
      <w:r w:rsidR="005F00B1" w:rsidRPr="005F00B1">
        <w:rPr>
          <w:rFonts w:asciiTheme="minorHAnsi" w:hAnsiTheme="minorHAnsi" w:cs="Arial"/>
          <w:sz w:val="16"/>
          <w:szCs w:val="16"/>
        </w:rPr>
        <w:t>/T</w:t>
      </w:r>
      <w:r w:rsidR="00696735">
        <w:rPr>
          <w:rFonts w:asciiTheme="minorHAnsi" w:hAnsiTheme="minorHAnsi" w:cs="Arial"/>
          <w:sz w:val="16"/>
          <w:szCs w:val="16"/>
        </w:rPr>
        <w:t xml:space="preserve">C </w:t>
      </w:r>
      <w:r w:rsidR="005F00B1" w:rsidRPr="005F00B1">
        <w:rPr>
          <w:rFonts w:asciiTheme="minorHAnsi" w:hAnsiTheme="minorHAnsi" w:cs="Arial"/>
          <w:sz w:val="16"/>
          <w:szCs w:val="16"/>
        </w:rPr>
        <w:t xml:space="preserve"> Summer Meeting (July 18–19, 2017</w:t>
      </w:r>
      <w:hyperlink r:id="rId54" w:history="1">
        <w:r w:rsidR="005F00B1" w:rsidRPr="005F00B1">
          <w:rPr>
            <w:rStyle w:val="Hyperlink"/>
            <w:rFonts w:asciiTheme="minorHAnsi" w:hAnsiTheme="minorHAnsi" w:cs="Arial"/>
            <w:sz w:val="16"/>
            <w:szCs w:val="16"/>
          </w:rPr>
          <w:t>), https://www.iso-ne.com/static-assets/documents/2017/07/2017_07_18_tc_a02_forcst.pptx</w:t>
        </w:r>
      </w:hyperlink>
      <w:r w:rsidR="005F00B1" w:rsidRPr="005F00B1">
        <w:rPr>
          <w:rFonts w:asciiTheme="minorHAnsi" w:hAnsiTheme="minorHAnsi" w:cs="Arial"/>
          <w:sz w:val="16"/>
          <w:szCs w:val="16"/>
        </w:rPr>
        <w:t xml:space="preserve">. </w:t>
      </w:r>
      <w:r w:rsidRPr="00EB44F9">
        <w:rPr>
          <w:rFonts w:asciiTheme="minorHAnsi" w:hAnsiTheme="minorHAnsi" w:cs="Arial"/>
          <w:sz w:val="16"/>
          <w:szCs w:val="16"/>
        </w:rPr>
        <w:t xml:space="preserve">The </w:t>
      </w:r>
      <w:r w:rsidR="005F00B1" w:rsidRPr="005F00B1">
        <w:rPr>
          <w:rFonts w:asciiTheme="minorHAnsi" w:hAnsiTheme="minorHAnsi" w:cs="Arial"/>
          <w:sz w:val="16"/>
          <w:szCs w:val="16"/>
        </w:rPr>
        <w:t>2018</w:t>
      </w:r>
      <w:r w:rsidR="005F00B1">
        <w:rPr>
          <w:rFonts w:asciiTheme="minorHAnsi" w:hAnsiTheme="minorHAnsi" w:cs="Arial"/>
          <w:sz w:val="16"/>
          <w:szCs w:val="16"/>
        </w:rPr>
        <w:t>–</w:t>
      </w:r>
      <w:r w:rsidR="005F00B1" w:rsidRPr="005F00B1">
        <w:rPr>
          <w:rFonts w:asciiTheme="minorHAnsi" w:hAnsiTheme="minorHAnsi" w:cs="Arial"/>
          <w:sz w:val="16"/>
          <w:szCs w:val="16"/>
        </w:rPr>
        <w:t xml:space="preserve">2021 </w:t>
      </w:r>
      <w:r w:rsidRPr="00EB44F9">
        <w:rPr>
          <w:rFonts w:asciiTheme="minorHAnsi" w:hAnsiTheme="minorHAnsi" w:cs="Arial"/>
          <w:sz w:val="16"/>
          <w:szCs w:val="16"/>
        </w:rPr>
        <w:t>rate forecast reflects PTO Administrative Committee estimated data and assumptions and is preliminary and for illustrative purposes only. Therefore, such estimates, assumptions, and rates are expected to change as current data become available.</w:t>
      </w:r>
    </w:p>
    <w:p w:rsidR="00F645C1" w:rsidRPr="00EB44F9" w:rsidRDefault="00F645C1" w:rsidP="00524174">
      <w:pPr>
        <w:keepNext/>
        <w:keepLines/>
        <w:tabs>
          <w:tab w:val="left" w:pos="720"/>
        </w:tabs>
        <w:spacing w:after="80" w:line="240" w:lineRule="auto"/>
        <w:ind w:left="270" w:right="270" w:hanging="270"/>
        <w:rPr>
          <w:rFonts w:asciiTheme="minorHAnsi" w:hAnsiTheme="minorHAnsi" w:cs="Arial"/>
          <w:sz w:val="16"/>
          <w:szCs w:val="16"/>
        </w:rPr>
      </w:pPr>
      <w:r w:rsidRPr="00EB44F9">
        <w:rPr>
          <w:rFonts w:asciiTheme="minorHAnsi" w:hAnsiTheme="minorHAnsi" w:cs="Arial"/>
          <w:sz w:val="16"/>
          <w:szCs w:val="16"/>
        </w:rPr>
        <w:t>(d)</w:t>
      </w:r>
      <w:r w:rsidRPr="00EB44F9">
        <w:rPr>
          <w:rFonts w:asciiTheme="minorHAnsi" w:hAnsiTheme="minorHAnsi" w:cs="Arial"/>
          <w:sz w:val="16"/>
          <w:szCs w:val="16"/>
        </w:rPr>
        <w:tab/>
        <w:t>“CWIP” refers to construction work in progress.</w:t>
      </w:r>
    </w:p>
    <w:p w:rsidR="00F645C1" w:rsidRPr="00F645C1" w:rsidRDefault="00F645C1" w:rsidP="00524174">
      <w:pPr>
        <w:keepNext/>
        <w:keepLines/>
        <w:spacing w:line="240" w:lineRule="auto"/>
        <w:ind w:left="270" w:right="270" w:hanging="270"/>
        <w:rPr>
          <w:rFonts w:asciiTheme="minorHAnsi" w:hAnsiTheme="minorHAnsi" w:cs="Arial"/>
          <w:sz w:val="16"/>
          <w:szCs w:val="16"/>
        </w:rPr>
      </w:pPr>
      <w:r w:rsidRPr="00EB44F9">
        <w:rPr>
          <w:rFonts w:asciiTheme="minorHAnsi" w:hAnsiTheme="minorHAnsi" w:cs="Arial"/>
          <w:sz w:val="16"/>
          <w:szCs w:val="16"/>
        </w:rPr>
        <w:t>(e)</w:t>
      </w:r>
      <w:r w:rsidRPr="00EB44F9">
        <w:rPr>
          <w:rFonts w:asciiTheme="minorHAnsi" w:hAnsiTheme="minorHAnsi" w:cs="Arial"/>
          <w:sz w:val="16"/>
          <w:szCs w:val="16"/>
        </w:rPr>
        <w:tab/>
        <w:t>“12 CP” refers to the average of all the monthly regional network loads (per the OATT, Section 21.2) for the 12 months of the calendar year on which the rate is based.</w:t>
      </w:r>
    </w:p>
    <w:p w:rsidR="00F645C1" w:rsidRPr="00F645C1" w:rsidRDefault="00F645C1" w:rsidP="00BD6545">
      <w:pPr>
        <w:pStyle w:val="Heading3"/>
      </w:pPr>
      <w:bookmarkStart w:id="602" w:name="_Ref419207215"/>
      <w:bookmarkStart w:id="603" w:name="_Ref419228512"/>
      <w:bookmarkStart w:id="604" w:name="_Toc429063422"/>
      <w:bookmarkStart w:id="605" w:name="_Toc490323058"/>
      <w:r w:rsidRPr="00F645C1">
        <w:t>Lack of Need for Market-Efficiency-Related Transmission Upgrades</w:t>
      </w:r>
      <w:bookmarkEnd w:id="602"/>
      <w:bookmarkEnd w:id="603"/>
      <w:bookmarkEnd w:id="604"/>
      <w:bookmarkEnd w:id="605"/>
    </w:p>
    <w:p w:rsidR="00F645C1" w:rsidRPr="00F645C1" w:rsidRDefault="00F645C1" w:rsidP="00F645C1">
      <w:r w:rsidRPr="00F645C1">
        <w:t xml:space="preserve">To date, the ISO has not identified the need for </w:t>
      </w:r>
      <w:r w:rsidR="00CE4699">
        <w:t>m</w:t>
      </w:r>
      <w:r w:rsidR="00E43403">
        <w:t>arket</w:t>
      </w:r>
      <w:r w:rsidR="00CE4699">
        <w:t>-e</w:t>
      </w:r>
      <w:r w:rsidR="00E43403">
        <w:t xml:space="preserve">fficiency </w:t>
      </w:r>
      <w:r w:rsidR="00CE4699">
        <w:t>t</w:t>
      </w:r>
      <w:r w:rsidR="00E43403">
        <w:t xml:space="preserve">ransmission </w:t>
      </w:r>
      <w:r w:rsidR="00CE4699">
        <w:t>u</w:t>
      </w:r>
      <w:r w:rsidR="00E43403">
        <w:t>pgrades (</w:t>
      </w:r>
      <w:r w:rsidRPr="00F645C1">
        <w:t>METUs</w:t>
      </w:r>
      <w:r w:rsidR="00E43403">
        <w:t>)</w:t>
      </w:r>
      <w:r w:rsidRPr="00F645C1">
        <w:t>, primarily designed to reduce the total net production cost to supply the system load, because of the following:</w:t>
      </w:r>
    </w:p>
    <w:p w:rsidR="00F645C1" w:rsidRPr="00F645C1" w:rsidRDefault="00F645C1" w:rsidP="00F645C1">
      <w:pPr>
        <w:numPr>
          <w:ilvl w:val="0"/>
          <w:numId w:val="27"/>
        </w:numPr>
        <w:spacing w:after="120"/>
        <w:rPr>
          <w:rFonts w:eastAsia="Times New Roman"/>
        </w:rPr>
      </w:pPr>
      <w:r w:rsidRPr="00F645C1">
        <w:rPr>
          <w:rFonts w:eastAsia="Times New Roman"/>
        </w:rPr>
        <w:t xml:space="preserve">Reliability transmission upgrades have resulted in </w:t>
      </w:r>
      <w:r w:rsidR="00CE5F90">
        <w:rPr>
          <w:rFonts w:eastAsia="Times New Roman"/>
        </w:rPr>
        <w:t xml:space="preserve">significant </w:t>
      </w:r>
      <w:r w:rsidRPr="00F645C1">
        <w:rPr>
          <w:rFonts w:eastAsia="Times New Roman"/>
        </w:rPr>
        <w:t>market-efficiency benefits, particularly when out-of-merit operating costs were reduced.</w:t>
      </w:r>
    </w:p>
    <w:p w:rsidR="00F645C1" w:rsidRPr="00F645C1" w:rsidRDefault="00F645C1" w:rsidP="00F645C1">
      <w:pPr>
        <w:numPr>
          <w:ilvl w:val="0"/>
          <w:numId w:val="27"/>
        </w:numPr>
        <w:rPr>
          <w:rFonts w:eastAsia="Times New Roman"/>
        </w:rPr>
      </w:pPr>
      <w:r w:rsidRPr="00F645C1">
        <w:rPr>
          <w:rFonts w:eastAsia="Times New Roman"/>
        </w:rPr>
        <w:t xml:space="preserve">The development of economic resources and fast-start resources in response to the ISO’s wholesale electricity markets has also helped eliminate congestion and Net Commitment-Period </w:t>
      </w:r>
      <w:r w:rsidR="00CE5F90">
        <w:rPr>
          <w:rFonts w:eastAsia="Times New Roman"/>
        </w:rPr>
        <w:t xml:space="preserve">Compensation </w:t>
      </w:r>
      <w:r w:rsidRPr="00F645C1">
        <w:rPr>
          <w:rFonts w:eastAsia="Times New Roman"/>
        </w:rPr>
        <w:t>(NCPC).</w:t>
      </w:r>
      <w:r w:rsidRPr="00F645C1">
        <w:rPr>
          <w:rFonts w:eastAsia="Times New Roman"/>
          <w:vertAlign w:val="superscript"/>
        </w:rPr>
        <w:footnoteReference w:id="179"/>
      </w:r>
      <w:r w:rsidRPr="00F645C1">
        <w:rPr>
          <w:rFonts w:eastAsia="Times New Roman"/>
        </w:rPr>
        <w:t xml:space="preserve"> </w:t>
      </w:r>
    </w:p>
    <w:p w:rsidR="00F645C1" w:rsidRPr="00F645C1" w:rsidRDefault="00F645C1" w:rsidP="00F645C1">
      <w:r w:rsidRPr="00F645C1">
        <w:lastRenderedPageBreak/>
        <w:t>In 2016, the ISO performed an economic evaluation of the potential benefits of upgrading the Keene Road Export Interface. The needs assessment showed that increasing the capability across this interface would provide minimal savings in productions costs.</w:t>
      </w:r>
      <w:r w:rsidRPr="00F645C1">
        <w:rPr>
          <w:vertAlign w:val="superscript"/>
        </w:rPr>
        <w:footnoteReference w:id="180"/>
      </w:r>
      <w:r w:rsidRPr="00F645C1">
        <w:t xml:space="preserve"> After discussing these findings with stakeholders, the ISO determined that the savings in production costs were not sufficient to move forward with the Competitive Solutions Process.</w:t>
      </w:r>
      <w:r w:rsidRPr="00F645C1">
        <w:rPr>
          <w:vertAlign w:val="superscript"/>
        </w:rPr>
        <w:footnoteReference w:id="181"/>
      </w:r>
    </w:p>
    <w:p w:rsidR="00F645C1" w:rsidRPr="00F645C1" w:rsidRDefault="00F645C1" w:rsidP="00F645C1">
      <w:r w:rsidRPr="00F645C1">
        <w:t xml:space="preserve">This section summarizes the historical systemwide congestion and NCPC. Economic studies are analyzing future system performance that may identify future need for METUs, (see Section </w:t>
      </w:r>
      <w:r w:rsidRPr="00F645C1">
        <w:fldChar w:fldCharType="begin"/>
      </w:r>
      <w:r w:rsidRPr="00F645C1">
        <w:instrText xml:space="preserve"> REF _Ref419808241 \r \h  \* MERGEFORMAT </w:instrText>
      </w:r>
      <w:r w:rsidRPr="00F645C1">
        <w:fldChar w:fldCharType="separate"/>
      </w:r>
      <w:r w:rsidR="00314781">
        <w:t>9.4.1</w:t>
      </w:r>
      <w:r w:rsidRPr="00F645C1">
        <w:fldChar w:fldCharType="end"/>
      </w:r>
      <w:r w:rsidRPr="00F645C1">
        <w:t>).</w:t>
      </w:r>
    </w:p>
    <w:p w:rsidR="00F645C1" w:rsidRPr="00F645C1" w:rsidRDefault="00F645C1" w:rsidP="007D11FD">
      <w:pPr>
        <w:pStyle w:val="Heading4"/>
      </w:pPr>
      <w:r w:rsidRPr="00F645C1">
        <w:t>Transmission Congestion</w:t>
      </w:r>
    </w:p>
    <w:p w:rsidR="00F645C1" w:rsidRPr="00F645C1" w:rsidRDefault="00F645C1" w:rsidP="00F645C1">
      <w:pPr>
        <w:rPr>
          <w:rFonts w:ascii="Times New Roman" w:eastAsia="Times New Roman" w:hAnsi="Times New Roman"/>
          <w:sz w:val="24"/>
          <w:szCs w:val="24"/>
        </w:rPr>
      </w:pPr>
      <w:r w:rsidRPr="00F645C1">
        <w:t xml:space="preserve">As shown in </w:t>
      </w:r>
      <w:r w:rsidRPr="00F645C1">
        <w:fldChar w:fldCharType="begin"/>
      </w:r>
      <w:r w:rsidRPr="00F645C1">
        <w:instrText xml:space="preserve"> REF _Ref418947088 \h  \* MERGEFORMAT </w:instrText>
      </w:r>
      <w:r w:rsidRPr="00F645C1">
        <w:fldChar w:fldCharType="separate"/>
      </w:r>
      <w:r w:rsidR="00314781" w:rsidRPr="000162C8">
        <w:rPr>
          <w:bCs/>
          <w:szCs w:val="18"/>
        </w:rPr>
        <w:t xml:space="preserve">Table </w:t>
      </w:r>
      <w:r w:rsidR="00314781" w:rsidRPr="000162C8">
        <w:rPr>
          <w:bCs/>
          <w:noProof/>
          <w:szCs w:val="18"/>
        </w:rPr>
        <w:t>5</w:t>
      </w:r>
      <w:r w:rsidR="00314781" w:rsidRPr="000162C8">
        <w:rPr>
          <w:bCs/>
          <w:noProof/>
          <w:szCs w:val="18"/>
        </w:rPr>
        <w:noBreakHyphen/>
        <w:t>3</w:t>
      </w:r>
      <w:r w:rsidRPr="00F645C1">
        <w:fldChar w:fldCharType="end"/>
      </w:r>
      <w:r w:rsidRPr="00F645C1">
        <w:t>, recent experience has demonstrated that the regional transmission system has little congestion among the New England load zones relative to the Hub. At approximately $39 million in 2016, the total day-ahead and real-time congestion costs remain low, and mitigation by additional transmission upgrades is not warranted. Planned reliability transmission upgrades could reduce congestion costs further, as well as reduce transmission system losses.</w:t>
      </w:r>
    </w:p>
    <w:p w:rsidR="00F645C1" w:rsidRPr="00F645C1" w:rsidRDefault="00F645C1" w:rsidP="00F645C1">
      <w:pPr>
        <w:keepNext/>
        <w:keepLines/>
        <w:spacing w:after="120" w:line="240" w:lineRule="auto"/>
        <w:ind w:left="547" w:right="547"/>
        <w:jc w:val="center"/>
        <w:rPr>
          <w:rFonts w:ascii="Calibri" w:hAnsi="Calibri"/>
          <w:b/>
          <w:bCs/>
          <w:szCs w:val="18"/>
        </w:rPr>
      </w:pPr>
      <w:bookmarkStart w:id="606" w:name="_Ref418947088"/>
      <w:bookmarkStart w:id="607" w:name="_Toc429063571"/>
      <w:bookmarkStart w:id="608" w:name="_Toc491244016"/>
      <w:r w:rsidRPr="00F645C1">
        <w:rPr>
          <w:rFonts w:ascii="Calibri" w:hAnsi="Calibri"/>
          <w:b/>
          <w:bCs/>
          <w:szCs w:val="18"/>
        </w:rPr>
        <w:lastRenderedPageBreak/>
        <w:t xml:space="preserve">Table </w:t>
      </w:r>
      <w:r w:rsidR="00D95957">
        <w:rPr>
          <w:rFonts w:ascii="Calibri" w:hAnsi="Calibri"/>
          <w:b/>
          <w:bCs/>
          <w:szCs w:val="18"/>
        </w:rPr>
        <w:fldChar w:fldCharType="begin"/>
      </w:r>
      <w:r w:rsidR="00D95957">
        <w:rPr>
          <w:rFonts w:ascii="Calibri" w:hAnsi="Calibri"/>
          <w:b/>
          <w:bCs/>
          <w:szCs w:val="18"/>
        </w:rPr>
        <w:instrText xml:space="preserve"> STYLEREF 1 \s </w:instrText>
      </w:r>
      <w:r w:rsidR="00D95957">
        <w:rPr>
          <w:rFonts w:ascii="Calibri" w:hAnsi="Calibri"/>
          <w:b/>
          <w:bCs/>
          <w:szCs w:val="18"/>
        </w:rPr>
        <w:fldChar w:fldCharType="separate"/>
      </w:r>
      <w:r w:rsidR="00D95957">
        <w:rPr>
          <w:rFonts w:ascii="Calibri" w:hAnsi="Calibri"/>
          <w:b/>
          <w:bCs/>
          <w:noProof/>
          <w:szCs w:val="18"/>
        </w:rPr>
        <w:t>5</w:t>
      </w:r>
      <w:r w:rsidR="00D95957">
        <w:rPr>
          <w:rFonts w:ascii="Calibri" w:hAnsi="Calibri"/>
          <w:b/>
          <w:bCs/>
          <w:szCs w:val="18"/>
        </w:rPr>
        <w:fldChar w:fldCharType="end"/>
      </w:r>
      <w:r w:rsidR="00D95957">
        <w:rPr>
          <w:rFonts w:ascii="Calibri" w:hAnsi="Calibri"/>
          <w:b/>
          <w:bCs/>
          <w:szCs w:val="18"/>
        </w:rPr>
        <w:noBreakHyphen/>
      </w:r>
      <w:r w:rsidR="00D95957">
        <w:rPr>
          <w:rFonts w:ascii="Calibri" w:hAnsi="Calibri"/>
          <w:b/>
          <w:bCs/>
          <w:szCs w:val="18"/>
        </w:rPr>
        <w:fldChar w:fldCharType="begin"/>
      </w:r>
      <w:r w:rsidR="00D95957">
        <w:rPr>
          <w:rFonts w:ascii="Calibri" w:hAnsi="Calibri"/>
          <w:b/>
          <w:bCs/>
          <w:szCs w:val="18"/>
        </w:rPr>
        <w:instrText xml:space="preserve"> SEQ Table \* ARABIC \s 1 </w:instrText>
      </w:r>
      <w:r w:rsidR="00D95957">
        <w:rPr>
          <w:rFonts w:ascii="Calibri" w:hAnsi="Calibri"/>
          <w:b/>
          <w:bCs/>
          <w:szCs w:val="18"/>
        </w:rPr>
        <w:fldChar w:fldCharType="separate"/>
      </w:r>
      <w:r w:rsidR="00D95957">
        <w:rPr>
          <w:rFonts w:ascii="Calibri" w:hAnsi="Calibri"/>
          <w:b/>
          <w:bCs/>
          <w:noProof/>
          <w:szCs w:val="18"/>
        </w:rPr>
        <w:t>3</w:t>
      </w:r>
      <w:r w:rsidR="00D95957">
        <w:rPr>
          <w:rFonts w:ascii="Calibri" w:hAnsi="Calibri"/>
          <w:b/>
          <w:bCs/>
          <w:szCs w:val="18"/>
        </w:rPr>
        <w:fldChar w:fldCharType="end"/>
      </w:r>
      <w:bookmarkEnd w:id="606"/>
      <w:r w:rsidRPr="00F645C1">
        <w:rPr>
          <w:rFonts w:ascii="Calibri" w:hAnsi="Calibri"/>
          <w:b/>
          <w:bCs/>
          <w:szCs w:val="18"/>
        </w:rPr>
        <w:br/>
        <w:t>ISO New England Transmission System Day-Ahead, Real-Time,</w:t>
      </w:r>
      <w:r w:rsidRPr="00F645C1">
        <w:rPr>
          <w:rFonts w:ascii="Calibri" w:hAnsi="Calibri"/>
          <w:b/>
          <w:bCs/>
          <w:szCs w:val="18"/>
        </w:rPr>
        <w:br/>
        <w:t>and Total Congestion Costs and Credits, 2003 to 2016 ($)</w:t>
      </w:r>
      <w:bookmarkEnd w:id="607"/>
      <w:bookmarkEnd w:id="608"/>
    </w:p>
    <w:tbl>
      <w:tblPr>
        <w:tblW w:w="6155"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1120"/>
        <w:gridCol w:w="1678"/>
        <w:gridCol w:w="1678"/>
        <w:gridCol w:w="1679"/>
      </w:tblGrid>
      <w:tr w:rsidR="00F645C1" w:rsidRPr="00F645C1" w:rsidTr="000409DB">
        <w:trPr>
          <w:trHeight w:val="690"/>
          <w:jc w:val="center"/>
        </w:trPr>
        <w:tc>
          <w:tcPr>
            <w:tcW w:w="1120" w:type="dxa"/>
            <w:shd w:val="clear" w:color="auto" w:fill="1795D2" w:themeFill="accent1"/>
            <w:vAlign w:val="center"/>
            <w:hideMark/>
          </w:tcPr>
          <w:p w:rsidR="00F645C1" w:rsidRPr="00F645C1" w:rsidRDefault="00F645C1" w:rsidP="00F645C1">
            <w:pPr>
              <w:keepNext/>
              <w:spacing w:before="40" w:after="40" w:line="240" w:lineRule="auto"/>
              <w:jc w:val="center"/>
              <w:rPr>
                <w:rFonts w:asciiTheme="majorHAnsi" w:eastAsia="Times New Roman" w:hAnsiTheme="majorHAnsi" w:cs="Arial"/>
                <w:b/>
                <w:bCs/>
                <w:color w:val="FFFFFF"/>
                <w:sz w:val="18"/>
                <w:szCs w:val="18"/>
              </w:rPr>
            </w:pPr>
            <w:r w:rsidRPr="00F645C1">
              <w:rPr>
                <w:rFonts w:asciiTheme="majorHAnsi" w:eastAsia="Times New Roman" w:hAnsiTheme="majorHAnsi" w:cs="Arial"/>
                <w:b/>
                <w:bCs/>
                <w:color w:val="FFFFFF"/>
                <w:sz w:val="18"/>
                <w:szCs w:val="18"/>
              </w:rPr>
              <w:t>Year</w:t>
            </w:r>
          </w:p>
        </w:tc>
        <w:tc>
          <w:tcPr>
            <w:tcW w:w="1678" w:type="dxa"/>
            <w:shd w:val="clear" w:color="auto" w:fill="1795D2" w:themeFill="accent1"/>
            <w:vAlign w:val="center"/>
            <w:hideMark/>
          </w:tcPr>
          <w:p w:rsidR="00F645C1" w:rsidRPr="00F645C1" w:rsidRDefault="00F645C1" w:rsidP="00F645C1">
            <w:pPr>
              <w:keepNext/>
              <w:spacing w:before="40" w:after="40" w:line="240" w:lineRule="auto"/>
              <w:jc w:val="center"/>
              <w:rPr>
                <w:rFonts w:asciiTheme="majorHAnsi" w:eastAsia="Times New Roman" w:hAnsiTheme="majorHAnsi" w:cs="Arial"/>
                <w:b/>
                <w:bCs/>
                <w:color w:val="FFFFFF"/>
                <w:sz w:val="18"/>
                <w:szCs w:val="18"/>
              </w:rPr>
            </w:pPr>
            <w:r w:rsidRPr="00F645C1">
              <w:rPr>
                <w:rFonts w:asciiTheme="majorHAnsi" w:eastAsia="Times New Roman" w:hAnsiTheme="majorHAnsi" w:cs="Arial"/>
                <w:b/>
                <w:bCs/>
                <w:color w:val="FFFFFF"/>
                <w:sz w:val="18"/>
                <w:szCs w:val="18"/>
              </w:rPr>
              <w:t>Day-Ahead Congestion</w:t>
            </w:r>
            <w:r w:rsidRPr="00F645C1">
              <w:rPr>
                <w:rFonts w:asciiTheme="majorHAnsi" w:eastAsia="Times New Roman" w:hAnsiTheme="majorHAnsi" w:cs="Arial"/>
                <w:b/>
                <w:bCs/>
                <w:color w:val="FFFFFF"/>
                <w:sz w:val="18"/>
                <w:szCs w:val="18"/>
                <w:vertAlign w:val="superscript"/>
              </w:rPr>
              <w:t>(a, b)</w:t>
            </w:r>
          </w:p>
        </w:tc>
        <w:tc>
          <w:tcPr>
            <w:tcW w:w="1678" w:type="dxa"/>
            <w:shd w:val="clear" w:color="auto" w:fill="1795D2" w:themeFill="accent1"/>
            <w:vAlign w:val="center"/>
            <w:hideMark/>
          </w:tcPr>
          <w:p w:rsidR="00F645C1" w:rsidRPr="00F645C1" w:rsidRDefault="00F645C1" w:rsidP="00F645C1">
            <w:pPr>
              <w:keepNext/>
              <w:spacing w:before="40" w:after="40" w:line="240" w:lineRule="auto"/>
              <w:jc w:val="center"/>
              <w:rPr>
                <w:rFonts w:asciiTheme="majorHAnsi" w:eastAsia="Times New Roman" w:hAnsiTheme="majorHAnsi" w:cs="Arial"/>
                <w:b/>
                <w:bCs/>
                <w:color w:val="FFFFFF"/>
                <w:sz w:val="18"/>
                <w:szCs w:val="18"/>
              </w:rPr>
            </w:pPr>
            <w:r w:rsidRPr="00F645C1">
              <w:rPr>
                <w:rFonts w:asciiTheme="majorHAnsi" w:eastAsia="Times New Roman" w:hAnsiTheme="majorHAnsi" w:cs="Arial"/>
                <w:b/>
                <w:bCs/>
                <w:color w:val="FFFFFF"/>
                <w:sz w:val="18"/>
                <w:szCs w:val="18"/>
              </w:rPr>
              <w:t>Real-Time Congestion</w:t>
            </w:r>
            <w:r w:rsidRPr="00F645C1">
              <w:rPr>
                <w:rFonts w:asciiTheme="majorHAnsi" w:eastAsia="Times New Roman" w:hAnsiTheme="majorHAnsi" w:cs="Arial"/>
                <w:b/>
                <w:bCs/>
                <w:color w:val="FFFFFF"/>
                <w:sz w:val="18"/>
                <w:szCs w:val="18"/>
                <w:vertAlign w:val="superscript"/>
              </w:rPr>
              <w:t>(a, c)</w:t>
            </w:r>
          </w:p>
        </w:tc>
        <w:tc>
          <w:tcPr>
            <w:tcW w:w="1679" w:type="dxa"/>
            <w:shd w:val="clear" w:color="auto" w:fill="1795D2" w:themeFill="accent1"/>
            <w:vAlign w:val="center"/>
            <w:hideMark/>
          </w:tcPr>
          <w:p w:rsidR="00F645C1" w:rsidRPr="00F645C1" w:rsidRDefault="00F645C1" w:rsidP="00F645C1">
            <w:pPr>
              <w:keepNext/>
              <w:spacing w:before="40" w:after="40" w:line="240" w:lineRule="auto"/>
              <w:jc w:val="center"/>
              <w:rPr>
                <w:rFonts w:asciiTheme="majorHAnsi" w:eastAsia="Times New Roman" w:hAnsiTheme="majorHAnsi" w:cs="Arial"/>
                <w:b/>
                <w:bCs/>
                <w:color w:val="FFFFFF"/>
                <w:sz w:val="18"/>
                <w:szCs w:val="18"/>
              </w:rPr>
            </w:pPr>
            <w:r w:rsidRPr="00F645C1">
              <w:rPr>
                <w:rFonts w:asciiTheme="majorHAnsi" w:eastAsia="Times New Roman" w:hAnsiTheme="majorHAnsi" w:cs="Arial"/>
                <w:b/>
                <w:bCs/>
                <w:color w:val="FFFFFF"/>
                <w:sz w:val="18"/>
                <w:szCs w:val="18"/>
              </w:rPr>
              <w:t>Total</w:t>
            </w:r>
            <w:r w:rsidRPr="00F645C1">
              <w:rPr>
                <w:rFonts w:asciiTheme="majorHAnsi" w:eastAsia="Times New Roman" w:hAnsiTheme="majorHAnsi" w:cs="Arial"/>
                <w:b/>
                <w:bCs/>
                <w:color w:val="FFFFFF"/>
                <w:sz w:val="18"/>
                <w:szCs w:val="18"/>
              </w:rPr>
              <w:br/>
              <w:t>Congestion</w:t>
            </w:r>
            <w:r w:rsidRPr="00F645C1">
              <w:rPr>
                <w:rFonts w:asciiTheme="majorHAnsi" w:eastAsia="Times New Roman" w:hAnsiTheme="majorHAnsi" w:cs="Arial"/>
                <w:b/>
                <w:bCs/>
                <w:color w:val="FFFFFF"/>
                <w:sz w:val="18"/>
                <w:szCs w:val="18"/>
                <w:vertAlign w:val="superscript"/>
              </w:rPr>
              <w:t>(a, d)</w:t>
            </w:r>
          </w:p>
        </w:tc>
      </w:tr>
      <w:tr w:rsidR="00F645C1" w:rsidRPr="00F645C1" w:rsidTr="003021D4">
        <w:trPr>
          <w:trHeight w:val="270"/>
          <w:jc w:val="center"/>
        </w:trPr>
        <w:tc>
          <w:tcPr>
            <w:tcW w:w="1120" w:type="dxa"/>
            <w:shd w:val="clear" w:color="auto" w:fill="auto"/>
            <w:vAlign w:val="center"/>
            <w:hideMark/>
          </w:tcPr>
          <w:p w:rsidR="00F645C1" w:rsidRPr="00F645C1" w:rsidRDefault="00F645C1" w:rsidP="00F645C1">
            <w:pPr>
              <w:keepNext/>
              <w:spacing w:before="40" w:after="40" w:line="240" w:lineRule="auto"/>
              <w:jc w:val="center"/>
              <w:rPr>
                <w:rFonts w:asciiTheme="majorHAnsi" w:eastAsia="Times New Roman" w:hAnsiTheme="majorHAnsi" w:cs="Arial"/>
                <w:b/>
                <w:bCs/>
                <w:color w:val="000000"/>
                <w:sz w:val="18"/>
                <w:szCs w:val="18"/>
              </w:rPr>
            </w:pPr>
            <w:r w:rsidRPr="00F645C1">
              <w:rPr>
                <w:rFonts w:asciiTheme="majorHAnsi" w:eastAsia="Times New Roman" w:hAnsiTheme="majorHAnsi" w:cs="Arial"/>
                <w:b/>
                <w:bCs/>
                <w:color w:val="000000"/>
                <w:sz w:val="18"/>
                <w:szCs w:val="18"/>
              </w:rPr>
              <w:t>2003</w:t>
            </w:r>
          </w:p>
        </w:tc>
        <w:tc>
          <w:tcPr>
            <w:tcW w:w="1678" w:type="dxa"/>
            <w:shd w:val="clear" w:color="auto" w:fill="auto"/>
            <w:vAlign w:val="center"/>
            <w:hideMark/>
          </w:tcPr>
          <w:p w:rsidR="00F645C1" w:rsidRPr="00F645C1" w:rsidRDefault="00F645C1" w:rsidP="00F645C1">
            <w:pPr>
              <w:keepNext/>
              <w:spacing w:before="40" w:after="40" w:line="240" w:lineRule="auto"/>
              <w:jc w:val="right"/>
              <w:rPr>
                <w:rFonts w:asciiTheme="majorHAnsi" w:eastAsia="Times New Roman" w:hAnsiTheme="majorHAnsi" w:cs="Arial"/>
                <w:color w:val="000000"/>
                <w:sz w:val="18"/>
                <w:szCs w:val="18"/>
              </w:rPr>
            </w:pPr>
            <w:r w:rsidRPr="00F645C1">
              <w:rPr>
                <w:rFonts w:asciiTheme="majorHAnsi" w:eastAsia="Times New Roman" w:hAnsiTheme="majorHAnsi" w:cs="Arial"/>
                <w:color w:val="000000"/>
                <w:sz w:val="18"/>
                <w:szCs w:val="18"/>
              </w:rPr>
              <w:t>−$85,964,588</w:t>
            </w:r>
          </w:p>
        </w:tc>
        <w:tc>
          <w:tcPr>
            <w:tcW w:w="1678" w:type="dxa"/>
            <w:shd w:val="clear" w:color="auto" w:fill="auto"/>
            <w:vAlign w:val="center"/>
            <w:hideMark/>
          </w:tcPr>
          <w:p w:rsidR="00F645C1" w:rsidRPr="00F645C1" w:rsidRDefault="00F645C1" w:rsidP="00F645C1">
            <w:pPr>
              <w:keepNext/>
              <w:spacing w:before="40" w:after="40" w:line="240" w:lineRule="auto"/>
              <w:jc w:val="right"/>
              <w:rPr>
                <w:rFonts w:asciiTheme="majorHAnsi" w:eastAsia="Times New Roman" w:hAnsiTheme="majorHAnsi" w:cs="Arial"/>
                <w:color w:val="000000"/>
                <w:sz w:val="18"/>
                <w:szCs w:val="18"/>
              </w:rPr>
            </w:pPr>
            <w:r w:rsidRPr="00F645C1">
              <w:rPr>
                <w:rFonts w:asciiTheme="majorHAnsi" w:eastAsia="Times New Roman" w:hAnsiTheme="majorHAnsi" w:cs="Arial"/>
                <w:color w:val="000000"/>
                <w:sz w:val="18"/>
                <w:szCs w:val="18"/>
              </w:rPr>
              <w:t>−$1,385,442</w:t>
            </w:r>
          </w:p>
        </w:tc>
        <w:tc>
          <w:tcPr>
            <w:tcW w:w="1679" w:type="dxa"/>
            <w:shd w:val="clear" w:color="auto" w:fill="auto"/>
            <w:vAlign w:val="center"/>
            <w:hideMark/>
          </w:tcPr>
          <w:p w:rsidR="00F645C1" w:rsidRPr="00F645C1" w:rsidRDefault="00F645C1" w:rsidP="00F645C1">
            <w:pPr>
              <w:keepNext/>
              <w:spacing w:before="40" w:after="40" w:line="240" w:lineRule="auto"/>
              <w:jc w:val="right"/>
              <w:rPr>
                <w:rFonts w:asciiTheme="majorHAnsi" w:eastAsia="Times New Roman" w:hAnsiTheme="majorHAnsi" w:cs="Arial"/>
                <w:color w:val="000000"/>
                <w:sz w:val="18"/>
                <w:szCs w:val="18"/>
              </w:rPr>
            </w:pPr>
            <w:r w:rsidRPr="00F645C1">
              <w:rPr>
                <w:rFonts w:asciiTheme="majorHAnsi" w:eastAsia="Times New Roman" w:hAnsiTheme="majorHAnsi" w:cs="Arial"/>
                <w:color w:val="000000"/>
                <w:sz w:val="18"/>
                <w:szCs w:val="18"/>
              </w:rPr>
              <w:t>−$87,350,030</w:t>
            </w:r>
          </w:p>
        </w:tc>
      </w:tr>
      <w:tr w:rsidR="00F645C1" w:rsidRPr="00F645C1" w:rsidTr="000409DB">
        <w:trPr>
          <w:trHeight w:val="270"/>
          <w:jc w:val="center"/>
        </w:trPr>
        <w:tc>
          <w:tcPr>
            <w:tcW w:w="1120" w:type="dxa"/>
            <w:shd w:val="clear" w:color="auto" w:fill="CCEAF9" w:themeFill="accent1" w:themeFillTint="33"/>
            <w:vAlign w:val="center"/>
            <w:hideMark/>
          </w:tcPr>
          <w:p w:rsidR="00F645C1" w:rsidRPr="00F645C1" w:rsidRDefault="00F645C1" w:rsidP="00F645C1">
            <w:pPr>
              <w:keepNext/>
              <w:spacing w:before="40" w:after="40" w:line="240" w:lineRule="auto"/>
              <w:jc w:val="center"/>
              <w:rPr>
                <w:rFonts w:asciiTheme="majorHAnsi" w:eastAsia="Times New Roman" w:hAnsiTheme="majorHAnsi" w:cs="Arial"/>
                <w:b/>
                <w:bCs/>
                <w:color w:val="000000"/>
                <w:sz w:val="18"/>
                <w:szCs w:val="18"/>
              </w:rPr>
            </w:pPr>
            <w:r w:rsidRPr="00F645C1">
              <w:rPr>
                <w:rFonts w:asciiTheme="majorHAnsi" w:eastAsia="Times New Roman" w:hAnsiTheme="majorHAnsi" w:cs="Arial"/>
                <w:b/>
                <w:bCs/>
                <w:color w:val="000000"/>
                <w:sz w:val="18"/>
                <w:szCs w:val="18"/>
              </w:rPr>
              <w:t>2004</w:t>
            </w:r>
          </w:p>
        </w:tc>
        <w:tc>
          <w:tcPr>
            <w:tcW w:w="1678" w:type="dxa"/>
            <w:shd w:val="clear" w:color="auto" w:fill="CCEAF9" w:themeFill="accent1" w:themeFillTint="33"/>
            <w:vAlign w:val="center"/>
            <w:hideMark/>
          </w:tcPr>
          <w:p w:rsidR="00F645C1" w:rsidRPr="00F645C1" w:rsidRDefault="00F645C1" w:rsidP="00F645C1">
            <w:pPr>
              <w:keepNext/>
              <w:spacing w:before="40" w:after="40" w:line="240" w:lineRule="auto"/>
              <w:jc w:val="right"/>
              <w:rPr>
                <w:rFonts w:asciiTheme="majorHAnsi" w:eastAsia="Times New Roman" w:hAnsiTheme="majorHAnsi" w:cs="Arial"/>
                <w:color w:val="000000"/>
                <w:sz w:val="18"/>
                <w:szCs w:val="18"/>
              </w:rPr>
            </w:pPr>
            <w:r w:rsidRPr="00F645C1">
              <w:rPr>
                <w:rFonts w:asciiTheme="majorHAnsi" w:eastAsia="Times New Roman" w:hAnsiTheme="majorHAnsi" w:cs="Arial"/>
                <w:color w:val="000000"/>
                <w:sz w:val="18"/>
                <w:szCs w:val="18"/>
              </w:rPr>
              <w:t>−$82,384,177</w:t>
            </w:r>
          </w:p>
        </w:tc>
        <w:tc>
          <w:tcPr>
            <w:tcW w:w="1678" w:type="dxa"/>
            <w:shd w:val="clear" w:color="auto" w:fill="CCEAF9" w:themeFill="accent1" w:themeFillTint="33"/>
            <w:vAlign w:val="center"/>
            <w:hideMark/>
          </w:tcPr>
          <w:p w:rsidR="00F645C1" w:rsidRPr="00F645C1" w:rsidRDefault="00F645C1" w:rsidP="00F645C1">
            <w:pPr>
              <w:keepNext/>
              <w:spacing w:before="40" w:after="40" w:line="240" w:lineRule="auto"/>
              <w:jc w:val="right"/>
              <w:rPr>
                <w:rFonts w:asciiTheme="majorHAnsi" w:eastAsia="Times New Roman" w:hAnsiTheme="majorHAnsi" w:cs="Arial"/>
                <w:color w:val="000000"/>
                <w:sz w:val="18"/>
                <w:szCs w:val="18"/>
              </w:rPr>
            </w:pPr>
            <w:r w:rsidRPr="00F645C1">
              <w:rPr>
                <w:rFonts w:asciiTheme="majorHAnsi" w:eastAsia="Times New Roman" w:hAnsiTheme="majorHAnsi" w:cs="Arial"/>
                <w:color w:val="000000"/>
                <w:sz w:val="18"/>
                <w:szCs w:val="18"/>
              </w:rPr>
              <w:t>$2,833,577</w:t>
            </w:r>
          </w:p>
        </w:tc>
        <w:tc>
          <w:tcPr>
            <w:tcW w:w="1679" w:type="dxa"/>
            <w:shd w:val="clear" w:color="auto" w:fill="CCEAF9" w:themeFill="accent1" w:themeFillTint="33"/>
            <w:vAlign w:val="center"/>
            <w:hideMark/>
          </w:tcPr>
          <w:p w:rsidR="00F645C1" w:rsidRPr="00F645C1" w:rsidRDefault="00F645C1" w:rsidP="00F645C1">
            <w:pPr>
              <w:keepNext/>
              <w:spacing w:before="40" w:after="40" w:line="240" w:lineRule="auto"/>
              <w:jc w:val="right"/>
              <w:rPr>
                <w:rFonts w:asciiTheme="majorHAnsi" w:eastAsia="Times New Roman" w:hAnsiTheme="majorHAnsi" w:cs="Arial"/>
                <w:color w:val="000000"/>
                <w:sz w:val="18"/>
                <w:szCs w:val="18"/>
              </w:rPr>
            </w:pPr>
            <w:r w:rsidRPr="00F645C1">
              <w:rPr>
                <w:rFonts w:asciiTheme="majorHAnsi" w:eastAsia="Times New Roman" w:hAnsiTheme="majorHAnsi" w:cs="Arial"/>
                <w:color w:val="000000"/>
                <w:sz w:val="18"/>
                <w:szCs w:val="18"/>
              </w:rPr>
              <w:t>−$79,550,600</w:t>
            </w:r>
          </w:p>
        </w:tc>
      </w:tr>
      <w:tr w:rsidR="00F645C1" w:rsidRPr="00F645C1" w:rsidTr="003021D4">
        <w:trPr>
          <w:trHeight w:val="270"/>
          <w:jc w:val="center"/>
        </w:trPr>
        <w:tc>
          <w:tcPr>
            <w:tcW w:w="1120" w:type="dxa"/>
            <w:shd w:val="clear" w:color="auto" w:fill="auto"/>
            <w:vAlign w:val="center"/>
            <w:hideMark/>
          </w:tcPr>
          <w:p w:rsidR="00F645C1" w:rsidRPr="00F645C1" w:rsidRDefault="00F645C1" w:rsidP="00F645C1">
            <w:pPr>
              <w:keepNext/>
              <w:spacing w:before="40" w:after="40" w:line="240" w:lineRule="auto"/>
              <w:jc w:val="center"/>
              <w:rPr>
                <w:rFonts w:asciiTheme="majorHAnsi" w:eastAsia="Times New Roman" w:hAnsiTheme="majorHAnsi" w:cs="Arial"/>
                <w:b/>
                <w:bCs/>
                <w:color w:val="000000"/>
                <w:sz w:val="18"/>
                <w:szCs w:val="18"/>
              </w:rPr>
            </w:pPr>
            <w:r w:rsidRPr="00F645C1">
              <w:rPr>
                <w:rFonts w:asciiTheme="majorHAnsi" w:eastAsia="Times New Roman" w:hAnsiTheme="majorHAnsi" w:cs="Arial"/>
                <w:b/>
                <w:bCs/>
                <w:color w:val="000000"/>
                <w:sz w:val="18"/>
                <w:szCs w:val="18"/>
              </w:rPr>
              <w:t>2005</w:t>
            </w:r>
          </w:p>
        </w:tc>
        <w:tc>
          <w:tcPr>
            <w:tcW w:w="1678" w:type="dxa"/>
            <w:shd w:val="clear" w:color="auto" w:fill="auto"/>
            <w:vAlign w:val="center"/>
            <w:hideMark/>
          </w:tcPr>
          <w:p w:rsidR="00F645C1" w:rsidRPr="00F645C1" w:rsidRDefault="00F645C1" w:rsidP="00F645C1">
            <w:pPr>
              <w:keepNext/>
              <w:spacing w:before="40" w:after="40" w:line="240" w:lineRule="auto"/>
              <w:jc w:val="right"/>
              <w:rPr>
                <w:rFonts w:asciiTheme="majorHAnsi" w:eastAsia="Times New Roman" w:hAnsiTheme="majorHAnsi" w:cs="Arial"/>
                <w:color w:val="000000"/>
                <w:sz w:val="18"/>
                <w:szCs w:val="18"/>
              </w:rPr>
            </w:pPr>
            <w:r w:rsidRPr="00F645C1">
              <w:rPr>
                <w:rFonts w:asciiTheme="majorHAnsi" w:eastAsia="Times New Roman" w:hAnsiTheme="majorHAnsi" w:cs="Arial"/>
                <w:color w:val="000000"/>
                <w:sz w:val="18"/>
                <w:szCs w:val="18"/>
              </w:rPr>
              <w:t>−$273,449,871</w:t>
            </w:r>
          </w:p>
        </w:tc>
        <w:tc>
          <w:tcPr>
            <w:tcW w:w="1678" w:type="dxa"/>
            <w:shd w:val="clear" w:color="auto" w:fill="auto"/>
            <w:vAlign w:val="center"/>
            <w:hideMark/>
          </w:tcPr>
          <w:p w:rsidR="00F645C1" w:rsidRPr="00F645C1" w:rsidRDefault="00F645C1" w:rsidP="00F645C1">
            <w:pPr>
              <w:keepNext/>
              <w:spacing w:before="40" w:after="40" w:line="240" w:lineRule="auto"/>
              <w:jc w:val="right"/>
              <w:rPr>
                <w:rFonts w:asciiTheme="majorHAnsi" w:eastAsia="Times New Roman" w:hAnsiTheme="majorHAnsi" w:cs="Arial"/>
                <w:color w:val="000000"/>
                <w:sz w:val="18"/>
                <w:szCs w:val="18"/>
              </w:rPr>
            </w:pPr>
            <w:r w:rsidRPr="00F645C1">
              <w:rPr>
                <w:rFonts w:asciiTheme="majorHAnsi" w:eastAsia="Times New Roman" w:hAnsiTheme="majorHAnsi" w:cs="Arial"/>
                <w:color w:val="000000"/>
                <w:sz w:val="18"/>
                <w:szCs w:val="18"/>
              </w:rPr>
              <w:t>$6,814,010</w:t>
            </w:r>
          </w:p>
        </w:tc>
        <w:tc>
          <w:tcPr>
            <w:tcW w:w="1679" w:type="dxa"/>
            <w:shd w:val="clear" w:color="auto" w:fill="auto"/>
            <w:vAlign w:val="center"/>
            <w:hideMark/>
          </w:tcPr>
          <w:p w:rsidR="00F645C1" w:rsidRPr="00F645C1" w:rsidRDefault="00F645C1" w:rsidP="00F645C1">
            <w:pPr>
              <w:keepNext/>
              <w:spacing w:before="40" w:after="40" w:line="240" w:lineRule="auto"/>
              <w:jc w:val="right"/>
              <w:rPr>
                <w:rFonts w:asciiTheme="majorHAnsi" w:eastAsia="Times New Roman" w:hAnsiTheme="majorHAnsi" w:cs="Arial"/>
                <w:color w:val="000000"/>
                <w:sz w:val="18"/>
                <w:szCs w:val="18"/>
              </w:rPr>
            </w:pPr>
            <w:r w:rsidRPr="00F645C1">
              <w:rPr>
                <w:rFonts w:asciiTheme="majorHAnsi" w:eastAsia="Times New Roman" w:hAnsiTheme="majorHAnsi" w:cs="Arial"/>
                <w:color w:val="000000"/>
                <w:sz w:val="18"/>
                <w:szCs w:val="18"/>
              </w:rPr>
              <w:t>−$266,635,861</w:t>
            </w:r>
          </w:p>
        </w:tc>
      </w:tr>
      <w:tr w:rsidR="00F645C1" w:rsidRPr="00F645C1" w:rsidTr="000409DB">
        <w:trPr>
          <w:trHeight w:val="270"/>
          <w:jc w:val="center"/>
        </w:trPr>
        <w:tc>
          <w:tcPr>
            <w:tcW w:w="1120" w:type="dxa"/>
            <w:shd w:val="clear" w:color="auto" w:fill="CCEAF9" w:themeFill="accent1" w:themeFillTint="33"/>
            <w:vAlign w:val="center"/>
            <w:hideMark/>
          </w:tcPr>
          <w:p w:rsidR="00F645C1" w:rsidRPr="00F645C1" w:rsidRDefault="00F645C1" w:rsidP="00F645C1">
            <w:pPr>
              <w:keepNext/>
              <w:spacing w:before="40" w:after="40" w:line="240" w:lineRule="auto"/>
              <w:jc w:val="center"/>
              <w:rPr>
                <w:rFonts w:asciiTheme="majorHAnsi" w:eastAsia="Times New Roman" w:hAnsiTheme="majorHAnsi" w:cs="Arial"/>
                <w:b/>
                <w:bCs/>
                <w:color w:val="000000"/>
                <w:sz w:val="18"/>
                <w:szCs w:val="18"/>
              </w:rPr>
            </w:pPr>
            <w:r w:rsidRPr="00F645C1">
              <w:rPr>
                <w:rFonts w:asciiTheme="majorHAnsi" w:eastAsia="Times New Roman" w:hAnsiTheme="majorHAnsi" w:cs="Arial"/>
                <w:b/>
                <w:bCs/>
                <w:color w:val="000000"/>
                <w:sz w:val="18"/>
                <w:szCs w:val="18"/>
              </w:rPr>
              <w:t>2006</w:t>
            </w:r>
          </w:p>
        </w:tc>
        <w:tc>
          <w:tcPr>
            <w:tcW w:w="1678" w:type="dxa"/>
            <w:shd w:val="clear" w:color="auto" w:fill="CCEAF9" w:themeFill="accent1" w:themeFillTint="33"/>
            <w:vAlign w:val="center"/>
            <w:hideMark/>
          </w:tcPr>
          <w:p w:rsidR="00F645C1" w:rsidRPr="00F645C1" w:rsidRDefault="00F645C1" w:rsidP="00F645C1">
            <w:pPr>
              <w:keepNext/>
              <w:spacing w:before="40" w:after="40" w:line="240" w:lineRule="auto"/>
              <w:jc w:val="right"/>
              <w:rPr>
                <w:rFonts w:asciiTheme="majorHAnsi" w:eastAsia="Times New Roman" w:hAnsiTheme="majorHAnsi" w:cs="Arial"/>
                <w:color w:val="000000"/>
                <w:sz w:val="18"/>
                <w:szCs w:val="18"/>
              </w:rPr>
            </w:pPr>
            <w:r w:rsidRPr="00F645C1">
              <w:rPr>
                <w:rFonts w:asciiTheme="majorHAnsi" w:eastAsia="Times New Roman" w:hAnsiTheme="majorHAnsi" w:cs="Arial"/>
                <w:color w:val="000000"/>
                <w:sz w:val="18"/>
                <w:szCs w:val="18"/>
              </w:rPr>
              <w:t>−$192,419,271</w:t>
            </w:r>
          </w:p>
        </w:tc>
        <w:tc>
          <w:tcPr>
            <w:tcW w:w="1678" w:type="dxa"/>
            <w:shd w:val="clear" w:color="auto" w:fill="CCEAF9" w:themeFill="accent1" w:themeFillTint="33"/>
            <w:vAlign w:val="center"/>
            <w:hideMark/>
          </w:tcPr>
          <w:p w:rsidR="00F645C1" w:rsidRPr="00F645C1" w:rsidRDefault="00F645C1" w:rsidP="00F645C1">
            <w:pPr>
              <w:keepNext/>
              <w:spacing w:before="40" w:after="40" w:line="240" w:lineRule="auto"/>
              <w:jc w:val="right"/>
              <w:rPr>
                <w:rFonts w:asciiTheme="majorHAnsi" w:eastAsia="Times New Roman" w:hAnsiTheme="majorHAnsi" w:cs="Arial"/>
                <w:color w:val="000000"/>
                <w:sz w:val="18"/>
                <w:szCs w:val="18"/>
              </w:rPr>
            </w:pPr>
            <w:r w:rsidRPr="00F645C1">
              <w:rPr>
                <w:rFonts w:asciiTheme="majorHAnsi" w:eastAsia="Times New Roman" w:hAnsiTheme="majorHAnsi" w:cs="Arial"/>
                <w:color w:val="000000"/>
                <w:sz w:val="18"/>
                <w:szCs w:val="18"/>
              </w:rPr>
              <w:t>$12,683,233</w:t>
            </w:r>
          </w:p>
        </w:tc>
        <w:tc>
          <w:tcPr>
            <w:tcW w:w="1679" w:type="dxa"/>
            <w:shd w:val="clear" w:color="auto" w:fill="CCEAF9" w:themeFill="accent1" w:themeFillTint="33"/>
            <w:vAlign w:val="center"/>
            <w:hideMark/>
          </w:tcPr>
          <w:p w:rsidR="00F645C1" w:rsidRPr="00F645C1" w:rsidRDefault="00F645C1" w:rsidP="00F645C1">
            <w:pPr>
              <w:keepNext/>
              <w:spacing w:before="40" w:after="40" w:line="240" w:lineRule="auto"/>
              <w:jc w:val="right"/>
              <w:rPr>
                <w:rFonts w:asciiTheme="majorHAnsi" w:eastAsia="Times New Roman" w:hAnsiTheme="majorHAnsi" w:cs="Arial"/>
                <w:color w:val="000000"/>
                <w:sz w:val="18"/>
                <w:szCs w:val="18"/>
              </w:rPr>
            </w:pPr>
            <w:r w:rsidRPr="00F645C1">
              <w:rPr>
                <w:rFonts w:asciiTheme="majorHAnsi" w:eastAsia="Times New Roman" w:hAnsiTheme="majorHAnsi" w:cs="Arial"/>
                <w:color w:val="000000"/>
                <w:sz w:val="18"/>
                <w:szCs w:val="18"/>
              </w:rPr>
              <w:t>−$179,736,038</w:t>
            </w:r>
          </w:p>
        </w:tc>
      </w:tr>
      <w:tr w:rsidR="00F645C1" w:rsidRPr="00F645C1" w:rsidTr="003021D4">
        <w:trPr>
          <w:trHeight w:val="270"/>
          <w:jc w:val="center"/>
        </w:trPr>
        <w:tc>
          <w:tcPr>
            <w:tcW w:w="1120" w:type="dxa"/>
            <w:shd w:val="clear" w:color="auto" w:fill="auto"/>
            <w:vAlign w:val="center"/>
            <w:hideMark/>
          </w:tcPr>
          <w:p w:rsidR="00F645C1" w:rsidRPr="00F645C1" w:rsidRDefault="00F645C1" w:rsidP="00F645C1">
            <w:pPr>
              <w:keepNext/>
              <w:spacing w:before="40" w:after="40" w:line="240" w:lineRule="auto"/>
              <w:jc w:val="center"/>
              <w:rPr>
                <w:rFonts w:asciiTheme="majorHAnsi" w:eastAsia="Times New Roman" w:hAnsiTheme="majorHAnsi" w:cs="Arial"/>
                <w:b/>
                <w:bCs/>
                <w:color w:val="000000"/>
                <w:sz w:val="18"/>
                <w:szCs w:val="18"/>
              </w:rPr>
            </w:pPr>
            <w:r w:rsidRPr="00F645C1">
              <w:rPr>
                <w:rFonts w:asciiTheme="majorHAnsi" w:eastAsia="Times New Roman" w:hAnsiTheme="majorHAnsi" w:cs="Arial"/>
                <w:b/>
                <w:bCs/>
                <w:color w:val="000000"/>
                <w:sz w:val="18"/>
                <w:szCs w:val="18"/>
              </w:rPr>
              <w:t>2007</w:t>
            </w:r>
          </w:p>
        </w:tc>
        <w:tc>
          <w:tcPr>
            <w:tcW w:w="1678" w:type="dxa"/>
            <w:shd w:val="clear" w:color="auto" w:fill="auto"/>
            <w:vAlign w:val="center"/>
            <w:hideMark/>
          </w:tcPr>
          <w:p w:rsidR="00F645C1" w:rsidRPr="00F645C1" w:rsidRDefault="00F645C1" w:rsidP="00F645C1">
            <w:pPr>
              <w:keepNext/>
              <w:spacing w:before="40" w:after="40" w:line="240" w:lineRule="auto"/>
              <w:jc w:val="right"/>
              <w:rPr>
                <w:rFonts w:asciiTheme="majorHAnsi" w:eastAsia="Times New Roman" w:hAnsiTheme="majorHAnsi" w:cs="Arial"/>
                <w:color w:val="000000"/>
                <w:sz w:val="18"/>
                <w:szCs w:val="18"/>
              </w:rPr>
            </w:pPr>
            <w:r w:rsidRPr="00F645C1">
              <w:rPr>
                <w:rFonts w:asciiTheme="majorHAnsi" w:eastAsia="Times New Roman" w:hAnsiTheme="majorHAnsi" w:cs="Arial"/>
                <w:color w:val="000000"/>
                <w:sz w:val="18"/>
                <w:szCs w:val="18"/>
              </w:rPr>
              <w:t>−$130,145,862</w:t>
            </w:r>
          </w:p>
        </w:tc>
        <w:tc>
          <w:tcPr>
            <w:tcW w:w="1678" w:type="dxa"/>
            <w:shd w:val="clear" w:color="auto" w:fill="auto"/>
            <w:vAlign w:val="center"/>
            <w:hideMark/>
          </w:tcPr>
          <w:p w:rsidR="00F645C1" w:rsidRPr="00F645C1" w:rsidRDefault="00F645C1" w:rsidP="00F645C1">
            <w:pPr>
              <w:keepNext/>
              <w:spacing w:before="40" w:after="40" w:line="240" w:lineRule="auto"/>
              <w:jc w:val="right"/>
              <w:rPr>
                <w:rFonts w:asciiTheme="majorHAnsi" w:eastAsia="Times New Roman" w:hAnsiTheme="majorHAnsi" w:cs="Arial"/>
                <w:color w:val="000000"/>
                <w:sz w:val="18"/>
                <w:szCs w:val="18"/>
              </w:rPr>
            </w:pPr>
            <w:r w:rsidRPr="00F645C1">
              <w:rPr>
                <w:rFonts w:asciiTheme="majorHAnsi" w:eastAsia="Times New Roman" w:hAnsiTheme="majorHAnsi" w:cs="Arial"/>
                <w:color w:val="000000"/>
                <w:sz w:val="18"/>
                <w:szCs w:val="18"/>
              </w:rPr>
              <w:t>$17,721,136</w:t>
            </w:r>
          </w:p>
        </w:tc>
        <w:tc>
          <w:tcPr>
            <w:tcW w:w="1679" w:type="dxa"/>
            <w:shd w:val="clear" w:color="auto" w:fill="auto"/>
            <w:vAlign w:val="center"/>
            <w:hideMark/>
          </w:tcPr>
          <w:p w:rsidR="00F645C1" w:rsidRPr="00F645C1" w:rsidRDefault="00F645C1" w:rsidP="00F645C1">
            <w:pPr>
              <w:keepNext/>
              <w:spacing w:before="40" w:after="40" w:line="240" w:lineRule="auto"/>
              <w:jc w:val="right"/>
              <w:rPr>
                <w:rFonts w:asciiTheme="majorHAnsi" w:eastAsia="Times New Roman" w:hAnsiTheme="majorHAnsi" w:cs="Arial"/>
                <w:color w:val="000000"/>
                <w:sz w:val="18"/>
                <w:szCs w:val="18"/>
              </w:rPr>
            </w:pPr>
            <w:r w:rsidRPr="00F645C1">
              <w:rPr>
                <w:rFonts w:asciiTheme="majorHAnsi" w:eastAsia="Times New Roman" w:hAnsiTheme="majorHAnsi" w:cs="Arial"/>
                <w:color w:val="000000"/>
                <w:sz w:val="18"/>
                <w:szCs w:val="18"/>
              </w:rPr>
              <w:t>−$112,424,726</w:t>
            </w:r>
          </w:p>
        </w:tc>
      </w:tr>
      <w:tr w:rsidR="00F645C1" w:rsidRPr="00F645C1" w:rsidTr="000409DB">
        <w:trPr>
          <w:trHeight w:val="270"/>
          <w:jc w:val="center"/>
        </w:trPr>
        <w:tc>
          <w:tcPr>
            <w:tcW w:w="1120" w:type="dxa"/>
            <w:shd w:val="clear" w:color="auto" w:fill="CCEAF9" w:themeFill="accent1" w:themeFillTint="33"/>
            <w:vAlign w:val="center"/>
            <w:hideMark/>
          </w:tcPr>
          <w:p w:rsidR="00F645C1" w:rsidRPr="00F645C1" w:rsidRDefault="00F645C1" w:rsidP="00F645C1">
            <w:pPr>
              <w:keepNext/>
              <w:spacing w:before="40" w:after="40" w:line="240" w:lineRule="auto"/>
              <w:jc w:val="center"/>
              <w:rPr>
                <w:rFonts w:asciiTheme="majorHAnsi" w:eastAsia="Times New Roman" w:hAnsiTheme="majorHAnsi" w:cs="Arial"/>
                <w:b/>
                <w:bCs/>
                <w:color w:val="000000"/>
                <w:sz w:val="18"/>
                <w:szCs w:val="18"/>
              </w:rPr>
            </w:pPr>
            <w:r w:rsidRPr="00F645C1">
              <w:rPr>
                <w:rFonts w:asciiTheme="majorHAnsi" w:eastAsia="Times New Roman" w:hAnsiTheme="majorHAnsi" w:cs="Arial"/>
                <w:b/>
                <w:bCs/>
                <w:color w:val="000000"/>
                <w:sz w:val="18"/>
                <w:szCs w:val="18"/>
              </w:rPr>
              <w:t>2008</w:t>
            </w:r>
          </w:p>
        </w:tc>
        <w:tc>
          <w:tcPr>
            <w:tcW w:w="1678" w:type="dxa"/>
            <w:shd w:val="clear" w:color="auto" w:fill="CCEAF9" w:themeFill="accent1" w:themeFillTint="33"/>
            <w:vAlign w:val="center"/>
            <w:hideMark/>
          </w:tcPr>
          <w:p w:rsidR="00F645C1" w:rsidRPr="00F645C1" w:rsidRDefault="00F645C1" w:rsidP="00F645C1">
            <w:pPr>
              <w:keepNext/>
              <w:spacing w:before="40" w:after="40" w:line="240" w:lineRule="auto"/>
              <w:jc w:val="right"/>
              <w:rPr>
                <w:rFonts w:asciiTheme="majorHAnsi" w:eastAsia="Times New Roman" w:hAnsiTheme="majorHAnsi" w:cs="Arial"/>
                <w:color w:val="000000"/>
                <w:sz w:val="18"/>
                <w:szCs w:val="18"/>
              </w:rPr>
            </w:pPr>
            <w:r w:rsidRPr="00F645C1">
              <w:rPr>
                <w:rFonts w:asciiTheme="majorHAnsi" w:eastAsia="Times New Roman" w:hAnsiTheme="majorHAnsi" w:cs="Arial"/>
                <w:color w:val="000000"/>
                <w:sz w:val="18"/>
                <w:szCs w:val="18"/>
              </w:rPr>
              <w:t>−$125,358,187</w:t>
            </w:r>
          </w:p>
        </w:tc>
        <w:tc>
          <w:tcPr>
            <w:tcW w:w="1678" w:type="dxa"/>
            <w:shd w:val="clear" w:color="auto" w:fill="CCEAF9" w:themeFill="accent1" w:themeFillTint="33"/>
            <w:vAlign w:val="center"/>
            <w:hideMark/>
          </w:tcPr>
          <w:p w:rsidR="00F645C1" w:rsidRPr="00F645C1" w:rsidRDefault="00F645C1" w:rsidP="00F645C1">
            <w:pPr>
              <w:keepNext/>
              <w:spacing w:before="40" w:after="40" w:line="240" w:lineRule="auto"/>
              <w:jc w:val="right"/>
              <w:rPr>
                <w:rFonts w:asciiTheme="majorHAnsi" w:eastAsia="Times New Roman" w:hAnsiTheme="majorHAnsi" w:cs="Arial"/>
                <w:color w:val="000000"/>
                <w:sz w:val="18"/>
                <w:szCs w:val="18"/>
              </w:rPr>
            </w:pPr>
            <w:r w:rsidRPr="00F645C1">
              <w:rPr>
                <w:rFonts w:asciiTheme="majorHAnsi" w:eastAsia="Times New Roman" w:hAnsiTheme="majorHAnsi" w:cs="Arial"/>
                <w:color w:val="000000"/>
                <w:sz w:val="18"/>
                <w:szCs w:val="18"/>
              </w:rPr>
              <w:t>$4,295,716</w:t>
            </w:r>
          </w:p>
        </w:tc>
        <w:tc>
          <w:tcPr>
            <w:tcW w:w="1679" w:type="dxa"/>
            <w:shd w:val="clear" w:color="auto" w:fill="CCEAF9" w:themeFill="accent1" w:themeFillTint="33"/>
            <w:vAlign w:val="center"/>
            <w:hideMark/>
          </w:tcPr>
          <w:p w:rsidR="00F645C1" w:rsidRPr="00F645C1" w:rsidRDefault="00F645C1" w:rsidP="00F645C1">
            <w:pPr>
              <w:keepNext/>
              <w:spacing w:before="40" w:after="40" w:line="240" w:lineRule="auto"/>
              <w:jc w:val="right"/>
              <w:rPr>
                <w:rFonts w:asciiTheme="majorHAnsi" w:eastAsia="Times New Roman" w:hAnsiTheme="majorHAnsi" w:cs="Arial"/>
                <w:color w:val="000000"/>
                <w:sz w:val="18"/>
                <w:szCs w:val="18"/>
              </w:rPr>
            </w:pPr>
            <w:r w:rsidRPr="00F645C1">
              <w:rPr>
                <w:rFonts w:asciiTheme="majorHAnsi" w:eastAsia="Times New Roman" w:hAnsiTheme="majorHAnsi" w:cs="Arial"/>
                <w:color w:val="000000"/>
                <w:sz w:val="18"/>
                <w:szCs w:val="18"/>
              </w:rPr>
              <w:t>−$121,062,471</w:t>
            </w:r>
          </w:p>
        </w:tc>
      </w:tr>
      <w:tr w:rsidR="00F645C1" w:rsidRPr="00F645C1" w:rsidTr="003021D4">
        <w:trPr>
          <w:trHeight w:val="270"/>
          <w:jc w:val="center"/>
        </w:trPr>
        <w:tc>
          <w:tcPr>
            <w:tcW w:w="1120" w:type="dxa"/>
            <w:shd w:val="clear" w:color="auto" w:fill="auto"/>
            <w:vAlign w:val="center"/>
            <w:hideMark/>
          </w:tcPr>
          <w:p w:rsidR="00F645C1" w:rsidRPr="00F645C1" w:rsidRDefault="00F645C1" w:rsidP="00F645C1">
            <w:pPr>
              <w:keepNext/>
              <w:spacing w:before="40" w:after="40" w:line="240" w:lineRule="auto"/>
              <w:jc w:val="center"/>
              <w:rPr>
                <w:rFonts w:asciiTheme="majorHAnsi" w:eastAsia="Times New Roman" w:hAnsiTheme="majorHAnsi" w:cs="Arial"/>
                <w:b/>
                <w:bCs/>
                <w:color w:val="000000"/>
                <w:sz w:val="18"/>
                <w:szCs w:val="18"/>
              </w:rPr>
            </w:pPr>
            <w:r w:rsidRPr="00F645C1">
              <w:rPr>
                <w:rFonts w:asciiTheme="majorHAnsi" w:eastAsia="Times New Roman" w:hAnsiTheme="majorHAnsi" w:cs="Arial"/>
                <w:b/>
                <w:bCs/>
                <w:color w:val="000000"/>
                <w:sz w:val="18"/>
                <w:szCs w:val="18"/>
              </w:rPr>
              <w:t>2009</w:t>
            </w:r>
          </w:p>
        </w:tc>
        <w:tc>
          <w:tcPr>
            <w:tcW w:w="1678" w:type="dxa"/>
            <w:shd w:val="clear" w:color="auto" w:fill="auto"/>
            <w:vAlign w:val="center"/>
            <w:hideMark/>
          </w:tcPr>
          <w:p w:rsidR="00F645C1" w:rsidRPr="00F645C1" w:rsidRDefault="00F645C1" w:rsidP="00F645C1">
            <w:pPr>
              <w:keepNext/>
              <w:spacing w:before="40" w:after="40" w:line="240" w:lineRule="auto"/>
              <w:jc w:val="right"/>
              <w:rPr>
                <w:rFonts w:asciiTheme="majorHAnsi" w:eastAsia="Times New Roman" w:hAnsiTheme="majorHAnsi" w:cs="Arial"/>
                <w:color w:val="000000"/>
                <w:sz w:val="18"/>
                <w:szCs w:val="18"/>
              </w:rPr>
            </w:pPr>
            <w:r w:rsidRPr="00F645C1">
              <w:rPr>
                <w:rFonts w:asciiTheme="majorHAnsi" w:eastAsia="Times New Roman" w:hAnsiTheme="majorHAnsi" w:cs="Arial"/>
                <w:color w:val="000000"/>
                <w:sz w:val="18"/>
                <w:szCs w:val="18"/>
              </w:rPr>
              <w:t>−$26,681,125</w:t>
            </w:r>
          </w:p>
        </w:tc>
        <w:tc>
          <w:tcPr>
            <w:tcW w:w="1678" w:type="dxa"/>
            <w:shd w:val="clear" w:color="auto" w:fill="auto"/>
            <w:vAlign w:val="center"/>
            <w:hideMark/>
          </w:tcPr>
          <w:p w:rsidR="00F645C1" w:rsidRPr="00F645C1" w:rsidRDefault="00F645C1" w:rsidP="00F645C1">
            <w:pPr>
              <w:keepNext/>
              <w:spacing w:before="40" w:after="40" w:line="240" w:lineRule="auto"/>
              <w:jc w:val="right"/>
              <w:rPr>
                <w:rFonts w:asciiTheme="majorHAnsi" w:eastAsia="Times New Roman" w:hAnsiTheme="majorHAnsi" w:cs="Arial"/>
                <w:color w:val="000000"/>
                <w:sz w:val="18"/>
                <w:szCs w:val="18"/>
              </w:rPr>
            </w:pPr>
            <w:r w:rsidRPr="00F645C1">
              <w:rPr>
                <w:rFonts w:asciiTheme="majorHAnsi" w:eastAsia="Times New Roman" w:hAnsiTheme="majorHAnsi" w:cs="Arial"/>
                <w:color w:val="000000"/>
                <w:sz w:val="18"/>
                <w:szCs w:val="18"/>
              </w:rPr>
              <w:t>$1,593,273</w:t>
            </w:r>
          </w:p>
        </w:tc>
        <w:tc>
          <w:tcPr>
            <w:tcW w:w="1679" w:type="dxa"/>
            <w:shd w:val="clear" w:color="auto" w:fill="auto"/>
            <w:vAlign w:val="center"/>
            <w:hideMark/>
          </w:tcPr>
          <w:p w:rsidR="00F645C1" w:rsidRPr="00F645C1" w:rsidRDefault="00F645C1" w:rsidP="00F645C1">
            <w:pPr>
              <w:keepNext/>
              <w:spacing w:before="40" w:after="40" w:line="240" w:lineRule="auto"/>
              <w:jc w:val="right"/>
              <w:rPr>
                <w:rFonts w:asciiTheme="majorHAnsi" w:eastAsia="Times New Roman" w:hAnsiTheme="majorHAnsi" w:cs="Arial"/>
                <w:color w:val="000000"/>
                <w:sz w:val="18"/>
                <w:szCs w:val="18"/>
              </w:rPr>
            </w:pPr>
            <w:r w:rsidRPr="00F645C1">
              <w:rPr>
                <w:rFonts w:asciiTheme="majorHAnsi" w:eastAsia="Times New Roman" w:hAnsiTheme="majorHAnsi" w:cs="Arial"/>
                <w:color w:val="000000"/>
                <w:sz w:val="18"/>
                <w:szCs w:val="18"/>
              </w:rPr>
              <w:t>−$25,087,852</w:t>
            </w:r>
          </w:p>
        </w:tc>
      </w:tr>
      <w:tr w:rsidR="00F645C1" w:rsidRPr="00F645C1" w:rsidTr="000409DB">
        <w:trPr>
          <w:trHeight w:val="270"/>
          <w:jc w:val="center"/>
        </w:trPr>
        <w:tc>
          <w:tcPr>
            <w:tcW w:w="1120" w:type="dxa"/>
            <w:shd w:val="clear" w:color="auto" w:fill="CCEAF9" w:themeFill="accent1" w:themeFillTint="33"/>
            <w:vAlign w:val="center"/>
            <w:hideMark/>
          </w:tcPr>
          <w:p w:rsidR="00F645C1" w:rsidRPr="00F645C1" w:rsidRDefault="00F645C1" w:rsidP="00F645C1">
            <w:pPr>
              <w:keepNext/>
              <w:spacing w:before="40" w:after="40" w:line="240" w:lineRule="auto"/>
              <w:jc w:val="center"/>
              <w:rPr>
                <w:rFonts w:asciiTheme="majorHAnsi" w:eastAsia="Times New Roman" w:hAnsiTheme="majorHAnsi" w:cs="Arial"/>
                <w:b/>
                <w:bCs/>
                <w:color w:val="000000"/>
                <w:sz w:val="18"/>
                <w:szCs w:val="18"/>
              </w:rPr>
            </w:pPr>
            <w:r w:rsidRPr="00F645C1">
              <w:rPr>
                <w:rFonts w:asciiTheme="majorHAnsi" w:eastAsia="Times New Roman" w:hAnsiTheme="majorHAnsi" w:cs="Arial"/>
                <w:b/>
                <w:bCs/>
                <w:color w:val="000000"/>
                <w:sz w:val="18"/>
                <w:szCs w:val="18"/>
              </w:rPr>
              <w:t>2010</w:t>
            </w:r>
          </w:p>
        </w:tc>
        <w:tc>
          <w:tcPr>
            <w:tcW w:w="1678" w:type="dxa"/>
            <w:shd w:val="clear" w:color="auto" w:fill="CCEAF9" w:themeFill="accent1" w:themeFillTint="33"/>
            <w:vAlign w:val="center"/>
            <w:hideMark/>
          </w:tcPr>
          <w:p w:rsidR="00F645C1" w:rsidRPr="00F645C1" w:rsidRDefault="00F645C1" w:rsidP="00F645C1">
            <w:pPr>
              <w:keepNext/>
              <w:spacing w:before="40" w:after="40" w:line="240" w:lineRule="auto"/>
              <w:jc w:val="right"/>
              <w:rPr>
                <w:rFonts w:asciiTheme="majorHAnsi" w:eastAsia="Times New Roman" w:hAnsiTheme="majorHAnsi" w:cs="Arial"/>
                <w:color w:val="000000"/>
                <w:sz w:val="18"/>
                <w:szCs w:val="18"/>
              </w:rPr>
            </w:pPr>
            <w:r w:rsidRPr="00F645C1">
              <w:rPr>
                <w:rFonts w:asciiTheme="majorHAnsi" w:eastAsia="Times New Roman" w:hAnsiTheme="majorHAnsi" w:cs="Arial"/>
                <w:color w:val="000000"/>
                <w:sz w:val="18"/>
                <w:szCs w:val="18"/>
              </w:rPr>
              <w:t>−$37,321,849</w:t>
            </w:r>
          </w:p>
        </w:tc>
        <w:tc>
          <w:tcPr>
            <w:tcW w:w="1678" w:type="dxa"/>
            <w:shd w:val="clear" w:color="auto" w:fill="CCEAF9" w:themeFill="accent1" w:themeFillTint="33"/>
            <w:vAlign w:val="center"/>
            <w:hideMark/>
          </w:tcPr>
          <w:p w:rsidR="00F645C1" w:rsidRPr="00F645C1" w:rsidRDefault="00F645C1" w:rsidP="00F645C1">
            <w:pPr>
              <w:keepNext/>
              <w:spacing w:before="40" w:after="40" w:line="240" w:lineRule="auto"/>
              <w:jc w:val="right"/>
              <w:rPr>
                <w:rFonts w:asciiTheme="majorHAnsi" w:eastAsia="Times New Roman" w:hAnsiTheme="majorHAnsi" w:cs="Arial"/>
                <w:color w:val="000000"/>
                <w:sz w:val="18"/>
                <w:szCs w:val="18"/>
              </w:rPr>
            </w:pPr>
            <w:r w:rsidRPr="00F645C1">
              <w:rPr>
                <w:rFonts w:asciiTheme="majorHAnsi" w:eastAsia="Times New Roman" w:hAnsiTheme="majorHAnsi" w:cs="Arial"/>
                <w:color w:val="000000"/>
                <w:sz w:val="18"/>
                <w:szCs w:val="18"/>
              </w:rPr>
              <w:t>−$622,287</w:t>
            </w:r>
          </w:p>
        </w:tc>
        <w:tc>
          <w:tcPr>
            <w:tcW w:w="1679" w:type="dxa"/>
            <w:shd w:val="clear" w:color="auto" w:fill="CCEAF9" w:themeFill="accent1" w:themeFillTint="33"/>
            <w:vAlign w:val="center"/>
            <w:hideMark/>
          </w:tcPr>
          <w:p w:rsidR="00F645C1" w:rsidRPr="00F645C1" w:rsidRDefault="00F645C1" w:rsidP="00F645C1">
            <w:pPr>
              <w:keepNext/>
              <w:spacing w:before="40" w:after="40" w:line="240" w:lineRule="auto"/>
              <w:jc w:val="right"/>
              <w:rPr>
                <w:rFonts w:asciiTheme="majorHAnsi" w:eastAsia="Times New Roman" w:hAnsiTheme="majorHAnsi" w:cs="Arial"/>
                <w:color w:val="000000"/>
                <w:sz w:val="18"/>
                <w:szCs w:val="18"/>
              </w:rPr>
            </w:pPr>
            <w:r w:rsidRPr="00F645C1">
              <w:rPr>
                <w:rFonts w:asciiTheme="majorHAnsi" w:eastAsia="Times New Roman" w:hAnsiTheme="majorHAnsi" w:cs="Arial"/>
                <w:color w:val="000000"/>
                <w:sz w:val="18"/>
                <w:szCs w:val="18"/>
              </w:rPr>
              <w:t>−$37,944,136</w:t>
            </w:r>
          </w:p>
        </w:tc>
      </w:tr>
      <w:tr w:rsidR="00F645C1" w:rsidRPr="00F645C1" w:rsidTr="003021D4">
        <w:trPr>
          <w:trHeight w:val="270"/>
          <w:jc w:val="center"/>
        </w:trPr>
        <w:tc>
          <w:tcPr>
            <w:tcW w:w="1120" w:type="dxa"/>
            <w:shd w:val="clear" w:color="auto" w:fill="auto"/>
            <w:vAlign w:val="center"/>
            <w:hideMark/>
          </w:tcPr>
          <w:p w:rsidR="00F645C1" w:rsidRPr="00F645C1" w:rsidRDefault="00F645C1" w:rsidP="00F645C1">
            <w:pPr>
              <w:keepNext/>
              <w:spacing w:before="40" w:after="40" w:line="240" w:lineRule="auto"/>
              <w:jc w:val="center"/>
              <w:rPr>
                <w:rFonts w:asciiTheme="majorHAnsi" w:eastAsia="Times New Roman" w:hAnsiTheme="majorHAnsi" w:cs="Arial"/>
                <w:b/>
                <w:bCs/>
                <w:color w:val="000000"/>
                <w:sz w:val="18"/>
                <w:szCs w:val="18"/>
              </w:rPr>
            </w:pPr>
            <w:r w:rsidRPr="00F645C1">
              <w:rPr>
                <w:rFonts w:asciiTheme="majorHAnsi" w:eastAsia="Times New Roman" w:hAnsiTheme="majorHAnsi" w:cs="Arial"/>
                <w:b/>
                <w:bCs/>
                <w:color w:val="000000"/>
                <w:sz w:val="18"/>
                <w:szCs w:val="18"/>
              </w:rPr>
              <w:t>2011</w:t>
            </w:r>
          </w:p>
        </w:tc>
        <w:tc>
          <w:tcPr>
            <w:tcW w:w="1678" w:type="dxa"/>
            <w:shd w:val="clear" w:color="auto" w:fill="auto"/>
            <w:vAlign w:val="center"/>
            <w:hideMark/>
          </w:tcPr>
          <w:p w:rsidR="00F645C1" w:rsidRPr="00F645C1" w:rsidRDefault="00F645C1" w:rsidP="00F645C1">
            <w:pPr>
              <w:keepNext/>
              <w:spacing w:before="40" w:after="40" w:line="240" w:lineRule="auto"/>
              <w:jc w:val="right"/>
              <w:rPr>
                <w:rFonts w:asciiTheme="majorHAnsi" w:eastAsia="Times New Roman" w:hAnsiTheme="majorHAnsi" w:cs="Arial"/>
                <w:color w:val="000000"/>
                <w:sz w:val="18"/>
                <w:szCs w:val="18"/>
              </w:rPr>
            </w:pPr>
            <w:r w:rsidRPr="00F645C1">
              <w:rPr>
                <w:rFonts w:asciiTheme="majorHAnsi" w:eastAsia="Times New Roman" w:hAnsiTheme="majorHAnsi" w:cs="Arial"/>
                <w:color w:val="000000"/>
                <w:sz w:val="18"/>
                <w:szCs w:val="18"/>
              </w:rPr>
              <w:t>−$17,957,036</w:t>
            </w:r>
          </w:p>
        </w:tc>
        <w:tc>
          <w:tcPr>
            <w:tcW w:w="1678" w:type="dxa"/>
            <w:shd w:val="clear" w:color="auto" w:fill="auto"/>
            <w:vAlign w:val="center"/>
            <w:hideMark/>
          </w:tcPr>
          <w:p w:rsidR="00F645C1" w:rsidRPr="00F645C1" w:rsidRDefault="00F645C1" w:rsidP="00F645C1">
            <w:pPr>
              <w:keepNext/>
              <w:spacing w:before="40" w:after="40" w:line="240" w:lineRule="auto"/>
              <w:jc w:val="right"/>
              <w:rPr>
                <w:rFonts w:asciiTheme="majorHAnsi" w:eastAsia="Times New Roman" w:hAnsiTheme="majorHAnsi" w:cs="Arial"/>
                <w:color w:val="000000"/>
                <w:sz w:val="18"/>
                <w:szCs w:val="18"/>
              </w:rPr>
            </w:pPr>
            <w:r w:rsidRPr="00F645C1">
              <w:rPr>
                <w:rFonts w:asciiTheme="majorHAnsi" w:eastAsia="Times New Roman" w:hAnsiTheme="majorHAnsi" w:cs="Arial"/>
                <w:color w:val="000000"/>
                <w:sz w:val="18"/>
                <w:szCs w:val="18"/>
              </w:rPr>
              <w:t>−$246,892</w:t>
            </w:r>
          </w:p>
        </w:tc>
        <w:tc>
          <w:tcPr>
            <w:tcW w:w="1679" w:type="dxa"/>
            <w:shd w:val="clear" w:color="auto" w:fill="auto"/>
            <w:vAlign w:val="center"/>
            <w:hideMark/>
          </w:tcPr>
          <w:p w:rsidR="00F645C1" w:rsidRPr="00F645C1" w:rsidRDefault="00F645C1" w:rsidP="00F645C1">
            <w:pPr>
              <w:keepNext/>
              <w:spacing w:before="40" w:after="40" w:line="240" w:lineRule="auto"/>
              <w:jc w:val="right"/>
              <w:rPr>
                <w:rFonts w:asciiTheme="majorHAnsi" w:eastAsia="Times New Roman" w:hAnsiTheme="majorHAnsi" w:cs="Arial"/>
                <w:color w:val="000000"/>
                <w:sz w:val="18"/>
                <w:szCs w:val="18"/>
              </w:rPr>
            </w:pPr>
            <w:r w:rsidRPr="00F645C1">
              <w:rPr>
                <w:rFonts w:asciiTheme="majorHAnsi" w:eastAsia="Times New Roman" w:hAnsiTheme="majorHAnsi" w:cs="Arial"/>
                <w:color w:val="000000"/>
                <w:sz w:val="18"/>
                <w:szCs w:val="18"/>
              </w:rPr>
              <w:t>−$18,203,928</w:t>
            </w:r>
          </w:p>
        </w:tc>
      </w:tr>
      <w:tr w:rsidR="00F645C1" w:rsidRPr="00F645C1" w:rsidTr="000409DB">
        <w:trPr>
          <w:trHeight w:val="270"/>
          <w:jc w:val="center"/>
        </w:trPr>
        <w:tc>
          <w:tcPr>
            <w:tcW w:w="1120" w:type="dxa"/>
            <w:shd w:val="clear" w:color="auto" w:fill="CCEAF9" w:themeFill="accent1" w:themeFillTint="33"/>
            <w:vAlign w:val="center"/>
            <w:hideMark/>
          </w:tcPr>
          <w:p w:rsidR="00F645C1" w:rsidRPr="00F645C1" w:rsidRDefault="00F645C1" w:rsidP="00F645C1">
            <w:pPr>
              <w:keepNext/>
              <w:spacing w:before="40" w:after="40" w:line="240" w:lineRule="auto"/>
              <w:jc w:val="center"/>
              <w:rPr>
                <w:rFonts w:asciiTheme="majorHAnsi" w:eastAsia="Times New Roman" w:hAnsiTheme="majorHAnsi" w:cs="Arial"/>
                <w:b/>
                <w:bCs/>
                <w:color w:val="000000"/>
                <w:sz w:val="18"/>
                <w:szCs w:val="18"/>
              </w:rPr>
            </w:pPr>
            <w:r w:rsidRPr="00F645C1">
              <w:rPr>
                <w:rFonts w:asciiTheme="majorHAnsi" w:eastAsia="Times New Roman" w:hAnsiTheme="majorHAnsi" w:cs="Arial"/>
                <w:b/>
                <w:bCs/>
                <w:color w:val="000000"/>
                <w:sz w:val="18"/>
                <w:szCs w:val="18"/>
              </w:rPr>
              <w:t>2012</w:t>
            </w:r>
          </w:p>
        </w:tc>
        <w:tc>
          <w:tcPr>
            <w:tcW w:w="1678" w:type="dxa"/>
            <w:shd w:val="clear" w:color="auto" w:fill="CCEAF9" w:themeFill="accent1" w:themeFillTint="33"/>
            <w:vAlign w:val="center"/>
            <w:hideMark/>
          </w:tcPr>
          <w:p w:rsidR="00F645C1" w:rsidRPr="00F645C1" w:rsidRDefault="00F645C1" w:rsidP="00F645C1">
            <w:pPr>
              <w:keepNext/>
              <w:spacing w:before="40" w:after="40" w:line="240" w:lineRule="auto"/>
              <w:jc w:val="right"/>
              <w:rPr>
                <w:rFonts w:asciiTheme="majorHAnsi" w:eastAsia="Times New Roman" w:hAnsiTheme="majorHAnsi" w:cs="Arial"/>
                <w:color w:val="000000"/>
                <w:sz w:val="18"/>
                <w:szCs w:val="18"/>
              </w:rPr>
            </w:pPr>
            <w:r w:rsidRPr="00F645C1">
              <w:rPr>
                <w:rFonts w:asciiTheme="majorHAnsi" w:eastAsia="Times New Roman" w:hAnsiTheme="majorHAnsi" w:cs="Arial"/>
                <w:color w:val="000000"/>
                <w:sz w:val="18"/>
                <w:szCs w:val="18"/>
              </w:rPr>
              <w:t>−$29,326,997</w:t>
            </w:r>
          </w:p>
        </w:tc>
        <w:tc>
          <w:tcPr>
            <w:tcW w:w="1678" w:type="dxa"/>
            <w:shd w:val="clear" w:color="auto" w:fill="CCEAF9" w:themeFill="accent1" w:themeFillTint="33"/>
            <w:vAlign w:val="center"/>
            <w:hideMark/>
          </w:tcPr>
          <w:p w:rsidR="00F645C1" w:rsidRPr="00F645C1" w:rsidRDefault="00F645C1" w:rsidP="00F645C1">
            <w:pPr>
              <w:keepNext/>
              <w:spacing w:before="40" w:after="40" w:line="240" w:lineRule="auto"/>
              <w:jc w:val="right"/>
              <w:rPr>
                <w:rFonts w:asciiTheme="majorHAnsi" w:eastAsia="Times New Roman" w:hAnsiTheme="majorHAnsi" w:cs="Arial"/>
                <w:color w:val="000000"/>
                <w:sz w:val="18"/>
                <w:szCs w:val="18"/>
              </w:rPr>
            </w:pPr>
            <w:r w:rsidRPr="00F645C1">
              <w:rPr>
                <w:rFonts w:asciiTheme="majorHAnsi" w:eastAsia="Times New Roman" w:hAnsiTheme="majorHAnsi" w:cs="Arial"/>
                <w:color w:val="000000"/>
                <w:sz w:val="18"/>
                <w:szCs w:val="18"/>
              </w:rPr>
              <w:t>−$174,471</w:t>
            </w:r>
          </w:p>
        </w:tc>
        <w:tc>
          <w:tcPr>
            <w:tcW w:w="1679" w:type="dxa"/>
            <w:shd w:val="clear" w:color="auto" w:fill="CCEAF9" w:themeFill="accent1" w:themeFillTint="33"/>
            <w:vAlign w:val="center"/>
            <w:hideMark/>
          </w:tcPr>
          <w:p w:rsidR="00F645C1" w:rsidRPr="00F645C1" w:rsidRDefault="00F645C1" w:rsidP="00F645C1">
            <w:pPr>
              <w:keepNext/>
              <w:spacing w:before="40" w:after="40" w:line="240" w:lineRule="auto"/>
              <w:jc w:val="right"/>
              <w:rPr>
                <w:rFonts w:asciiTheme="majorHAnsi" w:eastAsia="Times New Roman" w:hAnsiTheme="majorHAnsi" w:cs="Arial"/>
                <w:color w:val="000000"/>
                <w:sz w:val="18"/>
                <w:szCs w:val="18"/>
              </w:rPr>
            </w:pPr>
            <w:r w:rsidRPr="00F645C1">
              <w:rPr>
                <w:rFonts w:asciiTheme="majorHAnsi" w:eastAsia="Times New Roman" w:hAnsiTheme="majorHAnsi" w:cs="Arial"/>
                <w:color w:val="000000"/>
                <w:sz w:val="18"/>
                <w:szCs w:val="18"/>
              </w:rPr>
              <w:t>−$29,501,468</w:t>
            </w:r>
          </w:p>
        </w:tc>
      </w:tr>
      <w:tr w:rsidR="00F645C1" w:rsidRPr="00F645C1" w:rsidTr="003021D4">
        <w:trPr>
          <w:trHeight w:val="270"/>
          <w:jc w:val="center"/>
        </w:trPr>
        <w:tc>
          <w:tcPr>
            <w:tcW w:w="1120" w:type="dxa"/>
            <w:shd w:val="clear" w:color="auto" w:fill="auto"/>
            <w:vAlign w:val="center"/>
            <w:hideMark/>
          </w:tcPr>
          <w:p w:rsidR="00F645C1" w:rsidRPr="00F645C1" w:rsidRDefault="00F645C1" w:rsidP="00F645C1">
            <w:pPr>
              <w:keepNext/>
              <w:spacing w:before="40" w:after="40" w:line="240" w:lineRule="auto"/>
              <w:jc w:val="center"/>
              <w:rPr>
                <w:rFonts w:asciiTheme="majorHAnsi" w:eastAsia="Times New Roman" w:hAnsiTheme="majorHAnsi" w:cs="Arial"/>
                <w:b/>
                <w:bCs/>
                <w:color w:val="000000"/>
                <w:sz w:val="18"/>
                <w:szCs w:val="18"/>
              </w:rPr>
            </w:pPr>
            <w:r w:rsidRPr="00F645C1">
              <w:rPr>
                <w:rFonts w:asciiTheme="majorHAnsi" w:eastAsia="Times New Roman" w:hAnsiTheme="majorHAnsi" w:cs="Arial"/>
                <w:b/>
                <w:bCs/>
                <w:color w:val="000000"/>
                <w:sz w:val="18"/>
                <w:szCs w:val="18"/>
              </w:rPr>
              <w:t>2013</w:t>
            </w:r>
          </w:p>
        </w:tc>
        <w:tc>
          <w:tcPr>
            <w:tcW w:w="1678" w:type="dxa"/>
            <w:shd w:val="clear" w:color="auto" w:fill="auto"/>
            <w:vAlign w:val="center"/>
            <w:hideMark/>
          </w:tcPr>
          <w:p w:rsidR="00F645C1" w:rsidRPr="00F645C1" w:rsidRDefault="00F645C1" w:rsidP="00F645C1">
            <w:pPr>
              <w:keepNext/>
              <w:spacing w:before="40" w:after="40" w:line="240" w:lineRule="auto"/>
              <w:jc w:val="right"/>
              <w:rPr>
                <w:rFonts w:asciiTheme="majorHAnsi" w:eastAsia="Times New Roman" w:hAnsiTheme="majorHAnsi" w:cs="Arial"/>
                <w:color w:val="000000"/>
                <w:sz w:val="18"/>
                <w:szCs w:val="18"/>
              </w:rPr>
            </w:pPr>
            <w:r w:rsidRPr="00F645C1">
              <w:rPr>
                <w:rFonts w:asciiTheme="majorHAnsi" w:eastAsia="Times New Roman" w:hAnsiTheme="majorHAnsi" w:cs="Arial"/>
                <w:color w:val="000000"/>
                <w:sz w:val="18"/>
                <w:szCs w:val="18"/>
              </w:rPr>
              <w:t>−$46,186,914</w:t>
            </w:r>
          </w:p>
        </w:tc>
        <w:tc>
          <w:tcPr>
            <w:tcW w:w="1678" w:type="dxa"/>
            <w:shd w:val="clear" w:color="auto" w:fill="auto"/>
            <w:vAlign w:val="center"/>
            <w:hideMark/>
          </w:tcPr>
          <w:p w:rsidR="00F645C1" w:rsidRPr="00F645C1" w:rsidRDefault="00F645C1" w:rsidP="00F645C1">
            <w:pPr>
              <w:keepNext/>
              <w:spacing w:before="40" w:after="40" w:line="240" w:lineRule="auto"/>
              <w:jc w:val="right"/>
              <w:rPr>
                <w:rFonts w:asciiTheme="majorHAnsi" w:eastAsia="Times New Roman" w:hAnsiTheme="majorHAnsi" w:cs="Arial"/>
                <w:color w:val="000000"/>
                <w:sz w:val="18"/>
                <w:szCs w:val="18"/>
              </w:rPr>
            </w:pPr>
            <w:r w:rsidRPr="00F645C1">
              <w:rPr>
                <w:rFonts w:asciiTheme="majorHAnsi" w:eastAsia="Times New Roman" w:hAnsiTheme="majorHAnsi" w:cs="Arial"/>
                <w:color w:val="000000"/>
                <w:sz w:val="18"/>
                <w:szCs w:val="18"/>
              </w:rPr>
              <w:t>−$175,059</w:t>
            </w:r>
          </w:p>
        </w:tc>
        <w:tc>
          <w:tcPr>
            <w:tcW w:w="1679" w:type="dxa"/>
            <w:shd w:val="clear" w:color="auto" w:fill="auto"/>
            <w:vAlign w:val="center"/>
            <w:hideMark/>
          </w:tcPr>
          <w:p w:rsidR="00F645C1" w:rsidRPr="00F645C1" w:rsidRDefault="00F645C1" w:rsidP="00F645C1">
            <w:pPr>
              <w:keepNext/>
              <w:spacing w:before="40" w:after="40" w:line="240" w:lineRule="auto"/>
              <w:jc w:val="right"/>
              <w:rPr>
                <w:rFonts w:asciiTheme="majorHAnsi" w:eastAsia="Times New Roman" w:hAnsiTheme="majorHAnsi" w:cs="Arial"/>
                <w:color w:val="000000"/>
                <w:sz w:val="18"/>
                <w:szCs w:val="18"/>
              </w:rPr>
            </w:pPr>
            <w:r w:rsidRPr="00F645C1">
              <w:rPr>
                <w:rFonts w:asciiTheme="majorHAnsi" w:eastAsia="Times New Roman" w:hAnsiTheme="majorHAnsi" w:cs="Arial"/>
                <w:color w:val="000000"/>
                <w:sz w:val="18"/>
                <w:szCs w:val="18"/>
              </w:rPr>
              <w:t>−$46,361,973</w:t>
            </w:r>
          </w:p>
        </w:tc>
      </w:tr>
      <w:tr w:rsidR="00F645C1" w:rsidRPr="00F645C1" w:rsidTr="000409DB">
        <w:trPr>
          <w:trHeight w:val="270"/>
          <w:jc w:val="center"/>
        </w:trPr>
        <w:tc>
          <w:tcPr>
            <w:tcW w:w="1120" w:type="dxa"/>
            <w:shd w:val="clear" w:color="auto" w:fill="CCEAF9" w:themeFill="accent1" w:themeFillTint="33"/>
            <w:vAlign w:val="center"/>
            <w:hideMark/>
          </w:tcPr>
          <w:p w:rsidR="00F645C1" w:rsidRPr="00F645C1" w:rsidRDefault="00F645C1" w:rsidP="00F645C1">
            <w:pPr>
              <w:keepNext/>
              <w:spacing w:before="40" w:after="40" w:line="240" w:lineRule="auto"/>
              <w:jc w:val="center"/>
              <w:rPr>
                <w:rFonts w:asciiTheme="majorHAnsi" w:eastAsia="Times New Roman" w:hAnsiTheme="majorHAnsi" w:cs="Arial"/>
                <w:b/>
                <w:bCs/>
                <w:color w:val="000000"/>
                <w:sz w:val="18"/>
                <w:szCs w:val="18"/>
              </w:rPr>
            </w:pPr>
            <w:r w:rsidRPr="00F645C1">
              <w:rPr>
                <w:rFonts w:asciiTheme="majorHAnsi" w:eastAsia="Times New Roman" w:hAnsiTheme="majorHAnsi" w:cs="Arial"/>
                <w:b/>
                <w:bCs/>
                <w:color w:val="000000"/>
                <w:sz w:val="18"/>
                <w:szCs w:val="18"/>
              </w:rPr>
              <w:t>2014</w:t>
            </w:r>
          </w:p>
        </w:tc>
        <w:tc>
          <w:tcPr>
            <w:tcW w:w="1678" w:type="dxa"/>
            <w:shd w:val="clear" w:color="auto" w:fill="CCEAF9" w:themeFill="accent1" w:themeFillTint="33"/>
            <w:vAlign w:val="center"/>
            <w:hideMark/>
          </w:tcPr>
          <w:p w:rsidR="00F645C1" w:rsidRPr="00F645C1" w:rsidRDefault="00F645C1" w:rsidP="00F645C1">
            <w:pPr>
              <w:keepNext/>
              <w:spacing w:before="40" w:after="40" w:line="240" w:lineRule="auto"/>
              <w:jc w:val="right"/>
              <w:rPr>
                <w:rFonts w:asciiTheme="majorHAnsi" w:eastAsia="Times New Roman" w:hAnsiTheme="majorHAnsi" w:cs="Arial"/>
                <w:color w:val="000000"/>
                <w:sz w:val="18"/>
                <w:szCs w:val="18"/>
              </w:rPr>
            </w:pPr>
            <w:r w:rsidRPr="00F645C1">
              <w:rPr>
                <w:rFonts w:asciiTheme="majorHAnsi" w:eastAsia="Times New Roman" w:hAnsiTheme="majorHAnsi" w:cs="Arial"/>
                <w:color w:val="000000"/>
                <w:sz w:val="18"/>
                <w:szCs w:val="18"/>
              </w:rPr>
              <w:t>−$34,218,158</w:t>
            </w:r>
          </w:p>
        </w:tc>
        <w:tc>
          <w:tcPr>
            <w:tcW w:w="1678" w:type="dxa"/>
            <w:shd w:val="clear" w:color="auto" w:fill="CCEAF9" w:themeFill="accent1" w:themeFillTint="33"/>
            <w:vAlign w:val="center"/>
            <w:hideMark/>
          </w:tcPr>
          <w:p w:rsidR="00F645C1" w:rsidRPr="00F645C1" w:rsidRDefault="00F645C1" w:rsidP="00F645C1">
            <w:pPr>
              <w:keepNext/>
              <w:spacing w:before="40" w:after="40" w:line="240" w:lineRule="auto"/>
              <w:jc w:val="right"/>
              <w:rPr>
                <w:rFonts w:asciiTheme="majorHAnsi" w:eastAsia="Times New Roman" w:hAnsiTheme="majorHAnsi" w:cs="Arial"/>
                <w:color w:val="000000"/>
                <w:sz w:val="18"/>
                <w:szCs w:val="18"/>
              </w:rPr>
            </w:pPr>
            <w:r w:rsidRPr="00F645C1">
              <w:rPr>
                <w:rFonts w:asciiTheme="majorHAnsi" w:eastAsia="Times New Roman" w:hAnsiTheme="majorHAnsi" w:cs="Arial"/>
                <w:color w:val="000000"/>
                <w:sz w:val="18"/>
                <w:szCs w:val="18"/>
              </w:rPr>
              <w:t>$2,153,173</w:t>
            </w:r>
          </w:p>
        </w:tc>
        <w:tc>
          <w:tcPr>
            <w:tcW w:w="1679" w:type="dxa"/>
            <w:shd w:val="clear" w:color="auto" w:fill="CCEAF9" w:themeFill="accent1" w:themeFillTint="33"/>
            <w:vAlign w:val="center"/>
            <w:hideMark/>
          </w:tcPr>
          <w:p w:rsidR="00F645C1" w:rsidRPr="00F645C1" w:rsidRDefault="00F645C1" w:rsidP="00F645C1">
            <w:pPr>
              <w:keepNext/>
              <w:spacing w:before="40" w:after="40" w:line="240" w:lineRule="auto"/>
              <w:jc w:val="right"/>
              <w:rPr>
                <w:rFonts w:asciiTheme="majorHAnsi" w:eastAsia="Times New Roman" w:hAnsiTheme="majorHAnsi" w:cs="Arial"/>
                <w:color w:val="000000"/>
                <w:sz w:val="18"/>
                <w:szCs w:val="18"/>
              </w:rPr>
            </w:pPr>
            <w:r w:rsidRPr="00F645C1">
              <w:rPr>
                <w:rFonts w:asciiTheme="majorHAnsi" w:eastAsia="Times New Roman" w:hAnsiTheme="majorHAnsi" w:cs="Arial"/>
                <w:color w:val="000000"/>
                <w:sz w:val="18"/>
                <w:szCs w:val="18"/>
              </w:rPr>
              <w:t>−$32,064,985</w:t>
            </w:r>
          </w:p>
        </w:tc>
      </w:tr>
      <w:tr w:rsidR="00F645C1" w:rsidRPr="00F645C1" w:rsidTr="003021D4">
        <w:trPr>
          <w:trHeight w:val="270"/>
          <w:jc w:val="center"/>
        </w:trPr>
        <w:tc>
          <w:tcPr>
            <w:tcW w:w="1120" w:type="dxa"/>
            <w:shd w:val="clear" w:color="auto" w:fill="auto"/>
            <w:vAlign w:val="center"/>
            <w:hideMark/>
          </w:tcPr>
          <w:p w:rsidR="00F645C1" w:rsidRPr="00F645C1" w:rsidRDefault="00F645C1" w:rsidP="00F645C1">
            <w:pPr>
              <w:keepNext/>
              <w:spacing w:before="40" w:after="40" w:line="240" w:lineRule="auto"/>
              <w:jc w:val="center"/>
              <w:rPr>
                <w:rFonts w:asciiTheme="majorHAnsi" w:eastAsia="Times New Roman" w:hAnsiTheme="majorHAnsi" w:cs="Arial"/>
                <w:b/>
                <w:bCs/>
                <w:color w:val="000000"/>
                <w:sz w:val="18"/>
                <w:szCs w:val="18"/>
              </w:rPr>
            </w:pPr>
            <w:r w:rsidRPr="00F645C1">
              <w:rPr>
                <w:rFonts w:asciiTheme="majorHAnsi" w:eastAsia="Times New Roman" w:hAnsiTheme="majorHAnsi" w:cs="Arial"/>
                <w:b/>
                <w:bCs/>
                <w:color w:val="000000"/>
                <w:sz w:val="18"/>
                <w:szCs w:val="18"/>
              </w:rPr>
              <w:t>2015</w:t>
            </w:r>
          </w:p>
        </w:tc>
        <w:tc>
          <w:tcPr>
            <w:tcW w:w="1678" w:type="dxa"/>
            <w:shd w:val="clear" w:color="auto" w:fill="auto"/>
            <w:vAlign w:val="center"/>
            <w:hideMark/>
          </w:tcPr>
          <w:p w:rsidR="00F645C1" w:rsidRPr="00F645C1" w:rsidRDefault="00F645C1" w:rsidP="00F645C1">
            <w:pPr>
              <w:keepNext/>
              <w:spacing w:before="40" w:after="40" w:line="240" w:lineRule="auto"/>
              <w:jc w:val="right"/>
              <w:rPr>
                <w:rFonts w:asciiTheme="majorHAnsi" w:eastAsia="Times New Roman" w:hAnsiTheme="majorHAnsi" w:cs="Arial"/>
                <w:color w:val="000000"/>
                <w:sz w:val="18"/>
                <w:szCs w:val="18"/>
              </w:rPr>
            </w:pPr>
            <w:r w:rsidRPr="00F645C1">
              <w:rPr>
                <w:rFonts w:asciiTheme="majorHAnsi" w:eastAsia="Times New Roman" w:hAnsiTheme="majorHAnsi" w:cs="Arial"/>
                <w:color w:val="000000"/>
                <w:sz w:val="18"/>
                <w:szCs w:val="18"/>
              </w:rPr>
              <w:t>−$30,168,691</w:t>
            </w:r>
          </w:p>
        </w:tc>
        <w:tc>
          <w:tcPr>
            <w:tcW w:w="1678" w:type="dxa"/>
            <w:shd w:val="clear" w:color="auto" w:fill="auto"/>
            <w:vAlign w:val="center"/>
            <w:hideMark/>
          </w:tcPr>
          <w:p w:rsidR="00F645C1" w:rsidRPr="00F645C1" w:rsidRDefault="00F645C1" w:rsidP="00F645C1">
            <w:pPr>
              <w:keepNext/>
              <w:spacing w:before="40" w:after="40" w:line="240" w:lineRule="auto"/>
              <w:jc w:val="right"/>
              <w:rPr>
                <w:rFonts w:asciiTheme="majorHAnsi" w:eastAsia="Times New Roman" w:hAnsiTheme="majorHAnsi" w:cs="Arial"/>
                <w:color w:val="000000"/>
                <w:sz w:val="18"/>
                <w:szCs w:val="18"/>
              </w:rPr>
            </w:pPr>
            <w:r w:rsidRPr="00F645C1">
              <w:rPr>
                <w:rFonts w:asciiTheme="majorHAnsi" w:eastAsia="Times New Roman" w:hAnsiTheme="majorHAnsi" w:cs="Arial"/>
                <w:color w:val="000000"/>
                <w:sz w:val="18"/>
                <w:szCs w:val="18"/>
              </w:rPr>
              <w:t>−$1,038,608</w:t>
            </w:r>
          </w:p>
        </w:tc>
        <w:tc>
          <w:tcPr>
            <w:tcW w:w="1679" w:type="dxa"/>
            <w:shd w:val="clear" w:color="auto" w:fill="auto"/>
            <w:vAlign w:val="center"/>
            <w:hideMark/>
          </w:tcPr>
          <w:p w:rsidR="00F645C1" w:rsidRPr="00F645C1" w:rsidRDefault="00F645C1" w:rsidP="00F645C1">
            <w:pPr>
              <w:keepNext/>
              <w:spacing w:before="40" w:after="40" w:line="240" w:lineRule="auto"/>
              <w:jc w:val="right"/>
              <w:rPr>
                <w:rFonts w:asciiTheme="majorHAnsi" w:eastAsia="Times New Roman" w:hAnsiTheme="majorHAnsi" w:cs="Arial"/>
                <w:color w:val="000000"/>
                <w:sz w:val="18"/>
                <w:szCs w:val="18"/>
              </w:rPr>
            </w:pPr>
            <w:r w:rsidRPr="00F645C1">
              <w:rPr>
                <w:rFonts w:asciiTheme="majorHAnsi" w:eastAsia="Times New Roman" w:hAnsiTheme="majorHAnsi" w:cs="Arial"/>
                <w:color w:val="000000"/>
                <w:sz w:val="18"/>
                <w:szCs w:val="18"/>
              </w:rPr>
              <w:t>−$31,207,299</w:t>
            </w:r>
          </w:p>
        </w:tc>
      </w:tr>
      <w:tr w:rsidR="00F645C1" w:rsidRPr="00F645C1" w:rsidTr="000409DB">
        <w:trPr>
          <w:trHeight w:val="270"/>
          <w:jc w:val="center"/>
        </w:trPr>
        <w:tc>
          <w:tcPr>
            <w:tcW w:w="1120" w:type="dxa"/>
            <w:shd w:val="clear" w:color="auto" w:fill="CCEAF9" w:themeFill="accent1" w:themeFillTint="33"/>
            <w:vAlign w:val="center"/>
            <w:hideMark/>
          </w:tcPr>
          <w:p w:rsidR="00F645C1" w:rsidRPr="00F645C1" w:rsidRDefault="00F645C1" w:rsidP="00F645C1">
            <w:pPr>
              <w:keepNext/>
              <w:spacing w:before="40" w:after="40" w:line="240" w:lineRule="auto"/>
              <w:jc w:val="center"/>
              <w:rPr>
                <w:rFonts w:asciiTheme="majorHAnsi" w:eastAsia="Times New Roman" w:hAnsiTheme="majorHAnsi" w:cs="Arial"/>
                <w:b/>
                <w:bCs/>
                <w:color w:val="000000"/>
                <w:sz w:val="18"/>
                <w:szCs w:val="18"/>
              </w:rPr>
            </w:pPr>
            <w:r w:rsidRPr="00F645C1">
              <w:rPr>
                <w:rFonts w:asciiTheme="majorHAnsi" w:eastAsia="Times New Roman" w:hAnsiTheme="majorHAnsi" w:cs="Arial"/>
                <w:b/>
                <w:bCs/>
                <w:color w:val="000000"/>
                <w:sz w:val="18"/>
                <w:szCs w:val="18"/>
              </w:rPr>
              <w:t>2016</w:t>
            </w:r>
          </w:p>
        </w:tc>
        <w:tc>
          <w:tcPr>
            <w:tcW w:w="1678" w:type="dxa"/>
            <w:shd w:val="clear" w:color="auto" w:fill="CCEAF9" w:themeFill="accent1" w:themeFillTint="33"/>
            <w:vAlign w:val="center"/>
            <w:hideMark/>
          </w:tcPr>
          <w:p w:rsidR="00F645C1" w:rsidRPr="00F645C1" w:rsidRDefault="00F645C1" w:rsidP="00F645C1">
            <w:pPr>
              <w:keepNext/>
              <w:spacing w:before="40" w:after="40" w:line="240" w:lineRule="auto"/>
              <w:jc w:val="right"/>
              <w:rPr>
                <w:rFonts w:asciiTheme="majorHAnsi" w:eastAsia="Times New Roman" w:hAnsiTheme="majorHAnsi" w:cs="Arial"/>
                <w:color w:val="000000"/>
                <w:sz w:val="18"/>
                <w:szCs w:val="18"/>
              </w:rPr>
            </w:pPr>
            <w:r w:rsidRPr="00F645C1">
              <w:rPr>
                <w:rFonts w:asciiTheme="majorHAnsi" w:eastAsia="Times New Roman" w:hAnsiTheme="majorHAnsi" w:cs="Arial"/>
                <w:color w:val="000000"/>
                <w:sz w:val="18"/>
                <w:szCs w:val="18"/>
              </w:rPr>
              <w:t>−$34,272,410</w:t>
            </w:r>
          </w:p>
        </w:tc>
        <w:tc>
          <w:tcPr>
            <w:tcW w:w="1678" w:type="dxa"/>
            <w:shd w:val="clear" w:color="auto" w:fill="CCEAF9" w:themeFill="accent1" w:themeFillTint="33"/>
            <w:vAlign w:val="center"/>
            <w:hideMark/>
          </w:tcPr>
          <w:p w:rsidR="00F645C1" w:rsidRPr="00F645C1" w:rsidRDefault="00F645C1" w:rsidP="00F645C1">
            <w:pPr>
              <w:keepNext/>
              <w:spacing w:before="40" w:after="40" w:line="240" w:lineRule="auto"/>
              <w:jc w:val="right"/>
              <w:rPr>
                <w:rFonts w:asciiTheme="majorHAnsi" w:eastAsia="Times New Roman" w:hAnsiTheme="majorHAnsi" w:cs="Arial"/>
                <w:color w:val="000000"/>
                <w:sz w:val="18"/>
                <w:szCs w:val="18"/>
              </w:rPr>
            </w:pPr>
            <w:r w:rsidRPr="00F645C1">
              <w:rPr>
                <w:rFonts w:asciiTheme="majorHAnsi" w:eastAsia="Times New Roman" w:hAnsiTheme="majorHAnsi" w:cs="Arial"/>
                <w:color w:val="000000"/>
                <w:sz w:val="18"/>
                <w:szCs w:val="18"/>
              </w:rPr>
              <w:t>−$4,599,343</w:t>
            </w:r>
          </w:p>
        </w:tc>
        <w:tc>
          <w:tcPr>
            <w:tcW w:w="1679" w:type="dxa"/>
            <w:shd w:val="clear" w:color="auto" w:fill="CCEAF9" w:themeFill="accent1" w:themeFillTint="33"/>
            <w:vAlign w:val="center"/>
            <w:hideMark/>
          </w:tcPr>
          <w:p w:rsidR="00F645C1" w:rsidRPr="00F645C1" w:rsidRDefault="00F645C1" w:rsidP="00F645C1">
            <w:pPr>
              <w:keepNext/>
              <w:spacing w:before="40" w:after="40" w:line="240" w:lineRule="auto"/>
              <w:jc w:val="right"/>
              <w:rPr>
                <w:rFonts w:asciiTheme="majorHAnsi" w:eastAsia="Times New Roman" w:hAnsiTheme="majorHAnsi" w:cs="Arial"/>
                <w:color w:val="000000"/>
                <w:sz w:val="18"/>
                <w:szCs w:val="18"/>
              </w:rPr>
            </w:pPr>
            <w:r w:rsidRPr="00F645C1">
              <w:rPr>
                <w:rFonts w:asciiTheme="majorHAnsi" w:eastAsia="Times New Roman" w:hAnsiTheme="majorHAnsi" w:cs="Arial"/>
                <w:color w:val="000000"/>
                <w:sz w:val="18"/>
                <w:szCs w:val="18"/>
              </w:rPr>
              <w:t>−$38,871,754</w:t>
            </w:r>
          </w:p>
        </w:tc>
      </w:tr>
    </w:tbl>
    <w:p w:rsidR="00F645C1" w:rsidRPr="00F645C1" w:rsidRDefault="00F645C1" w:rsidP="00401F54">
      <w:pPr>
        <w:keepNext/>
        <w:keepLines/>
        <w:autoSpaceDE w:val="0"/>
        <w:autoSpaceDN w:val="0"/>
        <w:adjustRightInd w:val="0"/>
        <w:spacing w:before="120" w:after="80" w:line="240" w:lineRule="auto"/>
        <w:ind w:left="1710" w:right="1350" w:hanging="270"/>
        <w:rPr>
          <w:rFonts w:ascii="Calibri" w:eastAsia="Times New Roman" w:hAnsi="Calibri" w:cs="Arial"/>
          <w:sz w:val="16"/>
          <w:szCs w:val="16"/>
        </w:rPr>
      </w:pPr>
      <w:r w:rsidRPr="00F645C1">
        <w:rPr>
          <w:rFonts w:ascii="Calibri" w:eastAsia="Times New Roman" w:hAnsi="Calibri" w:cs="Arial"/>
          <w:sz w:val="16"/>
          <w:szCs w:val="16"/>
        </w:rPr>
        <w:t xml:space="preserve">(a) </w:t>
      </w:r>
      <w:r w:rsidRPr="00F645C1">
        <w:rPr>
          <w:rFonts w:ascii="Calibri" w:eastAsia="Times New Roman" w:hAnsi="Calibri" w:cs="Arial"/>
          <w:sz w:val="16"/>
          <w:szCs w:val="16"/>
        </w:rPr>
        <w:tab/>
        <w:t>Negative numbers indicate charges to load; positive numbers indicate credits to load.</w:t>
      </w:r>
    </w:p>
    <w:p w:rsidR="00F645C1" w:rsidRPr="00F645C1" w:rsidRDefault="00F645C1" w:rsidP="00401F54">
      <w:pPr>
        <w:keepNext/>
        <w:keepLines/>
        <w:autoSpaceDE w:val="0"/>
        <w:autoSpaceDN w:val="0"/>
        <w:adjustRightInd w:val="0"/>
        <w:spacing w:after="80" w:line="240" w:lineRule="auto"/>
        <w:ind w:left="1710" w:right="1350" w:hanging="270"/>
        <w:rPr>
          <w:rFonts w:ascii="Calibri" w:eastAsia="Times New Roman" w:hAnsi="Calibri" w:cs="Arial"/>
          <w:sz w:val="16"/>
          <w:szCs w:val="16"/>
        </w:rPr>
      </w:pPr>
      <w:r w:rsidRPr="00F645C1">
        <w:rPr>
          <w:rFonts w:ascii="Calibri" w:eastAsia="Times New Roman" w:hAnsi="Calibri" w:cs="Arial"/>
          <w:sz w:val="16"/>
          <w:szCs w:val="16"/>
        </w:rPr>
        <w:t xml:space="preserve">(b) </w:t>
      </w:r>
      <w:r w:rsidRPr="00F645C1">
        <w:rPr>
          <w:rFonts w:ascii="Calibri" w:eastAsia="Times New Roman" w:hAnsi="Calibri" w:cs="Arial"/>
          <w:sz w:val="16"/>
          <w:szCs w:val="16"/>
        </w:rPr>
        <w:tab/>
        <w:t xml:space="preserve">Day-ahead congestion charges = the amount billed to load minus payments to the generators. </w:t>
      </w:r>
    </w:p>
    <w:p w:rsidR="00F645C1" w:rsidRPr="00F645C1" w:rsidRDefault="00F645C1" w:rsidP="00401F54">
      <w:pPr>
        <w:keepNext/>
        <w:keepLines/>
        <w:autoSpaceDE w:val="0"/>
        <w:autoSpaceDN w:val="0"/>
        <w:adjustRightInd w:val="0"/>
        <w:spacing w:after="80" w:line="240" w:lineRule="auto"/>
        <w:ind w:left="1710" w:right="1350" w:hanging="270"/>
        <w:rPr>
          <w:rFonts w:ascii="Calibri" w:eastAsia="Times New Roman" w:hAnsi="Calibri" w:cs="Arial"/>
          <w:sz w:val="16"/>
          <w:szCs w:val="16"/>
        </w:rPr>
      </w:pPr>
      <w:r w:rsidRPr="00F645C1">
        <w:rPr>
          <w:rFonts w:ascii="Calibri" w:eastAsia="Times New Roman" w:hAnsi="Calibri" w:cs="Arial"/>
          <w:sz w:val="16"/>
          <w:szCs w:val="16"/>
        </w:rPr>
        <w:t xml:space="preserve">(c) </w:t>
      </w:r>
      <w:r w:rsidRPr="00F645C1">
        <w:rPr>
          <w:rFonts w:ascii="Calibri" w:eastAsia="Times New Roman" w:hAnsi="Calibri" w:cs="Arial"/>
          <w:sz w:val="16"/>
          <w:szCs w:val="16"/>
        </w:rPr>
        <w:tab/>
        <w:t xml:space="preserve">Real-time congestion refers to deviations from day-ahead charges. Additional outages, problems, and non-day-ahead load issues that cause additional generator dispatch within the congested zone results in a credit to load. Less generation within the zone results in a real-time charge to load. </w:t>
      </w:r>
    </w:p>
    <w:p w:rsidR="00F645C1" w:rsidRPr="00F645C1" w:rsidRDefault="00F645C1" w:rsidP="00401F54">
      <w:pPr>
        <w:autoSpaceDE w:val="0"/>
        <w:autoSpaceDN w:val="0"/>
        <w:adjustRightInd w:val="0"/>
        <w:spacing w:line="240" w:lineRule="auto"/>
        <w:ind w:left="1710" w:right="1350" w:hanging="270"/>
        <w:rPr>
          <w:rFonts w:ascii="Calibri" w:eastAsia="Times New Roman" w:hAnsi="Calibri" w:cs="Arial"/>
          <w:sz w:val="18"/>
          <w:szCs w:val="18"/>
        </w:rPr>
      </w:pPr>
      <w:r w:rsidRPr="00F645C1">
        <w:rPr>
          <w:rFonts w:ascii="Calibri" w:eastAsia="Times New Roman" w:hAnsi="Calibri" w:cs="Arial"/>
          <w:sz w:val="16"/>
          <w:szCs w:val="16"/>
        </w:rPr>
        <w:t xml:space="preserve">(d) </w:t>
      </w:r>
      <w:r w:rsidRPr="00F645C1">
        <w:rPr>
          <w:rFonts w:ascii="Calibri" w:eastAsia="Times New Roman" w:hAnsi="Calibri" w:cs="Arial"/>
          <w:sz w:val="16"/>
          <w:szCs w:val="16"/>
        </w:rPr>
        <w:tab/>
        <w:t>Total congestion refers to money the ISO uses to pay FTR holders</w:t>
      </w:r>
      <w:r w:rsidRPr="00F645C1">
        <w:rPr>
          <w:rFonts w:ascii="Calibri" w:eastAsia="Times New Roman" w:hAnsi="Calibri" w:cs="Arial"/>
          <w:sz w:val="18"/>
          <w:szCs w:val="18"/>
        </w:rPr>
        <w:t xml:space="preserve">. </w:t>
      </w:r>
    </w:p>
    <w:p w:rsidR="00F645C1" w:rsidRPr="00F645C1" w:rsidRDefault="00F645C1" w:rsidP="00401F54">
      <w:r w:rsidRPr="00F645C1">
        <w:t>The highest mean annual positive difference in the congestion component of the LMPs was $0.69/MWh at the BOSTON RSP subareas relative to the Hub.</w:t>
      </w:r>
      <w:r w:rsidRPr="00F645C1">
        <w:rPr>
          <w:vertAlign w:val="superscript"/>
        </w:rPr>
        <w:footnoteReference w:id="182"/>
      </w:r>
      <w:r w:rsidRPr="00F645C1">
        <w:t xml:space="preserve"> The small congestion component of the locational marginal prices suggests that the system has little congestion. Portions of the system remote from load centers, especially northern Maine, have high negative loss components. The MPRP added 345 kV facilities, and recently, shunt reactive compensation, which will reduce losses in Maine. </w:t>
      </w:r>
    </w:p>
    <w:p w:rsidR="00F645C1" w:rsidRPr="00F645C1" w:rsidRDefault="00F645C1" w:rsidP="007D11FD">
      <w:pPr>
        <w:pStyle w:val="Heading4"/>
      </w:pPr>
      <w:r w:rsidRPr="00F645C1">
        <w:t>Transmission Improvements to Load and Generation Pockets Addressing Reliability Issues</w:t>
      </w:r>
    </w:p>
    <w:p w:rsidR="00F645C1" w:rsidRDefault="00F645C1" w:rsidP="00401F54">
      <w:r w:rsidRPr="00F645C1">
        <w:t xml:space="preserve">The performance of the transmission system is highly dependent on embedded generators operating to maintain reliability in several smaller areas of the system. Consistent with ISO operating requirements, the generators may be required to provide second-contingency protection or voltage support to avoid overloads of transmission system elements. Reliability may be threatened when only a few generating units are available to provide system support, especially when considering normal levels of unplanned or scheduled outages of generators or transmission facilities. This transmission system dependence on local-area generating units typically can result in reliability payments associated with out-of-merit unit </w:t>
      </w:r>
      <w:r w:rsidRPr="00F645C1">
        <w:lastRenderedPageBreak/>
        <w:t xml:space="preserve">commitments. The total cost for these reliability </w:t>
      </w:r>
      <w:r w:rsidRPr="00CE4699">
        <w:t>payments are a small portion of the overall wholesale electricity market costs in New England of $5.4 billion in 2016.</w:t>
      </w:r>
    </w:p>
    <w:p w:rsidR="00F645C1" w:rsidRPr="00F645C1" w:rsidRDefault="00F645C1" w:rsidP="00401F54">
      <w:pPr>
        <w:rPr>
          <w:rFonts w:asciiTheme="minorHAnsi" w:eastAsia="Times New Roman" w:hAnsiTheme="minorHAnsi"/>
          <w:b/>
          <w:sz w:val="24"/>
          <w:szCs w:val="28"/>
        </w:rPr>
      </w:pPr>
      <w:r w:rsidRPr="00F645C1">
        <w:t xml:space="preserve">Some areas currently depend on out-of-merit generating units to some degree to maintain reliability, or have been dependent on these units until recently. The NCPC in the Boston area totaled approximately $28.4 million for 2016, approximately 88% of the New England total. After the upgrades being pursued as part of the Greater Boston projects are placed in service, the need to run units out of merit (and subsequent NCPC) is expected to decline (see Sections </w:t>
      </w:r>
      <w:r w:rsidR="005A7F54">
        <w:fldChar w:fldCharType="begin"/>
      </w:r>
      <w:r w:rsidR="005A7F54">
        <w:instrText xml:space="preserve"> REF _Ref485805455 \r \h </w:instrText>
      </w:r>
      <w:r w:rsidR="005A7F54">
        <w:fldChar w:fldCharType="separate"/>
      </w:r>
      <w:r w:rsidR="00314781">
        <w:t>5.5.4</w:t>
      </w:r>
      <w:r w:rsidR="005A7F54">
        <w:fldChar w:fldCharType="end"/>
      </w:r>
      <w:r w:rsidRPr="00F645C1">
        <w:t xml:space="preserve">). </w:t>
      </w:r>
    </w:p>
    <w:p w:rsidR="00F645C1" w:rsidRPr="00F645C1" w:rsidRDefault="00F645C1" w:rsidP="00F645C1">
      <w:r w:rsidRPr="00F645C1">
        <w:t xml:space="preserve">Generating units in load pockets may receive second-contingency or voltage-control payments for must-run situations. </w:t>
      </w:r>
      <w:r w:rsidRPr="00F645C1">
        <w:fldChar w:fldCharType="begin"/>
      </w:r>
      <w:r w:rsidRPr="00F645C1">
        <w:instrText xml:space="preserve"> REF _Ref418948080 \h  \* MERGEFORMAT </w:instrText>
      </w:r>
      <w:r w:rsidRPr="00F645C1">
        <w:fldChar w:fldCharType="separate"/>
      </w:r>
      <w:r w:rsidR="00314781" w:rsidRPr="000162C8">
        <w:rPr>
          <w:bCs/>
          <w:szCs w:val="18"/>
        </w:rPr>
        <w:t xml:space="preserve">Table </w:t>
      </w:r>
      <w:r w:rsidR="00314781" w:rsidRPr="000162C8">
        <w:rPr>
          <w:bCs/>
          <w:noProof/>
          <w:szCs w:val="18"/>
        </w:rPr>
        <w:t>5</w:t>
      </w:r>
      <w:r w:rsidR="00314781" w:rsidRPr="000162C8">
        <w:rPr>
          <w:bCs/>
          <w:noProof/>
          <w:szCs w:val="18"/>
        </w:rPr>
        <w:noBreakHyphen/>
        <w:t>4</w:t>
      </w:r>
      <w:r w:rsidRPr="00F645C1">
        <w:fldChar w:fldCharType="end"/>
      </w:r>
      <w:r w:rsidRPr="00F645C1">
        <w:t xml:space="preserve"> shows the NCPC by type and year. The 2009, 2010, 2011, and 2012 figures showed a significant decrease from the preceding years, averaging less than $17 million per year. The 2013, 2014, 2015, and 2016 figures show a modest increase, averaging approximately $43 million per year. At $32.6 million, 2016 represents the lowest total of the most recent four-year period. Because reliability transmission upgrades improve the economic performance of the system, upgrading transmission solely to reduce NCPC is not often justifiable.</w:t>
      </w:r>
    </w:p>
    <w:p w:rsidR="00F645C1" w:rsidRPr="00F645C1" w:rsidRDefault="00F645C1" w:rsidP="005C5D55">
      <w:pPr>
        <w:keepNext/>
        <w:keepLines/>
        <w:spacing w:after="120" w:line="240" w:lineRule="auto"/>
        <w:ind w:left="547" w:right="547"/>
        <w:jc w:val="center"/>
        <w:rPr>
          <w:rFonts w:ascii="Calibri" w:hAnsi="Calibri"/>
          <w:b/>
          <w:bCs/>
          <w:szCs w:val="18"/>
        </w:rPr>
      </w:pPr>
      <w:bookmarkStart w:id="609" w:name="_Ref418948080"/>
      <w:bookmarkStart w:id="610" w:name="_Toc429063572"/>
      <w:bookmarkStart w:id="611" w:name="_Toc491244017"/>
      <w:r w:rsidRPr="00F645C1">
        <w:rPr>
          <w:rFonts w:ascii="Calibri" w:hAnsi="Calibri"/>
          <w:b/>
          <w:bCs/>
          <w:szCs w:val="18"/>
        </w:rPr>
        <w:t xml:space="preserve">Table </w:t>
      </w:r>
      <w:r w:rsidR="00D95957">
        <w:rPr>
          <w:rFonts w:ascii="Calibri" w:hAnsi="Calibri"/>
          <w:b/>
          <w:bCs/>
          <w:szCs w:val="18"/>
        </w:rPr>
        <w:fldChar w:fldCharType="begin"/>
      </w:r>
      <w:r w:rsidR="00D95957">
        <w:rPr>
          <w:rFonts w:ascii="Calibri" w:hAnsi="Calibri"/>
          <w:b/>
          <w:bCs/>
          <w:szCs w:val="18"/>
        </w:rPr>
        <w:instrText xml:space="preserve"> STYLEREF 1 \s </w:instrText>
      </w:r>
      <w:r w:rsidR="00D95957">
        <w:rPr>
          <w:rFonts w:ascii="Calibri" w:hAnsi="Calibri"/>
          <w:b/>
          <w:bCs/>
          <w:szCs w:val="18"/>
        </w:rPr>
        <w:fldChar w:fldCharType="separate"/>
      </w:r>
      <w:r w:rsidR="00D95957">
        <w:rPr>
          <w:rFonts w:ascii="Calibri" w:hAnsi="Calibri"/>
          <w:b/>
          <w:bCs/>
          <w:noProof/>
          <w:szCs w:val="18"/>
        </w:rPr>
        <w:t>5</w:t>
      </w:r>
      <w:r w:rsidR="00D95957">
        <w:rPr>
          <w:rFonts w:ascii="Calibri" w:hAnsi="Calibri"/>
          <w:b/>
          <w:bCs/>
          <w:szCs w:val="18"/>
        </w:rPr>
        <w:fldChar w:fldCharType="end"/>
      </w:r>
      <w:r w:rsidR="00D95957">
        <w:rPr>
          <w:rFonts w:ascii="Calibri" w:hAnsi="Calibri"/>
          <w:b/>
          <w:bCs/>
          <w:szCs w:val="18"/>
        </w:rPr>
        <w:noBreakHyphen/>
      </w:r>
      <w:r w:rsidR="00D95957">
        <w:rPr>
          <w:rFonts w:ascii="Calibri" w:hAnsi="Calibri"/>
          <w:b/>
          <w:bCs/>
          <w:szCs w:val="18"/>
        </w:rPr>
        <w:fldChar w:fldCharType="begin"/>
      </w:r>
      <w:r w:rsidR="00D95957">
        <w:rPr>
          <w:rFonts w:ascii="Calibri" w:hAnsi="Calibri"/>
          <w:b/>
          <w:bCs/>
          <w:szCs w:val="18"/>
        </w:rPr>
        <w:instrText xml:space="preserve"> SEQ Table \* ARABIC \s 1 </w:instrText>
      </w:r>
      <w:r w:rsidR="00D95957">
        <w:rPr>
          <w:rFonts w:ascii="Calibri" w:hAnsi="Calibri"/>
          <w:b/>
          <w:bCs/>
          <w:szCs w:val="18"/>
        </w:rPr>
        <w:fldChar w:fldCharType="separate"/>
      </w:r>
      <w:r w:rsidR="00D95957">
        <w:rPr>
          <w:rFonts w:ascii="Calibri" w:hAnsi="Calibri"/>
          <w:b/>
          <w:bCs/>
          <w:noProof/>
          <w:szCs w:val="18"/>
        </w:rPr>
        <w:t>4</w:t>
      </w:r>
      <w:r w:rsidR="00D95957">
        <w:rPr>
          <w:rFonts w:ascii="Calibri" w:hAnsi="Calibri"/>
          <w:b/>
          <w:bCs/>
          <w:szCs w:val="18"/>
        </w:rPr>
        <w:fldChar w:fldCharType="end"/>
      </w:r>
      <w:bookmarkEnd w:id="609"/>
      <w:r w:rsidRPr="00F645C1">
        <w:rPr>
          <w:rFonts w:ascii="Calibri" w:hAnsi="Calibri"/>
          <w:b/>
          <w:bCs/>
          <w:szCs w:val="18"/>
        </w:rPr>
        <w:br/>
        <w:t>Net Commitment-Period Compensation by Type and Year (Million $)</w:t>
      </w:r>
      <w:bookmarkEnd w:id="610"/>
      <w:bookmarkEnd w:id="611"/>
    </w:p>
    <w:tbl>
      <w:tblPr>
        <w:tblW w:w="4941" w:type="dxa"/>
        <w:jc w:val="center"/>
        <w:tblInd w:w="-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982"/>
        <w:gridCol w:w="1421"/>
        <w:gridCol w:w="1269"/>
        <w:gridCol w:w="1269"/>
      </w:tblGrid>
      <w:tr w:rsidR="00F645C1" w:rsidRPr="00403015" w:rsidTr="003021D4">
        <w:trPr>
          <w:trHeight w:val="690"/>
          <w:jc w:val="center"/>
        </w:trPr>
        <w:tc>
          <w:tcPr>
            <w:tcW w:w="982" w:type="dxa"/>
            <w:shd w:val="clear" w:color="auto" w:fill="1795D2" w:themeFill="accent1"/>
            <w:vAlign w:val="center"/>
            <w:hideMark/>
          </w:tcPr>
          <w:p w:rsidR="00F645C1" w:rsidRPr="00403015" w:rsidRDefault="00F645C1" w:rsidP="005C5D55">
            <w:pPr>
              <w:keepNext/>
              <w:keepLines/>
              <w:spacing w:after="0" w:line="240" w:lineRule="auto"/>
              <w:jc w:val="center"/>
              <w:rPr>
                <w:rFonts w:asciiTheme="minorHAnsi" w:eastAsia="Times New Roman" w:hAnsiTheme="minorHAnsi" w:cs="Arial"/>
                <w:b/>
                <w:bCs/>
                <w:color w:val="FFFFFF"/>
                <w:sz w:val="18"/>
                <w:szCs w:val="18"/>
              </w:rPr>
            </w:pPr>
            <w:r w:rsidRPr="00403015">
              <w:rPr>
                <w:rFonts w:asciiTheme="minorHAnsi" w:eastAsia="Times New Roman" w:hAnsiTheme="minorHAnsi" w:cs="Arial"/>
                <w:b/>
                <w:bCs/>
                <w:color w:val="FFFFFF"/>
                <w:sz w:val="18"/>
                <w:szCs w:val="18"/>
              </w:rPr>
              <w:t>Year</w:t>
            </w:r>
          </w:p>
        </w:tc>
        <w:tc>
          <w:tcPr>
            <w:tcW w:w="1421" w:type="dxa"/>
            <w:shd w:val="clear" w:color="auto" w:fill="1795D2" w:themeFill="accent1"/>
            <w:vAlign w:val="center"/>
            <w:hideMark/>
          </w:tcPr>
          <w:p w:rsidR="00F645C1" w:rsidRPr="00403015" w:rsidRDefault="00F645C1" w:rsidP="005C5D55">
            <w:pPr>
              <w:keepNext/>
              <w:keepLines/>
              <w:spacing w:after="0" w:line="240" w:lineRule="auto"/>
              <w:jc w:val="center"/>
              <w:rPr>
                <w:rFonts w:asciiTheme="minorHAnsi" w:eastAsia="Times New Roman" w:hAnsiTheme="minorHAnsi" w:cs="Arial"/>
                <w:b/>
                <w:bCs/>
                <w:color w:val="FFFFFF"/>
                <w:sz w:val="18"/>
                <w:szCs w:val="18"/>
              </w:rPr>
            </w:pPr>
            <w:r w:rsidRPr="00403015">
              <w:rPr>
                <w:rFonts w:asciiTheme="minorHAnsi" w:eastAsia="Times New Roman" w:hAnsiTheme="minorHAnsi" w:cs="Arial"/>
                <w:b/>
                <w:bCs/>
                <w:color w:val="FFFFFF"/>
                <w:sz w:val="18"/>
                <w:szCs w:val="18"/>
              </w:rPr>
              <w:t>Second Contingency</w:t>
            </w:r>
            <w:r w:rsidRPr="00403015">
              <w:rPr>
                <w:rFonts w:asciiTheme="minorHAnsi" w:eastAsia="Times New Roman" w:hAnsiTheme="minorHAnsi" w:cs="Arial"/>
                <w:b/>
                <w:bCs/>
                <w:color w:val="FFFFFF"/>
                <w:sz w:val="18"/>
                <w:szCs w:val="18"/>
                <w:vertAlign w:val="superscript"/>
              </w:rPr>
              <w:t>(a)</w:t>
            </w:r>
          </w:p>
        </w:tc>
        <w:tc>
          <w:tcPr>
            <w:tcW w:w="1269" w:type="dxa"/>
            <w:shd w:val="clear" w:color="auto" w:fill="1795D2" w:themeFill="accent1"/>
            <w:vAlign w:val="center"/>
            <w:hideMark/>
          </w:tcPr>
          <w:p w:rsidR="00F645C1" w:rsidRPr="00403015" w:rsidRDefault="00F645C1" w:rsidP="005C5D55">
            <w:pPr>
              <w:keepNext/>
              <w:keepLines/>
              <w:spacing w:after="0" w:line="240" w:lineRule="auto"/>
              <w:jc w:val="center"/>
              <w:rPr>
                <w:rFonts w:asciiTheme="minorHAnsi" w:eastAsia="Times New Roman" w:hAnsiTheme="minorHAnsi" w:cs="Arial"/>
                <w:b/>
                <w:bCs/>
                <w:color w:val="FFFFFF"/>
                <w:sz w:val="18"/>
                <w:szCs w:val="18"/>
              </w:rPr>
            </w:pPr>
            <w:r w:rsidRPr="00403015">
              <w:rPr>
                <w:rFonts w:asciiTheme="minorHAnsi" w:eastAsia="Times New Roman" w:hAnsiTheme="minorHAnsi" w:cs="Arial"/>
                <w:b/>
                <w:bCs/>
                <w:color w:val="FFFFFF"/>
                <w:sz w:val="18"/>
                <w:szCs w:val="18"/>
              </w:rPr>
              <w:t>Voltage</w:t>
            </w:r>
          </w:p>
        </w:tc>
        <w:tc>
          <w:tcPr>
            <w:tcW w:w="1269" w:type="dxa"/>
            <w:shd w:val="clear" w:color="auto" w:fill="1795D2" w:themeFill="accent1"/>
            <w:vAlign w:val="center"/>
            <w:hideMark/>
          </w:tcPr>
          <w:p w:rsidR="00F645C1" w:rsidRPr="00403015" w:rsidRDefault="00F645C1" w:rsidP="005C5D55">
            <w:pPr>
              <w:keepNext/>
              <w:keepLines/>
              <w:spacing w:after="0" w:line="240" w:lineRule="auto"/>
              <w:jc w:val="center"/>
              <w:rPr>
                <w:rFonts w:asciiTheme="minorHAnsi" w:eastAsia="Times New Roman" w:hAnsiTheme="minorHAnsi" w:cs="Arial"/>
                <w:b/>
                <w:bCs/>
                <w:color w:val="FFFFFF"/>
                <w:sz w:val="18"/>
                <w:szCs w:val="18"/>
              </w:rPr>
            </w:pPr>
            <w:r w:rsidRPr="00403015">
              <w:rPr>
                <w:rFonts w:asciiTheme="minorHAnsi" w:eastAsia="Times New Roman" w:hAnsiTheme="minorHAnsi" w:cs="Arial"/>
                <w:b/>
                <w:bCs/>
                <w:color w:val="FFFFFF"/>
                <w:sz w:val="18"/>
                <w:szCs w:val="18"/>
              </w:rPr>
              <w:t>Total</w:t>
            </w:r>
            <w:r w:rsidRPr="00403015">
              <w:rPr>
                <w:rFonts w:asciiTheme="minorHAnsi" w:eastAsia="Times New Roman" w:hAnsiTheme="minorHAnsi" w:cs="Arial"/>
                <w:b/>
                <w:bCs/>
                <w:color w:val="FFFFFF"/>
                <w:sz w:val="18"/>
                <w:szCs w:val="18"/>
                <w:vertAlign w:val="superscript"/>
              </w:rPr>
              <w:t>(b)</w:t>
            </w:r>
          </w:p>
        </w:tc>
      </w:tr>
      <w:tr w:rsidR="00F645C1" w:rsidRPr="00403015" w:rsidTr="003021D4">
        <w:trPr>
          <w:trHeight w:val="270"/>
          <w:jc w:val="center"/>
        </w:trPr>
        <w:tc>
          <w:tcPr>
            <w:tcW w:w="982" w:type="dxa"/>
            <w:shd w:val="clear" w:color="auto" w:fill="auto"/>
            <w:vAlign w:val="center"/>
            <w:hideMark/>
          </w:tcPr>
          <w:p w:rsidR="00F645C1" w:rsidRPr="00403015" w:rsidRDefault="00F645C1" w:rsidP="005C5D55">
            <w:pPr>
              <w:keepNext/>
              <w:keepLines/>
              <w:spacing w:after="0" w:line="240" w:lineRule="auto"/>
              <w:rPr>
                <w:rFonts w:asciiTheme="minorHAnsi" w:eastAsia="Times New Roman" w:hAnsiTheme="minorHAnsi" w:cs="Arial"/>
                <w:b/>
                <w:bCs/>
                <w:sz w:val="18"/>
                <w:szCs w:val="18"/>
              </w:rPr>
            </w:pPr>
            <w:r w:rsidRPr="00403015">
              <w:rPr>
                <w:rFonts w:asciiTheme="minorHAnsi" w:eastAsia="Times New Roman" w:hAnsiTheme="minorHAnsi" w:cs="Arial"/>
                <w:b/>
                <w:bCs/>
                <w:sz w:val="18"/>
                <w:szCs w:val="18"/>
              </w:rPr>
              <w:t>2003</w:t>
            </w:r>
            <w:r w:rsidRPr="00403015">
              <w:rPr>
                <w:rFonts w:asciiTheme="minorHAnsi" w:eastAsia="Times New Roman" w:hAnsiTheme="minorHAnsi" w:cs="Arial"/>
                <w:b/>
                <w:bCs/>
                <w:sz w:val="18"/>
                <w:szCs w:val="18"/>
                <w:vertAlign w:val="superscript"/>
              </w:rPr>
              <w:t>(c)</w:t>
            </w:r>
          </w:p>
        </w:tc>
        <w:tc>
          <w:tcPr>
            <w:tcW w:w="1421" w:type="dxa"/>
            <w:shd w:val="clear" w:color="auto" w:fill="auto"/>
            <w:vAlign w:val="center"/>
            <w:hideMark/>
          </w:tcPr>
          <w:p w:rsidR="00F645C1" w:rsidRPr="00403015" w:rsidRDefault="00F645C1" w:rsidP="005C5D55">
            <w:pPr>
              <w:keepNext/>
              <w:keepLines/>
              <w:spacing w:after="0" w:line="240" w:lineRule="auto"/>
              <w:jc w:val="right"/>
              <w:rPr>
                <w:rFonts w:asciiTheme="minorHAnsi" w:eastAsia="Times New Roman" w:hAnsiTheme="minorHAnsi" w:cs="Arial"/>
                <w:sz w:val="18"/>
                <w:szCs w:val="18"/>
              </w:rPr>
            </w:pPr>
            <w:r w:rsidRPr="00403015">
              <w:rPr>
                <w:rFonts w:asciiTheme="minorHAnsi" w:eastAsia="Times New Roman" w:hAnsiTheme="minorHAnsi" w:cs="Arial"/>
                <w:sz w:val="18"/>
                <w:szCs w:val="18"/>
              </w:rPr>
              <w:t>36.0</w:t>
            </w:r>
          </w:p>
        </w:tc>
        <w:tc>
          <w:tcPr>
            <w:tcW w:w="1269" w:type="dxa"/>
            <w:shd w:val="clear" w:color="auto" w:fill="auto"/>
            <w:vAlign w:val="center"/>
            <w:hideMark/>
          </w:tcPr>
          <w:p w:rsidR="00F645C1" w:rsidRPr="00403015" w:rsidRDefault="00F645C1" w:rsidP="005C5D55">
            <w:pPr>
              <w:keepNext/>
              <w:keepLines/>
              <w:spacing w:after="0" w:line="240" w:lineRule="auto"/>
              <w:jc w:val="right"/>
              <w:rPr>
                <w:rFonts w:asciiTheme="minorHAnsi" w:eastAsia="Times New Roman" w:hAnsiTheme="minorHAnsi" w:cs="Arial"/>
                <w:sz w:val="18"/>
                <w:szCs w:val="18"/>
              </w:rPr>
            </w:pPr>
            <w:r w:rsidRPr="00403015">
              <w:rPr>
                <w:rFonts w:asciiTheme="minorHAnsi" w:eastAsia="Times New Roman" w:hAnsiTheme="minorHAnsi" w:cs="Arial"/>
                <w:sz w:val="18"/>
                <w:szCs w:val="18"/>
              </w:rPr>
              <w:t>14.4</w:t>
            </w:r>
          </w:p>
        </w:tc>
        <w:tc>
          <w:tcPr>
            <w:tcW w:w="1269" w:type="dxa"/>
            <w:shd w:val="clear" w:color="auto" w:fill="auto"/>
            <w:vAlign w:val="center"/>
            <w:hideMark/>
          </w:tcPr>
          <w:p w:rsidR="00F645C1" w:rsidRPr="00403015" w:rsidRDefault="00F645C1" w:rsidP="005C5D55">
            <w:pPr>
              <w:keepNext/>
              <w:keepLines/>
              <w:spacing w:after="0" w:line="240" w:lineRule="auto"/>
              <w:jc w:val="right"/>
              <w:rPr>
                <w:rFonts w:asciiTheme="minorHAnsi" w:eastAsia="Times New Roman" w:hAnsiTheme="minorHAnsi" w:cs="Arial"/>
                <w:sz w:val="18"/>
                <w:szCs w:val="18"/>
              </w:rPr>
            </w:pPr>
            <w:r w:rsidRPr="00403015">
              <w:rPr>
                <w:rFonts w:asciiTheme="minorHAnsi" w:eastAsia="Times New Roman" w:hAnsiTheme="minorHAnsi" w:cs="Arial"/>
                <w:sz w:val="18"/>
                <w:szCs w:val="18"/>
              </w:rPr>
              <w:t>50.4</w:t>
            </w:r>
          </w:p>
        </w:tc>
      </w:tr>
      <w:tr w:rsidR="00F645C1" w:rsidRPr="00403015" w:rsidTr="003021D4">
        <w:trPr>
          <w:trHeight w:val="270"/>
          <w:jc w:val="center"/>
        </w:trPr>
        <w:tc>
          <w:tcPr>
            <w:tcW w:w="982" w:type="dxa"/>
            <w:shd w:val="clear" w:color="auto" w:fill="CCEAF9" w:themeFill="accent1" w:themeFillTint="33"/>
            <w:vAlign w:val="center"/>
            <w:hideMark/>
          </w:tcPr>
          <w:p w:rsidR="00F645C1" w:rsidRPr="00403015" w:rsidRDefault="00F645C1" w:rsidP="005C5D55">
            <w:pPr>
              <w:keepNext/>
              <w:keepLines/>
              <w:spacing w:after="0" w:line="240" w:lineRule="auto"/>
              <w:rPr>
                <w:rFonts w:asciiTheme="minorHAnsi" w:eastAsia="Times New Roman" w:hAnsiTheme="minorHAnsi" w:cs="Arial"/>
                <w:b/>
                <w:bCs/>
                <w:sz w:val="18"/>
                <w:szCs w:val="18"/>
              </w:rPr>
            </w:pPr>
            <w:r w:rsidRPr="00403015">
              <w:rPr>
                <w:rFonts w:asciiTheme="minorHAnsi" w:eastAsia="Times New Roman" w:hAnsiTheme="minorHAnsi" w:cs="Arial"/>
                <w:b/>
                <w:bCs/>
                <w:sz w:val="18"/>
                <w:szCs w:val="18"/>
              </w:rPr>
              <w:t>2004</w:t>
            </w:r>
          </w:p>
        </w:tc>
        <w:tc>
          <w:tcPr>
            <w:tcW w:w="1421" w:type="dxa"/>
            <w:shd w:val="clear" w:color="auto" w:fill="CCEAF9" w:themeFill="accent1" w:themeFillTint="33"/>
            <w:vAlign w:val="center"/>
            <w:hideMark/>
          </w:tcPr>
          <w:p w:rsidR="00F645C1" w:rsidRPr="00403015" w:rsidRDefault="00F645C1" w:rsidP="005C5D55">
            <w:pPr>
              <w:keepNext/>
              <w:keepLines/>
              <w:spacing w:after="0" w:line="240" w:lineRule="auto"/>
              <w:jc w:val="right"/>
              <w:rPr>
                <w:rFonts w:asciiTheme="minorHAnsi" w:eastAsia="Times New Roman" w:hAnsiTheme="minorHAnsi" w:cs="Arial"/>
                <w:sz w:val="18"/>
                <w:szCs w:val="18"/>
              </w:rPr>
            </w:pPr>
            <w:r w:rsidRPr="00403015">
              <w:rPr>
                <w:rFonts w:asciiTheme="minorHAnsi" w:eastAsia="Times New Roman" w:hAnsiTheme="minorHAnsi" w:cs="Arial"/>
                <w:sz w:val="18"/>
                <w:szCs w:val="18"/>
              </w:rPr>
              <w:t>43.9</w:t>
            </w:r>
          </w:p>
        </w:tc>
        <w:tc>
          <w:tcPr>
            <w:tcW w:w="1269" w:type="dxa"/>
            <w:shd w:val="clear" w:color="auto" w:fill="CCEAF9" w:themeFill="accent1" w:themeFillTint="33"/>
            <w:vAlign w:val="center"/>
            <w:hideMark/>
          </w:tcPr>
          <w:p w:rsidR="00F645C1" w:rsidRPr="00403015" w:rsidRDefault="00F645C1" w:rsidP="005C5D55">
            <w:pPr>
              <w:keepNext/>
              <w:keepLines/>
              <w:spacing w:after="0" w:line="240" w:lineRule="auto"/>
              <w:jc w:val="right"/>
              <w:rPr>
                <w:rFonts w:asciiTheme="minorHAnsi" w:eastAsia="Times New Roman" w:hAnsiTheme="minorHAnsi" w:cs="Arial"/>
                <w:sz w:val="18"/>
                <w:szCs w:val="18"/>
              </w:rPr>
            </w:pPr>
            <w:r w:rsidRPr="00403015">
              <w:rPr>
                <w:rFonts w:asciiTheme="minorHAnsi" w:eastAsia="Times New Roman" w:hAnsiTheme="minorHAnsi" w:cs="Arial"/>
                <w:sz w:val="18"/>
                <w:szCs w:val="18"/>
              </w:rPr>
              <w:t>68.0</w:t>
            </w:r>
          </w:p>
        </w:tc>
        <w:tc>
          <w:tcPr>
            <w:tcW w:w="1269" w:type="dxa"/>
            <w:shd w:val="clear" w:color="auto" w:fill="CCEAF9" w:themeFill="accent1" w:themeFillTint="33"/>
            <w:vAlign w:val="center"/>
            <w:hideMark/>
          </w:tcPr>
          <w:p w:rsidR="00F645C1" w:rsidRPr="00403015" w:rsidRDefault="00F645C1" w:rsidP="005C5D55">
            <w:pPr>
              <w:keepNext/>
              <w:keepLines/>
              <w:spacing w:after="0" w:line="240" w:lineRule="auto"/>
              <w:jc w:val="right"/>
              <w:rPr>
                <w:rFonts w:asciiTheme="minorHAnsi" w:eastAsia="Times New Roman" w:hAnsiTheme="minorHAnsi" w:cs="Arial"/>
                <w:sz w:val="18"/>
                <w:szCs w:val="18"/>
              </w:rPr>
            </w:pPr>
            <w:r w:rsidRPr="00403015">
              <w:rPr>
                <w:rFonts w:asciiTheme="minorHAnsi" w:eastAsia="Times New Roman" w:hAnsiTheme="minorHAnsi" w:cs="Arial"/>
                <w:sz w:val="18"/>
                <w:szCs w:val="18"/>
              </w:rPr>
              <w:t>111.9</w:t>
            </w:r>
          </w:p>
        </w:tc>
      </w:tr>
      <w:tr w:rsidR="00F645C1" w:rsidRPr="00403015" w:rsidTr="003021D4">
        <w:trPr>
          <w:trHeight w:val="270"/>
          <w:jc w:val="center"/>
        </w:trPr>
        <w:tc>
          <w:tcPr>
            <w:tcW w:w="982" w:type="dxa"/>
            <w:shd w:val="clear" w:color="auto" w:fill="auto"/>
            <w:vAlign w:val="center"/>
            <w:hideMark/>
          </w:tcPr>
          <w:p w:rsidR="00F645C1" w:rsidRPr="00403015" w:rsidRDefault="00F645C1" w:rsidP="005C5D55">
            <w:pPr>
              <w:keepNext/>
              <w:keepLines/>
              <w:spacing w:after="0" w:line="240" w:lineRule="auto"/>
              <w:rPr>
                <w:rFonts w:asciiTheme="minorHAnsi" w:eastAsia="Times New Roman" w:hAnsiTheme="minorHAnsi" w:cs="Arial"/>
                <w:b/>
                <w:bCs/>
                <w:sz w:val="18"/>
                <w:szCs w:val="18"/>
              </w:rPr>
            </w:pPr>
            <w:r w:rsidRPr="00403015">
              <w:rPr>
                <w:rFonts w:asciiTheme="minorHAnsi" w:eastAsia="Times New Roman" w:hAnsiTheme="minorHAnsi" w:cs="Arial"/>
                <w:b/>
                <w:bCs/>
                <w:sz w:val="18"/>
                <w:szCs w:val="18"/>
              </w:rPr>
              <w:t>2005</w:t>
            </w:r>
          </w:p>
        </w:tc>
        <w:tc>
          <w:tcPr>
            <w:tcW w:w="1421" w:type="dxa"/>
            <w:shd w:val="clear" w:color="auto" w:fill="auto"/>
            <w:vAlign w:val="center"/>
            <w:hideMark/>
          </w:tcPr>
          <w:p w:rsidR="00F645C1" w:rsidRPr="00403015" w:rsidRDefault="00F645C1" w:rsidP="005C5D55">
            <w:pPr>
              <w:keepNext/>
              <w:keepLines/>
              <w:spacing w:after="0" w:line="240" w:lineRule="auto"/>
              <w:jc w:val="right"/>
              <w:rPr>
                <w:rFonts w:asciiTheme="minorHAnsi" w:eastAsia="Times New Roman" w:hAnsiTheme="minorHAnsi" w:cs="Arial"/>
                <w:sz w:val="18"/>
                <w:szCs w:val="18"/>
              </w:rPr>
            </w:pPr>
            <w:r w:rsidRPr="00403015">
              <w:rPr>
                <w:rFonts w:asciiTheme="minorHAnsi" w:eastAsia="Times New Roman" w:hAnsiTheme="minorHAnsi" w:cs="Arial"/>
                <w:sz w:val="18"/>
                <w:szCs w:val="18"/>
              </w:rPr>
              <w:t>133.7</w:t>
            </w:r>
          </w:p>
        </w:tc>
        <w:tc>
          <w:tcPr>
            <w:tcW w:w="1269" w:type="dxa"/>
            <w:shd w:val="clear" w:color="auto" w:fill="auto"/>
            <w:vAlign w:val="center"/>
            <w:hideMark/>
          </w:tcPr>
          <w:p w:rsidR="00F645C1" w:rsidRPr="00403015" w:rsidRDefault="00F645C1" w:rsidP="005C5D55">
            <w:pPr>
              <w:keepNext/>
              <w:keepLines/>
              <w:spacing w:after="0" w:line="240" w:lineRule="auto"/>
              <w:jc w:val="right"/>
              <w:rPr>
                <w:rFonts w:asciiTheme="minorHAnsi" w:eastAsia="Times New Roman" w:hAnsiTheme="minorHAnsi" w:cs="Arial"/>
                <w:sz w:val="18"/>
                <w:szCs w:val="18"/>
              </w:rPr>
            </w:pPr>
            <w:r w:rsidRPr="00403015">
              <w:rPr>
                <w:rFonts w:asciiTheme="minorHAnsi" w:eastAsia="Times New Roman" w:hAnsiTheme="minorHAnsi" w:cs="Arial"/>
                <w:sz w:val="18"/>
                <w:szCs w:val="18"/>
              </w:rPr>
              <w:t>75.1</w:t>
            </w:r>
          </w:p>
        </w:tc>
        <w:tc>
          <w:tcPr>
            <w:tcW w:w="1269" w:type="dxa"/>
            <w:shd w:val="clear" w:color="auto" w:fill="auto"/>
            <w:vAlign w:val="center"/>
            <w:hideMark/>
          </w:tcPr>
          <w:p w:rsidR="00F645C1" w:rsidRPr="00403015" w:rsidRDefault="00F645C1" w:rsidP="005C5D55">
            <w:pPr>
              <w:keepNext/>
              <w:keepLines/>
              <w:spacing w:after="0" w:line="240" w:lineRule="auto"/>
              <w:jc w:val="right"/>
              <w:rPr>
                <w:rFonts w:asciiTheme="minorHAnsi" w:eastAsia="Times New Roman" w:hAnsiTheme="minorHAnsi" w:cs="Arial"/>
                <w:sz w:val="18"/>
                <w:szCs w:val="18"/>
              </w:rPr>
            </w:pPr>
            <w:r w:rsidRPr="00403015">
              <w:rPr>
                <w:rFonts w:asciiTheme="minorHAnsi" w:eastAsia="Times New Roman" w:hAnsiTheme="minorHAnsi" w:cs="Arial"/>
                <w:sz w:val="18"/>
                <w:szCs w:val="18"/>
              </w:rPr>
              <w:t>208.8</w:t>
            </w:r>
          </w:p>
        </w:tc>
      </w:tr>
      <w:tr w:rsidR="00F645C1" w:rsidRPr="00403015" w:rsidTr="003021D4">
        <w:trPr>
          <w:trHeight w:val="270"/>
          <w:jc w:val="center"/>
        </w:trPr>
        <w:tc>
          <w:tcPr>
            <w:tcW w:w="982" w:type="dxa"/>
            <w:shd w:val="clear" w:color="auto" w:fill="CCEAF9" w:themeFill="accent1" w:themeFillTint="33"/>
            <w:vAlign w:val="center"/>
            <w:hideMark/>
          </w:tcPr>
          <w:p w:rsidR="00F645C1" w:rsidRPr="00403015" w:rsidRDefault="00F645C1" w:rsidP="005C5D55">
            <w:pPr>
              <w:keepNext/>
              <w:keepLines/>
              <w:spacing w:after="0" w:line="240" w:lineRule="auto"/>
              <w:rPr>
                <w:rFonts w:asciiTheme="minorHAnsi" w:eastAsia="Times New Roman" w:hAnsiTheme="minorHAnsi" w:cs="Arial"/>
                <w:b/>
                <w:bCs/>
                <w:sz w:val="18"/>
                <w:szCs w:val="18"/>
              </w:rPr>
            </w:pPr>
            <w:r w:rsidRPr="00403015">
              <w:rPr>
                <w:rFonts w:asciiTheme="minorHAnsi" w:eastAsia="Times New Roman" w:hAnsiTheme="minorHAnsi" w:cs="Arial"/>
                <w:b/>
                <w:bCs/>
                <w:sz w:val="18"/>
                <w:szCs w:val="18"/>
              </w:rPr>
              <w:t>2006</w:t>
            </w:r>
          </w:p>
        </w:tc>
        <w:tc>
          <w:tcPr>
            <w:tcW w:w="1421" w:type="dxa"/>
            <w:shd w:val="clear" w:color="auto" w:fill="CCEAF9" w:themeFill="accent1" w:themeFillTint="33"/>
            <w:vAlign w:val="center"/>
            <w:hideMark/>
          </w:tcPr>
          <w:p w:rsidR="00F645C1" w:rsidRPr="00403015" w:rsidRDefault="00F645C1" w:rsidP="005C5D55">
            <w:pPr>
              <w:keepNext/>
              <w:keepLines/>
              <w:spacing w:after="0" w:line="240" w:lineRule="auto"/>
              <w:jc w:val="right"/>
              <w:rPr>
                <w:rFonts w:asciiTheme="minorHAnsi" w:eastAsia="Times New Roman" w:hAnsiTheme="minorHAnsi" w:cs="Arial"/>
                <w:sz w:val="18"/>
                <w:szCs w:val="18"/>
              </w:rPr>
            </w:pPr>
            <w:r w:rsidRPr="00403015">
              <w:rPr>
                <w:rFonts w:asciiTheme="minorHAnsi" w:eastAsia="Times New Roman" w:hAnsiTheme="minorHAnsi" w:cs="Arial"/>
                <w:sz w:val="18"/>
                <w:szCs w:val="18"/>
              </w:rPr>
              <w:t>179.9</w:t>
            </w:r>
          </w:p>
        </w:tc>
        <w:tc>
          <w:tcPr>
            <w:tcW w:w="1269" w:type="dxa"/>
            <w:shd w:val="clear" w:color="auto" w:fill="CCEAF9" w:themeFill="accent1" w:themeFillTint="33"/>
            <w:vAlign w:val="center"/>
            <w:hideMark/>
          </w:tcPr>
          <w:p w:rsidR="00F645C1" w:rsidRPr="00403015" w:rsidRDefault="00F645C1" w:rsidP="005C5D55">
            <w:pPr>
              <w:keepNext/>
              <w:keepLines/>
              <w:spacing w:after="0" w:line="240" w:lineRule="auto"/>
              <w:jc w:val="right"/>
              <w:rPr>
                <w:rFonts w:asciiTheme="minorHAnsi" w:eastAsia="Times New Roman" w:hAnsiTheme="minorHAnsi" w:cs="Arial"/>
                <w:sz w:val="18"/>
                <w:szCs w:val="18"/>
              </w:rPr>
            </w:pPr>
            <w:r w:rsidRPr="00403015">
              <w:rPr>
                <w:rFonts w:asciiTheme="minorHAnsi" w:eastAsia="Times New Roman" w:hAnsiTheme="minorHAnsi" w:cs="Arial"/>
                <w:sz w:val="18"/>
                <w:szCs w:val="18"/>
              </w:rPr>
              <w:t>19.0</w:t>
            </w:r>
          </w:p>
        </w:tc>
        <w:tc>
          <w:tcPr>
            <w:tcW w:w="1269" w:type="dxa"/>
            <w:shd w:val="clear" w:color="auto" w:fill="CCEAF9" w:themeFill="accent1" w:themeFillTint="33"/>
            <w:vAlign w:val="center"/>
            <w:hideMark/>
          </w:tcPr>
          <w:p w:rsidR="00F645C1" w:rsidRPr="00403015" w:rsidRDefault="00F645C1" w:rsidP="005C5D55">
            <w:pPr>
              <w:keepNext/>
              <w:keepLines/>
              <w:spacing w:after="0" w:line="240" w:lineRule="auto"/>
              <w:jc w:val="right"/>
              <w:rPr>
                <w:rFonts w:asciiTheme="minorHAnsi" w:eastAsia="Times New Roman" w:hAnsiTheme="minorHAnsi" w:cs="Arial"/>
                <w:sz w:val="18"/>
                <w:szCs w:val="18"/>
              </w:rPr>
            </w:pPr>
            <w:r w:rsidRPr="00403015">
              <w:rPr>
                <w:rFonts w:asciiTheme="minorHAnsi" w:eastAsia="Times New Roman" w:hAnsiTheme="minorHAnsi" w:cs="Arial"/>
                <w:sz w:val="18"/>
                <w:szCs w:val="18"/>
              </w:rPr>
              <w:t>199.0</w:t>
            </w:r>
          </w:p>
        </w:tc>
      </w:tr>
      <w:tr w:rsidR="00F645C1" w:rsidRPr="00403015" w:rsidTr="003021D4">
        <w:trPr>
          <w:trHeight w:val="270"/>
          <w:jc w:val="center"/>
        </w:trPr>
        <w:tc>
          <w:tcPr>
            <w:tcW w:w="982" w:type="dxa"/>
            <w:shd w:val="clear" w:color="auto" w:fill="auto"/>
            <w:vAlign w:val="center"/>
            <w:hideMark/>
          </w:tcPr>
          <w:p w:rsidR="00F645C1" w:rsidRPr="00403015" w:rsidRDefault="00F645C1" w:rsidP="005C5D55">
            <w:pPr>
              <w:keepNext/>
              <w:keepLines/>
              <w:spacing w:after="0" w:line="240" w:lineRule="auto"/>
              <w:rPr>
                <w:rFonts w:asciiTheme="minorHAnsi" w:eastAsia="Times New Roman" w:hAnsiTheme="minorHAnsi" w:cs="Arial"/>
                <w:b/>
                <w:bCs/>
                <w:sz w:val="18"/>
                <w:szCs w:val="18"/>
              </w:rPr>
            </w:pPr>
            <w:r w:rsidRPr="00403015">
              <w:rPr>
                <w:rFonts w:asciiTheme="minorHAnsi" w:eastAsia="Times New Roman" w:hAnsiTheme="minorHAnsi" w:cs="Arial"/>
                <w:b/>
                <w:bCs/>
                <w:sz w:val="18"/>
                <w:szCs w:val="18"/>
              </w:rPr>
              <w:t>2007</w:t>
            </w:r>
          </w:p>
        </w:tc>
        <w:tc>
          <w:tcPr>
            <w:tcW w:w="1421" w:type="dxa"/>
            <w:shd w:val="clear" w:color="auto" w:fill="auto"/>
            <w:vAlign w:val="center"/>
            <w:hideMark/>
          </w:tcPr>
          <w:p w:rsidR="00F645C1" w:rsidRPr="00403015" w:rsidRDefault="00F645C1" w:rsidP="005C5D55">
            <w:pPr>
              <w:keepNext/>
              <w:keepLines/>
              <w:spacing w:after="0" w:line="240" w:lineRule="auto"/>
              <w:jc w:val="right"/>
              <w:rPr>
                <w:rFonts w:asciiTheme="minorHAnsi" w:eastAsia="Times New Roman" w:hAnsiTheme="minorHAnsi" w:cs="Arial"/>
                <w:sz w:val="18"/>
                <w:szCs w:val="18"/>
              </w:rPr>
            </w:pPr>
            <w:r w:rsidRPr="00403015">
              <w:rPr>
                <w:rFonts w:asciiTheme="minorHAnsi" w:eastAsia="Times New Roman" w:hAnsiTheme="minorHAnsi" w:cs="Arial"/>
                <w:sz w:val="18"/>
                <w:szCs w:val="18"/>
              </w:rPr>
              <w:t>169.5</w:t>
            </w:r>
          </w:p>
        </w:tc>
        <w:tc>
          <w:tcPr>
            <w:tcW w:w="1269" w:type="dxa"/>
            <w:shd w:val="clear" w:color="auto" w:fill="auto"/>
            <w:vAlign w:val="center"/>
            <w:hideMark/>
          </w:tcPr>
          <w:p w:rsidR="00F645C1" w:rsidRPr="00403015" w:rsidRDefault="00F645C1" w:rsidP="005C5D55">
            <w:pPr>
              <w:keepNext/>
              <w:keepLines/>
              <w:spacing w:after="0" w:line="240" w:lineRule="auto"/>
              <w:jc w:val="right"/>
              <w:rPr>
                <w:rFonts w:asciiTheme="minorHAnsi" w:eastAsia="Times New Roman" w:hAnsiTheme="minorHAnsi" w:cs="Arial"/>
                <w:sz w:val="18"/>
                <w:szCs w:val="18"/>
              </w:rPr>
            </w:pPr>
            <w:r w:rsidRPr="00403015">
              <w:rPr>
                <w:rFonts w:asciiTheme="minorHAnsi" w:eastAsia="Times New Roman" w:hAnsiTheme="minorHAnsi" w:cs="Arial"/>
                <w:sz w:val="18"/>
                <w:szCs w:val="18"/>
              </w:rPr>
              <w:t>46.0</w:t>
            </w:r>
          </w:p>
        </w:tc>
        <w:tc>
          <w:tcPr>
            <w:tcW w:w="1269" w:type="dxa"/>
            <w:shd w:val="clear" w:color="auto" w:fill="auto"/>
            <w:vAlign w:val="center"/>
            <w:hideMark/>
          </w:tcPr>
          <w:p w:rsidR="00F645C1" w:rsidRPr="00403015" w:rsidRDefault="00F645C1" w:rsidP="005C5D55">
            <w:pPr>
              <w:keepNext/>
              <w:keepLines/>
              <w:spacing w:after="0" w:line="240" w:lineRule="auto"/>
              <w:jc w:val="right"/>
              <w:rPr>
                <w:rFonts w:asciiTheme="minorHAnsi" w:eastAsia="Times New Roman" w:hAnsiTheme="minorHAnsi" w:cs="Arial"/>
                <w:sz w:val="18"/>
                <w:szCs w:val="18"/>
              </w:rPr>
            </w:pPr>
            <w:r w:rsidRPr="00403015">
              <w:rPr>
                <w:rFonts w:asciiTheme="minorHAnsi" w:eastAsia="Times New Roman" w:hAnsiTheme="minorHAnsi" w:cs="Arial"/>
                <w:sz w:val="18"/>
                <w:szCs w:val="18"/>
              </w:rPr>
              <w:t>215.5</w:t>
            </w:r>
          </w:p>
        </w:tc>
      </w:tr>
      <w:tr w:rsidR="00F645C1" w:rsidRPr="00403015" w:rsidTr="003021D4">
        <w:trPr>
          <w:trHeight w:val="270"/>
          <w:jc w:val="center"/>
        </w:trPr>
        <w:tc>
          <w:tcPr>
            <w:tcW w:w="982" w:type="dxa"/>
            <w:shd w:val="clear" w:color="auto" w:fill="CCEAF9" w:themeFill="accent1" w:themeFillTint="33"/>
            <w:vAlign w:val="center"/>
            <w:hideMark/>
          </w:tcPr>
          <w:p w:rsidR="00F645C1" w:rsidRPr="00403015" w:rsidRDefault="00F645C1" w:rsidP="005C5D55">
            <w:pPr>
              <w:keepNext/>
              <w:keepLines/>
              <w:spacing w:after="0" w:line="240" w:lineRule="auto"/>
              <w:rPr>
                <w:rFonts w:asciiTheme="minorHAnsi" w:eastAsia="Times New Roman" w:hAnsiTheme="minorHAnsi" w:cs="Arial"/>
                <w:b/>
                <w:bCs/>
                <w:sz w:val="18"/>
                <w:szCs w:val="18"/>
              </w:rPr>
            </w:pPr>
            <w:r w:rsidRPr="00403015">
              <w:rPr>
                <w:rFonts w:asciiTheme="minorHAnsi" w:eastAsia="Times New Roman" w:hAnsiTheme="minorHAnsi" w:cs="Arial"/>
                <w:b/>
                <w:bCs/>
                <w:sz w:val="18"/>
                <w:szCs w:val="18"/>
              </w:rPr>
              <w:t>2008</w:t>
            </w:r>
          </w:p>
        </w:tc>
        <w:tc>
          <w:tcPr>
            <w:tcW w:w="1421" w:type="dxa"/>
            <w:shd w:val="clear" w:color="auto" w:fill="CCEAF9" w:themeFill="accent1" w:themeFillTint="33"/>
            <w:vAlign w:val="center"/>
            <w:hideMark/>
          </w:tcPr>
          <w:p w:rsidR="00F645C1" w:rsidRPr="00403015" w:rsidRDefault="00F645C1" w:rsidP="005C5D55">
            <w:pPr>
              <w:keepNext/>
              <w:keepLines/>
              <w:spacing w:after="0" w:line="240" w:lineRule="auto"/>
              <w:jc w:val="right"/>
              <w:rPr>
                <w:rFonts w:asciiTheme="minorHAnsi" w:eastAsia="Times New Roman" w:hAnsiTheme="minorHAnsi" w:cs="Arial"/>
                <w:sz w:val="18"/>
                <w:szCs w:val="18"/>
              </w:rPr>
            </w:pPr>
            <w:r w:rsidRPr="00403015">
              <w:rPr>
                <w:rFonts w:asciiTheme="minorHAnsi" w:eastAsia="Times New Roman" w:hAnsiTheme="minorHAnsi" w:cs="Arial"/>
                <w:sz w:val="18"/>
                <w:szCs w:val="18"/>
              </w:rPr>
              <w:t>182.9</w:t>
            </w:r>
          </w:p>
        </w:tc>
        <w:tc>
          <w:tcPr>
            <w:tcW w:w="1269" w:type="dxa"/>
            <w:shd w:val="clear" w:color="auto" w:fill="CCEAF9" w:themeFill="accent1" w:themeFillTint="33"/>
            <w:vAlign w:val="center"/>
            <w:hideMark/>
          </w:tcPr>
          <w:p w:rsidR="00F645C1" w:rsidRPr="00403015" w:rsidRDefault="00F645C1" w:rsidP="005C5D55">
            <w:pPr>
              <w:keepNext/>
              <w:keepLines/>
              <w:spacing w:after="0" w:line="240" w:lineRule="auto"/>
              <w:jc w:val="right"/>
              <w:rPr>
                <w:rFonts w:asciiTheme="minorHAnsi" w:eastAsia="Times New Roman" w:hAnsiTheme="minorHAnsi" w:cs="Arial"/>
                <w:sz w:val="18"/>
                <w:szCs w:val="18"/>
              </w:rPr>
            </w:pPr>
            <w:r w:rsidRPr="00403015">
              <w:rPr>
                <w:rFonts w:asciiTheme="minorHAnsi" w:eastAsia="Times New Roman" w:hAnsiTheme="minorHAnsi" w:cs="Arial"/>
                <w:sz w:val="18"/>
                <w:szCs w:val="18"/>
              </w:rPr>
              <w:t>29.4</w:t>
            </w:r>
          </w:p>
        </w:tc>
        <w:tc>
          <w:tcPr>
            <w:tcW w:w="1269" w:type="dxa"/>
            <w:shd w:val="clear" w:color="auto" w:fill="CCEAF9" w:themeFill="accent1" w:themeFillTint="33"/>
            <w:vAlign w:val="center"/>
            <w:hideMark/>
          </w:tcPr>
          <w:p w:rsidR="00F645C1" w:rsidRPr="00403015" w:rsidRDefault="00F645C1" w:rsidP="005C5D55">
            <w:pPr>
              <w:keepNext/>
              <w:keepLines/>
              <w:spacing w:after="0" w:line="240" w:lineRule="auto"/>
              <w:jc w:val="right"/>
              <w:rPr>
                <w:rFonts w:asciiTheme="minorHAnsi" w:eastAsia="Times New Roman" w:hAnsiTheme="minorHAnsi" w:cs="Arial"/>
                <w:sz w:val="18"/>
                <w:szCs w:val="18"/>
              </w:rPr>
            </w:pPr>
            <w:r w:rsidRPr="00403015">
              <w:rPr>
                <w:rFonts w:asciiTheme="minorHAnsi" w:eastAsia="Times New Roman" w:hAnsiTheme="minorHAnsi" w:cs="Arial"/>
                <w:sz w:val="18"/>
                <w:szCs w:val="18"/>
              </w:rPr>
              <w:t>212.3</w:t>
            </w:r>
          </w:p>
        </w:tc>
      </w:tr>
      <w:tr w:rsidR="00F645C1" w:rsidRPr="00403015" w:rsidTr="003021D4">
        <w:trPr>
          <w:trHeight w:val="270"/>
          <w:jc w:val="center"/>
        </w:trPr>
        <w:tc>
          <w:tcPr>
            <w:tcW w:w="982" w:type="dxa"/>
            <w:shd w:val="clear" w:color="auto" w:fill="auto"/>
            <w:vAlign w:val="center"/>
            <w:hideMark/>
          </w:tcPr>
          <w:p w:rsidR="00F645C1" w:rsidRPr="00403015" w:rsidRDefault="00F645C1" w:rsidP="005C5D55">
            <w:pPr>
              <w:keepNext/>
              <w:keepLines/>
              <w:spacing w:after="0" w:line="240" w:lineRule="auto"/>
              <w:rPr>
                <w:rFonts w:asciiTheme="minorHAnsi" w:eastAsia="Times New Roman" w:hAnsiTheme="minorHAnsi" w:cs="Arial"/>
                <w:b/>
                <w:bCs/>
                <w:sz w:val="18"/>
                <w:szCs w:val="18"/>
              </w:rPr>
            </w:pPr>
            <w:r w:rsidRPr="00403015">
              <w:rPr>
                <w:rFonts w:asciiTheme="minorHAnsi" w:eastAsia="Times New Roman" w:hAnsiTheme="minorHAnsi" w:cs="Arial"/>
                <w:b/>
                <w:bCs/>
                <w:sz w:val="18"/>
                <w:szCs w:val="18"/>
              </w:rPr>
              <w:t>2009</w:t>
            </w:r>
          </w:p>
        </w:tc>
        <w:tc>
          <w:tcPr>
            <w:tcW w:w="1421" w:type="dxa"/>
            <w:shd w:val="clear" w:color="auto" w:fill="auto"/>
            <w:vAlign w:val="center"/>
            <w:hideMark/>
          </w:tcPr>
          <w:p w:rsidR="00F645C1" w:rsidRPr="00403015" w:rsidRDefault="00F645C1" w:rsidP="005C5D55">
            <w:pPr>
              <w:keepNext/>
              <w:keepLines/>
              <w:spacing w:after="0" w:line="240" w:lineRule="auto"/>
              <w:jc w:val="right"/>
              <w:rPr>
                <w:rFonts w:asciiTheme="minorHAnsi" w:eastAsia="Times New Roman" w:hAnsiTheme="minorHAnsi" w:cs="Arial"/>
                <w:sz w:val="18"/>
                <w:szCs w:val="18"/>
              </w:rPr>
            </w:pPr>
            <w:r w:rsidRPr="00403015">
              <w:rPr>
                <w:rFonts w:asciiTheme="minorHAnsi" w:eastAsia="Times New Roman" w:hAnsiTheme="minorHAnsi" w:cs="Arial"/>
                <w:sz w:val="18"/>
                <w:szCs w:val="18"/>
              </w:rPr>
              <w:t>17.5</w:t>
            </w:r>
          </w:p>
        </w:tc>
        <w:tc>
          <w:tcPr>
            <w:tcW w:w="1269" w:type="dxa"/>
            <w:shd w:val="clear" w:color="auto" w:fill="auto"/>
            <w:vAlign w:val="center"/>
            <w:hideMark/>
          </w:tcPr>
          <w:p w:rsidR="00F645C1" w:rsidRPr="00403015" w:rsidRDefault="00F645C1" w:rsidP="005C5D55">
            <w:pPr>
              <w:keepNext/>
              <w:keepLines/>
              <w:spacing w:after="0" w:line="240" w:lineRule="auto"/>
              <w:jc w:val="right"/>
              <w:rPr>
                <w:rFonts w:asciiTheme="minorHAnsi" w:eastAsia="Times New Roman" w:hAnsiTheme="minorHAnsi" w:cs="Arial"/>
                <w:sz w:val="18"/>
                <w:szCs w:val="18"/>
              </w:rPr>
            </w:pPr>
            <w:r w:rsidRPr="00403015">
              <w:rPr>
                <w:rFonts w:asciiTheme="minorHAnsi" w:eastAsia="Times New Roman" w:hAnsiTheme="minorHAnsi" w:cs="Arial"/>
                <w:sz w:val="18"/>
                <w:szCs w:val="18"/>
              </w:rPr>
              <w:t>5.0</w:t>
            </w:r>
          </w:p>
        </w:tc>
        <w:tc>
          <w:tcPr>
            <w:tcW w:w="1269" w:type="dxa"/>
            <w:shd w:val="clear" w:color="auto" w:fill="auto"/>
            <w:vAlign w:val="center"/>
            <w:hideMark/>
          </w:tcPr>
          <w:p w:rsidR="00F645C1" w:rsidRPr="00403015" w:rsidRDefault="00F645C1" w:rsidP="005C5D55">
            <w:pPr>
              <w:keepNext/>
              <w:keepLines/>
              <w:spacing w:after="0" w:line="240" w:lineRule="auto"/>
              <w:jc w:val="right"/>
              <w:rPr>
                <w:rFonts w:asciiTheme="minorHAnsi" w:eastAsia="Times New Roman" w:hAnsiTheme="minorHAnsi" w:cs="Arial"/>
                <w:sz w:val="18"/>
                <w:szCs w:val="18"/>
              </w:rPr>
            </w:pPr>
            <w:r w:rsidRPr="00403015">
              <w:rPr>
                <w:rFonts w:asciiTheme="minorHAnsi" w:eastAsia="Times New Roman" w:hAnsiTheme="minorHAnsi" w:cs="Arial"/>
                <w:sz w:val="18"/>
                <w:szCs w:val="18"/>
              </w:rPr>
              <w:t>22.5</w:t>
            </w:r>
          </w:p>
        </w:tc>
      </w:tr>
      <w:tr w:rsidR="00F645C1" w:rsidRPr="00403015" w:rsidTr="003021D4">
        <w:trPr>
          <w:trHeight w:val="270"/>
          <w:jc w:val="center"/>
        </w:trPr>
        <w:tc>
          <w:tcPr>
            <w:tcW w:w="982" w:type="dxa"/>
            <w:shd w:val="clear" w:color="auto" w:fill="CCEAF9" w:themeFill="accent1" w:themeFillTint="33"/>
            <w:vAlign w:val="center"/>
            <w:hideMark/>
          </w:tcPr>
          <w:p w:rsidR="00F645C1" w:rsidRPr="00403015" w:rsidRDefault="00F645C1" w:rsidP="005C5D55">
            <w:pPr>
              <w:keepNext/>
              <w:keepLines/>
              <w:spacing w:after="0" w:line="240" w:lineRule="auto"/>
              <w:rPr>
                <w:rFonts w:asciiTheme="minorHAnsi" w:eastAsia="Times New Roman" w:hAnsiTheme="minorHAnsi" w:cs="Arial"/>
                <w:b/>
                <w:bCs/>
                <w:sz w:val="18"/>
                <w:szCs w:val="18"/>
              </w:rPr>
            </w:pPr>
            <w:r w:rsidRPr="00403015">
              <w:rPr>
                <w:rFonts w:asciiTheme="minorHAnsi" w:eastAsia="Times New Roman" w:hAnsiTheme="minorHAnsi" w:cs="Arial"/>
                <w:b/>
                <w:bCs/>
                <w:sz w:val="18"/>
                <w:szCs w:val="18"/>
              </w:rPr>
              <w:t>2010</w:t>
            </w:r>
          </w:p>
        </w:tc>
        <w:tc>
          <w:tcPr>
            <w:tcW w:w="1421" w:type="dxa"/>
            <w:shd w:val="clear" w:color="auto" w:fill="CCEAF9" w:themeFill="accent1" w:themeFillTint="33"/>
            <w:vAlign w:val="center"/>
            <w:hideMark/>
          </w:tcPr>
          <w:p w:rsidR="00F645C1" w:rsidRPr="00403015" w:rsidRDefault="00F645C1" w:rsidP="005C5D55">
            <w:pPr>
              <w:keepNext/>
              <w:keepLines/>
              <w:spacing w:after="0" w:line="240" w:lineRule="auto"/>
              <w:jc w:val="right"/>
              <w:rPr>
                <w:rFonts w:asciiTheme="minorHAnsi" w:eastAsia="Times New Roman" w:hAnsiTheme="minorHAnsi" w:cs="Arial"/>
                <w:sz w:val="18"/>
                <w:szCs w:val="18"/>
              </w:rPr>
            </w:pPr>
            <w:r w:rsidRPr="00403015">
              <w:rPr>
                <w:rFonts w:asciiTheme="minorHAnsi" w:eastAsia="Times New Roman" w:hAnsiTheme="minorHAnsi" w:cs="Arial"/>
                <w:sz w:val="18"/>
                <w:szCs w:val="18"/>
              </w:rPr>
              <w:t>3.9</w:t>
            </w:r>
          </w:p>
        </w:tc>
        <w:tc>
          <w:tcPr>
            <w:tcW w:w="1269" w:type="dxa"/>
            <w:shd w:val="clear" w:color="auto" w:fill="CCEAF9" w:themeFill="accent1" w:themeFillTint="33"/>
            <w:vAlign w:val="center"/>
            <w:hideMark/>
          </w:tcPr>
          <w:p w:rsidR="00F645C1" w:rsidRPr="00403015" w:rsidRDefault="00F645C1" w:rsidP="005C5D55">
            <w:pPr>
              <w:keepNext/>
              <w:keepLines/>
              <w:spacing w:after="0" w:line="240" w:lineRule="auto"/>
              <w:jc w:val="right"/>
              <w:rPr>
                <w:rFonts w:asciiTheme="minorHAnsi" w:eastAsia="Times New Roman" w:hAnsiTheme="minorHAnsi" w:cs="Arial"/>
                <w:sz w:val="18"/>
                <w:szCs w:val="18"/>
              </w:rPr>
            </w:pPr>
            <w:r w:rsidRPr="00403015">
              <w:rPr>
                <w:rFonts w:asciiTheme="minorHAnsi" w:eastAsia="Times New Roman" w:hAnsiTheme="minorHAnsi" w:cs="Arial"/>
                <w:sz w:val="18"/>
                <w:szCs w:val="18"/>
              </w:rPr>
              <w:t>5.1</w:t>
            </w:r>
          </w:p>
        </w:tc>
        <w:tc>
          <w:tcPr>
            <w:tcW w:w="1269" w:type="dxa"/>
            <w:shd w:val="clear" w:color="auto" w:fill="CCEAF9" w:themeFill="accent1" w:themeFillTint="33"/>
            <w:vAlign w:val="center"/>
            <w:hideMark/>
          </w:tcPr>
          <w:p w:rsidR="00F645C1" w:rsidRPr="00403015" w:rsidRDefault="00F645C1" w:rsidP="005C5D55">
            <w:pPr>
              <w:keepNext/>
              <w:keepLines/>
              <w:spacing w:after="0" w:line="240" w:lineRule="auto"/>
              <w:jc w:val="right"/>
              <w:rPr>
                <w:rFonts w:asciiTheme="minorHAnsi" w:eastAsia="Times New Roman" w:hAnsiTheme="minorHAnsi" w:cs="Arial"/>
                <w:sz w:val="18"/>
                <w:szCs w:val="18"/>
              </w:rPr>
            </w:pPr>
            <w:r w:rsidRPr="00403015">
              <w:rPr>
                <w:rFonts w:asciiTheme="minorHAnsi" w:eastAsia="Times New Roman" w:hAnsiTheme="minorHAnsi" w:cs="Arial"/>
                <w:sz w:val="18"/>
                <w:szCs w:val="18"/>
              </w:rPr>
              <w:t>9.0</w:t>
            </w:r>
          </w:p>
        </w:tc>
      </w:tr>
      <w:tr w:rsidR="00F645C1" w:rsidRPr="00403015" w:rsidTr="003021D4">
        <w:trPr>
          <w:trHeight w:val="270"/>
          <w:jc w:val="center"/>
        </w:trPr>
        <w:tc>
          <w:tcPr>
            <w:tcW w:w="982" w:type="dxa"/>
            <w:shd w:val="clear" w:color="auto" w:fill="auto"/>
            <w:vAlign w:val="center"/>
            <w:hideMark/>
          </w:tcPr>
          <w:p w:rsidR="00F645C1" w:rsidRPr="00403015" w:rsidRDefault="00F645C1" w:rsidP="005C5D55">
            <w:pPr>
              <w:keepNext/>
              <w:keepLines/>
              <w:spacing w:after="0" w:line="240" w:lineRule="auto"/>
              <w:rPr>
                <w:rFonts w:asciiTheme="minorHAnsi" w:eastAsia="Times New Roman" w:hAnsiTheme="minorHAnsi" w:cs="Arial"/>
                <w:b/>
                <w:bCs/>
                <w:sz w:val="18"/>
                <w:szCs w:val="18"/>
              </w:rPr>
            </w:pPr>
            <w:r w:rsidRPr="00403015">
              <w:rPr>
                <w:rFonts w:asciiTheme="minorHAnsi" w:eastAsia="Times New Roman" w:hAnsiTheme="minorHAnsi" w:cs="Arial"/>
                <w:b/>
                <w:bCs/>
                <w:sz w:val="18"/>
                <w:szCs w:val="18"/>
              </w:rPr>
              <w:t>2011</w:t>
            </w:r>
          </w:p>
        </w:tc>
        <w:tc>
          <w:tcPr>
            <w:tcW w:w="1421" w:type="dxa"/>
            <w:shd w:val="clear" w:color="auto" w:fill="auto"/>
            <w:vAlign w:val="center"/>
            <w:hideMark/>
          </w:tcPr>
          <w:p w:rsidR="00F645C1" w:rsidRPr="00403015" w:rsidRDefault="00F645C1" w:rsidP="005C5D55">
            <w:pPr>
              <w:keepNext/>
              <w:keepLines/>
              <w:spacing w:after="0" w:line="240" w:lineRule="auto"/>
              <w:jc w:val="right"/>
              <w:rPr>
                <w:rFonts w:asciiTheme="minorHAnsi" w:eastAsia="Times New Roman" w:hAnsiTheme="minorHAnsi" w:cs="Arial"/>
                <w:sz w:val="18"/>
                <w:szCs w:val="18"/>
              </w:rPr>
            </w:pPr>
            <w:r w:rsidRPr="00403015">
              <w:rPr>
                <w:rFonts w:asciiTheme="minorHAnsi" w:eastAsia="Times New Roman" w:hAnsiTheme="minorHAnsi" w:cs="Arial"/>
                <w:sz w:val="18"/>
                <w:szCs w:val="18"/>
              </w:rPr>
              <w:t>6.0</w:t>
            </w:r>
          </w:p>
        </w:tc>
        <w:tc>
          <w:tcPr>
            <w:tcW w:w="1269" w:type="dxa"/>
            <w:shd w:val="clear" w:color="auto" w:fill="auto"/>
            <w:vAlign w:val="center"/>
            <w:hideMark/>
          </w:tcPr>
          <w:p w:rsidR="00F645C1" w:rsidRPr="00403015" w:rsidRDefault="00F645C1" w:rsidP="005C5D55">
            <w:pPr>
              <w:keepNext/>
              <w:keepLines/>
              <w:spacing w:after="0" w:line="240" w:lineRule="auto"/>
              <w:jc w:val="right"/>
              <w:rPr>
                <w:rFonts w:asciiTheme="minorHAnsi" w:eastAsia="Times New Roman" w:hAnsiTheme="minorHAnsi" w:cs="Arial"/>
                <w:sz w:val="18"/>
                <w:szCs w:val="18"/>
              </w:rPr>
            </w:pPr>
            <w:r w:rsidRPr="00403015">
              <w:rPr>
                <w:rFonts w:asciiTheme="minorHAnsi" w:eastAsia="Times New Roman" w:hAnsiTheme="minorHAnsi" w:cs="Arial"/>
                <w:sz w:val="18"/>
                <w:szCs w:val="18"/>
              </w:rPr>
              <w:t>5.8</w:t>
            </w:r>
          </w:p>
        </w:tc>
        <w:tc>
          <w:tcPr>
            <w:tcW w:w="1269" w:type="dxa"/>
            <w:shd w:val="clear" w:color="auto" w:fill="auto"/>
            <w:vAlign w:val="center"/>
            <w:hideMark/>
          </w:tcPr>
          <w:p w:rsidR="00F645C1" w:rsidRPr="00403015" w:rsidRDefault="00F645C1" w:rsidP="005C5D55">
            <w:pPr>
              <w:keepNext/>
              <w:keepLines/>
              <w:spacing w:after="0" w:line="240" w:lineRule="auto"/>
              <w:jc w:val="right"/>
              <w:rPr>
                <w:rFonts w:asciiTheme="minorHAnsi" w:eastAsia="Times New Roman" w:hAnsiTheme="minorHAnsi" w:cs="Arial"/>
                <w:sz w:val="18"/>
                <w:szCs w:val="18"/>
              </w:rPr>
            </w:pPr>
            <w:r w:rsidRPr="00403015">
              <w:rPr>
                <w:rFonts w:asciiTheme="minorHAnsi" w:eastAsia="Times New Roman" w:hAnsiTheme="minorHAnsi" w:cs="Arial"/>
                <w:sz w:val="18"/>
                <w:szCs w:val="18"/>
              </w:rPr>
              <w:t>11.9</w:t>
            </w:r>
          </w:p>
        </w:tc>
      </w:tr>
      <w:tr w:rsidR="00F645C1" w:rsidRPr="00403015" w:rsidTr="003021D4">
        <w:trPr>
          <w:trHeight w:val="270"/>
          <w:jc w:val="center"/>
        </w:trPr>
        <w:tc>
          <w:tcPr>
            <w:tcW w:w="982" w:type="dxa"/>
            <w:shd w:val="clear" w:color="auto" w:fill="CCEAF9" w:themeFill="accent1" w:themeFillTint="33"/>
            <w:vAlign w:val="center"/>
            <w:hideMark/>
          </w:tcPr>
          <w:p w:rsidR="00F645C1" w:rsidRPr="00403015" w:rsidRDefault="00F645C1" w:rsidP="005C5D55">
            <w:pPr>
              <w:keepNext/>
              <w:keepLines/>
              <w:spacing w:after="0" w:line="240" w:lineRule="auto"/>
              <w:rPr>
                <w:rFonts w:asciiTheme="minorHAnsi" w:eastAsia="Times New Roman" w:hAnsiTheme="minorHAnsi" w:cs="Arial"/>
                <w:b/>
                <w:bCs/>
                <w:sz w:val="18"/>
                <w:szCs w:val="18"/>
              </w:rPr>
            </w:pPr>
            <w:r w:rsidRPr="00403015">
              <w:rPr>
                <w:rFonts w:asciiTheme="minorHAnsi" w:eastAsia="Times New Roman" w:hAnsiTheme="minorHAnsi" w:cs="Arial"/>
                <w:b/>
                <w:bCs/>
                <w:sz w:val="18"/>
                <w:szCs w:val="18"/>
              </w:rPr>
              <w:t>2012</w:t>
            </w:r>
          </w:p>
        </w:tc>
        <w:tc>
          <w:tcPr>
            <w:tcW w:w="1421" w:type="dxa"/>
            <w:shd w:val="clear" w:color="auto" w:fill="CCEAF9" w:themeFill="accent1" w:themeFillTint="33"/>
            <w:vAlign w:val="center"/>
            <w:hideMark/>
          </w:tcPr>
          <w:p w:rsidR="00F645C1" w:rsidRPr="00403015" w:rsidRDefault="00F645C1" w:rsidP="005C5D55">
            <w:pPr>
              <w:keepNext/>
              <w:keepLines/>
              <w:spacing w:after="0" w:line="240" w:lineRule="auto"/>
              <w:jc w:val="right"/>
              <w:rPr>
                <w:rFonts w:asciiTheme="minorHAnsi" w:eastAsia="Times New Roman" w:hAnsiTheme="minorHAnsi" w:cs="Arial"/>
                <w:sz w:val="18"/>
                <w:szCs w:val="18"/>
              </w:rPr>
            </w:pPr>
            <w:r w:rsidRPr="00403015">
              <w:rPr>
                <w:rFonts w:asciiTheme="minorHAnsi" w:eastAsia="Times New Roman" w:hAnsiTheme="minorHAnsi" w:cs="Arial"/>
                <w:sz w:val="18"/>
                <w:szCs w:val="18"/>
              </w:rPr>
              <w:t>8.8</w:t>
            </w:r>
          </w:p>
        </w:tc>
        <w:tc>
          <w:tcPr>
            <w:tcW w:w="1269" w:type="dxa"/>
            <w:shd w:val="clear" w:color="auto" w:fill="CCEAF9" w:themeFill="accent1" w:themeFillTint="33"/>
            <w:vAlign w:val="center"/>
            <w:hideMark/>
          </w:tcPr>
          <w:p w:rsidR="00F645C1" w:rsidRPr="00403015" w:rsidRDefault="00F645C1" w:rsidP="005C5D55">
            <w:pPr>
              <w:keepNext/>
              <w:keepLines/>
              <w:spacing w:after="0" w:line="240" w:lineRule="auto"/>
              <w:jc w:val="right"/>
              <w:rPr>
                <w:rFonts w:asciiTheme="minorHAnsi" w:eastAsia="Times New Roman" w:hAnsiTheme="minorHAnsi" w:cs="Arial"/>
                <w:sz w:val="18"/>
                <w:szCs w:val="18"/>
              </w:rPr>
            </w:pPr>
            <w:r w:rsidRPr="00403015">
              <w:rPr>
                <w:rFonts w:asciiTheme="minorHAnsi" w:eastAsia="Times New Roman" w:hAnsiTheme="minorHAnsi" w:cs="Arial"/>
                <w:sz w:val="18"/>
                <w:szCs w:val="18"/>
              </w:rPr>
              <w:t>14.9</w:t>
            </w:r>
          </w:p>
        </w:tc>
        <w:tc>
          <w:tcPr>
            <w:tcW w:w="1269" w:type="dxa"/>
            <w:shd w:val="clear" w:color="auto" w:fill="CCEAF9" w:themeFill="accent1" w:themeFillTint="33"/>
            <w:vAlign w:val="center"/>
            <w:hideMark/>
          </w:tcPr>
          <w:p w:rsidR="00F645C1" w:rsidRPr="00403015" w:rsidRDefault="00F645C1" w:rsidP="005C5D55">
            <w:pPr>
              <w:keepNext/>
              <w:keepLines/>
              <w:spacing w:after="0" w:line="240" w:lineRule="auto"/>
              <w:jc w:val="right"/>
              <w:rPr>
                <w:rFonts w:asciiTheme="minorHAnsi" w:eastAsia="Times New Roman" w:hAnsiTheme="minorHAnsi" w:cs="Arial"/>
                <w:sz w:val="18"/>
                <w:szCs w:val="18"/>
              </w:rPr>
            </w:pPr>
            <w:r w:rsidRPr="00403015">
              <w:rPr>
                <w:rFonts w:asciiTheme="minorHAnsi" w:eastAsia="Times New Roman" w:hAnsiTheme="minorHAnsi" w:cs="Arial"/>
                <w:sz w:val="18"/>
                <w:szCs w:val="18"/>
              </w:rPr>
              <w:t>23.6</w:t>
            </w:r>
          </w:p>
        </w:tc>
      </w:tr>
      <w:tr w:rsidR="00F645C1" w:rsidRPr="00403015" w:rsidTr="003021D4">
        <w:trPr>
          <w:trHeight w:val="270"/>
          <w:jc w:val="center"/>
        </w:trPr>
        <w:tc>
          <w:tcPr>
            <w:tcW w:w="982" w:type="dxa"/>
            <w:shd w:val="clear" w:color="auto" w:fill="auto"/>
            <w:vAlign w:val="center"/>
            <w:hideMark/>
          </w:tcPr>
          <w:p w:rsidR="00F645C1" w:rsidRPr="00403015" w:rsidRDefault="00F645C1" w:rsidP="005C5D55">
            <w:pPr>
              <w:keepNext/>
              <w:keepLines/>
              <w:spacing w:after="0" w:line="240" w:lineRule="auto"/>
              <w:rPr>
                <w:rFonts w:asciiTheme="minorHAnsi" w:eastAsia="Times New Roman" w:hAnsiTheme="minorHAnsi" w:cs="Arial"/>
                <w:b/>
                <w:bCs/>
                <w:sz w:val="18"/>
                <w:szCs w:val="18"/>
              </w:rPr>
            </w:pPr>
            <w:r w:rsidRPr="00403015">
              <w:rPr>
                <w:rFonts w:asciiTheme="minorHAnsi" w:eastAsia="Times New Roman" w:hAnsiTheme="minorHAnsi" w:cs="Arial"/>
                <w:b/>
                <w:bCs/>
                <w:sz w:val="18"/>
                <w:szCs w:val="18"/>
              </w:rPr>
              <w:t>2013</w:t>
            </w:r>
          </w:p>
        </w:tc>
        <w:tc>
          <w:tcPr>
            <w:tcW w:w="1421" w:type="dxa"/>
            <w:shd w:val="clear" w:color="auto" w:fill="auto"/>
            <w:vAlign w:val="center"/>
            <w:hideMark/>
          </w:tcPr>
          <w:p w:rsidR="00F645C1" w:rsidRPr="00403015" w:rsidRDefault="00F645C1" w:rsidP="005C5D55">
            <w:pPr>
              <w:keepNext/>
              <w:keepLines/>
              <w:spacing w:after="0" w:line="240" w:lineRule="auto"/>
              <w:jc w:val="right"/>
              <w:rPr>
                <w:rFonts w:asciiTheme="minorHAnsi" w:eastAsia="Times New Roman" w:hAnsiTheme="minorHAnsi" w:cs="Arial"/>
                <w:sz w:val="18"/>
                <w:szCs w:val="18"/>
              </w:rPr>
            </w:pPr>
            <w:r w:rsidRPr="00403015">
              <w:rPr>
                <w:rFonts w:asciiTheme="minorHAnsi" w:eastAsia="Times New Roman" w:hAnsiTheme="minorHAnsi" w:cs="Arial"/>
                <w:sz w:val="18"/>
                <w:szCs w:val="18"/>
              </w:rPr>
              <w:t>38.0</w:t>
            </w:r>
          </w:p>
        </w:tc>
        <w:tc>
          <w:tcPr>
            <w:tcW w:w="1269" w:type="dxa"/>
            <w:shd w:val="clear" w:color="auto" w:fill="auto"/>
            <w:vAlign w:val="center"/>
            <w:hideMark/>
          </w:tcPr>
          <w:p w:rsidR="00F645C1" w:rsidRPr="00403015" w:rsidRDefault="00F645C1" w:rsidP="005C5D55">
            <w:pPr>
              <w:keepNext/>
              <w:keepLines/>
              <w:spacing w:after="0" w:line="240" w:lineRule="auto"/>
              <w:jc w:val="right"/>
              <w:rPr>
                <w:rFonts w:asciiTheme="minorHAnsi" w:eastAsia="Times New Roman" w:hAnsiTheme="minorHAnsi" w:cs="Arial"/>
                <w:sz w:val="18"/>
                <w:szCs w:val="18"/>
              </w:rPr>
            </w:pPr>
            <w:r w:rsidRPr="00403015">
              <w:rPr>
                <w:rFonts w:asciiTheme="minorHAnsi" w:eastAsia="Times New Roman" w:hAnsiTheme="minorHAnsi" w:cs="Arial"/>
                <w:sz w:val="18"/>
                <w:szCs w:val="18"/>
              </w:rPr>
              <w:t>16.6</w:t>
            </w:r>
          </w:p>
        </w:tc>
        <w:tc>
          <w:tcPr>
            <w:tcW w:w="1269" w:type="dxa"/>
            <w:shd w:val="clear" w:color="auto" w:fill="auto"/>
            <w:vAlign w:val="center"/>
            <w:hideMark/>
          </w:tcPr>
          <w:p w:rsidR="00F645C1" w:rsidRPr="00403015" w:rsidRDefault="00F645C1" w:rsidP="005C5D55">
            <w:pPr>
              <w:keepNext/>
              <w:keepLines/>
              <w:spacing w:after="0" w:line="240" w:lineRule="auto"/>
              <w:jc w:val="right"/>
              <w:rPr>
                <w:rFonts w:asciiTheme="minorHAnsi" w:eastAsia="Times New Roman" w:hAnsiTheme="minorHAnsi" w:cs="Arial"/>
                <w:sz w:val="18"/>
                <w:szCs w:val="18"/>
              </w:rPr>
            </w:pPr>
            <w:r w:rsidRPr="00403015">
              <w:rPr>
                <w:rFonts w:asciiTheme="minorHAnsi" w:eastAsia="Times New Roman" w:hAnsiTheme="minorHAnsi" w:cs="Arial"/>
                <w:sz w:val="18"/>
                <w:szCs w:val="18"/>
              </w:rPr>
              <w:t>54.6</w:t>
            </w:r>
          </w:p>
        </w:tc>
      </w:tr>
      <w:tr w:rsidR="00F645C1" w:rsidRPr="00403015" w:rsidTr="003021D4">
        <w:trPr>
          <w:trHeight w:val="270"/>
          <w:jc w:val="center"/>
        </w:trPr>
        <w:tc>
          <w:tcPr>
            <w:tcW w:w="982" w:type="dxa"/>
            <w:shd w:val="clear" w:color="auto" w:fill="CCEAF9" w:themeFill="accent1" w:themeFillTint="33"/>
            <w:vAlign w:val="center"/>
            <w:hideMark/>
          </w:tcPr>
          <w:p w:rsidR="00F645C1" w:rsidRPr="00403015" w:rsidRDefault="00F645C1" w:rsidP="005C5D55">
            <w:pPr>
              <w:keepNext/>
              <w:keepLines/>
              <w:spacing w:after="0" w:line="240" w:lineRule="auto"/>
              <w:rPr>
                <w:rFonts w:asciiTheme="minorHAnsi" w:eastAsia="Times New Roman" w:hAnsiTheme="minorHAnsi" w:cs="Arial"/>
                <w:b/>
                <w:bCs/>
                <w:sz w:val="18"/>
                <w:szCs w:val="18"/>
              </w:rPr>
            </w:pPr>
            <w:r w:rsidRPr="00403015">
              <w:rPr>
                <w:rFonts w:asciiTheme="minorHAnsi" w:eastAsia="Times New Roman" w:hAnsiTheme="minorHAnsi" w:cs="Arial"/>
                <w:b/>
                <w:bCs/>
                <w:sz w:val="18"/>
                <w:szCs w:val="18"/>
              </w:rPr>
              <w:t>2014</w:t>
            </w:r>
          </w:p>
        </w:tc>
        <w:tc>
          <w:tcPr>
            <w:tcW w:w="1421" w:type="dxa"/>
            <w:shd w:val="clear" w:color="auto" w:fill="CCEAF9" w:themeFill="accent1" w:themeFillTint="33"/>
            <w:vAlign w:val="center"/>
            <w:hideMark/>
          </w:tcPr>
          <w:p w:rsidR="00F645C1" w:rsidRPr="00403015" w:rsidRDefault="00F645C1" w:rsidP="005C5D55">
            <w:pPr>
              <w:keepNext/>
              <w:keepLines/>
              <w:spacing w:after="0" w:line="240" w:lineRule="auto"/>
              <w:jc w:val="right"/>
              <w:rPr>
                <w:rFonts w:asciiTheme="minorHAnsi" w:eastAsia="Times New Roman" w:hAnsiTheme="minorHAnsi" w:cs="Arial"/>
                <w:sz w:val="18"/>
                <w:szCs w:val="18"/>
              </w:rPr>
            </w:pPr>
            <w:r w:rsidRPr="00403015">
              <w:rPr>
                <w:rFonts w:asciiTheme="minorHAnsi" w:eastAsia="Times New Roman" w:hAnsiTheme="minorHAnsi" w:cs="Arial"/>
                <w:sz w:val="18"/>
                <w:szCs w:val="18"/>
              </w:rPr>
              <w:t>32.4</w:t>
            </w:r>
          </w:p>
        </w:tc>
        <w:tc>
          <w:tcPr>
            <w:tcW w:w="1269" w:type="dxa"/>
            <w:shd w:val="clear" w:color="auto" w:fill="CCEAF9" w:themeFill="accent1" w:themeFillTint="33"/>
            <w:vAlign w:val="center"/>
            <w:hideMark/>
          </w:tcPr>
          <w:p w:rsidR="00F645C1" w:rsidRPr="00403015" w:rsidRDefault="00F645C1" w:rsidP="005C5D55">
            <w:pPr>
              <w:keepNext/>
              <w:keepLines/>
              <w:spacing w:after="0" w:line="240" w:lineRule="auto"/>
              <w:jc w:val="right"/>
              <w:rPr>
                <w:rFonts w:asciiTheme="minorHAnsi" w:eastAsia="Times New Roman" w:hAnsiTheme="minorHAnsi" w:cs="Arial"/>
                <w:sz w:val="18"/>
                <w:szCs w:val="18"/>
              </w:rPr>
            </w:pPr>
            <w:r w:rsidRPr="00403015">
              <w:rPr>
                <w:rFonts w:asciiTheme="minorHAnsi" w:eastAsia="Times New Roman" w:hAnsiTheme="minorHAnsi" w:cs="Arial"/>
                <w:sz w:val="18"/>
                <w:szCs w:val="18"/>
              </w:rPr>
              <w:t>6.2</w:t>
            </w:r>
          </w:p>
        </w:tc>
        <w:tc>
          <w:tcPr>
            <w:tcW w:w="1269" w:type="dxa"/>
            <w:shd w:val="clear" w:color="auto" w:fill="CCEAF9" w:themeFill="accent1" w:themeFillTint="33"/>
            <w:vAlign w:val="center"/>
            <w:hideMark/>
          </w:tcPr>
          <w:p w:rsidR="00F645C1" w:rsidRPr="00403015" w:rsidRDefault="00F645C1" w:rsidP="005C5D55">
            <w:pPr>
              <w:keepNext/>
              <w:keepLines/>
              <w:spacing w:after="0" w:line="240" w:lineRule="auto"/>
              <w:jc w:val="right"/>
              <w:rPr>
                <w:rFonts w:asciiTheme="minorHAnsi" w:eastAsia="Times New Roman" w:hAnsiTheme="minorHAnsi" w:cs="Arial"/>
                <w:sz w:val="18"/>
                <w:szCs w:val="18"/>
              </w:rPr>
            </w:pPr>
            <w:r w:rsidRPr="00403015">
              <w:rPr>
                <w:rFonts w:asciiTheme="minorHAnsi" w:eastAsia="Times New Roman" w:hAnsiTheme="minorHAnsi" w:cs="Arial"/>
                <w:sz w:val="18"/>
                <w:szCs w:val="18"/>
              </w:rPr>
              <w:t>38.5</w:t>
            </w:r>
          </w:p>
        </w:tc>
      </w:tr>
      <w:tr w:rsidR="00F645C1" w:rsidRPr="00403015" w:rsidTr="003021D4">
        <w:trPr>
          <w:trHeight w:val="270"/>
          <w:jc w:val="center"/>
        </w:trPr>
        <w:tc>
          <w:tcPr>
            <w:tcW w:w="982" w:type="dxa"/>
            <w:shd w:val="clear" w:color="auto" w:fill="auto"/>
            <w:vAlign w:val="center"/>
            <w:hideMark/>
          </w:tcPr>
          <w:p w:rsidR="00F645C1" w:rsidRPr="00403015" w:rsidRDefault="00F645C1" w:rsidP="005C5D55">
            <w:pPr>
              <w:keepNext/>
              <w:keepLines/>
              <w:spacing w:after="0" w:line="240" w:lineRule="auto"/>
              <w:rPr>
                <w:rFonts w:asciiTheme="minorHAnsi" w:eastAsia="Times New Roman" w:hAnsiTheme="minorHAnsi" w:cs="Arial"/>
                <w:b/>
                <w:bCs/>
                <w:sz w:val="18"/>
                <w:szCs w:val="18"/>
              </w:rPr>
            </w:pPr>
            <w:r w:rsidRPr="00403015">
              <w:rPr>
                <w:rFonts w:asciiTheme="minorHAnsi" w:eastAsia="Times New Roman" w:hAnsiTheme="minorHAnsi" w:cs="Arial"/>
                <w:b/>
                <w:bCs/>
                <w:sz w:val="18"/>
                <w:szCs w:val="18"/>
              </w:rPr>
              <w:t>2015</w:t>
            </w:r>
          </w:p>
        </w:tc>
        <w:tc>
          <w:tcPr>
            <w:tcW w:w="1421" w:type="dxa"/>
            <w:shd w:val="clear" w:color="auto" w:fill="auto"/>
            <w:vAlign w:val="center"/>
            <w:hideMark/>
          </w:tcPr>
          <w:p w:rsidR="00F645C1" w:rsidRPr="00403015" w:rsidRDefault="00F645C1" w:rsidP="005C5D55">
            <w:pPr>
              <w:keepNext/>
              <w:keepLines/>
              <w:spacing w:after="0" w:line="240" w:lineRule="auto"/>
              <w:jc w:val="right"/>
              <w:rPr>
                <w:rFonts w:asciiTheme="minorHAnsi" w:eastAsia="Times New Roman" w:hAnsiTheme="minorHAnsi" w:cs="Arial"/>
                <w:sz w:val="18"/>
                <w:szCs w:val="18"/>
              </w:rPr>
            </w:pPr>
            <w:r w:rsidRPr="00403015">
              <w:rPr>
                <w:rFonts w:asciiTheme="minorHAnsi" w:eastAsia="Times New Roman" w:hAnsiTheme="minorHAnsi" w:cs="Arial"/>
                <w:sz w:val="18"/>
                <w:szCs w:val="18"/>
              </w:rPr>
              <w:t>42.7</w:t>
            </w:r>
          </w:p>
        </w:tc>
        <w:tc>
          <w:tcPr>
            <w:tcW w:w="1269" w:type="dxa"/>
            <w:shd w:val="clear" w:color="auto" w:fill="auto"/>
            <w:vAlign w:val="center"/>
            <w:hideMark/>
          </w:tcPr>
          <w:p w:rsidR="00F645C1" w:rsidRPr="00403015" w:rsidRDefault="00F645C1" w:rsidP="005C5D55">
            <w:pPr>
              <w:keepNext/>
              <w:keepLines/>
              <w:spacing w:after="0" w:line="240" w:lineRule="auto"/>
              <w:jc w:val="right"/>
              <w:rPr>
                <w:rFonts w:asciiTheme="minorHAnsi" w:eastAsia="Times New Roman" w:hAnsiTheme="minorHAnsi" w:cs="Arial"/>
                <w:sz w:val="18"/>
                <w:szCs w:val="18"/>
              </w:rPr>
            </w:pPr>
            <w:r w:rsidRPr="00403015">
              <w:rPr>
                <w:rFonts w:asciiTheme="minorHAnsi" w:eastAsia="Times New Roman" w:hAnsiTheme="minorHAnsi" w:cs="Arial"/>
                <w:sz w:val="18"/>
                <w:szCs w:val="18"/>
              </w:rPr>
              <w:t>5.4</w:t>
            </w:r>
          </w:p>
        </w:tc>
        <w:tc>
          <w:tcPr>
            <w:tcW w:w="1269" w:type="dxa"/>
            <w:shd w:val="clear" w:color="auto" w:fill="auto"/>
            <w:vAlign w:val="center"/>
            <w:hideMark/>
          </w:tcPr>
          <w:p w:rsidR="00F645C1" w:rsidRPr="00403015" w:rsidRDefault="00F645C1" w:rsidP="005C5D55">
            <w:pPr>
              <w:keepNext/>
              <w:keepLines/>
              <w:spacing w:after="0" w:line="240" w:lineRule="auto"/>
              <w:jc w:val="right"/>
              <w:rPr>
                <w:rFonts w:asciiTheme="minorHAnsi" w:eastAsia="Times New Roman" w:hAnsiTheme="minorHAnsi" w:cs="Arial"/>
                <w:sz w:val="18"/>
                <w:szCs w:val="18"/>
              </w:rPr>
            </w:pPr>
            <w:r w:rsidRPr="00403015">
              <w:rPr>
                <w:rFonts w:asciiTheme="minorHAnsi" w:eastAsia="Times New Roman" w:hAnsiTheme="minorHAnsi" w:cs="Arial"/>
                <w:sz w:val="18"/>
                <w:szCs w:val="18"/>
              </w:rPr>
              <w:t>48.1</w:t>
            </w:r>
          </w:p>
        </w:tc>
      </w:tr>
      <w:tr w:rsidR="00F645C1" w:rsidRPr="00403015" w:rsidTr="003021D4">
        <w:trPr>
          <w:trHeight w:val="270"/>
          <w:jc w:val="center"/>
        </w:trPr>
        <w:tc>
          <w:tcPr>
            <w:tcW w:w="982" w:type="dxa"/>
            <w:shd w:val="clear" w:color="auto" w:fill="CCEAF9" w:themeFill="accent1" w:themeFillTint="33"/>
            <w:vAlign w:val="center"/>
            <w:hideMark/>
          </w:tcPr>
          <w:p w:rsidR="00F645C1" w:rsidRPr="00403015" w:rsidRDefault="00F645C1" w:rsidP="005C5D55">
            <w:pPr>
              <w:keepNext/>
              <w:keepLines/>
              <w:spacing w:after="0" w:line="240" w:lineRule="auto"/>
              <w:rPr>
                <w:rFonts w:asciiTheme="minorHAnsi" w:eastAsia="Times New Roman" w:hAnsiTheme="minorHAnsi" w:cs="Arial"/>
                <w:b/>
                <w:bCs/>
                <w:sz w:val="18"/>
                <w:szCs w:val="18"/>
              </w:rPr>
            </w:pPr>
            <w:r w:rsidRPr="00403015">
              <w:rPr>
                <w:rFonts w:asciiTheme="minorHAnsi" w:eastAsia="Times New Roman" w:hAnsiTheme="minorHAnsi" w:cs="Arial"/>
                <w:b/>
                <w:bCs/>
                <w:sz w:val="18"/>
                <w:szCs w:val="18"/>
              </w:rPr>
              <w:t>2016</w:t>
            </w:r>
          </w:p>
        </w:tc>
        <w:tc>
          <w:tcPr>
            <w:tcW w:w="1421" w:type="dxa"/>
            <w:shd w:val="clear" w:color="auto" w:fill="CCEAF9" w:themeFill="accent1" w:themeFillTint="33"/>
            <w:vAlign w:val="center"/>
            <w:hideMark/>
          </w:tcPr>
          <w:p w:rsidR="00F645C1" w:rsidRPr="00403015" w:rsidRDefault="00F645C1" w:rsidP="005C5D55">
            <w:pPr>
              <w:keepNext/>
              <w:keepLines/>
              <w:spacing w:after="0" w:line="240" w:lineRule="auto"/>
              <w:jc w:val="right"/>
              <w:rPr>
                <w:rFonts w:asciiTheme="minorHAnsi" w:eastAsia="Times New Roman" w:hAnsiTheme="minorHAnsi" w:cs="Arial"/>
                <w:sz w:val="18"/>
                <w:szCs w:val="18"/>
              </w:rPr>
            </w:pPr>
            <w:r w:rsidRPr="00403015">
              <w:rPr>
                <w:rFonts w:asciiTheme="minorHAnsi" w:eastAsia="Times New Roman" w:hAnsiTheme="minorHAnsi" w:cs="Arial"/>
                <w:sz w:val="18"/>
                <w:szCs w:val="18"/>
              </w:rPr>
              <w:t>31.1</w:t>
            </w:r>
          </w:p>
        </w:tc>
        <w:tc>
          <w:tcPr>
            <w:tcW w:w="1269" w:type="dxa"/>
            <w:shd w:val="clear" w:color="auto" w:fill="CCEAF9" w:themeFill="accent1" w:themeFillTint="33"/>
            <w:vAlign w:val="center"/>
            <w:hideMark/>
          </w:tcPr>
          <w:p w:rsidR="00F645C1" w:rsidRPr="00403015" w:rsidRDefault="00F645C1" w:rsidP="005C5D55">
            <w:pPr>
              <w:keepNext/>
              <w:keepLines/>
              <w:spacing w:after="0" w:line="240" w:lineRule="auto"/>
              <w:jc w:val="right"/>
              <w:rPr>
                <w:rFonts w:asciiTheme="minorHAnsi" w:eastAsia="Times New Roman" w:hAnsiTheme="minorHAnsi" w:cs="Arial"/>
                <w:sz w:val="18"/>
                <w:szCs w:val="18"/>
              </w:rPr>
            </w:pPr>
            <w:r w:rsidRPr="00403015">
              <w:rPr>
                <w:rFonts w:asciiTheme="minorHAnsi" w:eastAsia="Times New Roman" w:hAnsiTheme="minorHAnsi" w:cs="Arial"/>
                <w:sz w:val="18"/>
                <w:szCs w:val="18"/>
              </w:rPr>
              <w:t>1.4</w:t>
            </w:r>
          </w:p>
        </w:tc>
        <w:tc>
          <w:tcPr>
            <w:tcW w:w="1269" w:type="dxa"/>
            <w:shd w:val="clear" w:color="auto" w:fill="CCEAF9" w:themeFill="accent1" w:themeFillTint="33"/>
            <w:vAlign w:val="center"/>
            <w:hideMark/>
          </w:tcPr>
          <w:p w:rsidR="00F645C1" w:rsidRPr="00403015" w:rsidRDefault="00F645C1" w:rsidP="005C5D55">
            <w:pPr>
              <w:keepNext/>
              <w:keepLines/>
              <w:spacing w:after="0" w:line="240" w:lineRule="auto"/>
              <w:jc w:val="right"/>
              <w:rPr>
                <w:rFonts w:asciiTheme="minorHAnsi" w:eastAsia="Times New Roman" w:hAnsiTheme="minorHAnsi" w:cs="Arial"/>
                <w:sz w:val="18"/>
                <w:szCs w:val="18"/>
              </w:rPr>
            </w:pPr>
            <w:r w:rsidRPr="00403015">
              <w:rPr>
                <w:rFonts w:asciiTheme="minorHAnsi" w:eastAsia="Times New Roman" w:hAnsiTheme="minorHAnsi" w:cs="Arial"/>
                <w:sz w:val="18"/>
                <w:szCs w:val="18"/>
              </w:rPr>
              <w:t>32.6</w:t>
            </w:r>
          </w:p>
        </w:tc>
      </w:tr>
    </w:tbl>
    <w:p w:rsidR="00F645C1" w:rsidRPr="00401F54" w:rsidRDefault="00F645C1" w:rsidP="00403015">
      <w:pPr>
        <w:keepNext/>
        <w:keepLines/>
        <w:tabs>
          <w:tab w:val="left" w:pos="6930"/>
          <w:tab w:val="left" w:pos="7110"/>
        </w:tabs>
        <w:spacing w:before="120" w:after="80" w:line="240" w:lineRule="auto"/>
        <w:ind w:left="2340" w:right="2070" w:hanging="270"/>
        <w:rPr>
          <w:rFonts w:asciiTheme="minorHAnsi" w:hAnsiTheme="minorHAnsi" w:cs="Arial"/>
          <w:sz w:val="16"/>
          <w:szCs w:val="16"/>
        </w:rPr>
      </w:pPr>
      <w:r w:rsidRPr="00401F54">
        <w:rPr>
          <w:rFonts w:asciiTheme="minorHAnsi" w:hAnsiTheme="minorHAnsi" w:cs="Arial"/>
          <w:sz w:val="16"/>
          <w:szCs w:val="16"/>
        </w:rPr>
        <w:t>(a) NCPC for first-contingency commitment and distribution support is not included.</w:t>
      </w:r>
    </w:p>
    <w:p w:rsidR="00F645C1" w:rsidRPr="00401F54" w:rsidRDefault="00F645C1" w:rsidP="00403015">
      <w:pPr>
        <w:keepNext/>
        <w:keepLines/>
        <w:tabs>
          <w:tab w:val="left" w:pos="6930"/>
          <w:tab w:val="left" w:pos="7110"/>
        </w:tabs>
        <w:spacing w:after="80" w:line="240" w:lineRule="auto"/>
        <w:ind w:left="2340" w:right="2070" w:hanging="270"/>
        <w:rPr>
          <w:rFonts w:asciiTheme="minorHAnsi" w:hAnsiTheme="minorHAnsi" w:cs="Arial"/>
          <w:sz w:val="16"/>
          <w:szCs w:val="16"/>
        </w:rPr>
      </w:pPr>
      <w:r w:rsidRPr="00401F54">
        <w:rPr>
          <w:rFonts w:asciiTheme="minorHAnsi" w:hAnsiTheme="minorHAnsi" w:cs="Arial"/>
          <w:sz w:val="16"/>
          <w:szCs w:val="16"/>
        </w:rPr>
        <w:t>(b) Numbers may not add precisely due to rounding.</w:t>
      </w:r>
    </w:p>
    <w:p w:rsidR="00F645C1" w:rsidRPr="00401F54" w:rsidRDefault="00F645C1" w:rsidP="00403015">
      <w:pPr>
        <w:tabs>
          <w:tab w:val="left" w:pos="6930"/>
          <w:tab w:val="left" w:pos="7110"/>
        </w:tabs>
        <w:spacing w:line="240" w:lineRule="auto"/>
        <w:ind w:left="2340" w:right="2070" w:hanging="270"/>
        <w:rPr>
          <w:rFonts w:asciiTheme="minorHAnsi" w:hAnsiTheme="minorHAnsi" w:cs="Arial"/>
          <w:sz w:val="16"/>
          <w:szCs w:val="16"/>
        </w:rPr>
      </w:pPr>
      <w:r w:rsidRPr="00401F54">
        <w:rPr>
          <w:rFonts w:asciiTheme="minorHAnsi" w:hAnsiTheme="minorHAnsi" w:cs="Arial"/>
          <w:sz w:val="16"/>
          <w:szCs w:val="16"/>
        </w:rPr>
        <w:t>(c) NCPC under Standard Market Design began in March 2003.</w:t>
      </w:r>
    </w:p>
    <w:p w:rsidR="00F645C1" w:rsidRPr="00F645C1" w:rsidRDefault="00F645C1" w:rsidP="00A42B16">
      <w:r w:rsidRPr="00F645C1">
        <w:t>In 2016</w:t>
      </w:r>
      <w:r w:rsidR="00403015">
        <w:t>,</w:t>
      </w:r>
      <w:r w:rsidRPr="00F645C1">
        <w:t xml:space="preserve"> the ISO filed revisions to </w:t>
      </w:r>
      <w:r w:rsidRPr="00F645C1">
        <w:rPr>
          <w:i/>
        </w:rPr>
        <w:t>Market Rule 1</w:t>
      </w:r>
      <w:r w:rsidRPr="00F645C1">
        <w:t xml:space="preserve"> that calculate NCPC.</w:t>
      </w:r>
      <w:r w:rsidRPr="00F645C1">
        <w:rPr>
          <w:vertAlign w:val="superscript"/>
        </w:rPr>
        <w:footnoteReference w:id="183"/>
      </w:r>
      <w:r w:rsidRPr="00F645C1">
        <w:t xml:space="preserve"> These revisions ensure better consistency with subhourly settlement rules and improve incentives for market participants to follow the ISO’s operating instructions. </w:t>
      </w:r>
    </w:p>
    <w:p w:rsidR="00F645C1" w:rsidRPr="00F645C1" w:rsidRDefault="00F645C1" w:rsidP="00F645C1">
      <w:r w:rsidRPr="00F645C1">
        <w:lastRenderedPageBreak/>
        <w:t>Transmission solutions continue to be put in place where proposed generating or demand resources have not relieved transmission system performance concerns. The ISO is studying many of these areas, and while transmission projects are still being planned for some areas, other areas already have projects under construction and in service to mitigate dependence on generating units. Reliability transmission upgrades were used to address these system performance concerns, which contributed to a substantial reduction in out-of-merit operating costs.</w:t>
      </w:r>
    </w:p>
    <w:p w:rsidR="00F645C1" w:rsidRPr="00F645C1" w:rsidRDefault="00F645C1" w:rsidP="00BD6545">
      <w:pPr>
        <w:pStyle w:val="Heading3"/>
      </w:pPr>
      <w:bookmarkStart w:id="612" w:name="_Toc429063423"/>
      <w:bookmarkStart w:id="613" w:name="_Toc490323059"/>
      <w:r w:rsidRPr="00F645C1">
        <w:t>Required Generator-Interconnection-Related Upgrades</w:t>
      </w:r>
      <w:bookmarkEnd w:id="612"/>
      <w:bookmarkEnd w:id="613"/>
    </w:p>
    <w:p w:rsidR="00F645C1" w:rsidRPr="00F645C1" w:rsidRDefault="00F645C1" w:rsidP="00F645C1">
      <w:r w:rsidRPr="00F645C1">
        <w:t xml:space="preserve">No significant transmission system upgrades resulted from the interconnection of generators. Most of the generator-interconnection-related upgrades are fairly local to the point of interconnection of the </w:t>
      </w:r>
      <w:r w:rsidRPr="00CE4699">
        <w:t xml:space="preserve">generator. The </w:t>
      </w:r>
      <w:r w:rsidRPr="00CE4699">
        <w:rPr>
          <w:i/>
        </w:rPr>
        <w:t xml:space="preserve">RSP Project List </w:t>
      </w:r>
      <w:r w:rsidRPr="00CE4699">
        <w:t>identifies the PTF upgrades (see Section </w:t>
      </w:r>
      <w:r w:rsidRPr="00CE4699">
        <w:fldChar w:fldCharType="begin"/>
      </w:r>
      <w:r w:rsidRPr="00CE4699">
        <w:instrText xml:space="preserve"> REF _Ref418883630 \n \h  \* MERGEFORMAT </w:instrText>
      </w:r>
      <w:r w:rsidRPr="00CE4699">
        <w:fldChar w:fldCharType="separate"/>
      </w:r>
      <w:r w:rsidR="00314781">
        <w:t>4.5.3</w:t>
      </w:r>
      <w:r w:rsidRPr="00CE4699">
        <w:fldChar w:fldCharType="end"/>
      </w:r>
      <w:r w:rsidRPr="00CE4699">
        <w:t>).</w:t>
      </w:r>
    </w:p>
    <w:p w:rsidR="00F645C1" w:rsidRPr="00F645C1" w:rsidRDefault="00F645C1" w:rsidP="00BD6545">
      <w:pPr>
        <w:pStyle w:val="Heading3"/>
      </w:pPr>
      <w:bookmarkStart w:id="614" w:name="_Ref425842205"/>
      <w:bookmarkStart w:id="615" w:name="_Toc429063424"/>
      <w:bookmarkStart w:id="616" w:name="_Toc490323060"/>
      <w:r w:rsidRPr="00F645C1">
        <w:t>Elective Transmission Upgrades</w:t>
      </w:r>
      <w:bookmarkEnd w:id="614"/>
      <w:bookmarkEnd w:id="615"/>
      <w:bookmarkEnd w:id="616"/>
    </w:p>
    <w:p w:rsidR="00F645C1" w:rsidRPr="00F645C1" w:rsidRDefault="00F645C1" w:rsidP="00F645C1">
      <w:r w:rsidRPr="00F645C1">
        <w:t xml:space="preserve">A number of new elective transmission upgrades have been added to the ISO Interconnection </w:t>
      </w:r>
      <w:r w:rsidR="002B0664">
        <w:t xml:space="preserve">Request </w:t>
      </w:r>
      <w:r w:rsidRPr="00F645C1">
        <w:t>Queue. Many of these are focused on delivering zero or low-carbon resources to or within New England. As of April 1, 2017, 15 projects have active interconnection requests as elective transmission upgrades:</w:t>
      </w:r>
    </w:p>
    <w:p w:rsidR="00F645C1" w:rsidRPr="00F645C1" w:rsidRDefault="00F645C1" w:rsidP="003D70FB">
      <w:pPr>
        <w:numPr>
          <w:ilvl w:val="0"/>
          <w:numId w:val="41"/>
        </w:numPr>
        <w:spacing w:after="120"/>
        <w:rPr>
          <w:color w:val="000000"/>
        </w:rPr>
      </w:pPr>
      <w:r w:rsidRPr="00F645C1">
        <w:rPr>
          <w:color w:val="000000"/>
        </w:rPr>
        <w:t>Queue Project (QP)-498: 400 MW, 150 kV HVDC tie; New York Power Authority (NYPA) 230/115 kV substation to VELCO 345 kV New Haven substation</w:t>
      </w:r>
    </w:p>
    <w:p w:rsidR="00F645C1" w:rsidRPr="00F645C1" w:rsidRDefault="00F645C1" w:rsidP="003D70FB">
      <w:pPr>
        <w:numPr>
          <w:ilvl w:val="0"/>
          <w:numId w:val="41"/>
        </w:numPr>
        <w:spacing w:after="120"/>
        <w:rPr>
          <w:color w:val="000000"/>
        </w:rPr>
      </w:pPr>
      <w:r w:rsidRPr="00F645C1">
        <w:rPr>
          <w:color w:val="000000"/>
        </w:rPr>
        <w:t>QP-499: 1,090 MW, 300 kV HVDC/AC tie; HQ Des Cantons substation to Public Service of New Hampshire (PSNH) Deerfield substation</w:t>
      </w:r>
    </w:p>
    <w:p w:rsidR="00F645C1" w:rsidRPr="00F645C1" w:rsidRDefault="00F645C1" w:rsidP="003D70FB">
      <w:pPr>
        <w:numPr>
          <w:ilvl w:val="0"/>
          <w:numId w:val="41"/>
        </w:numPr>
        <w:spacing w:after="120"/>
        <w:rPr>
          <w:color w:val="000000"/>
        </w:rPr>
      </w:pPr>
      <w:r w:rsidRPr="00F645C1">
        <w:rPr>
          <w:color w:val="000000"/>
        </w:rPr>
        <w:t>QP-500: Keene Road ETU, Emera Keene Road substation</w:t>
      </w:r>
    </w:p>
    <w:p w:rsidR="00F645C1" w:rsidRPr="00F645C1" w:rsidRDefault="00F645C1" w:rsidP="003D70FB">
      <w:pPr>
        <w:numPr>
          <w:ilvl w:val="0"/>
          <w:numId w:val="41"/>
        </w:numPr>
        <w:spacing w:after="120"/>
        <w:rPr>
          <w:color w:val="000000"/>
        </w:rPr>
      </w:pPr>
      <w:r w:rsidRPr="00F645C1">
        <w:rPr>
          <w:color w:val="000000"/>
        </w:rPr>
        <w:t>QP-501: 1,000 MW HVDC tie—import only, HQ 735 kV substation to VELCO 345 kV Coolidge substation</w:t>
      </w:r>
    </w:p>
    <w:p w:rsidR="00F645C1" w:rsidRPr="00F645C1" w:rsidRDefault="00F645C1" w:rsidP="003D70FB">
      <w:pPr>
        <w:numPr>
          <w:ilvl w:val="0"/>
          <w:numId w:val="41"/>
        </w:numPr>
        <w:spacing w:after="120"/>
        <w:rPr>
          <w:color w:val="000000"/>
        </w:rPr>
      </w:pPr>
      <w:r w:rsidRPr="00F645C1">
        <w:rPr>
          <w:color w:val="000000"/>
        </w:rPr>
        <w:t>QP-506: 1,000 MW internal HVDC—north to south flow, Northern Maine Independent System Administrator (NMISA) to NSTAR 345 kV K Street substation</w:t>
      </w:r>
    </w:p>
    <w:p w:rsidR="00F645C1" w:rsidRPr="00F645C1" w:rsidRDefault="00F645C1" w:rsidP="003D70FB">
      <w:pPr>
        <w:numPr>
          <w:ilvl w:val="0"/>
          <w:numId w:val="41"/>
        </w:numPr>
        <w:spacing w:after="120"/>
        <w:rPr>
          <w:color w:val="000000"/>
        </w:rPr>
      </w:pPr>
      <w:r w:rsidRPr="00F645C1">
        <w:rPr>
          <w:color w:val="000000"/>
        </w:rPr>
        <w:t>QP-507: 75 MW AC tie—bidirectional; NMISA Mullen substation to Emera Keene Road substation</w:t>
      </w:r>
    </w:p>
    <w:p w:rsidR="00F645C1" w:rsidRPr="00F645C1" w:rsidRDefault="00F645C1" w:rsidP="003D70FB">
      <w:pPr>
        <w:numPr>
          <w:ilvl w:val="0"/>
          <w:numId w:val="41"/>
        </w:numPr>
        <w:spacing w:after="120"/>
        <w:rPr>
          <w:color w:val="000000"/>
        </w:rPr>
      </w:pPr>
      <w:r w:rsidRPr="00F645C1">
        <w:rPr>
          <w:color w:val="000000"/>
        </w:rPr>
        <w:t>QP-508: 600 MW HVDC tie from New York to western Massachusetts—bidirectional; NY Alps substation to Western Massachusetts Electric Company (WMECO) 345 kV Berkshire substation</w:t>
      </w:r>
    </w:p>
    <w:p w:rsidR="00F645C1" w:rsidRPr="00F645C1" w:rsidRDefault="00F645C1" w:rsidP="003D70FB">
      <w:pPr>
        <w:numPr>
          <w:ilvl w:val="0"/>
          <w:numId w:val="41"/>
        </w:numPr>
        <w:spacing w:after="120"/>
        <w:rPr>
          <w:color w:val="000000"/>
        </w:rPr>
      </w:pPr>
      <w:r w:rsidRPr="00F645C1">
        <w:rPr>
          <w:color w:val="000000"/>
        </w:rPr>
        <w:t>QP-569: 1,200 MW internal HVDC-north to south flow, from Emera 345 kV Orrington substation to NSTAR 345 kV K Street substation</w:t>
      </w:r>
    </w:p>
    <w:p w:rsidR="00F645C1" w:rsidRPr="00F645C1" w:rsidRDefault="00F645C1" w:rsidP="003D70FB">
      <w:pPr>
        <w:numPr>
          <w:ilvl w:val="0"/>
          <w:numId w:val="41"/>
        </w:numPr>
        <w:spacing w:after="120"/>
        <w:rPr>
          <w:color w:val="000000"/>
        </w:rPr>
      </w:pPr>
      <w:r w:rsidRPr="00F645C1">
        <w:rPr>
          <w:color w:val="000000"/>
        </w:rPr>
        <w:t xml:space="preserve">QP-571: 850 MW internal 345 kV AC transmission line between the Wyman area and the Iberdrola 345 kV Larrabee Road substation </w:t>
      </w:r>
    </w:p>
    <w:p w:rsidR="00F645C1" w:rsidRPr="00F645C1" w:rsidRDefault="00F645C1" w:rsidP="003D70FB">
      <w:pPr>
        <w:numPr>
          <w:ilvl w:val="0"/>
          <w:numId w:val="41"/>
        </w:numPr>
        <w:spacing w:after="120"/>
        <w:rPr>
          <w:color w:val="000000"/>
        </w:rPr>
      </w:pPr>
      <w:r w:rsidRPr="00F645C1">
        <w:rPr>
          <w:color w:val="000000"/>
        </w:rPr>
        <w:t>QP-585: 900 MW HVDC bidirectional from New Brunswick to eastern Massachusetts, connecting to the Eversource 345 kV Mystic substation</w:t>
      </w:r>
    </w:p>
    <w:p w:rsidR="00F645C1" w:rsidRPr="00F645C1" w:rsidRDefault="00F645C1" w:rsidP="003D70FB">
      <w:pPr>
        <w:numPr>
          <w:ilvl w:val="0"/>
          <w:numId w:val="41"/>
        </w:numPr>
        <w:spacing w:after="120"/>
        <w:rPr>
          <w:color w:val="000000"/>
        </w:rPr>
      </w:pPr>
      <w:r w:rsidRPr="00F645C1">
        <w:rPr>
          <w:color w:val="000000"/>
        </w:rPr>
        <w:t>QP-589: 500 MW internal 345 kV AC transmission line between the Wyman area and a new Iberdrola 345 kV Pittsfield substation</w:t>
      </w:r>
    </w:p>
    <w:p w:rsidR="00F645C1" w:rsidRPr="00F645C1" w:rsidRDefault="00F645C1" w:rsidP="003D70FB">
      <w:pPr>
        <w:numPr>
          <w:ilvl w:val="0"/>
          <w:numId w:val="41"/>
        </w:numPr>
        <w:spacing w:after="120"/>
        <w:rPr>
          <w:color w:val="000000"/>
        </w:rPr>
      </w:pPr>
      <w:r w:rsidRPr="00F645C1">
        <w:rPr>
          <w:color w:val="000000"/>
        </w:rPr>
        <w:t>QP-590: 1,200 MW internal 345 kV AC transmission line between the northern Maine area and a new Iberdrola 345 kV Pittsfield substation</w:t>
      </w:r>
    </w:p>
    <w:p w:rsidR="00F645C1" w:rsidRPr="00F645C1" w:rsidRDefault="00F645C1" w:rsidP="003D70FB">
      <w:pPr>
        <w:numPr>
          <w:ilvl w:val="0"/>
          <w:numId w:val="41"/>
        </w:numPr>
        <w:spacing w:after="120"/>
        <w:rPr>
          <w:color w:val="000000"/>
        </w:rPr>
      </w:pPr>
      <w:r w:rsidRPr="00F645C1">
        <w:rPr>
          <w:color w:val="000000"/>
        </w:rPr>
        <w:lastRenderedPageBreak/>
        <w:t>QP-591: 400 MW internal 345 kV AC transmission line addition in Maine</w:t>
      </w:r>
    </w:p>
    <w:p w:rsidR="00F645C1" w:rsidRPr="00F645C1" w:rsidRDefault="00F645C1" w:rsidP="003D70FB">
      <w:pPr>
        <w:numPr>
          <w:ilvl w:val="0"/>
          <w:numId w:val="41"/>
        </w:numPr>
        <w:spacing w:after="120"/>
        <w:rPr>
          <w:color w:val="000000"/>
        </w:rPr>
      </w:pPr>
      <w:r w:rsidRPr="00F645C1">
        <w:rPr>
          <w:color w:val="000000"/>
        </w:rPr>
        <w:t>QP-625: 1,600 MW internal 345 kV AC transmission line connection to the National Grid 345 kV Brayton Point substation</w:t>
      </w:r>
    </w:p>
    <w:p w:rsidR="00F645C1" w:rsidRPr="00F645C1" w:rsidRDefault="00F645C1" w:rsidP="003D70FB">
      <w:pPr>
        <w:numPr>
          <w:ilvl w:val="0"/>
          <w:numId w:val="41"/>
        </w:numPr>
        <w:spacing w:after="120"/>
        <w:rPr>
          <w:color w:val="000000"/>
        </w:rPr>
      </w:pPr>
      <w:r w:rsidRPr="00F645C1">
        <w:rPr>
          <w:color w:val="000000"/>
        </w:rPr>
        <w:t>QP-627: 1,200 MW HVDC tie north</w:t>
      </w:r>
      <w:r w:rsidRPr="00F645C1">
        <w:rPr>
          <w:color w:val="000000"/>
        </w:rPr>
        <w:noBreakHyphen/>
        <w:t>south flow from Quebec to Northern New Hampshire at the National Grid 230 kV Comerford substation</w:t>
      </w:r>
    </w:p>
    <w:p w:rsidR="00F645C1" w:rsidRPr="00F645C1" w:rsidRDefault="00F645C1" w:rsidP="00BD6545">
      <w:pPr>
        <w:pStyle w:val="Heading2"/>
      </w:pPr>
      <w:bookmarkStart w:id="617" w:name="_Toc429063425"/>
      <w:bookmarkStart w:id="618" w:name="_Toc490323061"/>
      <w:r w:rsidRPr="00F645C1">
        <w:t>Summary</w:t>
      </w:r>
      <w:bookmarkEnd w:id="617"/>
      <w:bookmarkEnd w:id="618"/>
    </w:p>
    <w:bookmarkEnd w:id="568"/>
    <w:bookmarkEnd w:id="569"/>
    <w:bookmarkEnd w:id="570"/>
    <w:bookmarkEnd w:id="571"/>
    <w:p w:rsidR="00F645C1" w:rsidRPr="00F645C1" w:rsidRDefault="00F645C1" w:rsidP="00F645C1">
      <w:r w:rsidRPr="00F645C1">
        <w:t xml:space="preserve">Significant transmission projects have been placed in service across New England since 2002. These projects help maintain system reliability, enhance the region’s ability to support a robust, competitive wholesale power market by reliably moving power from various internal and external sources to the region’s load centers, and ensure the system can meet its current level of demand and prepare for future load growth. </w:t>
      </w:r>
    </w:p>
    <w:p w:rsidR="00F645C1" w:rsidRPr="00F645C1" w:rsidRDefault="00F645C1" w:rsidP="00F645C1">
      <w:r w:rsidRPr="00F645C1">
        <w:t xml:space="preserve">As of summer 2017, MPRP, the New Hampshire/Vermont 2020 Upgrades, and the NEEWS suite of projects are complete or nearing completion. In addition, SWCT, GHCC, Pittsfield and Greenfield, Greater Boston, and SEMA/RI have identified projects to solve needs found in their study areas. These reliability upgrade projects will bolster the 345 kV and 115 kV facilities of the New England transmission system. Study work remains to be done in the Maine, New Hampshire, Vermont, and the Eastern Connecticut areas. </w:t>
      </w:r>
    </w:p>
    <w:p w:rsidR="00F645C1" w:rsidRPr="00F645C1" w:rsidRDefault="00F645C1" w:rsidP="00F645C1">
      <w:r w:rsidRPr="00F645C1">
        <w:t xml:space="preserve">Since May 2015, ISO New England began implementing changes to the regional and interregional transmission planning process to comply with the directives in FERC Order No. 1000. As of summer 2017, the ISO has not </w:t>
      </w:r>
      <w:r w:rsidR="00CE5F90">
        <w:t xml:space="preserve">yet </w:t>
      </w:r>
      <w:r w:rsidR="00CE5F90" w:rsidRPr="00914EEB">
        <w:t xml:space="preserve">identified </w:t>
      </w:r>
      <w:r w:rsidR="000E2F93" w:rsidRPr="00914EEB">
        <w:t xml:space="preserve">any regional non-time-sensitive </w:t>
      </w:r>
      <w:r w:rsidR="00CE5F90" w:rsidRPr="00914EEB">
        <w:t>system need that require</w:t>
      </w:r>
      <w:r w:rsidR="000E2F93" w:rsidRPr="00914EEB">
        <w:t>s</w:t>
      </w:r>
      <w:r w:rsidR="00CE5F90" w:rsidRPr="00914EEB">
        <w:t xml:space="preserve"> </w:t>
      </w:r>
      <w:r w:rsidR="000E2F93" w:rsidRPr="00914EEB">
        <w:t>a request for proposals (</w:t>
      </w:r>
      <w:r w:rsidRPr="00914EEB">
        <w:t>RFP</w:t>
      </w:r>
      <w:r w:rsidR="000E2F93" w:rsidRPr="00914EEB">
        <w:t>)</w:t>
      </w:r>
      <w:r w:rsidRPr="00914EEB">
        <w:t xml:space="preserve"> soliciting competitive bids to solve </w:t>
      </w:r>
      <w:r w:rsidR="00301B4A" w:rsidRPr="00914EEB">
        <w:t xml:space="preserve">the </w:t>
      </w:r>
      <w:r w:rsidRPr="00914EEB">
        <w:t>need. The</w:t>
      </w:r>
      <w:r w:rsidRPr="00F645C1">
        <w:t xml:space="preserve"> public policy </w:t>
      </w:r>
      <w:r w:rsidR="00C556C7">
        <w:t xml:space="preserve">process </w:t>
      </w:r>
      <w:r w:rsidRPr="00F645C1">
        <w:t>began in January 2017 and concluded in June with a finding that a public policy transmission study will not be pursued</w:t>
      </w:r>
      <w:r w:rsidR="00E372E0">
        <w:t xml:space="preserve"> in this public policy planning cycle</w:t>
      </w:r>
      <w:r w:rsidRPr="00F645C1">
        <w:t>.</w:t>
      </w:r>
    </w:p>
    <w:p w:rsidR="00F645C1" w:rsidRPr="00F645C1" w:rsidRDefault="00F645C1" w:rsidP="00F645C1">
      <w:r w:rsidRPr="00F645C1">
        <w:t xml:space="preserve">Many new elective transmission upgrades have been proposed, which focus on delivering zero or low-carbon resources to New England. As of June 1, 2017, four projects are under study as elective </w:t>
      </w:r>
      <w:r w:rsidRPr="005C5D55">
        <w:t xml:space="preserve">transmission upgrades, and three have received </w:t>
      </w:r>
      <w:r w:rsidR="005C5D55" w:rsidRPr="005C5D55">
        <w:t xml:space="preserve">their </w:t>
      </w:r>
      <w:r w:rsidRPr="005C5D55">
        <w:t>proposed plan application approval.</w:t>
      </w:r>
    </w:p>
    <w:p w:rsidR="00F645C1" w:rsidRPr="00F645C1" w:rsidRDefault="00F645C1" w:rsidP="00F645C1">
      <w:r w:rsidRPr="00F645C1">
        <w:t xml:space="preserve">All transmission projects are developed to meet the reliability requirements of the entire region and are fully coordinated regionally and interregionally. Most projects on the </w:t>
      </w:r>
      <w:r w:rsidRPr="00F645C1">
        <w:rPr>
          <w:i/>
        </w:rPr>
        <w:t>RSP Project List</w:t>
      </w:r>
      <w:r w:rsidRPr="00F645C1">
        <w:t xml:space="preserve"> remain subject to regional cost allocation. With transmission expansion in the region, the ISO meets all required transmission planning requirements, and little congestion is currently evident on the system.</w:t>
      </w:r>
    </w:p>
    <w:p w:rsidR="00F645C1" w:rsidRPr="00F645C1" w:rsidRDefault="00F645C1" w:rsidP="00F645C1">
      <w:r w:rsidRPr="00F645C1">
        <w:t>A total of 7</w:t>
      </w:r>
      <w:r w:rsidR="006C3C22">
        <w:t>30</w:t>
      </w:r>
      <w:r w:rsidR="005C5D55">
        <w:t xml:space="preserve"> </w:t>
      </w:r>
      <w:r w:rsidRPr="00F645C1">
        <w:t xml:space="preserve">project components have been placed in service across the region since 2002. In addition, </w:t>
      </w:r>
      <w:r w:rsidR="00CE5F90">
        <w:t xml:space="preserve">another </w:t>
      </w:r>
      <w:r w:rsidRPr="00F645C1">
        <w:t>13</w:t>
      </w:r>
      <w:r w:rsidR="006C3C22">
        <w:t>7</w:t>
      </w:r>
      <w:r w:rsidRPr="00F645C1">
        <w:t xml:space="preserve"> project components have a status of planned, proposed, or under construction. Overall, the estimated investment in New England to maintain reliability has been $12.4 billion since 2002. With these system upgrades in place, combined with the changes in assumptions to needs assessments, the need for additional reliability-based transmission upgrades is expected to decline over the planning horizon. </w:t>
      </w:r>
    </w:p>
    <w:p w:rsidR="003021D4" w:rsidRPr="00120BB6" w:rsidRDefault="003021D4" w:rsidP="00120BB6">
      <w:pPr>
        <w:pStyle w:val="Heading1"/>
      </w:pPr>
      <w:r w:rsidRPr="00120BB6">
        <w:lastRenderedPageBreak/>
        <w:br/>
      </w:r>
      <w:bookmarkStart w:id="619" w:name="_Ref418357957"/>
      <w:bookmarkStart w:id="620" w:name="_Ref418860292"/>
      <w:bookmarkStart w:id="621" w:name="_Ref418959031"/>
      <w:bookmarkStart w:id="622" w:name="_Toc484947377"/>
      <w:bookmarkStart w:id="623" w:name="_Toc490323062"/>
      <w:r w:rsidRPr="00120BB6">
        <w:t>Interregional</w:t>
      </w:r>
      <w:bookmarkEnd w:id="619"/>
      <w:r w:rsidRPr="00120BB6">
        <w:t xml:space="preserve"> Coordination</w:t>
      </w:r>
      <w:bookmarkEnd w:id="620"/>
      <w:bookmarkEnd w:id="621"/>
      <w:bookmarkEnd w:id="622"/>
      <w:bookmarkEnd w:id="623"/>
    </w:p>
    <w:p w:rsidR="003021D4" w:rsidRPr="003021D4" w:rsidRDefault="003021D4" w:rsidP="003021D4">
      <w:pPr>
        <w:rPr>
          <w:rFonts w:eastAsia="Times New Roman"/>
          <w:color w:val="000000"/>
        </w:rPr>
      </w:pPr>
      <w:r w:rsidRPr="003021D4">
        <w:rPr>
          <w:rFonts w:eastAsia="Times New Roman"/>
          <w:color w:val="000000"/>
        </w:rPr>
        <w:t>Interconnections with neighboring systems allow for the exchange of capacity and energy. The tie lines facilitate access to a diversity of resources</w:t>
      </w:r>
      <w:r w:rsidR="00B607C3">
        <w:rPr>
          <w:rFonts w:eastAsia="Times New Roman"/>
          <w:color w:val="000000"/>
        </w:rPr>
        <w:t xml:space="preserve">; </w:t>
      </w:r>
      <w:r w:rsidRPr="003021D4">
        <w:rPr>
          <w:rFonts w:eastAsia="Times New Roman"/>
          <w:color w:val="000000"/>
        </w:rPr>
        <w:t>compliance with environmental obligations</w:t>
      </w:r>
      <w:r w:rsidR="00B607C3">
        <w:rPr>
          <w:rFonts w:eastAsia="Times New Roman"/>
          <w:color w:val="000000"/>
        </w:rPr>
        <w:t>;</w:t>
      </w:r>
      <w:r w:rsidRPr="003021D4">
        <w:rPr>
          <w:rFonts w:eastAsia="Times New Roman"/>
          <w:color w:val="000000"/>
        </w:rPr>
        <w:t xml:space="preserve"> and the more economic, interregional operation of the system. Quantifying these benefits, identifying potential needs for additional interconnections, and coordinating the planning of the interconnected system are becoming increasingly important.</w:t>
      </w:r>
    </w:p>
    <w:p w:rsidR="003021D4" w:rsidRPr="003021D4" w:rsidRDefault="003021D4" w:rsidP="003021D4">
      <w:r w:rsidRPr="005C5D55">
        <w:t>The ISO coordinates its planning activities with neighboring systems and across the Eastern Interconnection. Consistent with the mandatory reliability requirements of the North American Electric Reliability Corporation</w:t>
      </w:r>
      <w:r w:rsidR="00B607C3" w:rsidRPr="005C5D55">
        <w:t xml:space="preserve"> (NERC)</w:t>
      </w:r>
      <w:r w:rsidRPr="005C5D55">
        <w:t>, the ISO must identify and resolve interregional planning issues, as</w:t>
      </w:r>
      <w:r w:rsidRPr="003021D4">
        <w:t xml:space="preserve"> identified in needs assessments and solutions studies.</w:t>
      </w:r>
      <w:r w:rsidRPr="003021D4">
        <w:rPr>
          <w:vertAlign w:val="superscript"/>
        </w:rPr>
        <w:footnoteReference w:id="184"/>
      </w:r>
      <w:r w:rsidRPr="003021D4">
        <w:t xml:space="preserve"> With other entities within and outside the region, including neighboring areas, the ISO conducts studies that aim to, for example, improve production cost models, share simulation results, investigate the challenges to and possibilities for integrating renewable resources, and address other common issues affecting the planning of the overall system. </w:t>
      </w:r>
    </w:p>
    <w:p w:rsidR="003021D4" w:rsidRPr="003021D4" w:rsidRDefault="003021D4" w:rsidP="003021D4">
      <w:r w:rsidRPr="003021D4">
        <w:t xml:space="preserve">The ISO also participates in numerous interregional planning activities with the US Department of Energy (DOE), the Northeast Power Coordinating Council, and other planning authority areas in the United States and Canada. The overriding purpose of these projects is to enhance the widespread reliability of the interregional electric power system. </w:t>
      </w:r>
    </w:p>
    <w:p w:rsidR="003021D4" w:rsidRPr="003021D4" w:rsidRDefault="003021D4" w:rsidP="003021D4">
      <w:r w:rsidRPr="003021D4">
        <w:t xml:space="preserve">This section discusses the main collaborative efforts the ISO is undertaking with neighboring areas to analyze the interconnection-wide system, study and address interregional transfers and seams issues, and improve competitive electricity markets in North America. </w:t>
      </w:r>
    </w:p>
    <w:p w:rsidR="003021D4" w:rsidRPr="00E443BD" w:rsidRDefault="003021D4" w:rsidP="005A7F54">
      <w:pPr>
        <w:pStyle w:val="Heading2"/>
      </w:pPr>
      <w:bookmarkStart w:id="624" w:name="_Toc484947378"/>
      <w:bookmarkStart w:id="625" w:name="_Ref490309072"/>
      <w:bookmarkStart w:id="626" w:name="_Toc490323063"/>
      <w:bookmarkStart w:id="627" w:name="_Toc365441057"/>
      <w:bookmarkStart w:id="628" w:name="_Ref365621833"/>
      <w:bookmarkStart w:id="629" w:name="_Ref388717364"/>
      <w:bookmarkStart w:id="630" w:name="_Ref388951448"/>
      <w:bookmarkStart w:id="631" w:name="_Ref390424252"/>
      <w:bookmarkStart w:id="632" w:name="_Toc396807684"/>
      <w:bookmarkStart w:id="633" w:name="_Ref398112136"/>
      <w:r w:rsidRPr="003021D4">
        <w:t>Eastern Interconnection Planning Collaborative Studies</w:t>
      </w:r>
      <w:bookmarkEnd w:id="624"/>
      <w:bookmarkEnd w:id="625"/>
      <w:bookmarkEnd w:id="626"/>
      <w:r w:rsidRPr="003021D4">
        <w:t xml:space="preserve"> </w:t>
      </w:r>
      <w:bookmarkEnd w:id="627"/>
      <w:bookmarkEnd w:id="628"/>
      <w:bookmarkEnd w:id="629"/>
      <w:bookmarkEnd w:id="630"/>
      <w:bookmarkEnd w:id="631"/>
      <w:bookmarkEnd w:id="632"/>
      <w:bookmarkEnd w:id="633"/>
    </w:p>
    <w:p w:rsidR="003021D4" w:rsidRPr="003021D4" w:rsidRDefault="003021D4" w:rsidP="003021D4">
      <w:pPr>
        <w:rPr>
          <w:szCs w:val="22"/>
        </w:rPr>
      </w:pPr>
      <w:r w:rsidRPr="003021D4">
        <w:t>The electric power planning authorities of the Eastern Interconnection, including ISO New England, formed the Eastern Interconnection Planning Collaborative (EIPC) in 2009 to address their portion of North American planning issues, combine the existing regional transmission expansion plans, and analyze the interconnection-wide system.</w:t>
      </w:r>
      <w:r w:rsidRPr="003021D4">
        <w:rPr>
          <w:vertAlign w:val="superscript"/>
        </w:rPr>
        <w:footnoteReference w:id="185"/>
      </w:r>
      <w:r w:rsidRPr="003021D4">
        <w:t xml:space="preserve"> During 2015, EIPC initiated the first year of its new two-year planning cycle, again developing and studying “roll-up” cases, which combined each region’s electric power system plan into a comprehensive model of the Eastern Interconnection. </w:t>
      </w:r>
      <w:r w:rsidRPr="003021D4">
        <w:rPr>
          <w:szCs w:val="22"/>
        </w:rPr>
        <w:t>This work effort expanded the roll-up cases to include models for 2025 summer and winter peak scenarios, which were rigorously tested under reference and transfer conditions using NERC criteria. The final report of the roll-up cases was posted in March 2016.</w:t>
      </w:r>
      <w:r w:rsidRPr="003021D4">
        <w:rPr>
          <w:szCs w:val="22"/>
          <w:vertAlign w:val="superscript"/>
        </w:rPr>
        <w:footnoteReference w:id="186"/>
      </w:r>
      <w:r w:rsidRPr="003021D4">
        <w:rPr>
          <w:szCs w:val="22"/>
        </w:rPr>
        <w:t xml:space="preserve"> Based on stakeholder input, no additional scenario testing was conducted beyond the 2025 summer and winter base conditions.</w:t>
      </w:r>
    </w:p>
    <w:p w:rsidR="003021D4" w:rsidRPr="003021D4" w:rsidRDefault="003021D4" w:rsidP="003021D4">
      <w:pPr>
        <w:adjustRightInd w:val="0"/>
      </w:pPr>
      <w:r w:rsidRPr="003021D4">
        <w:t>EIPC entities responsible for system planning are currently developing a production cost model of the Eastern Interconnection being reviewed interconnection-wide—the first such review of its kind. With stakeholder input, EIPC will consider potential production costing analyses to be conducted in the future.</w:t>
      </w:r>
    </w:p>
    <w:p w:rsidR="003021D4" w:rsidRPr="003021D4" w:rsidRDefault="003021D4" w:rsidP="003021D4">
      <w:pPr>
        <w:adjustRightInd w:val="0"/>
      </w:pPr>
      <w:r w:rsidRPr="003021D4">
        <w:lastRenderedPageBreak/>
        <w:t>EIPC also is currently exploring which types of analyses and reporting complement the existing regional planning processes to assure comprehensive coordination of Eastern Interconnection-wide transmission planning.</w:t>
      </w:r>
    </w:p>
    <w:p w:rsidR="003021D4" w:rsidRPr="00E443BD" w:rsidRDefault="003021D4" w:rsidP="005A7F54">
      <w:pPr>
        <w:pStyle w:val="Heading2"/>
      </w:pPr>
      <w:bookmarkStart w:id="634" w:name="_Toc365441058"/>
      <w:bookmarkStart w:id="635" w:name="_Toc396807685"/>
      <w:bookmarkStart w:id="636" w:name="_Toc484947379"/>
      <w:bookmarkStart w:id="637" w:name="_Ref487013631"/>
      <w:bookmarkStart w:id="638" w:name="_Toc490323064"/>
      <w:bookmarkStart w:id="639" w:name="_Ref491183820"/>
      <w:r w:rsidRPr="003021D4">
        <w:t>Electric Reliability Organization Overview</w:t>
      </w:r>
      <w:bookmarkEnd w:id="634"/>
      <w:bookmarkEnd w:id="635"/>
      <w:bookmarkEnd w:id="636"/>
      <w:bookmarkEnd w:id="637"/>
      <w:bookmarkEnd w:id="638"/>
      <w:bookmarkEnd w:id="639"/>
    </w:p>
    <w:p w:rsidR="003021D4" w:rsidRPr="003021D4" w:rsidRDefault="003021D4" w:rsidP="003021D4">
      <w:r w:rsidRPr="003021D4">
        <w:t xml:space="preserve">As the RTO for New England, the ISO is responsible for ensuring that its operations and planning comply with applicable NERC standards. In addition, the ISO participates in regional and interregional studies required for compliance. </w:t>
      </w:r>
    </w:p>
    <w:p w:rsidR="003021D4" w:rsidRPr="003021D4" w:rsidRDefault="003021D4" w:rsidP="003021D4">
      <w:r w:rsidRPr="003021D4">
        <w:t>Through its committee structure, NERC, which is the FERC-designated Electric Reliability Organization (ERO), regularly publishes reports that assess the reliability of the North American electric power system.</w:t>
      </w:r>
      <w:r w:rsidRPr="003021D4">
        <w:rPr>
          <w:vertAlign w:val="superscript"/>
        </w:rPr>
        <w:footnoteReference w:id="187"/>
      </w:r>
      <w:r w:rsidRPr="003021D4">
        <w:t xml:space="preserve"> Annual long-term reliability assessments evaluate the future adequacy of the power system in the United States and Canada for a 10-year period. The reports project electricity supply and demand, evaluate resource and transmission system adequacy, and discuss key issues and trends that could affect reliability. Summer and winter assessments evaluate the adequacy of electricity supplies in the United States and Canada for the upcoming peak demand periods in these seasons. Special regional, interregional, or interconnection-wide assessments are conducted as needed.</w:t>
      </w:r>
    </w:p>
    <w:p w:rsidR="003021D4" w:rsidRPr="003021D4" w:rsidRDefault="003021D4" w:rsidP="003021D4">
      <w:pPr>
        <w:rPr>
          <w:rFonts w:cs="Calibri"/>
        </w:rPr>
      </w:pPr>
      <w:r w:rsidRPr="003021D4">
        <w:t xml:space="preserve">In December 2016, NERC issued its annual </w:t>
      </w:r>
      <w:r w:rsidRPr="003021D4">
        <w:rPr>
          <w:i/>
        </w:rPr>
        <w:t>Long-Term Reliability Assessment</w:t>
      </w:r>
      <w:r w:rsidRPr="003021D4">
        <w:t xml:space="preserve"> (LTRA), analyzing reliability </w:t>
      </w:r>
      <w:r w:rsidRPr="0074311D">
        <w:t>conditions across the North American continent.</w:t>
      </w:r>
      <w:r w:rsidRPr="0074311D">
        <w:rPr>
          <w:vertAlign w:val="superscript"/>
        </w:rPr>
        <w:footnoteReference w:id="188"/>
      </w:r>
      <w:r w:rsidRPr="0074311D">
        <w:t xml:space="preserve"> This report describes transmission additions, generation projections, and reserve capability by reliability council area. The 2016 LTRA identified </w:t>
      </w:r>
      <w:r w:rsidRPr="0074311D">
        <w:rPr>
          <w:rFonts w:cs="Calibri"/>
        </w:rPr>
        <w:t>focus areas, as summarized below, that require consideration to reduce risks to the North American BES:</w:t>
      </w:r>
    </w:p>
    <w:p w:rsidR="003021D4" w:rsidRPr="003021D4" w:rsidRDefault="003021D4" w:rsidP="008976E3">
      <w:pPr>
        <w:numPr>
          <w:ilvl w:val="0"/>
          <w:numId w:val="54"/>
        </w:numPr>
        <w:spacing w:after="120"/>
        <w:rPr>
          <w:rFonts w:eastAsia="Times New Roman" w:cs="Calibri"/>
        </w:rPr>
      </w:pPr>
      <w:r w:rsidRPr="003021D4">
        <w:rPr>
          <w:rFonts w:eastAsia="Times New Roman" w:cs="Calibri"/>
          <w:b/>
        </w:rPr>
        <w:t>Single-fuel dependency:</w:t>
      </w:r>
      <w:r w:rsidRPr="003021D4">
        <w:rPr>
          <w:rFonts w:eastAsia="Times New Roman" w:cs="Calibri"/>
        </w:rPr>
        <w:t xml:space="preserve"> Over the last decade, several assessment areas have significantly increased their dependence on natural gas, which has increased vulnerabilities in serving load, particularly during extreme weather conditions.</w:t>
      </w:r>
    </w:p>
    <w:p w:rsidR="003021D4" w:rsidRPr="003021D4" w:rsidRDefault="003021D4" w:rsidP="008976E3">
      <w:pPr>
        <w:numPr>
          <w:ilvl w:val="0"/>
          <w:numId w:val="54"/>
        </w:numPr>
        <w:spacing w:after="120"/>
        <w:rPr>
          <w:rFonts w:eastAsia="Times New Roman" w:cs="Calibri"/>
        </w:rPr>
      </w:pPr>
      <w:r w:rsidRPr="003021D4">
        <w:rPr>
          <w:rFonts w:eastAsia="Times New Roman" w:cs="Calibri"/>
          <w:b/>
        </w:rPr>
        <w:t>Nuclear uncertainty:</w:t>
      </w:r>
      <w:r w:rsidRPr="003021D4">
        <w:rPr>
          <w:rFonts w:eastAsia="Times New Roman" w:cs="Calibri"/>
        </w:rPr>
        <w:t xml:space="preserve"> Low natural gas prices continue to affect the competitiveness of nuclear generation and are a key contributing factor to nuclear generation’s difficulty in remaining economic with competing fuel sources.</w:t>
      </w:r>
      <w:r w:rsidRPr="003021D4">
        <w:rPr>
          <w:rFonts w:eastAsia="Times New Roman" w:cs="Calibri"/>
          <w:u w:val="single"/>
        </w:rPr>
        <w:t xml:space="preserve"> </w:t>
      </w:r>
      <w:r w:rsidRPr="003021D4">
        <w:rPr>
          <w:rFonts w:eastAsia="Times New Roman" w:cs="Calibri"/>
        </w:rPr>
        <w:t>Potential nuclear retirements create uncertainty around local transmission adequacy and the ability to plan for future resource and demand needs due to their large baseload contribution.</w:t>
      </w:r>
    </w:p>
    <w:p w:rsidR="003021D4" w:rsidRPr="003021D4" w:rsidRDefault="003021D4" w:rsidP="008976E3">
      <w:pPr>
        <w:numPr>
          <w:ilvl w:val="0"/>
          <w:numId w:val="54"/>
        </w:numPr>
        <w:spacing w:after="120"/>
        <w:rPr>
          <w:rFonts w:cs="Calibri"/>
          <w:color w:val="000000"/>
        </w:rPr>
      </w:pPr>
      <w:r w:rsidRPr="003021D4">
        <w:rPr>
          <w:rFonts w:cs="Calibri"/>
          <w:b/>
        </w:rPr>
        <w:t>Essential reliability services:</w:t>
      </w:r>
      <w:r w:rsidRPr="003021D4">
        <w:rPr>
          <w:rFonts w:cs="Calibri"/>
        </w:rPr>
        <w:t xml:space="preserve"> The addition of a large number of variable energy resources </w:t>
      </w:r>
      <w:r w:rsidRPr="003B0E8A">
        <w:rPr>
          <w:rFonts w:cs="Calibri"/>
        </w:rPr>
        <w:t>onto</w:t>
      </w:r>
      <w:r w:rsidRPr="003021D4">
        <w:rPr>
          <w:rFonts w:cs="Calibri"/>
        </w:rPr>
        <w:t xml:space="preserve"> the BES has resulted in the need for operational flexibility to accommodate demand while also effectively managing the resource portfolio.</w:t>
      </w:r>
      <w:r w:rsidRPr="003021D4">
        <w:rPr>
          <w:rFonts w:cs="Calibri"/>
          <w:b/>
        </w:rPr>
        <w:t xml:space="preserve"> </w:t>
      </w:r>
      <w:r w:rsidRPr="003021D4">
        <w:rPr>
          <w:rFonts w:cs="Calibri"/>
          <w:color w:val="000000"/>
        </w:rPr>
        <w:t xml:space="preserve">As </w:t>
      </w:r>
      <w:r w:rsidR="003B0E8A">
        <w:rPr>
          <w:rFonts w:cs="Calibri"/>
          <w:color w:val="000000"/>
        </w:rPr>
        <w:t>variable energy resource</w:t>
      </w:r>
      <w:r w:rsidRPr="003021D4">
        <w:rPr>
          <w:rFonts w:cs="Calibri"/>
          <w:color w:val="000000"/>
        </w:rPr>
        <w:t xml:space="preserve">s are becoming more significant, NERC is developing sufficiency guidelines to establish requisite </w:t>
      </w:r>
      <w:r w:rsidRPr="0074311D">
        <w:rPr>
          <w:rFonts w:cs="Calibri"/>
          <w:color w:val="000000"/>
        </w:rPr>
        <w:t xml:space="preserve">levels of primary frequency response </w:t>
      </w:r>
      <w:r w:rsidR="0074311D" w:rsidRPr="0074311D">
        <w:rPr>
          <w:rFonts w:cs="Calibri"/>
          <w:color w:val="000000"/>
        </w:rPr>
        <w:t>(</w:t>
      </w:r>
      <w:r w:rsidRPr="0074311D">
        <w:rPr>
          <w:rFonts w:cs="Calibri"/>
          <w:color w:val="000000"/>
        </w:rPr>
        <w:t>PFR</w:t>
      </w:r>
      <w:r w:rsidR="0074311D" w:rsidRPr="0074311D">
        <w:rPr>
          <w:rFonts w:cs="Calibri"/>
          <w:color w:val="000000"/>
        </w:rPr>
        <w:t>)</w:t>
      </w:r>
      <w:r w:rsidRPr="0074311D">
        <w:rPr>
          <w:rFonts w:cs="Calibri"/>
          <w:color w:val="000000"/>
        </w:rPr>
        <w:t>, volta</w:t>
      </w:r>
      <w:r w:rsidRPr="003021D4">
        <w:rPr>
          <w:rFonts w:cs="Calibri"/>
          <w:color w:val="000000"/>
        </w:rPr>
        <w:t xml:space="preserve">ge </w:t>
      </w:r>
      <w:r w:rsidRPr="003021D4">
        <w:rPr>
          <w:rFonts w:cs="Calibri"/>
        </w:rPr>
        <w:t>support, and ramping capability, for example, for VERs, which are</w:t>
      </w:r>
      <w:r w:rsidRPr="003021D4">
        <w:rPr>
          <w:rFonts w:cs="Calibri"/>
          <w:color w:val="000000"/>
        </w:rPr>
        <w:t xml:space="preserve"> needed for the continued reliable operation of the BES. </w:t>
      </w:r>
    </w:p>
    <w:p w:rsidR="003021D4" w:rsidRPr="003021D4" w:rsidRDefault="003021D4" w:rsidP="003D70FB">
      <w:pPr>
        <w:numPr>
          <w:ilvl w:val="0"/>
          <w:numId w:val="54"/>
        </w:numPr>
        <w:rPr>
          <w:rFonts w:eastAsia="Times New Roman" w:cs="Calibri"/>
        </w:rPr>
      </w:pPr>
      <w:r w:rsidRPr="002C30CB">
        <w:rPr>
          <w:rFonts w:eastAsia="Times New Roman" w:cs="Calibri"/>
          <w:b/>
        </w:rPr>
        <w:t>Distributed energy resources:</w:t>
      </w:r>
      <w:r w:rsidRPr="002C30CB">
        <w:rPr>
          <w:rFonts w:eastAsia="Times New Roman" w:cs="Calibri"/>
        </w:rPr>
        <w:t xml:space="preserve"> Increasing installations of </w:t>
      </w:r>
      <w:r w:rsidR="00F54AB2" w:rsidRPr="002C30CB">
        <w:rPr>
          <w:rFonts w:eastAsia="Times New Roman" w:cs="Calibri"/>
        </w:rPr>
        <w:t>DERs</w:t>
      </w:r>
      <w:r w:rsidR="00F54AB2">
        <w:rPr>
          <w:rFonts w:eastAsia="Times New Roman" w:cs="Calibri"/>
        </w:rPr>
        <w:t xml:space="preserve"> </w:t>
      </w:r>
      <w:r w:rsidRPr="003021D4">
        <w:rPr>
          <w:rFonts w:eastAsia="Times New Roman" w:cs="Calibri"/>
        </w:rPr>
        <w:t>modify how distribution and transmission systems interact with each other. Many utilities currently lack sufficient visibility and operational control of these resources, increasing the risk to BES reliability.</w:t>
      </w:r>
      <w:r w:rsidR="009538A2">
        <w:rPr>
          <w:rFonts w:eastAsia="Times New Roman" w:cs="Calibri"/>
        </w:rPr>
        <w:t xml:space="preserve"> </w:t>
      </w:r>
      <w:r w:rsidR="009538A2" w:rsidRPr="002C30CB">
        <w:rPr>
          <w:rFonts w:eastAsia="Times New Roman" w:cs="Calibri"/>
        </w:rPr>
        <w:t>(</w:t>
      </w:r>
      <w:r w:rsidR="00557E65" w:rsidRPr="0074311D">
        <w:rPr>
          <w:rFonts w:eastAsia="Times New Roman" w:cs="Calibri"/>
        </w:rPr>
        <w:t>R</w:t>
      </w:r>
      <w:r w:rsidR="009538A2" w:rsidRPr="002C30CB">
        <w:rPr>
          <w:rFonts w:eastAsia="Times New Roman" w:cs="Calibri"/>
        </w:rPr>
        <w:t>efer to Sections</w:t>
      </w:r>
      <w:r w:rsidR="0018253B">
        <w:rPr>
          <w:rFonts w:eastAsia="Times New Roman" w:cs="Calibri"/>
        </w:rPr>
        <w:t xml:space="preserve"> </w:t>
      </w:r>
      <w:r w:rsidR="0018253B">
        <w:rPr>
          <w:rFonts w:eastAsia="Times New Roman" w:cs="Calibri"/>
        </w:rPr>
        <w:fldChar w:fldCharType="begin"/>
      </w:r>
      <w:r w:rsidR="0018253B">
        <w:rPr>
          <w:rFonts w:eastAsia="Times New Roman" w:cs="Calibri"/>
        </w:rPr>
        <w:instrText xml:space="preserve"> REF _Ref485981494 \r \h </w:instrText>
      </w:r>
      <w:r w:rsidR="0018253B">
        <w:rPr>
          <w:rFonts w:eastAsia="Times New Roman" w:cs="Calibri"/>
        </w:rPr>
      </w:r>
      <w:r w:rsidR="0018253B">
        <w:rPr>
          <w:rFonts w:eastAsia="Times New Roman" w:cs="Calibri"/>
        </w:rPr>
        <w:fldChar w:fldCharType="separate"/>
      </w:r>
      <w:r w:rsidR="00314781">
        <w:rPr>
          <w:rFonts w:eastAsia="Times New Roman" w:cs="Calibri"/>
        </w:rPr>
        <w:t>2.1.3</w:t>
      </w:r>
      <w:r w:rsidR="0018253B">
        <w:rPr>
          <w:rFonts w:eastAsia="Times New Roman" w:cs="Calibri"/>
        </w:rPr>
        <w:fldChar w:fldCharType="end"/>
      </w:r>
      <w:r w:rsidR="0018253B">
        <w:rPr>
          <w:rFonts w:eastAsia="Times New Roman" w:cs="Calibri"/>
        </w:rPr>
        <w:t xml:space="preserve"> and</w:t>
      </w:r>
      <w:r w:rsidR="009538A2" w:rsidRPr="002C30CB">
        <w:rPr>
          <w:rFonts w:eastAsia="Times New Roman" w:cs="Calibri"/>
        </w:rPr>
        <w:t xml:space="preserve"> </w:t>
      </w:r>
      <w:r w:rsidR="0018253B" w:rsidRPr="0074311D">
        <w:rPr>
          <w:rFonts w:eastAsia="Times New Roman" w:cs="Calibri"/>
        </w:rPr>
        <w:fldChar w:fldCharType="begin"/>
      </w:r>
      <w:r w:rsidR="0018253B" w:rsidRPr="0074311D">
        <w:rPr>
          <w:rFonts w:eastAsia="Times New Roman" w:cs="Calibri"/>
        </w:rPr>
        <w:instrText xml:space="preserve"> REF _Ref485981352 \r \h </w:instrText>
      </w:r>
      <w:r w:rsidR="0018253B">
        <w:rPr>
          <w:rFonts w:eastAsia="Times New Roman" w:cs="Calibri"/>
        </w:rPr>
        <w:instrText xml:space="preserve"> \* MERGEFORMAT </w:instrText>
      </w:r>
      <w:r w:rsidR="0018253B" w:rsidRPr="0074311D">
        <w:rPr>
          <w:rFonts w:eastAsia="Times New Roman" w:cs="Calibri"/>
        </w:rPr>
      </w:r>
      <w:r w:rsidR="0018253B" w:rsidRPr="0074311D">
        <w:rPr>
          <w:rFonts w:eastAsia="Times New Roman" w:cs="Calibri"/>
        </w:rPr>
        <w:fldChar w:fldCharType="separate"/>
      </w:r>
      <w:r w:rsidR="00314781">
        <w:rPr>
          <w:rFonts w:eastAsia="Times New Roman" w:cs="Calibri"/>
        </w:rPr>
        <w:t>9.1</w:t>
      </w:r>
      <w:r w:rsidR="0018253B" w:rsidRPr="0074311D">
        <w:rPr>
          <w:rFonts w:eastAsia="Times New Roman" w:cs="Calibri"/>
        </w:rPr>
        <w:fldChar w:fldCharType="end"/>
      </w:r>
      <w:r w:rsidR="0018253B" w:rsidRPr="0074311D">
        <w:rPr>
          <w:rFonts w:eastAsia="Times New Roman" w:cs="Calibri"/>
        </w:rPr>
        <w:t>.</w:t>
      </w:r>
      <w:r w:rsidR="009538A2" w:rsidRPr="002C30CB">
        <w:rPr>
          <w:rFonts w:eastAsia="Times New Roman" w:cs="Calibri"/>
        </w:rPr>
        <w:t>)</w:t>
      </w:r>
    </w:p>
    <w:p w:rsidR="003021D4" w:rsidRPr="003021D4" w:rsidRDefault="003021D4" w:rsidP="003021D4">
      <w:pPr>
        <w:rPr>
          <w:rFonts w:cs="Calibri"/>
        </w:rPr>
      </w:pPr>
      <w:r w:rsidRPr="003021D4">
        <w:rPr>
          <w:rFonts w:cs="Calibri"/>
        </w:rPr>
        <w:lastRenderedPageBreak/>
        <w:t>The NERC LTRA offers several recommendations, including the following, to alleviate the potential impacts of the reliability issues identified above:</w:t>
      </w:r>
    </w:p>
    <w:p w:rsidR="003021D4" w:rsidRPr="003021D4" w:rsidRDefault="003021D4" w:rsidP="003D70FB">
      <w:pPr>
        <w:numPr>
          <w:ilvl w:val="0"/>
          <w:numId w:val="53"/>
        </w:numPr>
        <w:spacing w:after="120"/>
      </w:pPr>
      <w:r w:rsidRPr="003021D4">
        <w:t>As natural-gas-fired resources continue to increase, system planners and operators should evaluate the potential effects of an increased reliance on natural gas as it pertains to BES reliability. Natural gas provides “just-in-time” fuel; therefore, firm transportation and maintaining dual-fuel capability can significantly reduce the risk of common-mode failure and wider-spread reliability challenges. As part of future transmission and resource planning studies, planning entities will need to more fully understand how impacts to the natural gas transportation system can in turn impact electric reliability. Regulatory action may be needed to better coordinate electric power and gas industries.</w:t>
      </w:r>
    </w:p>
    <w:p w:rsidR="003021D4" w:rsidRPr="003021D4" w:rsidRDefault="003021D4" w:rsidP="003D70FB">
      <w:pPr>
        <w:numPr>
          <w:ilvl w:val="0"/>
          <w:numId w:val="53"/>
        </w:numPr>
        <w:spacing w:after="120"/>
      </w:pPr>
      <w:r w:rsidRPr="003021D4">
        <w:t>NERC should continue to monitor the potential effects of nuclear retirements on overall resource adequacy as well as potential mitigating factors, such as state regulatory measures that provide incentives for nuclear facilities to remain operational.</w:t>
      </w:r>
    </w:p>
    <w:p w:rsidR="003021D4" w:rsidRPr="003021D4" w:rsidRDefault="003021D4" w:rsidP="003D70FB">
      <w:pPr>
        <w:numPr>
          <w:ilvl w:val="0"/>
          <w:numId w:val="53"/>
        </w:numPr>
        <w:spacing w:after="120"/>
      </w:pPr>
      <w:r w:rsidRPr="003021D4">
        <w:t xml:space="preserve">Regulators and legislators should evaluate the changes occurring on the BES irrespective of the final rulings on pending regulation, such as the </w:t>
      </w:r>
      <w:r w:rsidRPr="0074311D">
        <w:t>Clean Power Plan (CPP)</w:t>
      </w:r>
      <w:r w:rsidR="0074311D">
        <w:t xml:space="preserve"> (see Section </w:t>
      </w:r>
      <w:r w:rsidR="0074311D">
        <w:fldChar w:fldCharType="begin"/>
      </w:r>
      <w:r w:rsidR="0074311D">
        <w:instrText xml:space="preserve"> REF _Ref486012243 \r \h </w:instrText>
      </w:r>
      <w:r w:rsidR="0074311D">
        <w:fldChar w:fldCharType="separate"/>
      </w:r>
      <w:r w:rsidR="00314781">
        <w:t>8.1.2.4</w:t>
      </w:r>
      <w:r w:rsidR="0074311D">
        <w:fldChar w:fldCharType="end"/>
      </w:r>
      <w:r w:rsidR="0074311D">
        <w:t>)</w:t>
      </w:r>
      <w:r w:rsidRPr="003021D4">
        <w:t>.</w:t>
      </w:r>
      <w:r w:rsidRPr="003021D4">
        <w:rPr>
          <w:u w:val="single"/>
        </w:rPr>
        <w:t xml:space="preserve"> </w:t>
      </w:r>
      <w:r w:rsidRPr="003021D4">
        <w:rPr>
          <w:rFonts w:cs="Calibri"/>
        </w:rPr>
        <w:t>Policymakers should closely monitor and evaluate the measures being taken to address the evolving resource-adequacy trends.</w:t>
      </w:r>
    </w:p>
    <w:p w:rsidR="003021D4" w:rsidRPr="003021D4" w:rsidRDefault="003021D4" w:rsidP="003D70FB">
      <w:pPr>
        <w:numPr>
          <w:ilvl w:val="0"/>
          <w:numId w:val="53"/>
        </w:numPr>
      </w:pPr>
      <w:r w:rsidRPr="003021D4">
        <w:t>Regulators and legislators should consider the uncertainties in resource retirements and changes in the resource mix projected by resource planners and the interconnection-wide impacts, including generation retirements, curtailments, and transmission constraints that can manifest if essential reliability services are not maintained.</w:t>
      </w:r>
    </w:p>
    <w:p w:rsidR="003021D4" w:rsidRPr="00A5224F" w:rsidRDefault="003021D4" w:rsidP="003021D4">
      <w:r w:rsidRPr="00A5224F">
        <w:t>To study the implications of a shift in the resource mix resulting primarily from the retirement of conventional resources and the integration of new resources, NERC formed the Essential Reliability Services Task Force (ERSTF).</w:t>
      </w:r>
      <w:r w:rsidR="00A5224F" w:rsidRPr="00A5224F">
        <w:t xml:space="preserve"> </w:t>
      </w:r>
      <w:r w:rsidRPr="00A5224F">
        <w:t>The ERSTF studied the three reliability blocks: frequency support, voltage support, and net demand ramping variability. Among the recommendations made in the ERSTF report were the following:</w:t>
      </w:r>
      <w:r w:rsidRPr="00A5224F">
        <w:rPr>
          <w:color w:val="000000"/>
          <w:vertAlign w:val="superscript"/>
        </w:rPr>
        <w:t xml:space="preserve"> </w:t>
      </w:r>
      <w:r w:rsidRPr="00A5224F">
        <w:rPr>
          <w:color w:val="000000"/>
          <w:vertAlign w:val="superscript"/>
        </w:rPr>
        <w:footnoteReference w:id="189"/>
      </w:r>
      <w:r w:rsidR="00DF22EE" w:rsidRPr="00A5224F">
        <w:rPr>
          <w:color w:val="000000"/>
          <w:vertAlign w:val="superscript"/>
        </w:rPr>
        <w:t xml:space="preserve"> </w:t>
      </w:r>
    </w:p>
    <w:p w:rsidR="003021D4" w:rsidRPr="00A5224F" w:rsidRDefault="003021D4" w:rsidP="003D70FB">
      <w:pPr>
        <w:numPr>
          <w:ilvl w:val="0"/>
          <w:numId w:val="53"/>
        </w:numPr>
        <w:spacing w:after="120"/>
        <w:rPr>
          <w:rFonts w:ascii="Calibri" w:hAnsi="Calibri" w:cs="Calibri"/>
          <w:color w:val="000000"/>
          <w:sz w:val="22"/>
          <w:szCs w:val="22"/>
        </w:rPr>
      </w:pPr>
      <w:r w:rsidRPr="00A5224F">
        <w:t>All new resources should have the capability to support voltage and frequency.</w:t>
      </w:r>
    </w:p>
    <w:p w:rsidR="003021D4" w:rsidRPr="00A5224F" w:rsidRDefault="003021D4" w:rsidP="003D70FB">
      <w:pPr>
        <w:numPr>
          <w:ilvl w:val="0"/>
          <w:numId w:val="53"/>
        </w:numPr>
        <w:spacing w:after="120"/>
        <w:rPr>
          <w:rFonts w:ascii="Calibri" w:hAnsi="Calibri" w:cs="Calibri"/>
          <w:color w:val="000000"/>
          <w:sz w:val="22"/>
          <w:szCs w:val="22"/>
        </w:rPr>
      </w:pPr>
      <w:r w:rsidRPr="00A5224F">
        <w:t xml:space="preserve">Since DERs will increasingly affect the net distribution load observed by the BES, NERC should establish a working group to examine the forecasting, visibility, control, and participation of DERs as an active part of the BES. With prudent planning, operating and engineering practices, and policy oriented to support reliability, DERs should be able to be reliably integrated into BES operation. </w:t>
      </w:r>
      <w:r w:rsidR="00A5224F" w:rsidRPr="00A5224F">
        <w:t xml:space="preserve">Refer to Section </w:t>
      </w:r>
      <w:r w:rsidR="00A5224F" w:rsidRPr="00A5224F">
        <w:fldChar w:fldCharType="begin"/>
      </w:r>
      <w:r w:rsidR="00A5224F" w:rsidRPr="00A5224F">
        <w:instrText xml:space="preserve"> REF _Ref491271342 \r \h </w:instrText>
      </w:r>
      <w:r w:rsidR="00A5224F">
        <w:instrText xml:space="preserve"> \* MERGEFORMAT </w:instrText>
      </w:r>
      <w:r w:rsidR="00A5224F" w:rsidRPr="00A5224F">
        <w:fldChar w:fldCharType="separate"/>
      </w:r>
      <w:r w:rsidR="00A5224F" w:rsidRPr="00A5224F">
        <w:t>9.1</w:t>
      </w:r>
      <w:r w:rsidR="00A5224F" w:rsidRPr="00A5224F">
        <w:fldChar w:fldCharType="end"/>
      </w:r>
      <w:r w:rsidR="00A5224F">
        <w:t xml:space="preserve"> for more information about the interconnection requirements for DERs.</w:t>
      </w:r>
    </w:p>
    <w:p w:rsidR="003021D4" w:rsidRPr="003021D4" w:rsidRDefault="003021D4" w:rsidP="003D70FB">
      <w:pPr>
        <w:numPr>
          <w:ilvl w:val="0"/>
          <w:numId w:val="53"/>
        </w:numPr>
        <w:rPr>
          <w:rFonts w:cs="Calibri"/>
          <w:color w:val="000000"/>
          <w:sz w:val="22"/>
          <w:szCs w:val="22"/>
        </w:rPr>
      </w:pPr>
      <w:r w:rsidRPr="00A5224F">
        <w:t>The reliability of the system can be maintained or improved as the resource mix evolves,</w:t>
      </w:r>
      <w:r w:rsidRPr="003021D4">
        <w:t xml:space="preserve"> provided that sufficient amounts of ERSs are available. This can be achieved by sharing of experiences and lessons learned around the industry.</w:t>
      </w:r>
      <w:r w:rsidRPr="003021D4">
        <w:rPr>
          <w:rFonts w:cs="Calibri"/>
          <w:color w:val="000000"/>
          <w:sz w:val="22"/>
          <w:szCs w:val="22"/>
        </w:rPr>
        <w:t xml:space="preserve"> </w:t>
      </w:r>
    </w:p>
    <w:p w:rsidR="003021D4" w:rsidRPr="003021D4" w:rsidRDefault="003021D4" w:rsidP="003021D4">
      <w:r w:rsidRPr="003021D4">
        <w:lastRenderedPageBreak/>
        <w:t xml:space="preserve">In 2016, the ERSTF transitioned to a working group (now known as </w:t>
      </w:r>
      <w:r w:rsidR="00BC34C6">
        <w:t xml:space="preserve">Essential Reliability Services Working Group </w:t>
      </w:r>
      <w:r w:rsidR="000706C0">
        <w:t>[</w:t>
      </w:r>
      <w:r w:rsidRPr="003021D4">
        <w:t>ERSWG</w:t>
      </w:r>
      <w:r w:rsidR="000706C0">
        <w:t>]</w:t>
      </w:r>
      <w:r w:rsidR="00BC34C6">
        <w:t>)</w:t>
      </w:r>
      <w:r w:rsidRPr="003021D4">
        <w:t xml:space="preserve"> and was charged with examining methodologies to determine sufficient levels of each ERS. In addition, this working group form</w:t>
      </w:r>
      <w:r w:rsidR="00A5224F">
        <w:t>ed</w:t>
      </w:r>
      <w:r w:rsidRPr="003021D4">
        <w:t xml:space="preserve"> a task force under their purview to address challenges and potential risks from increasing DERs.</w:t>
      </w:r>
    </w:p>
    <w:p w:rsidR="003021D4" w:rsidRPr="003021D4" w:rsidRDefault="003021D4" w:rsidP="003021D4">
      <w:pPr>
        <w:rPr>
          <w:rFonts w:ascii="Calibri" w:hAnsi="Calibri" w:cs="Calibri"/>
          <w:color w:val="000000"/>
          <w:sz w:val="22"/>
          <w:szCs w:val="22"/>
        </w:rPr>
      </w:pPr>
      <w:r w:rsidRPr="003021D4">
        <w:t xml:space="preserve">NERC recognizes that a changing resource mix with significant increases in energy-limited resources, changes in off-peak demand, and other factors can affect resource adequacy. As a result, NERC is incorporating more probabilistic approaches into the LTRA as well as other ongoing analyses that will provide further insights into how to best establish adequate reserve margins amidst a BES undergoing unprecedented changes. </w:t>
      </w:r>
    </w:p>
    <w:p w:rsidR="003021D4" w:rsidRPr="003021D4" w:rsidRDefault="003021D4" w:rsidP="003021D4">
      <w:pPr>
        <w:rPr>
          <w:rFonts w:asciiTheme="majorHAnsi" w:hAnsiTheme="majorHAnsi" w:cs="Calibri"/>
        </w:rPr>
      </w:pPr>
      <w:r w:rsidRPr="003021D4">
        <w:t xml:space="preserve">NERC remains concerned with </w:t>
      </w:r>
      <w:r w:rsidRPr="003021D4">
        <w:rPr>
          <w:rFonts w:cs="Calibri"/>
        </w:rPr>
        <w:t xml:space="preserve">the potential reliability impacts from environmental regulations, which </w:t>
      </w:r>
      <w:r w:rsidRPr="00297BE5">
        <w:rPr>
          <w:rFonts w:cs="Calibri"/>
        </w:rPr>
        <w:t>include restricted operations and retirements (see Section</w:t>
      </w:r>
      <w:r w:rsidR="00297BE5" w:rsidRPr="00297BE5">
        <w:rPr>
          <w:rFonts w:cs="Calibri"/>
        </w:rPr>
        <w:t xml:space="preserve"> </w:t>
      </w:r>
      <w:r w:rsidR="00297BE5" w:rsidRPr="00297BE5">
        <w:rPr>
          <w:rFonts w:cs="Calibri"/>
        </w:rPr>
        <w:fldChar w:fldCharType="begin"/>
      </w:r>
      <w:r w:rsidR="00297BE5" w:rsidRPr="00297BE5">
        <w:rPr>
          <w:rFonts w:cs="Calibri"/>
        </w:rPr>
        <w:instrText xml:space="preserve"> REF _Ref419108817 \r \h </w:instrText>
      </w:r>
      <w:r w:rsidR="00297BE5">
        <w:rPr>
          <w:rFonts w:cs="Calibri"/>
        </w:rPr>
        <w:instrText xml:space="preserve"> \* MERGEFORMAT </w:instrText>
      </w:r>
      <w:r w:rsidR="00297BE5" w:rsidRPr="00297BE5">
        <w:rPr>
          <w:rFonts w:cs="Calibri"/>
        </w:rPr>
      </w:r>
      <w:r w:rsidR="00297BE5" w:rsidRPr="00297BE5">
        <w:rPr>
          <w:rFonts w:cs="Calibri"/>
        </w:rPr>
        <w:fldChar w:fldCharType="separate"/>
      </w:r>
      <w:r w:rsidR="00314781">
        <w:rPr>
          <w:rFonts w:cs="Calibri"/>
        </w:rPr>
        <w:t>8.1</w:t>
      </w:r>
      <w:r w:rsidR="00297BE5" w:rsidRPr="00297BE5">
        <w:rPr>
          <w:rFonts w:cs="Calibri"/>
        </w:rPr>
        <w:fldChar w:fldCharType="end"/>
      </w:r>
      <w:r w:rsidRPr="00297BE5">
        <w:rPr>
          <w:rFonts w:cs="Calibri"/>
        </w:rPr>
        <w:t>). NERC plans to conduct a reliability</w:t>
      </w:r>
      <w:r w:rsidRPr="003021D4">
        <w:rPr>
          <w:rFonts w:cs="Calibri"/>
        </w:rPr>
        <w:t xml:space="preserve"> assessment once the US Environmental Protection Agency (EPA) finalizes Section 111(d) of the </w:t>
      </w:r>
      <w:r w:rsidRPr="003021D4">
        <w:rPr>
          <w:rFonts w:cs="Calibri"/>
          <w:i/>
        </w:rPr>
        <w:t xml:space="preserve">Clean Air </w:t>
      </w:r>
      <w:r w:rsidRPr="00297BE5">
        <w:rPr>
          <w:rFonts w:cs="Calibri"/>
          <w:i/>
        </w:rPr>
        <w:t>Act</w:t>
      </w:r>
      <w:r w:rsidRPr="00297BE5">
        <w:rPr>
          <w:rFonts w:cs="Calibri"/>
        </w:rPr>
        <w:t xml:space="preserve"> (CAA) </w:t>
      </w:r>
      <w:r w:rsidRPr="00297BE5">
        <w:rPr>
          <w:rFonts w:cs="Calibri"/>
          <w:sz w:val="18"/>
          <w:szCs w:val="18"/>
        </w:rPr>
        <w:t>(</w:t>
      </w:r>
      <w:r w:rsidRPr="00297BE5">
        <w:rPr>
          <w:rFonts w:cs="Calibri"/>
        </w:rPr>
        <w:t xml:space="preserve">see Section </w:t>
      </w:r>
      <w:r w:rsidR="00297BE5" w:rsidRPr="00297BE5">
        <w:rPr>
          <w:rFonts w:cs="Calibri"/>
        </w:rPr>
        <w:fldChar w:fldCharType="begin"/>
      </w:r>
      <w:r w:rsidR="00297BE5" w:rsidRPr="00297BE5">
        <w:rPr>
          <w:rFonts w:cs="Calibri"/>
        </w:rPr>
        <w:instrText xml:space="preserve"> REF _Ref485734800 \r \h </w:instrText>
      </w:r>
      <w:r w:rsidR="00297BE5">
        <w:rPr>
          <w:rFonts w:cs="Calibri"/>
        </w:rPr>
        <w:instrText xml:space="preserve"> \* MERGEFORMAT </w:instrText>
      </w:r>
      <w:r w:rsidR="00297BE5" w:rsidRPr="00297BE5">
        <w:rPr>
          <w:rFonts w:cs="Calibri"/>
        </w:rPr>
      </w:r>
      <w:r w:rsidR="00297BE5" w:rsidRPr="00297BE5">
        <w:rPr>
          <w:rFonts w:cs="Calibri"/>
        </w:rPr>
        <w:fldChar w:fldCharType="separate"/>
      </w:r>
      <w:r w:rsidR="00314781">
        <w:rPr>
          <w:rFonts w:cs="Calibri"/>
        </w:rPr>
        <w:t>8.1.2</w:t>
      </w:r>
      <w:r w:rsidR="00297BE5" w:rsidRPr="00297BE5">
        <w:rPr>
          <w:rFonts w:cs="Calibri"/>
        </w:rPr>
        <w:fldChar w:fldCharType="end"/>
      </w:r>
      <w:r w:rsidRPr="00297BE5">
        <w:rPr>
          <w:rFonts w:cs="Calibri"/>
        </w:rPr>
        <w:t>).</w:t>
      </w:r>
    </w:p>
    <w:p w:rsidR="003021D4" w:rsidRPr="00E443BD" w:rsidRDefault="003021D4" w:rsidP="005A7F54">
      <w:pPr>
        <w:pStyle w:val="Heading2"/>
      </w:pPr>
      <w:bookmarkStart w:id="640" w:name="_Toc365441059"/>
      <w:bookmarkStart w:id="641" w:name="_Toc396807686"/>
      <w:bookmarkStart w:id="642" w:name="_Ref419227888"/>
      <w:bookmarkStart w:id="643" w:name="_Toc484947380"/>
      <w:bookmarkStart w:id="644" w:name="_Toc490323065"/>
      <w:bookmarkStart w:id="645" w:name="_Ref491272657"/>
      <w:r w:rsidRPr="003021D4">
        <w:t>IRC Activities</w:t>
      </w:r>
      <w:bookmarkEnd w:id="640"/>
      <w:bookmarkEnd w:id="641"/>
      <w:bookmarkEnd w:id="642"/>
      <w:bookmarkEnd w:id="643"/>
      <w:bookmarkEnd w:id="644"/>
      <w:bookmarkEnd w:id="645"/>
      <w:r w:rsidRPr="003021D4">
        <w:t xml:space="preserve"> </w:t>
      </w:r>
    </w:p>
    <w:p w:rsidR="003021D4" w:rsidRPr="003021D4" w:rsidRDefault="003021D4" w:rsidP="003021D4">
      <w:r w:rsidRPr="003021D4">
        <w:t>Created in April 2003, the ISO/RTO Council (IRC) is an industry group consisting of the nine functioning ISOs and RTOs in North America. These ISOs and RTOs serve two-thirds of the electricity customers in the United States and more than 50% of Canada‘s population. The IRC works collaboratively to develop effective processes, tools, and standard methods for improving competitive electricity markets across much of North America. Each ISO/RTO manages efficient, robust markets that provide competitive and reliable electricity service, consistent with its individual market and reliability criteria.</w:t>
      </w:r>
    </w:p>
    <w:p w:rsidR="003021D4" w:rsidRPr="003021D4" w:rsidRDefault="003021D4" w:rsidP="003021D4">
      <w:r w:rsidRPr="003021D4">
        <w:t xml:space="preserve">While the IRC members have different authorities, they have many planning responsibilities in common because of their similar missions. As part of the ISO/RTO authorization to operate, each ISO/RTO independently and fairly administers an open, transparent planning process among its participants. These activities include exchanging information, treating participants comparably, resolving disputes, coordinating infrastructure improvements regionally and interregionally, conducting economic planning studies, and allocating costs. This ensures a level playing field for infrastructure development driven efficiently by competition and meeting all reliability requirements. </w:t>
      </w:r>
    </w:p>
    <w:p w:rsidR="003021D4" w:rsidRPr="003021D4" w:rsidRDefault="003021D4" w:rsidP="003021D4">
      <w:pPr>
        <w:tabs>
          <w:tab w:val="left" w:pos="3060"/>
        </w:tabs>
      </w:pPr>
      <w:r w:rsidRPr="003021D4">
        <w:t>The IRC has coordinated a number of reports, filings, and presentations with national government agencies.</w:t>
      </w:r>
      <w:r w:rsidRPr="003021D4">
        <w:rPr>
          <w:vertAlign w:val="superscript"/>
        </w:rPr>
        <w:footnoteReference w:id="190"/>
      </w:r>
      <w:r w:rsidRPr="003021D4">
        <w:t xml:space="preserve"> The IRC has worked with EPA, the states, and all interested parties on proposed carbon dioxide (CO</w:t>
      </w:r>
      <w:r w:rsidRPr="003021D4">
        <w:rPr>
          <w:vertAlign w:val="subscript"/>
        </w:rPr>
        <w:t>2</w:t>
      </w:r>
      <w:r w:rsidRPr="003021D4">
        <w:t xml:space="preserve">) regulations that respect electric power system reliability and are compatible with the efficient dispatch of the electric power grid. Additionally, the IRC has submitted FERC filings on issues of common concern for its members, such as FERC’s notice of proposed rulemaking on </w:t>
      </w:r>
      <w:r w:rsidR="00F82269">
        <w:t xml:space="preserve">electric </w:t>
      </w:r>
      <w:r w:rsidRPr="003021D4">
        <w:t xml:space="preserve">storage </w:t>
      </w:r>
      <w:r w:rsidR="00F82269">
        <w:t xml:space="preserve">resources </w:t>
      </w:r>
      <w:r w:rsidRPr="003021D4">
        <w:t xml:space="preserve">and </w:t>
      </w:r>
      <w:r w:rsidR="00F82269">
        <w:t xml:space="preserve">distributed energy resource aggregations in organized wholesale electric </w:t>
      </w:r>
      <w:r w:rsidR="00F82269" w:rsidRPr="00166071">
        <w:t>markets</w:t>
      </w:r>
      <w:r w:rsidR="00AA38D4">
        <w:t xml:space="preserve"> </w:t>
      </w:r>
      <w:r w:rsidRPr="00166071">
        <w:t>(see Section </w:t>
      </w:r>
      <w:r w:rsidR="00231A08" w:rsidRPr="00166071">
        <w:fldChar w:fldCharType="begin"/>
      </w:r>
      <w:r w:rsidR="00231A08" w:rsidRPr="00166071">
        <w:instrText xml:space="preserve"> REF _Ref388715573 \r \h  \* MERGEFORMAT </w:instrText>
      </w:r>
      <w:r w:rsidR="00231A08" w:rsidRPr="00166071">
        <w:fldChar w:fldCharType="separate"/>
      </w:r>
      <w:r w:rsidR="00314781">
        <w:t>9.3</w:t>
      </w:r>
      <w:r w:rsidR="00231A08" w:rsidRPr="00166071">
        <w:fldChar w:fldCharType="end"/>
      </w:r>
      <w:r w:rsidRPr="00166071">
        <w:t>).</w:t>
      </w:r>
      <w:r w:rsidRPr="00166071">
        <w:rPr>
          <w:vertAlign w:val="superscript"/>
        </w:rPr>
        <w:footnoteReference w:id="191"/>
      </w:r>
      <w:r w:rsidRPr="00166071">
        <w:t xml:space="preserve"> IRC members also have coordinated on a</w:t>
      </w:r>
      <w:r w:rsidRPr="003021D4">
        <w:t xml:space="preserve"> number of technical issues, including the use of software and the sharing of planning techniques, such as the modeling of distributed energy resources. </w:t>
      </w:r>
    </w:p>
    <w:p w:rsidR="003021D4" w:rsidRPr="00E443BD" w:rsidRDefault="003021D4" w:rsidP="005A7F54">
      <w:pPr>
        <w:pStyle w:val="Heading2"/>
      </w:pPr>
      <w:bookmarkStart w:id="646" w:name="_Ref360798958"/>
      <w:bookmarkStart w:id="647" w:name="_Toc365441060"/>
      <w:bookmarkStart w:id="648" w:name="_Toc396807687"/>
      <w:bookmarkStart w:id="649" w:name="_Toc484947381"/>
      <w:bookmarkStart w:id="650" w:name="_Toc490323066"/>
      <w:r w:rsidRPr="003021D4">
        <w:lastRenderedPageBreak/>
        <w:t>Northeast Power Coordinating Council Studies and Activities</w:t>
      </w:r>
      <w:bookmarkEnd w:id="646"/>
      <w:bookmarkEnd w:id="647"/>
      <w:bookmarkEnd w:id="648"/>
      <w:bookmarkEnd w:id="649"/>
      <w:bookmarkEnd w:id="650"/>
    </w:p>
    <w:p w:rsidR="003021D4" w:rsidRPr="003021D4" w:rsidRDefault="003021D4" w:rsidP="003021D4">
      <w:r w:rsidRPr="003021D4">
        <w:t xml:space="preserve">The Northeast Power Coordinating Council is one of eight regional entities located throughout the United States, Canada, and portions of Mexico responsible for enhancing and promoting the reliable and efficient operation of the interconnected </w:t>
      </w:r>
      <w:r w:rsidRPr="00027085">
        <w:t>bulk power system.</w:t>
      </w:r>
      <w:r w:rsidRPr="0074311D">
        <w:rPr>
          <w:vertAlign w:val="superscript"/>
        </w:rPr>
        <w:footnoteReference w:id="192"/>
      </w:r>
      <w:r w:rsidRPr="003021D4">
        <w:t xml:space="preserve"> NERC has authorized NPCC to create regional standards to enhance the reliability of the international, interconnected BES in northeastern North America. As a member of NPCC, the ISO fully participates in NPCC-coordinated interregional studies with its neighboring areas.</w:t>
      </w:r>
    </w:p>
    <w:p w:rsidR="003021D4" w:rsidRPr="003021D4" w:rsidRDefault="003021D4" w:rsidP="003021D4">
      <w:r w:rsidRPr="0074311D">
        <w:t>NPCC assesses seasonal reliability and, periodically, the reliability of the planned BPS.</w:t>
      </w:r>
      <w:r w:rsidRPr="003021D4">
        <w:t xml:space="preserve"> It also evaluates annual long-range resource adequacy. All studies are well coordinated across neighboring area boundaries and include the development of common databases that can serve as the basis for internal studies by the ISO. ISO New England assessments demonstrate full compliance with NERC and NPCC requirements for meeting resource adequacy and transmission planning criteria and standards. </w:t>
      </w:r>
    </w:p>
    <w:p w:rsidR="003021D4" w:rsidRPr="00E443BD" w:rsidRDefault="003021D4" w:rsidP="005A7F54">
      <w:pPr>
        <w:pStyle w:val="Heading2"/>
      </w:pPr>
      <w:bookmarkStart w:id="651" w:name="_Ref360798959"/>
      <w:bookmarkStart w:id="652" w:name="_Toc365441061"/>
      <w:bookmarkStart w:id="653" w:name="_Toc396807688"/>
      <w:bookmarkStart w:id="654" w:name="_Toc484947382"/>
      <w:bookmarkStart w:id="655" w:name="_Toc490323067"/>
      <w:r w:rsidRPr="003021D4">
        <w:t>Northeastern ISO/RTO Planning Coordination Protocol</w:t>
      </w:r>
      <w:bookmarkEnd w:id="651"/>
      <w:bookmarkEnd w:id="652"/>
      <w:bookmarkEnd w:id="653"/>
      <w:bookmarkEnd w:id="654"/>
      <w:bookmarkEnd w:id="655"/>
    </w:p>
    <w:p w:rsidR="003021D4" w:rsidRPr="003021D4" w:rsidRDefault="003021D4" w:rsidP="003021D4">
      <w:bookmarkStart w:id="656" w:name="_Ref388717286"/>
      <w:bookmarkStart w:id="657" w:name="_Ref388861471"/>
      <w:bookmarkStart w:id="658" w:name="_Toc396807689"/>
      <w:r w:rsidRPr="003021D4">
        <w:t>Each ISO/RTO develops individual system reliability plans, production cost studies, and interconnection studies, mindful of significant interregional impacts. To facilitate interregional coordination and communication among all interested parties, the Joint ISO/RTO Planning Committee (JIPC) and the Interregional Planning Stakeholder Advisory Committee (IPSAC) were established.</w:t>
      </w:r>
      <w:r w:rsidRPr="003021D4">
        <w:rPr>
          <w:vertAlign w:val="superscript"/>
        </w:rPr>
        <w:footnoteReference w:id="193"/>
      </w:r>
      <w:r w:rsidRPr="003021D4">
        <w:t xml:space="preserve"> The JIPC has successfully implemented the Northeastern ISO/RTO Planning Coordination Protocol and the subsequent Amended and Restated Northeastern ISO/RTO Planning Protocol, which has further improved </w:t>
      </w:r>
      <w:r w:rsidRPr="0075777E">
        <w:t>interregional planning among neighboring areas as part of regional compliance with FERC Order No. 1000</w:t>
      </w:r>
      <w:r w:rsidR="00231A08" w:rsidRPr="0075777E">
        <w:t xml:space="preserve">. </w:t>
      </w:r>
      <w:r w:rsidRPr="0075777E">
        <w:t>The IPSAC provided stakeholder input to the JIPC.</w:t>
      </w:r>
    </w:p>
    <w:p w:rsidR="003021D4" w:rsidRPr="003021D4" w:rsidRDefault="003021D4" w:rsidP="003021D4">
      <w:r w:rsidRPr="003021D4">
        <w:t>Regarding interregional planning, Order No. 1000 requires all transmission providers to develop further procedures with neighboring regions to provide for the following:</w:t>
      </w:r>
    </w:p>
    <w:p w:rsidR="003021D4" w:rsidRPr="003021D4" w:rsidRDefault="003021D4" w:rsidP="003D70FB">
      <w:pPr>
        <w:numPr>
          <w:ilvl w:val="0"/>
          <w:numId w:val="66"/>
        </w:numPr>
        <w:spacing w:after="120"/>
        <w:rPr>
          <w:rFonts w:eastAsia="Times New Roman"/>
          <w:szCs w:val="24"/>
        </w:rPr>
      </w:pPr>
      <w:r w:rsidRPr="003021D4">
        <w:rPr>
          <w:rFonts w:eastAsia="Times New Roman"/>
          <w:szCs w:val="24"/>
        </w:rPr>
        <w:t>Sharing information regarding the respective needs of each region and potential solutions to these needs</w:t>
      </w:r>
    </w:p>
    <w:p w:rsidR="003021D4" w:rsidRPr="003021D4" w:rsidRDefault="003021D4" w:rsidP="003D70FB">
      <w:pPr>
        <w:numPr>
          <w:ilvl w:val="0"/>
          <w:numId w:val="66"/>
        </w:numPr>
        <w:rPr>
          <w:rFonts w:eastAsia="Times New Roman"/>
          <w:szCs w:val="24"/>
        </w:rPr>
      </w:pPr>
      <w:r w:rsidRPr="003021D4">
        <w:rPr>
          <w:rFonts w:eastAsia="Times New Roman"/>
          <w:szCs w:val="24"/>
        </w:rPr>
        <w:t>Identifying and jointly evaluating interregional transmission facilities that may be more efficient or cost-effective solutions to these regional needs</w:t>
      </w:r>
    </w:p>
    <w:p w:rsidR="003021D4" w:rsidRPr="003021D4" w:rsidRDefault="003021D4" w:rsidP="003021D4">
      <w:r w:rsidRPr="003021D4">
        <w:t xml:space="preserve">In addition to the Amended Planning Protocol, ISO New England, NYISO, and PJM, with input from their regional stakeholders and IPSAC, jointly developed other documents that FERC has determined comply with the interregional planning principles required by Order No. 1000. The three regions developed the </w:t>
      </w:r>
      <w:r w:rsidRPr="003021D4">
        <w:rPr>
          <w:i/>
        </w:rPr>
        <w:t>Northeast Coordinated System Plan 2015</w:t>
      </w:r>
      <w:r w:rsidRPr="003021D4">
        <w:t xml:space="preserve"> (NCSP15) and other IPSAC meeting materials, and they participate in a number of activities, in accordance with these requirements, which demonstrate continued, collaborative interregional planning.</w:t>
      </w:r>
      <w:r w:rsidRPr="003021D4">
        <w:rPr>
          <w:vertAlign w:val="superscript"/>
        </w:rPr>
        <w:footnoteReference w:id="194"/>
      </w:r>
    </w:p>
    <w:p w:rsidR="003021D4" w:rsidRPr="003021D4" w:rsidRDefault="003021D4" w:rsidP="003021D4">
      <w:r w:rsidRPr="003021D4">
        <w:lastRenderedPageBreak/>
        <w:t>NCSP15 summarizes the 2014 and 2015 interregional planning activities under the responsibilities of the JIPC and references other interregional activities, such as work associated with the North American Electric Reliability Corporation, Reliaiblity</w:t>
      </w:r>
      <w:r w:rsidRPr="003021D4">
        <w:rPr>
          <w:i/>
        </w:rPr>
        <w:t>First,</w:t>
      </w:r>
      <w:r w:rsidRPr="003021D4">
        <w:t xml:space="preserve"> and</w:t>
      </w:r>
      <w:r w:rsidR="00B607C3">
        <w:t xml:space="preserve"> </w:t>
      </w:r>
      <w:r w:rsidRPr="003021D4">
        <w:t xml:space="preserve">the Northeast Regional Reliability Council. NCSP15 and IPSAC materials show that the regions have enhanced the timely exchange of needed databases and models required to perform planning studies and have coordinated interregional studies for resource adequacy, transmission planning, economic performance, and other issues. </w:t>
      </w:r>
    </w:p>
    <w:p w:rsidR="003021D4" w:rsidRPr="003021D4" w:rsidRDefault="003021D4" w:rsidP="003021D4">
      <w:r w:rsidRPr="003021D4">
        <w:t xml:space="preserve">Recent planning activities among ISO New England, NYISO, and PJM, discussed with IPSAC, include the interregional planning process, regional needs, and projects meeting regional needs. The information helps stakeholders identify potential interregional solutions to regional problems that may be more efficient or cost effective. Additional IPSAC discussions included interconnection queue studies with potential interregional impacts and how the JIPC has coordinated these studies. To date, the ISO/RTOs have not identified new interregional transmission projects that would be more effective or cost efficient in meeting the needs of multiple regions than proposed regional system improvements. </w:t>
      </w:r>
    </w:p>
    <w:p w:rsidR="003021D4" w:rsidRPr="003021D4" w:rsidRDefault="003021D4" w:rsidP="003021D4">
      <w:r w:rsidRPr="003021D4">
        <w:t>The ISO/RTOs have also enhanced the timelines and procedures for interregional planning. These entities will continue to share system information for conducting joint and individual planning studies. Input from the IPSAC and JIPC will provide additional perspectives in addressing current and future challenges, and stakeholder input will continue to provide valuable contributions in future planning cycles.</w:t>
      </w:r>
    </w:p>
    <w:p w:rsidR="003021D4" w:rsidRPr="00E443BD" w:rsidRDefault="003021D4" w:rsidP="005A7F54">
      <w:pPr>
        <w:pStyle w:val="Heading2"/>
      </w:pPr>
      <w:bookmarkStart w:id="659" w:name="_Toc484947383"/>
      <w:bookmarkStart w:id="660" w:name="_Ref485735585"/>
      <w:bookmarkStart w:id="661" w:name="_Ref485736868"/>
      <w:bookmarkStart w:id="662" w:name="_Toc490323068"/>
      <w:bookmarkStart w:id="663" w:name="_Ref418955391"/>
      <w:r w:rsidRPr="003021D4">
        <w:t>Interregional Transfers</w:t>
      </w:r>
      <w:bookmarkEnd w:id="656"/>
      <w:bookmarkEnd w:id="657"/>
      <w:bookmarkEnd w:id="658"/>
      <w:bookmarkEnd w:id="659"/>
      <w:bookmarkEnd w:id="660"/>
      <w:bookmarkEnd w:id="661"/>
      <w:bookmarkEnd w:id="662"/>
      <w:r w:rsidRPr="003021D4">
        <w:t xml:space="preserve"> </w:t>
      </w:r>
      <w:bookmarkEnd w:id="663"/>
    </w:p>
    <w:p w:rsidR="003021D4" w:rsidRPr="00914EEB" w:rsidRDefault="003021D4" w:rsidP="003021D4">
      <w:r w:rsidRPr="003021D4">
        <w:t>Interconnections with neighboring regions provide opportunities for exchanging capacity, energy, reserves, and mutual assistance during capacity-shortage conditions. Capacity imports help New England meet its Installed Capacity Requirements and promote competition in the FC</w:t>
      </w:r>
      <w:r w:rsidR="00D33D0A">
        <w:t>M</w:t>
      </w:r>
      <w:r w:rsidRPr="003021D4">
        <w:t xml:space="preserve">. The tie-reliability benefits from </w:t>
      </w:r>
      <w:r w:rsidRPr="00914EEB">
        <w:t>the interconnections also can lower the ICR. Additionally, imports provide resource diversity and can lower regional generation emissions, especially imports of hydro.</w:t>
      </w:r>
    </w:p>
    <w:p w:rsidR="003021D4" w:rsidRPr="005A7F54" w:rsidRDefault="005D1DBF" w:rsidP="003021D4">
      <w:r w:rsidRPr="00914EEB">
        <w:t>The ISO’s p</w:t>
      </w:r>
      <w:r w:rsidR="003021D4" w:rsidRPr="00914EEB">
        <w:t xml:space="preserve">lanning studies use the energy and capacity import capabilities </w:t>
      </w:r>
      <w:r w:rsidRPr="00914EEB">
        <w:t xml:space="preserve">shown in </w:t>
      </w:r>
      <w:r w:rsidRPr="00914EEB">
        <w:fldChar w:fldCharType="begin"/>
      </w:r>
      <w:r w:rsidRPr="00914EEB">
        <w:instrText xml:space="preserve"> REF _Ref418951058 \h  \* MERGEFORMAT </w:instrText>
      </w:r>
      <w:r w:rsidRPr="00914EEB">
        <w:fldChar w:fldCharType="separate"/>
      </w:r>
      <w:r w:rsidR="00314781" w:rsidRPr="00F4497C">
        <w:rPr>
          <w:bCs/>
          <w:szCs w:val="18"/>
        </w:rPr>
        <w:t xml:space="preserve">Table </w:t>
      </w:r>
      <w:r w:rsidR="00314781" w:rsidRPr="00F4497C">
        <w:rPr>
          <w:bCs/>
          <w:noProof/>
          <w:szCs w:val="18"/>
        </w:rPr>
        <w:t>6</w:t>
      </w:r>
      <w:r w:rsidR="00314781" w:rsidRPr="00F4497C">
        <w:rPr>
          <w:bCs/>
          <w:noProof/>
          <w:szCs w:val="18"/>
        </w:rPr>
        <w:noBreakHyphen/>
        <w:t>1</w:t>
      </w:r>
      <w:r w:rsidRPr="00914EEB">
        <w:fldChar w:fldCharType="end"/>
      </w:r>
      <w:r w:rsidRPr="00914EEB">
        <w:t xml:space="preserve"> (and described in Section </w:t>
      </w:r>
      <w:r w:rsidRPr="00914EEB">
        <w:fldChar w:fldCharType="begin"/>
      </w:r>
      <w:r w:rsidRPr="00914EEB">
        <w:instrText xml:space="preserve"> REF _Ref418953108 \r \h  \* MERGEFORMAT </w:instrText>
      </w:r>
      <w:r w:rsidRPr="00914EEB">
        <w:fldChar w:fldCharType="separate"/>
      </w:r>
      <w:r w:rsidR="00314781" w:rsidRPr="00F4497C">
        <w:t>5.2</w:t>
      </w:r>
      <w:r w:rsidRPr="00914EEB">
        <w:fldChar w:fldCharType="end"/>
      </w:r>
      <w:r w:rsidRPr="00914EEB">
        <w:t xml:space="preserve">) </w:t>
      </w:r>
      <w:r w:rsidR="003021D4" w:rsidRPr="00914EEB">
        <w:t xml:space="preserve">of the </w:t>
      </w:r>
      <w:r w:rsidRPr="00914EEB">
        <w:t xml:space="preserve">13 </w:t>
      </w:r>
      <w:r w:rsidR="003021D4" w:rsidRPr="00914EEB">
        <w:t xml:space="preserve">interconnections </w:t>
      </w:r>
      <w:r w:rsidRPr="00914EEB">
        <w:t>New England</w:t>
      </w:r>
      <w:r w:rsidR="003021D4" w:rsidRPr="00914EEB">
        <w:t xml:space="preserve"> has with neighboring power systems in the United States and Eastern Canada</w:t>
      </w:r>
      <w:r w:rsidRPr="00914EEB">
        <w:t>.</w:t>
      </w:r>
    </w:p>
    <w:p w:rsidR="003021D4" w:rsidRPr="003021D4" w:rsidRDefault="003021D4" w:rsidP="003021D4">
      <w:pPr>
        <w:keepNext/>
        <w:keepLines/>
        <w:spacing w:after="80" w:line="240" w:lineRule="auto"/>
        <w:jc w:val="center"/>
        <w:rPr>
          <w:rFonts w:asciiTheme="minorHAnsi" w:hAnsiTheme="minorHAnsi"/>
          <w:bCs/>
          <w:sz w:val="18"/>
          <w:szCs w:val="18"/>
        </w:rPr>
      </w:pPr>
      <w:bookmarkStart w:id="664" w:name="_Ref418951058"/>
      <w:bookmarkStart w:id="665" w:name="_Toc429063573"/>
      <w:bookmarkStart w:id="666" w:name="_Toc491244018"/>
      <w:r w:rsidRPr="003021D4">
        <w:rPr>
          <w:rFonts w:ascii="Calibri" w:hAnsi="Calibri"/>
          <w:b/>
          <w:bCs/>
          <w:szCs w:val="18"/>
        </w:rPr>
        <w:lastRenderedPageBreak/>
        <w:t xml:space="preserve">Table </w:t>
      </w:r>
      <w:r w:rsidR="00D95957">
        <w:rPr>
          <w:rFonts w:ascii="Calibri" w:hAnsi="Calibri"/>
          <w:b/>
          <w:bCs/>
          <w:szCs w:val="18"/>
        </w:rPr>
        <w:fldChar w:fldCharType="begin"/>
      </w:r>
      <w:r w:rsidR="00D95957">
        <w:rPr>
          <w:rFonts w:ascii="Calibri" w:hAnsi="Calibri"/>
          <w:b/>
          <w:bCs/>
          <w:szCs w:val="18"/>
        </w:rPr>
        <w:instrText xml:space="preserve"> STYLEREF 1 \s </w:instrText>
      </w:r>
      <w:r w:rsidR="00D95957">
        <w:rPr>
          <w:rFonts w:ascii="Calibri" w:hAnsi="Calibri"/>
          <w:b/>
          <w:bCs/>
          <w:szCs w:val="18"/>
        </w:rPr>
        <w:fldChar w:fldCharType="separate"/>
      </w:r>
      <w:r w:rsidR="00D95957">
        <w:rPr>
          <w:rFonts w:ascii="Calibri" w:hAnsi="Calibri"/>
          <w:b/>
          <w:bCs/>
          <w:noProof/>
          <w:szCs w:val="18"/>
        </w:rPr>
        <w:t>6</w:t>
      </w:r>
      <w:r w:rsidR="00D95957">
        <w:rPr>
          <w:rFonts w:ascii="Calibri" w:hAnsi="Calibri"/>
          <w:b/>
          <w:bCs/>
          <w:szCs w:val="18"/>
        </w:rPr>
        <w:fldChar w:fldCharType="end"/>
      </w:r>
      <w:r w:rsidR="00D95957">
        <w:rPr>
          <w:rFonts w:ascii="Calibri" w:hAnsi="Calibri"/>
          <w:b/>
          <w:bCs/>
          <w:szCs w:val="18"/>
        </w:rPr>
        <w:noBreakHyphen/>
      </w:r>
      <w:r w:rsidR="00D95957">
        <w:rPr>
          <w:rFonts w:ascii="Calibri" w:hAnsi="Calibri"/>
          <w:b/>
          <w:bCs/>
          <w:szCs w:val="18"/>
        </w:rPr>
        <w:fldChar w:fldCharType="begin"/>
      </w:r>
      <w:r w:rsidR="00D95957">
        <w:rPr>
          <w:rFonts w:ascii="Calibri" w:hAnsi="Calibri"/>
          <w:b/>
          <w:bCs/>
          <w:szCs w:val="18"/>
        </w:rPr>
        <w:instrText xml:space="preserve"> SEQ Table \* ARABIC \s 1 </w:instrText>
      </w:r>
      <w:r w:rsidR="00D95957">
        <w:rPr>
          <w:rFonts w:ascii="Calibri" w:hAnsi="Calibri"/>
          <w:b/>
          <w:bCs/>
          <w:szCs w:val="18"/>
        </w:rPr>
        <w:fldChar w:fldCharType="separate"/>
      </w:r>
      <w:r w:rsidR="00D95957">
        <w:rPr>
          <w:rFonts w:ascii="Calibri" w:hAnsi="Calibri"/>
          <w:b/>
          <w:bCs/>
          <w:noProof/>
          <w:szCs w:val="18"/>
        </w:rPr>
        <w:t>1</w:t>
      </w:r>
      <w:r w:rsidR="00D95957">
        <w:rPr>
          <w:rFonts w:ascii="Calibri" w:hAnsi="Calibri"/>
          <w:b/>
          <w:bCs/>
          <w:szCs w:val="18"/>
        </w:rPr>
        <w:fldChar w:fldCharType="end"/>
      </w:r>
      <w:bookmarkEnd w:id="664"/>
      <w:r w:rsidRPr="003021D4">
        <w:rPr>
          <w:rFonts w:ascii="Calibri" w:hAnsi="Calibri"/>
          <w:b/>
          <w:bCs/>
          <w:szCs w:val="18"/>
        </w:rPr>
        <w:br/>
      </w:r>
      <w:r w:rsidRPr="003021D4">
        <w:rPr>
          <w:rFonts w:asciiTheme="minorHAnsi" w:hAnsiTheme="minorHAnsi"/>
          <w:b/>
          <w:bCs/>
          <w:sz w:val="18"/>
          <w:szCs w:val="18"/>
        </w:rPr>
        <w:t>Assumed External Interface Import Capability, Summer 2017 to Summer 2026 (MW)</w:t>
      </w:r>
      <w:r w:rsidRPr="003021D4">
        <w:rPr>
          <w:rFonts w:asciiTheme="minorHAnsi" w:hAnsiTheme="minorHAnsi"/>
          <w:b/>
          <w:bCs/>
          <w:sz w:val="18"/>
          <w:szCs w:val="18"/>
          <w:vertAlign w:val="superscript"/>
        </w:rPr>
        <w:t>(a)</w:t>
      </w:r>
      <w:bookmarkEnd w:id="665"/>
      <w:bookmarkEnd w:id="666"/>
    </w:p>
    <w:tbl>
      <w:tblPr>
        <w:tblStyle w:val="TableGrid"/>
        <w:tblW w:w="660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115" w:type="dxa"/>
          <w:right w:w="115" w:type="dxa"/>
        </w:tblCellMar>
        <w:tblLook w:val="04A0" w:firstRow="1" w:lastRow="0" w:firstColumn="1" w:lastColumn="0" w:noHBand="0" w:noVBand="1"/>
      </w:tblPr>
      <w:tblGrid>
        <w:gridCol w:w="3020"/>
        <w:gridCol w:w="1712"/>
        <w:gridCol w:w="1870"/>
      </w:tblGrid>
      <w:tr w:rsidR="003021D4" w:rsidRPr="003021D4" w:rsidTr="00595A75">
        <w:trPr>
          <w:jc w:val="center"/>
        </w:trPr>
        <w:tc>
          <w:tcPr>
            <w:tcW w:w="3020" w:type="dxa"/>
            <w:shd w:val="clear" w:color="auto" w:fill="1795D2" w:themeFill="accent1"/>
            <w:vAlign w:val="center"/>
          </w:tcPr>
          <w:p w:rsidR="003021D4" w:rsidRPr="003021D4" w:rsidRDefault="003021D4" w:rsidP="003021D4">
            <w:pPr>
              <w:keepNext/>
              <w:keepLines/>
              <w:spacing w:after="0" w:line="240" w:lineRule="auto"/>
              <w:jc w:val="center"/>
              <w:rPr>
                <w:rFonts w:asciiTheme="minorHAnsi" w:hAnsiTheme="minorHAnsi"/>
                <w:b/>
                <w:color w:val="FFFFFF" w:themeColor="background1"/>
                <w:sz w:val="18"/>
                <w:szCs w:val="18"/>
              </w:rPr>
            </w:pPr>
            <w:r w:rsidRPr="003021D4">
              <w:rPr>
                <w:rFonts w:asciiTheme="minorHAnsi" w:hAnsiTheme="minorHAnsi"/>
                <w:b/>
                <w:color w:val="FFFFFF" w:themeColor="background1"/>
                <w:sz w:val="18"/>
                <w:szCs w:val="18"/>
              </w:rPr>
              <w:t>Interconnection</w:t>
            </w:r>
          </w:p>
        </w:tc>
        <w:tc>
          <w:tcPr>
            <w:tcW w:w="1712" w:type="dxa"/>
            <w:shd w:val="clear" w:color="auto" w:fill="1795D2" w:themeFill="accent1"/>
            <w:tcMar>
              <w:top w:w="43" w:type="dxa"/>
              <w:left w:w="115" w:type="dxa"/>
              <w:bottom w:w="43" w:type="dxa"/>
              <w:right w:w="115" w:type="dxa"/>
            </w:tcMar>
            <w:vAlign w:val="center"/>
          </w:tcPr>
          <w:p w:rsidR="003021D4" w:rsidRPr="003021D4" w:rsidRDefault="003021D4" w:rsidP="003021D4">
            <w:pPr>
              <w:keepNext/>
              <w:keepLines/>
              <w:spacing w:after="0" w:line="240" w:lineRule="auto"/>
              <w:jc w:val="center"/>
              <w:rPr>
                <w:rFonts w:asciiTheme="minorHAnsi" w:hAnsiTheme="minorHAnsi"/>
                <w:b/>
                <w:color w:val="FFFFFF" w:themeColor="background1"/>
                <w:sz w:val="18"/>
                <w:szCs w:val="18"/>
              </w:rPr>
            </w:pPr>
            <w:r w:rsidRPr="003021D4">
              <w:rPr>
                <w:rFonts w:asciiTheme="minorHAnsi" w:hAnsiTheme="minorHAnsi"/>
                <w:b/>
                <w:color w:val="FFFFFF" w:themeColor="background1"/>
                <w:sz w:val="18"/>
                <w:szCs w:val="18"/>
              </w:rPr>
              <w:t>Import Type</w:t>
            </w:r>
          </w:p>
        </w:tc>
        <w:tc>
          <w:tcPr>
            <w:tcW w:w="1870" w:type="dxa"/>
            <w:shd w:val="clear" w:color="auto" w:fill="1795D2" w:themeFill="accent1"/>
            <w:tcMar>
              <w:top w:w="43" w:type="dxa"/>
              <w:left w:w="115" w:type="dxa"/>
              <w:bottom w:w="43" w:type="dxa"/>
              <w:right w:w="115" w:type="dxa"/>
            </w:tcMar>
            <w:vAlign w:val="center"/>
          </w:tcPr>
          <w:p w:rsidR="003021D4" w:rsidRPr="003021D4" w:rsidRDefault="003021D4" w:rsidP="003021D4">
            <w:pPr>
              <w:keepNext/>
              <w:keepLines/>
              <w:spacing w:after="0" w:line="240" w:lineRule="auto"/>
              <w:jc w:val="center"/>
              <w:rPr>
                <w:rFonts w:asciiTheme="minorHAnsi" w:hAnsiTheme="minorHAnsi"/>
                <w:b/>
                <w:color w:val="FFFFFF" w:themeColor="background1"/>
                <w:sz w:val="18"/>
                <w:szCs w:val="18"/>
              </w:rPr>
            </w:pPr>
            <w:r w:rsidRPr="003021D4">
              <w:rPr>
                <w:rFonts w:asciiTheme="minorHAnsi" w:hAnsiTheme="minorHAnsi"/>
                <w:b/>
                <w:color w:val="FFFFFF" w:themeColor="background1"/>
                <w:sz w:val="18"/>
                <w:szCs w:val="18"/>
              </w:rPr>
              <w:t>Assumed Import Capability</w:t>
            </w:r>
          </w:p>
        </w:tc>
      </w:tr>
      <w:tr w:rsidR="003021D4" w:rsidRPr="003021D4" w:rsidTr="003021D4">
        <w:trPr>
          <w:jc w:val="center"/>
        </w:trPr>
        <w:tc>
          <w:tcPr>
            <w:tcW w:w="3020" w:type="dxa"/>
            <w:vMerge w:val="restart"/>
            <w:shd w:val="clear" w:color="auto" w:fill="auto"/>
            <w:vAlign w:val="center"/>
          </w:tcPr>
          <w:p w:rsidR="003021D4" w:rsidRPr="003021D4" w:rsidRDefault="003021D4" w:rsidP="003021D4">
            <w:pPr>
              <w:keepNext/>
              <w:keepLines/>
              <w:spacing w:after="0" w:line="240" w:lineRule="auto"/>
              <w:rPr>
                <w:rFonts w:asciiTheme="minorHAnsi" w:hAnsiTheme="minorHAnsi"/>
                <w:sz w:val="18"/>
                <w:szCs w:val="18"/>
              </w:rPr>
            </w:pPr>
            <w:r w:rsidRPr="003021D4">
              <w:rPr>
                <w:rFonts w:asciiTheme="minorHAnsi" w:hAnsiTheme="minorHAnsi"/>
                <w:b/>
                <w:sz w:val="18"/>
                <w:szCs w:val="18"/>
              </w:rPr>
              <w:t>New York–New England AC</w:t>
            </w:r>
          </w:p>
        </w:tc>
        <w:tc>
          <w:tcPr>
            <w:tcW w:w="1712" w:type="dxa"/>
            <w:shd w:val="clear" w:color="auto" w:fill="auto"/>
            <w:tcMar>
              <w:top w:w="43" w:type="dxa"/>
              <w:left w:w="115" w:type="dxa"/>
              <w:bottom w:w="43" w:type="dxa"/>
              <w:right w:w="115" w:type="dxa"/>
            </w:tcMar>
            <w:vAlign w:val="center"/>
          </w:tcPr>
          <w:p w:rsidR="003021D4" w:rsidRPr="003021D4" w:rsidRDefault="003021D4" w:rsidP="003021D4">
            <w:pPr>
              <w:keepNext/>
              <w:keepLines/>
              <w:spacing w:after="0" w:line="240" w:lineRule="auto"/>
              <w:jc w:val="center"/>
              <w:rPr>
                <w:rFonts w:asciiTheme="minorHAnsi" w:hAnsiTheme="minorHAnsi"/>
                <w:sz w:val="18"/>
                <w:szCs w:val="18"/>
              </w:rPr>
            </w:pPr>
            <w:r w:rsidRPr="003021D4">
              <w:rPr>
                <w:rFonts w:asciiTheme="minorHAnsi" w:hAnsiTheme="minorHAnsi"/>
                <w:sz w:val="18"/>
                <w:szCs w:val="18"/>
              </w:rPr>
              <w:t>Energy</w:t>
            </w:r>
            <w:r w:rsidRPr="003021D4">
              <w:rPr>
                <w:rFonts w:asciiTheme="minorHAnsi" w:hAnsiTheme="minorHAnsi"/>
                <w:sz w:val="18"/>
                <w:szCs w:val="18"/>
                <w:vertAlign w:val="superscript"/>
              </w:rPr>
              <w:t>(b)</w:t>
            </w:r>
          </w:p>
        </w:tc>
        <w:tc>
          <w:tcPr>
            <w:tcW w:w="1870" w:type="dxa"/>
            <w:shd w:val="clear" w:color="auto" w:fill="auto"/>
            <w:tcMar>
              <w:top w:w="43" w:type="dxa"/>
              <w:left w:w="115" w:type="dxa"/>
              <w:bottom w:w="43" w:type="dxa"/>
              <w:right w:w="576" w:type="dxa"/>
            </w:tcMar>
            <w:vAlign w:val="center"/>
          </w:tcPr>
          <w:p w:rsidR="003021D4" w:rsidRPr="003021D4" w:rsidRDefault="003021D4" w:rsidP="003021D4">
            <w:pPr>
              <w:keepNext/>
              <w:keepLines/>
              <w:tabs>
                <w:tab w:val="center" w:pos="1028"/>
              </w:tabs>
              <w:spacing w:after="0" w:line="240" w:lineRule="auto"/>
              <w:jc w:val="right"/>
              <w:rPr>
                <w:rFonts w:asciiTheme="minorHAnsi" w:hAnsiTheme="minorHAnsi"/>
                <w:sz w:val="18"/>
                <w:szCs w:val="18"/>
              </w:rPr>
            </w:pPr>
            <w:r w:rsidRPr="003021D4">
              <w:rPr>
                <w:rFonts w:asciiTheme="minorHAnsi" w:hAnsiTheme="minorHAnsi"/>
                <w:sz w:val="18"/>
                <w:szCs w:val="18"/>
              </w:rPr>
              <w:t>1,400</w:t>
            </w:r>
          </w:p>
        </w:tc>
      </w:tr>
      <w:tr w:rsidR="003021D4" w:rsidRPr="003021D4" w:rsidTr="003021D4">
        <w:trPr>
          <w:jc w:val="center"/>
        </w:trPr>
        <w:tc>
          <w:tcPr>
            <w:tcW w:w="3020" w:type="dxa"/>
            <w:vMerge/>
            <w:vAlign w:val="center"/>
          </w:tcPr>
          <w:p w:rsidR="003021D4" w:rsidRPr="003021D4" w:rsidRDefault="003021D4" w:rsidP="003021D4">
            <w:pPr>
              <w:keepNext/>
              <w:keepLines/>
              <w:spacing w:after="0" w:line="240" w:lineRule="auto"/>
              <w:rPr>
                <w:rFonts w:asciiTheme="minorHAnsi" w:hAnsiTheme="minorHAnsi"/>
                <w:sz w:val="18"/>
                <w:szCs w:val="18"/>
              </w:rPr>
            </w:pPr>
          </w:p>
        </w:tc>
        <w:tc>
          <w:tcPr>
            <w:tcW w:w="1712" w:type="dxa"/>
            <w:tcMar>
              <w:top w:w="43" w:type="dxa"/>
              <w:left w:w="115" w:type="dxa"/>
              <w:bottom w:w="43" w:type="dxa"/>
              <w:right w:w="115" w:type="dxa"/>
            </w:tcMar>
            <w:vAlign w:val="center"/>
          </w:tcPr>
          <w:p w:rsidR="003021D4" w:rsidRPr="003021D4" w:rsidRDefault="003021D4" w:rsidP="003021D4">
            <w:pPr>
              <w:keepNext/>
              <w:keepLines/>
              <w:spacing w:after="0" w:line="240" w:lineRule="auto"/>
              <w:jc w:val="center"/>
              <w:rPr>
                <w:rFonts w:asciiTheme="minorHAnsi" w:hAnsiTheme="minorHAnsi"/>
                <w:sz w:val="18"/>
                <w:szCs w:val="18"/>
              </w:rPr>
            </w:pPr>
            <w:r w:rsidRPr="003021D4">
              <w:rPr>
                <w:rFonts w:asciiTheme="minorHAnsi" w:hAnsiTheme="minorHAnsi"/>
                <w:sz w:val="18"/>
                <w:szCs w:val="18"/>
              </w:rPr>
              <w:t>Capacity</w:t>
            </w:r>
          </w:p>
        </w:tc>
        <w:tc>
          <w:tcPr>
            <w:tcW w:w="1870" w:type="dxa"/>
            <w:tcMar>
              <w:top w:w="43" w:type="dxa"/>
              <w:left w:w="115" w:type="dxa"/>
              <w:bottom w:w="43" w:type="dxa"/>
              <w:right w:w="576" w:type="dxa"/>
            </w:tcMar>
            <w:vAlign w:val="center"/>
          </w:tcPr>
          <w:p w:rsidR="003021D4" w:rsidRPr="003021D4" w:rsidRDefault="003021D4" w:rsidP="003021D4">
            <w:pPr>
              <w:keepNext/>
              <w:keepLines/>
              <w:tabs>
                <w:tab w:val="center" w:pos="1028"/>
              </w:tabs>
              <w:spacing w:after="0" w:line="240" w:lineRule="auto"/>
              <w:jc w:val="right"/>
              <w:rPr>
                <w:rFonts w:asciiTheme="minorHAnsi" w:hAnsiTheme="minorHAnsi"/>
                <w:sz w:val="18"/>
                <w:szCs w:val="18"/>
              </w:rPr>
            </w:pPr>
            <w:r w:rsidRPr="003021D4">
              <w:rPr>
                <w:rFonts w:asciiTheme="minorHAnsi" w:hAnsiTheme="minorHAnsi"/>
                <w:sz w:val="18"/>
                <w:szCs w:val="18"/>
              </w:rPr>
              <w:t>1,400</w:t>
            </w:r>
          </w:p>
        </w:tc>
      </w:tr>
      <w:tr w:rsidR="003021D4" w:rsidRPr="003021D4" w:rsidTr="00595A75">
        <w:trPr>
          <w:jc w:val="center"/>
        </w:trPr>
        <w:tc>
          <w:tcPr>
            <w:tcW w:w="3020" w:type="dxa"/>
            <w:vMerge w:val="restart"/>
            <w:shd w:val="clear" w:color="auto" w:fill="CCEAF9" w:themeFill="accent1" w:themeFillTint="33"/>
            <w:vAlign w:val="center"/>
          </w:tcPr>
          <w:p w:rsidR="003021D4" w:rsidRPr="003021D4" w:rsidRDefault="003021D4" w:rsidP="003021D4">
            <w:pPr>
              <w:keepNext/>
              <w:keepLines/>
              <w:spacing w:after="0" w:line="240" w:lineRule="auto"/>
              <w:rPr>
                <w:rFonts w:asciiTheme="minorHAnsi" w:hAnsiTheme="minorHAnsi"/>
                <w:sz w:val="18"/>
                <w:szCs w:val="18"/>
              </w:rPr>
            </w:pPr>
            <w:r w:rsidRPr="003021D4">
              <w:rPr>
                <w:rFonts w:asciiTheme="minorHAnsi" w:hAnsiTheme="minorHAnsi"/>
                <w:b/>
                <w:sz w:val="18"/>
                <w:szCs w:val="18"/>
              </w:rPr>
              <w:t>Cross-Sound Cable</w:t>
            </w:r>
          </w:p>
        </w:tc>
        <w:tc>
          <w:tcPr>
            <w:tcW w:w="1712" w:type="dxa"/>
            <w:shd w:val="clear" w:color="auto" w:fill="CCEAF9" w:themeFill="accent1" w:themeFillTint="33"/>
            <w:tcMar>
              <w:top w:w="43" w:type="dxa"/>
              <w:left w:w="115" w:type="dxa"/>
              <w:bottom w:w="43" w:type="dxa"/>
              <w:right w:w="115" w:type="dxa"/>
            </w:tcMar>
            <w:vAlign w:val="center"/>
          </w:tcPr>
          <w:p w:rsidR="003021D4" w:rsidRPr="003021D4" w:rsidRDefault="003021D4" w:rsidP="003021D4">
            <w:pPr>
              <w:keepNext/>
              <w:keepLines/>
              <w:spacing w:after="0" w:line="240" w:lineRule="auto"/>
              <w:jc w:val="center"/>
              <w:rPr>
                <w:rFonts w:asciiTheme="minorHAnsi" w:hAnsiTheme="minorHAnsi"/>
                <w:sz w:val="18"/>
                <w:szCs w:val="18"/>
              </w:rPr>
            </w:pPr>
            <w:r w:rsidRPr="003021D4">
              <w:rPr>
                <w:rFonts w:asciiTheme="minorHAnsi" w:hAnsiTheme="minorHAnsi"/>
                <w:sz w:val="18"/>
                <w:szCs w:val="18"/>
              </w:rPr>
              <w:t>Energy</w:t>
            </w:r>
            <w:r w:rsidRPr="003021D4">
              <w:rPr>
                <w:rFonts w:asciiTheme="minorHAnsi" w:hAnsiTheme="minorHAnsi"/>
                <w:sz w:val="18"/>
                <w:szCs w:val="18"/>
                <w:vertAlign w:val="superscript"/>
              </w:rPr>
              <w:t>(c)</w:t>
            </w:r>
          </w:p>
        </w:tc>
        <w:tc>
          <w:tcPr>
            <w:tcW w:w="1870" w:type="dxa"/>
            <w:shd w:val="clear" w:color="auto" w:fill="CCEAF9" w:themeFill="accent1" w:themeFillTint="33"/>
            <w:tcMar>
              <w:top w:w="43" w:type="dxa"/>
              <w:left w:w="115" w:type="dxa"/>
              <w:bottom w:w="43" w:type="dxa"/>
              <w:right w:w="576" w:type="dxa"/>
            </w:tcMar>
            <w:vAlign w:val="center"/>
          </w:tcPr>
          <w:p w:rsidR="003021D4" w:rsidRPr="003021D4" w:rsidRDefault="003021D4" w:rsidP="003021D4">
            <w:pPr>
              <w:keepNext/>
              <w:keepLines/>
              <w:tabs>
                <w:tab w:val="center" w:pos="1028"/>
              </w:tabs>
              <w:spacing w:after="0" w:line="240" w:lineRule="auto"/>
              <w:jc w:val="right"/>
              <w:rPr>
                <w:rFonts w:asciiTheme="minorHAnsi" w:hAnsiTheme="minorHAnsi"/>
                <w:sz w:val="18"/>
                <w:szCs w:val="18"/>
              </w:rPr>
            </w:pPr>
            <w:r w:rsidRPr="003021D4">
              <w:rPr>
                <w:rFonts w:asciiTheme="minorHAnsi" w:hAnsiTheme="minorHAnsi"/>
                <w:sz w:val="18"/>
                <w:szCs w:val="18"/>
              </w:rPr>
              <w:t>330</w:t>
            </w:r>
          </w:p>
        </w:tc>
      </w:tr>
      <w:tr w:rsidR="003021D4" w:rsidRPr="003021D4" w:rsidTr="00595A75">
        <w:trPr>
          <w:jc w:val="center"/>
        </w:trPr>
        <w:tc>
          <w:tcPr>
            <w:tcW w:w="3020" w:type="dxa"/>
            <w:vMerge/>
            <w:shd w:val="clear" w:color="auto" w:fill="CCEAF9" w:themeFill="accent1" w:themeFillTint="33"/>
            <w:vAlign w:val="center"/>
          </w:tcPr>
          <w:p w:rsidR="003021D4" w:rsidRPr="003021D4" w:rsidRDefault="003021D4" w:rsidP="003021D4">
            <w:pPr>
              <w:keepNext/>
              <w:keepLines/>
              <w:spacing w:after="0" w:line="240" w:lineRule="auto"/>
              <w:rPr>
                <w:rFonts w:asciiTheme="minorHAnsi" w:hAnsiTheme="minorHAnsi"/>
                <w:sz w:val="18"/>
                <w:szCs w:val="18"/>
              </w:rPr>
            </w:pPr>
          </w:p>
        </w:tc>
        <w:tc>
          <w:tcPr>
            <w:tcW w:w="1712" w:type="dxa"/>
            <w:shd w:val="clear" w:color="auto" w:fill="CCEAF9" w:themeFill="accent1" w:themeFillTint="33"/>
            <w:tcMar>
              <w:top w:w="43" w:type="dxa"/>
              <w:left w:w="115" w:type="dxa"/>
              <w:bottom w:w="43" w:type="dxa"/>
              <w:right w:w="115" w:type="dxa"/>
            </w:tcMar>
            <w:vAlign w:val="center"/>
          </w:tcPr>
          <w:p w:rsidR="003021D4" w:rsidRPr="003021D4" w:rsidRDefault="003021D4" w:rsidP="003021D4">
            <w:pPr>
              <w:keepNext/>
              <w:keepLines/>
              <w:spacing w:after="0" w:line="240" w:lineRule="auto"/>
              <w:jc w:val="center"/>
              <w:rPr>
                <w:rFonts w:asciiTheme="minorHAnsi" w:hAnsiTheme="minorHAnsi"/>
                <w:sz w:val="18"/>
                <w:szCs w:val="18"/>
              </w:rPr>
            </w:pPr>
            <w:r w:rsidRPr="003021D4">
              <w:rPr>
                <w:rFonts w:asciiTheme="minorHAnsi" w:hAnsiTheme="minorHAnsi"/>
                <w:sz w:val="18"/>
                <w:szCs w:val="18"/>
              </w:rPr>
              <w:t>Capacity</w:t>
            </w:r>
          </w:p>
        </w:tc>
        <w:tc>
          <w:tcPr>
            <w:tcW w:w="1870" w:type="dxa"/>
            <w:shd w:val="clear" w:color="auto" w:fill="CCEAF9" w:themeFill="accent1" w:themeFillTint="33"/>
            <w:tcMar>
              <w:top w:w="43" w:type="dxa"/>
              <w:left w:w="115" w:type="dxa"/>
              <w:bottom w:w="43" w:type="dxa"/>
              <w:right w:w="576" w:type="dxa"/>
            </w:tcMar>
            <w:vAlign w:val="center"/>
          </w:tcPr>
          <w:p w:rsidR="003021D4" w:rsidRPr="003021D4" w:rsidRDefault="003021D4" w:rsidP="003021D4">
            <w:pPr>
              <w:keepNext/>
              <w:keepLines/>
              <w:tabs>
                <w:tab w:val="center" w:pos="1028"/>
              </w:tabs>
              <w:spacing w:after="0" w:line="240" w:lineRule="auto"/>
              <w:jc w:val="right"/>
              <w:rPr>
                <w:rFonts w:asciiTheme="minorHAnsi" w:hAnsiTheme="minorHAnsi"/>
                <w:sz w:val="18"/>
                <w:szCs w:val="18"/>
              </w:rPr>
            </w:pPr>
            <w:r w:rsidRPr="003021D4">
              <w:rPr>
                <w:rFonts w:asciiTheme="minorHAnsi" w:hAnsiTheme="minorHAnsi"/>
                <w:sz w:val="18"/>
                <w:szCs w:val="18"/>
              </w:rPr>
              <w:t>0</w:t>
            </w:r>
          </w:p>
        </w:tc>
      </w:tr>
      <w:tr w:rsidR="003021D4" w:rsidRPr="003021D4" w:rsidTr="003021D4">
        <w:trPr>
          <w:jc w:val="center"/>
        </w:trPr>
        <w:tc>
          <w:tcPr>
            <w:tcW w:w="3020" w:type="dxa"/>
            <w:vMerge w:val="restart"/>
            <w:vAlign w:val="center"/>
          </w:tcPr>
          <w:p w:rsidR="003021D4" w:rsidRPr="003021D4" w:rsidRDefault="003021D4" w:rsidP="003021D4">
            <w:pPr>
              <w:keepNext/>
              <w:keepLines/>
              <w:spacing w:after="0" w:line="240" w:lineRule="auto"/>
              <w:rPr>
                <w:rFonts w:asciiTheme="minorHAnsi" w:hAnsiTheme="minorHAnsi"/>
                <w:sz w:val="18"/>
                <w:szCs w:val="18"/>
              </w:rPr>
            </w:pPr>
            <w:r w:rsidRPr="003021D4">
              <w:rPr>
                <w:rFonts w:asciiTheme="minorHAnsi" w:hAnsiTheme="minorHAnsi"/>
                <w:b/>
                <w:sz w:val="18"/>
                <w:szCs w:val="18"/>
              </w:rPr>
              <w:t>Maritimes–New England</w:t>
            </w:r>
          </w:p>
        </w:tc>
        <w:tc>
          <w:tcPr>
            <w:tcW w:w="1712" w:type="dxa"/>
            <w:tcMar>
              <w:top w:w="43" w:type="dxa"/>
              <w:left w:w="115" w:type="dxa"/>
              <w:bottom w:w="43" w:type="dxa"/>
              <w:right w:w="115" w:type="dxa"/>
            </w:tcMar>
            <w:vAlign w:val="center"/>
          </w:tcPr>
          <w:p w:rsidR="003021D4" w:rsidRPr="003021D4" w:rsidRDefault="003021D4" w:rsidP="003021D4">
            <w:pPr>
              <w:keepNext/>
              <w:keepLines/>
              <w:spacing w:after="0" w:line="240" w:lineRule="auto"/>
              <w:jc w:val="center"/>
              <w:rPr>
                <w:rFonts w:asciiTheme="minorHAnsi" w:hAnsiTheme="minorHAnsi"/>
                <w:sz w:val="18"/>
                <w:szCs w:val="18"/>
              </w:rPr>
            </w:pPr>
            <w:r w:rsidRPr="003021D4">
              <w:rPr>
                <w:rFonts w:asciiTheme="minorHAnsi" w:hAnsiTheme="minorHAnsi"/>
                <w:sz w:val="18"/>
                <w:szCs w:val="18"/>
              </w:rPr>
              <w:t>Energy</w:t>
            </w:r>
            <w:r w:rsidRPr="003021D4">
              <w:rPr>
                <w:rFonts w:asciiTheme="minorHAnsi" w:hAnsiTheme="minorHAnsi"/>
                <w:sz w:val="18"/>
                <w:szCs w:val="18"/>
                <w:vertAlign w:val="superscript"/>
              </w:rPr>
              <w:t>(d)</w:t>
            </w:r>
          </w:p>
        </w:tc>
        <w:tc>
          <w:tcPr>
            <w:tcW w:w="1870" w:type="dxa"/>
            <w:tcMar>
              <w:top w:w="43" w:type="dxa"/>
              <w:left w:w="115" w:type="dxa"/>
              <w:bottom w:w="43" w:type="dxa"/>
              <w:right w:w="576" w:type="dxa"/>
            </w:tcMar>
            <w:vAlign w:val="center"/>
          </w:tcPr>
          <w:p w:rsidR="003021D4" w:rsidRPr="003021D4" w:rsidRDefault="003021D4" w:rsidP="003021D4">
            <w:pPr>
              <w:keepNext/>
              <w:keepLines/>
              <w:tabs>
                <w:tab w:val="center" w:pos="1028"/>
              </w:tabs>
              <w:spacing w:after="0" w:line="240" w:lineRule="auto"/>
              <w:jc w:val="right"/>
              <w:rPr>
                <w:rFonts w:asciiTheme="minorHAnsi" w:hAnsiTheme="minorHAnsi"/>
                <w:sz w:val="18"/>
                <w:szCs w:val="18"/>
              </w:rPr>
            </w:pPr>
            <w:r w:rsidRPr="003021D4">
              <w:rPr>
                <w:rFonts w:asciiTheme="minorHAnsi" w:hAnsiTheme="minorHAnsi"/>
                <w:sz w:val="18"/>
                <w:szCs w:val="18"/>
              </w:rPr>
              <w:t>1,000</w:t>
            </w:r>
          </w:p>
        </w:tc>
      </w:tr>
      <w:tr w:rsidR="003021D4" w:rsidRPr="003021D4" w:rsidTr="003021D4">
        <w:trPr>
          <w:jc w:val="center"/>
        </w:trPr>
        <w:tc>
          <w:tcPr>
            <w:tcW w:w="3020" w:type="dxa"/>
            <w:vMerge/>
            <w:vAlign w:val="center"/>
          </w:tcPr>
          <w:p w:rsidR="003021D4" w:rsidRPr="003021D4" w:rsidRDefault="003021D4" w:rsidP="003021D4">
            <w:pPr>
              <w:keepNext/>
              <w:keepLines/>
              <w:spacing w:after="0" w:line="240" w:lineRule="auto"/>
              <w:rPr>
                <w:rFonts w:asciiTheme="minorHAnsi" w:hAnsiTheme="minorHAnsi"/>
                <w:sz w:val="18"/>
                <w:szCs w:val="18"/>
              </w:rPr>
            </w:pPr>
          </w:p>
        </w:tc>
        <w:tc>
          <w:tcPr>
            <w:tcW w:w="1712" w:type="dxa"/>
            <w:tcMar>
              <w:top w:w="43" w:type="dxa"/>
              <w:left w:w="115" w:type="dxa"/>
              <w:bottom w:w="43" w:type="dxa"/>
              <w:right w:w="115" w:type="dxa"/>
            </w:tcMar>
            <w:vAlign w:val="center"/>
          </w:tcPr>
          <w:p w:rsidR="003021D4" w:rsidRPr="003021D4" w:rsidRDefault="003021D4" w:rsidP="003021D4">
            <w:pPr>
              <w:keepNext/>
              <w:keepLines/>
              <w:spacing w:after="0" w:line="240" w:lineRule="auto"/>
              <w:jc w:val="center"/>
              <w:rPr>
                <w:rFonts w:asciiTheme="minorHAnsi" w:hAnsiTheme="minorHAnsi"/>
                <w:sz w:val="18"/>
                <w:szCs w:val="18"/>
              </w:rPr>
            </w:pPr>
            <w:r w:rsidRPr="003021D4">
              <w:rPr>
                <w:rFonts w:asciiTheme="minorHAnsi" w:hAnsiTheme="minorHAnsi"/>
                <w:sz w:val="18"/>
                <w:szCs w:val="18"/>
              </w:rPr>
              <w:t>Capacity</w:t>
            </w:r>
          </w:p>
        </w:tc>
        <w:tc>
          <w:tcPr>
            <w:tcW w:w="1870" w:type="dxa"/>
            <w:tcMar>
              <w:top w:w="43" w:type="dxa"/>
              <w:left w:w="115" w:type="dxa"/>
              <w:bottom w:w="43" w:type="dxa"/>
              <w:right w:w="576" w:type="dxa"/>
            </w:tcMar>
            <w:vAlign w:val="center"/>
          </w:tcPr>
          <w:p w:rsidR="003021D4" w:rsidRPr="003021D4" w:rsidRDefault="003021D4" w:rsidP="003021D4">
            <w:pPr>
              <w:keepNext/>
              <w:keepLines/>
              <w:tabs>
                <w:tab w:val="center" w:pos="1028"/>
              </w:tabs>
              <w:spacing w:after="0" w:line="240" w:lineRule="auto"/>
              <w:jc w:val="right"/>
              <w:rPr>
                <w:rFonts w:asciiTheme="minorHAnsi" w:hAnsiTheme="minorHAnsi"/>
                <w:sz w:val="18"/>
                <w:szCs w:val="18"/>
              </w:rPr>
            </w:pPr>
            <w:r w:rsidRPr="003021D4">
              <w:rPr>
                <w:rFonts w:asciiTheme="minorHAnsi" w:hAnsiTheme="minorHAnsi"/>
                <w:sz w:val="18"/>
                <w:szCs w:val="18"/>
              </w:rPr>
              <w:t>700</w:t>
            </w:r>
          </w:p>
        </w:tc>
      </w:tr>
      <w:tr w:rsidR="003021D4" w:rsidRPr="003021D4" w:rsidTr="00595A75">
        <w:trPr>
          <w:jc w:val="center"/>
        </w:trPr>
        <w:tc>
          <w:tcPr>
            <w:tcW w:w="3020" w:type="dxa"/>
            <w:vMerge w:val="restart"/>
            <w:shd w:val="clear" w:color="auto" w:fill="CCEAF9" w:themeFill="accent1" w:themeFillTint="33"/>
            <w:vAlign w:val="center"/>
          </w:tcPr>
          <w:p w:rsidR="003021D4" w:rsidRPr="003021D4" w:rsidRDefault="003021D4" w:rsidP="003021D4">
            <w:pPr>
              <w:keepNext/>
              <w:keepLines/>
              <w:spacing w:after="0" w:line="240" w:lineRule="auto"/>
              <w:rPr>
                <w:rFonts w:asciiTheme="minorHAnsi" w:hAnsiTheme="minorHAnsi"/>
                <w:sz w:val="18"/>
                <w:szCs w:val="18"/>
              </w:rPr>
            </w:pPr>
            <w:r w:rsidRPr="003021D4">
              <w:rPr>
                <w:rFonts w:asciiTheme="minorHAnsi" w:hAnsiTheme="minorHAnsi"/>
                <w:b/>
                <w:sz w:val="18"/>
                <w:szCs w:val="18"/>
              </w:rPr>
              <w:t>Québec–New England (Highgate)</w:t>
            </w:r>
            <w:r w:rsidRPr="003021D4">
              <w:rPr>
                <w:rFonts w:asciiTheme="minorHAnsi" w:hAnsiTheme="minorHAnsi"/>
                <w:b/>
                <w:sz w:val="18"/>
                <w:szCs w:val="18"/>
                <w:vertAlign w:val="superscript"/>
              </w:rPr>
              <w:t>(e)</w:t>
            </w:r>
          </w:p>
        </w:tc>
        <w:tc>
          <w:tcPr>
            <w:tcW w:w="1712" w:type="dxa"/>
            <w:shd w:val="clear" w:color="auto" w:fill="CCEAF9" w:themeFill="accent1" w:themeFillTint="33"/>
            <w:tcMar>
              <w:top w:w="43" w:type="dxa"/>
              <w:left w:w="115" w:type="dxa"/>
              <w:bottom w:w="43" w:type="dxa"/>
              <w:right w:w="115" w:type="dxa"/>
            </w:tcMar>
            <w:vAlign w:val="center"/>
          </w:tcPr>
          <w:p w:rsidR="003021D4" w:rsidRPr="003021D4" w:rsidRDefault="003021D4" w:rsidP="003021D4">
            <w:pPr>
              <w:keepNext/>
              <w:keepLines/>
              <w:spacing w:after="0" w:line="240" w:lineRule="auto"/>
              <w:jc w:val="center"/>
              <w:rPr>
                <w:rFonts w:asciiTheme="minorHAnsi" w:hAnsiTheme="minorHAnsi"/>
                <w:sz w:val="18"/>
                <w:szCs w:val="18"/>
              </w:rPr>
            </w:pPr>
            <w:r w:rsidRPr="003021D4">
              <w:rPr>
                <w:rFonts w:asciiTheme="minorHAnsi" w:hAnsiTheme="minorHAnsi"/>
                <w:sz w:val="18"/>
                <w:szCs w:val="18"/>
              </w:rPr>
              <w:t>Energy</w:t>
            </w:r>
          </w:p>
        </w:tc>
        <w:tc>
          <w:tcPr>
            <w:tcW w:w="1870" w:type="dxa"/>
            <w:shd w:val="clear" w:color="auto" w:fill="CCEAF9" w:themeFill="accent1" w:themeFillTint="33"/>
            <w:tcMar>
              <w:top w:w="43" w:type="dxa"/>
              <w:left w:w="115" w:type="dxa"/>
              <w:bottom w:w="43" w:type="dxa"/>
              <w:right w:w="576" w:type="dxa"/>
            </w:tcMar>
            <w:vAlign w:val="center"/>
          </w:tcPr>
          <w:p w:rsidR="003021D4" w:rsidRPr="003021D4" w:rsidRDefault="003021D4" w:rsidP="003021D4">
            <w:pPr>
              <w:keepNext/>
              <w:keepLines/>
              <w:tabs>
                <w:tab w:val="center" w:pos="1028"/>
              </w:tabs>
              <w:spacing w:after="0" w:line="240" w:lineRule="auto"/>
              <w:jc w:val="right"/>
              <w:rPr>
                <w:rFonts w:asciiTheme="minorHAnsi" w:hAnsiTheme="minorHAnsi"/>
                <w:sz w:val="18"/>
                <w:szCs w:val="18"/>
              </w:rPr>
            </w:pPr>
            <w:r w:rsidRPr="003021D4">
              <w:rPr>
                <w:rFonts w:asciiTheme="minorHAnsi" w:hAnsiTheme="minorHAnsi"/>
                <w:sz w:val="18"/>
                <w:szCs w:val="18"/>
              </w:rPr>
              <w:t>217</w:t>
            </w:r>
          </w:p>
        </w:tc>
      </w:tr>
      <w:tr w:rsidR="003021D4" w:rsidRPr="003021D4" w:rsidTr="00595A75">
        <w:trPr>
          <w:jc w:val="center"/>
        </w:trPr>
        <w:tc>
          <w:tcPr>
            <w:tcW w:w="3020" w:type="dxa"/>
            <w:vMerge/>
            <w:shd w:val="clear" w:color="auto" w:fill="CCEAF9" w:themeFill="accent1" w:themeFillTint="33"/>
            <w:vAlign w:val="center"/>
          </w:tcPr>
          <w:p w:rsidR="003021D4" w:rsidRPr="003021D4" w:rsidRDefault="003021D4" w:rsidP="003021D4">
            <w:pPr>
              <w:keepNext/>
              <w:keepLines/>
              <w:spacing w:after="0" w:line="240" w:lineRule="auto"/>
              <w:rPr>
                <w:rFonts w:asciiTheme="minorHAnsi" w:hAnsiTheme="minorHAnsi"/>
                <w:sz w:val="18"/>
                <w:szCs w:val="18"/>
              </w:rPr>
            </w:pPr>
          </w:p>
        </w:tc>
        <w:tc>
          <w:tcPr>
            <w:tcW w:w="1712" w:type="dxa"/>
            <w:shd w:val="clear" w:color="auto" w:fill="CCEAF9" w:themeFill="accent1" w:themeFillTint="33"/>
            <w:tcMar>
              <w:top w:w="43" w:type="dxa"/>
              <w:left w:w="115" w:type="dxa"/>
              <w:bottom w:w="43" w:type="dxa"/>
              <w:right w:w="115" w:type="dxa"/>
            </w:tcMar>
            <w:vAlign w:val="center"/>
          </w:tcPr>
          <w:p w:rsidR="003021D4" w:rsidRPr="003021D4" w:rsidRDefault="003021D4" w:rsidP="003021D4">
            <w:pPr>
              <w:keepNext/>
              <w:keepLines/>
              <w:spacing w:after="0" w:line="240" w:lineRule="auto"/>
              <w:jc w:val="center"/>
              <w:rPr>
                <w:rFonts w:asciiTheme="minorHAnsi" w:hAnsiTheme="minorHAnsi"/>
                <w:sz w:val="18"/>
                <w:szCs w:val="18"/>
              </w:rPr>
            </w:pPr>
            <w:r w:rsidRPr="003021D4">
              <w:rPr>
                <w:rFonts w:asciiTheme="minorHAnsi" w:hAnsiTheme="minorHAnsi"/>
                <w:sz w:val="18"/>
                <w:szCs w:val="18"/>
              </w:rPr>
              <w:t>Capacity</w:t>
            </w:r>
          </w:p>
        </w:tc>
        <w:tc>
          <w:tcPr>
            <w:tcW w:w="1870" w:type="dxa"/>
            <w:shd w:val="clear" w:color="auto" w:fill="CCEAF9" w:themeFill="accent1" w:themeFillTint="33"/>
            <w:tcMar>
              <w:top w:w="43" w:type="dxa"/>
              <w:left w:w="115" w:type="dxa"/>
              <w:bottom w:w="43" w:type="dxa"/>
              <w:right w:w="576" w:type="dxa"/>
            </w:tcMar>
            <w:vAlign w:val="center"/>
          </w:tcPr>
          <w:p w:rsidR="003021D4" w:rsidRPr="003021D4" w:rsidRDefault="003021D4" w:rsidP="003021D4">
            <w:pPr>
              <w:keepNext/>
              <w:keepLines/>
              <w:tabs>
                <w:tab w:val="center" w:pos="1028"/>
              </w:tabs>
              <w:spacing w:after="0" w:line="240" w:lineRule="auto"/>
              <w:jc w:val="right"/>
              <w:rPr>
                <w:rFonts w:asciiTheme="minorHAnsi" w:hAnsiTheme="minorHAnsi"/>
                <w:sz w:val="18"/>
                <w:szCs w:val="18"/>
              </w:rPr>
            </w:pPr>
            <w:r w:rsidRPr="003021D4">
              <w:rPr>
                <w:rFonts w:asciiTheme="minorHAnsi" w:hAnsiTheme="minorHAnsi"/>
                <w:sz w:val="18"/>
                <w:szCs w:val="18"/>
              </w:rPr>
              <w:t>200</w:t>
            </w:r>
          </w:p>
        </w:tc>
      </w:tr>
      <w:tr w:rsidR="003021D4" w:rsidRPr="003021D4" w:rsidTr="003021D4">
        <w:trPr>
          <w:jc w:val="center"/>
        </w:trPr>
        <w:tc>
          <w:tcPr>
            <w:tcW w:w="3020" w:type="dxa"/>
            <w:vMerge w:val="restart"/>
            <w:vAlign w:val="center"/>
          </w:tcPr>
          <w:p w:rsidR="003021D4" w:rsidRPr="003021D4" w:rsidRDefault="003021D4" w:rsidP="003021D4">
            <w:pPr>
              <w:keepNext/>
              <w:keepLines/>
              <w:spacing w:after="0" w:line="240" w:lineRule="auto"/>
              <w:rPr>
                <w:rFonts w:asciiTheme="minorHAnsi" w:hAnsiTheme="minorHAnsi"/>
                <w:sz w:val="18"/>
                <w:szCs w:val="18"/>
              </w:rPr>
            </w:pPr>
            <w:r w:rsidRPr="003021D4">
              <w:rPr>
                <w:rFonts w:asciiTheme="minorHAnsi" w:hAnsiTheme="minorHAnsi"/>
                <w:b/>
                <w:sz w:val="18"/>
                <w:szCs w:val="18"/>
              </w:rPr>
              <w:t>Québec–New England (Phase II)</w:t>
            </w:r>
          </w:p>
        </w:tc>
        <w:tc>
          <w:tcPr>
            <w:tcW w:w="1712" w:type="dxa"/>
            <w:tcMar>
              <w:top w:w="43" w:type="dxa"/>
              <w:left w:w="115" w:type="dxa"/>
              <w:bottom w:w="43" w:type="dxa"/>
              <w:right w:w="115" w:type="dxa"/>
            </w:tcMar>
            <w:vAlign w:val="center"/>
          </w:tcPr>
          <w:p w:rsidR="003021D4" w:rsidRPr="003021D4" w:rsidRDefault="003021D4" w:rsidP="003021D4">
            <w:pPr>
              <w:keepNext/>
              <w:keepLines/>
              <w:spacing w:after="0" w:line="240" w:lineRule="auto"/>
              <w:jc w:val="center"/>
              <w:rPr>
                <w:rFonts w:asciiTheme="minorHAnsi" w:hAnsiTheme="minorHAnsi"/>
                <w:sz w:val="18"/>
                <w:szCs w:val="18"/>
              </w:rPr>
            </w:pPr>
            <w:r w:rsidRPr="003021D4">
              <w:rPr>
                <w:rFonts w:asciiTheme="minorHAnsi" w:hAnsiTheme="minorHAnsi"/>
                <w:sz w:val="18"/>
                <w:szCs w:val="18"/>
              </w:rPr>
              <w:t>Energy</w:t>
            </w:r>
            <w:r w:rsidRPr="003021D4">
              <w:rPr>
                <w:rFonts w:asciiTheme="minorHAnsi" w:hAnsiTheme="minorHAnsi"/>
                <w:sz w:val="18"/>
                <w:szCs w:val="18"/>
                <w:vertAlign w:val="superscript"/>
              </w:rPr>
              <w:t>(f)</w:t>
            </w:r>
          </w:p>
        </w:tc>
        <w:tc>
          <w:tcPr>
            <w:tcW w:w="1870" w:type="dxa"/>
            <w:tcMar>
              <w:top w:w="43" w:type="dxa"/>
              <w:left w:w="115" w:type="dxa"/>
              <w:bottom w:w="43" w:type="dxa"/>
              <w:right w:w="576" w:type="dxa"/>
            </w:tcMar>
            <w:vAlign w:val="center"/>
          </w:tcPr>
          <w:p w:rsidR="003021D4" w:rsidRPr="003021D4" w:rsidRDefault="003021D4" w:rsidP="003021D4">
            <w:pPr>
              <w:keepNext/>
              <w:keepLines/>
              <w:tabs>
                <w:tab w:val="center" w:pos="1028"/>
              </w:tabs>
              <w:spacing w:after="0" w:line="240" w:lineRule="auto"/>
              <w:jc w:val="right"/>
              <w:rPr>
                <w:rFonts w:asciiTheme="minorHAnsi" w:hAnsiTheme="minorHAnsi"/>
                <w:sz w:val="18"/>
                <w:szCs w:val="18"/>
              </w:rPr>
            </w:pPr>
            <w:r w:rsidRPr="003021D4">
              <w:rPr>
                <w:rFonts w:asciiTheme="minorHAnsi" w:hAnsiTheme="minorHAnsi"/>
                <w:sz w:val="18"/>
                <w:szCs w:val="18"/>
              </w:rPr>
              <w:t>2,000</w:t>
            </w:r>
          </w:p>
        </w:tc>
      </w:tr>
      <w:tr w:rsidR="003021D4" w:rsidRPr="003021D4" w:rsidTr="003021D4">
        <w:trPr>
          <w:jc w:val="center"/>
        </w:trPr>
        <w:tc>
          <w:tcPr>
            <w:tcW w:w="3020" w:type="dxa"/>
            <w:vMerge/>
            <w:vAlign w:val="center"/>
          </w:tcPr>
          <w:p w:rsidR="003021D4" w:rsidRPr="003021D4" w:rsidRDefault="003021D4" w:rsidP="003021D4">
            <w:pPr>
              <w:keepNext/>
              <w:keepLines/>
              <w:spacing w:after="0" w:line="240" w:lineRule="auto"/>
              <w:rPr>
                <w:rFonts w:asciiTheme="minorHAnsi" w:hAnsiTheme="minorHAnsi"/>
                <w:sz w:val="18"/>
                <w:szCs w:val="18"/>
              </w:rPr>
            </w:pPr>
          </w:p>
        </w:tc>
        <w:tc>
          <w:tcPr>
            <w:tcW w:w="1712" w:type="dxa"/>
            <w:tcMar>
              <w:top w:w="43" w:type="dxa"/>
              <w:left w:w="115" w:type="dxa"/>
              <w:bottom w:w="43" w:type="dxa"/>
              <w:right w:w="115" w:type="dxa"/>
            </w:tcMar>
            <w:vAlign w:val="center"/>
          </w:tcPr>
          <w:p w:rsidR="003021D4" w:rsidRPr="003021D4" w:rsidRDefault="003021D4" w:rsidP="003021D4">
            <w:pPr>
              <w:keepNext/>
              <w:keepLines/>
              <w:spacing w:after="0" w:line="240" w:lineRule="auto"/>
              <w:jc w:val="center"/>
              <w:rPr>
                <w:rFonts w:asciiTheme="minorHAnsi" w:hAnsiTheme="minorHAnsi"/>
                <w:sz w:val="18"/>
                <w:szCs w:val="18"/>
              </w:rPr>
            </w:pPr>
            <w:r w:rsidRPr="003021D4">
              <w:rPr>
                <w:rFonts w:asciiTheme="minorHAnsi" w:hAnsiTheme="minorHAnsi"/>
                <w:sz w:val="18"/>
                <w:szCs w:val="18"/>
              </w:rPr>
              <w:t>Capacity</w:t>
            </w:r>
          </w:p>
        </w:tc>
        <w:tc>
          <w:tcPr>
            <w:tcW w:w="1870" w:type="dxa"/>
            <w:tcMar>
              <w:top w:w="43" w:type="dxa"/>
              <w:left w:w="115" w:type="dxa"/>
              <w:bottom w:w="43" w:type="dxa"/>
              <w:right w:w="576" w:type="dxa"/>
            </w:tcMar>
            <w:vAlign w:val="center"/>
          </w:tcPr>
          <w:p w:rsidR="003021D4" w:rsidRPr="003021D4" w:rsidRDefault="003021D4" w:rsidP="003021D4">
            <w:pPr>
              <w:keepNext/>
              <w:keepLines/>
              <w:tabs>
                <w:tab w:val="center" w:pos="1028"/>
              </w:tabs>
              <w:spacing w:after="0" w:line="240" w:lineRule="auto"/>
              <w:jc w:val="right"/>
              <w:rPr>
                <w:rFonts w:asciiTheme="minorHAnsi" w:hAnsiTheme="minorHAnsi"/>
                <w:sz w:val="18"/>
                <w:szCs w:val="18"/>
              </w:rPr>
            </w:pPr>
            <w:r w:rsidRPr="003021D4">
              <w:rPr>
                <w:rFonts w:asciiTheme="minorHAnsi" w:hAnsiTheme="minorHAnsi"/>
                <w:sz w:val="18"/>
                <w:szCs w:val="18"/>
              </w:rPr>
              <w:t>1,400</w:t>
            </w:r>
          </w:p>
        </w:tc>
      </w:tr>
    </w:tbl>
    <w:p w:rsidR="003021D4" w:rsidRPr="003021D4" w:rsidRDefault="003021D4" w:rsidP="003021D4">
      <w:pPr>
        <w:keepNext/>
        <w:keepLines/>
        <w:spacing w:before="120" w:after="80" w:line="240" w:lineRule="auto"/>
        <w:ind w:left="1440" w:right="1080" w:hanging="274"/>
        <w:rPr>
          <w:rFonts w:asciiTheme="minorHAnsi" w:hAnsiTheme="minorHAnsi"/>
          <w:sz w:val="16"/>
          <w:szCs w:val="16"/>
        </w:rPr>
      </w:pPr>
      <w:r w:rsidRPr="003021D4">
        <w:rPr>
          <w:rFonts w:asciiTheme="minorHAnsi" w:hAnsiTheme="minorHAnsi"/>
          <w:sz w:val="16"/>
          <w:szCs w:val="16"/>
        </w:rPr>
        <w:t xml:space="preserve">(a) </w:t>
      </w:r>
      <w:r w:rsidRPr="003021D4">
        <w:rPr>
          <w:rFonts w:asciiTheme="minorHAnsi" w:hAnsiTheme="minorHAnsi"/>
          <w:sz w:val="16"/>
          <w:szCs w:val="16"/>
        </w:rPr>
        <w:tab/>
        <w:t xml:space="preserve">Limits are for the summer period. These limits may not include possible simultaneous impacts and should not be considered as “firm.” </w:t>
      </w:r>
    </w:p>
    <w:p w:rsidR="003021D4" w:rsidRPr="003021D4" w:rsidRDefault="003021D4" w:rsidP="003021D4">
      <w:pPr>
        <w:keepNext/>
        <w:keepLines/>
        <w:spacing w:after="80" w:line="240" w:lineRule="auto"/>
        <w:ind w:left="1440" w:right="1080" w:hanging="274"/>
        <w:rPr>
          <w:rFonts w:asciiTheme="minorHAnsi" w:hAnsiTheme="minorHAnsi"/>
          <w:sz w:val="16"/>
          <w:szCs w:val="16"/>
        </w:rPr>
      </w:pPr>
      <w:r w:rsidRPr="003021D4">
        <w:rPr>
          <w:rFonts w:asciiTheme="minorHAnsi" w:hAnsiTheme="minorHAnsi"/>
          <w:sz w:val="16"/>
          <w:szCs w:val="16"/>
        </w:rPr>
        <w:t xml:space="preserve">(b) </w:t>
      </w:r>
      <w:r w:rsidRPr="003021D4">
        <w:rPr>
          <w:rFonts w:asciiTheme="minorHAnsi" w:hAnsiTheme="minorHAnsi"/>
          <w:sz w:val="16"/>
          <w:szCs w:val="16"/>
        </w:rPr>
        <w:tab/>
        <w:t>The AC import capabilities do not include the Cross-Sound Cable and the Northport–Norwalk Cable. Simultaneously importing into New England and Connecticut can lower the New York to New England AC capability.</w:t>
      </w:r>
    </w:p>
    <w:p w:rsidR="003021D4" w:rsidRPr="003021D4" w:rsidRDefault="003021D4" w:rsidP="003021D4">
      <w:pPr>
        <w:keepNext/>
        <w:keepLines/>
        <w:spacing w:after="80" w:line="240" w:lineRule="auto"/>
        <w:ind w:left="1440" w:right="1080" w:hanging="274"/>
        <w:rPr>
          <w:rFonts w:asciiTheme="minorHAnsi" w:hAnsiTheme="minorHAnsi"/>
          <w:sz w:val="16"/>
          <w:szCs w:val="16"/>
        </w:rPr>
      </w:pPr>
      <w:r w:rsidRPr="003021D4">
        <w:rPr>
          <w:rFonts w:asciiTheme="minorHAnsi" w:hAnsiTheme="minorHAnsi"/>
          <w:sz w:val="16"/>
          <w:szCs w:val="16"/>
        </w:rPr>
        <w:t xml:space="preserve">(c) </w:t>
      </w:r>
      <w:r w:rsidRPr="003021D4">
        <w:rPr>
          <w:rFonts w:asciiTheme="minorHAnsi" w:hAnsiTheme="minorHAnsi"/>
          <w:sz w:val="16"/>
          <w:szCs w:val="16"/>
        </w:rPr>
        <w:tab/>
        <w:t>Import capability on the Cross-Sound Cable is dependent on the level of local generation in Connecticut.</w:t>
      </w:r>
    </w:p>
    <w:p w:rsidR="003021D4" w:rsidRPr="003021D4" w:rsidRDefault="003021D4" w:rsidP="003021D4">
      <w:pPr>
        <w:keepNext/>
        <w:keepLines/>
        <w:spacing w:after="80" w:line="240" w:lineRule="auto"/>
        <w:ind w:left="1440" w:right="1080" w:hanging="274"/>
        <w:rPr>
          <w:rFonts w:asciiTheme="minorHAnsi" w:hAnsiTheme="minorHAnsi"/>
          <w:sz w:val="16"/>
          <w:szCs w:val="16"/>
        </w:rPr>
      </w:pPr>
      <w:r w:rsidRPr="003021D4">
        <w:rPr>
          <w:rFonts w:asciiTheme="minorHAnsi" w:hAnsiTheme="minorHAnsi"/>
          <w:sz w:val="16"/>
          <w:szCs w:val="16"/>
        </w:rPr>
        <w:t xml:space="preserve">(d) </w:t>
      </w:r>
      <w:r w:rsidRPr="003021D4">
        <w:rPr>
          <w:rFonts w:asciiTheme="minorHAnsi" w:hAnsiTheme="minorHAnsi"/>
          <w:sz w:val="16"/>
          <w:szCs w:val="16"/>
        </w:rPr>
        <w:tab/>
        <w:t xml:space="preserve">The electrical limit of the </w:t>
      </w:r>
      <w:r w:rsidR="00B064F4">
        <w:rPr>
          <w:rFonts w:asciiTheme="minorHAnsi" w:hAnsiTheme="minorHAnsi"/>
          <w:sz w:val="16"/>
          <w:szCs w:val="16"/>
        </w:rPr>
        <w:t>Maritimes (</w:t>
      </w:r>
      <w:r w:rsidRPr="003021D4">
        <w:rPr>
          <w:rFonts w:asciiTheme="minorHAnsi" w:hAnsiTheme="minorHAnsi"/>
          <w:sz w:val="16"/>
          <w:szCs w:val="16"/>
        </w:rPr>
        <w:t>New Brunswick</w:t>
      </w:r>
      <w:r w:rsidR="00B064F4">
        <w:rPr>
          <w:rFonts w:asciiTheme="minorHAnsi" w:hAnsiTheme="minorHAnsi"/>
          <w:sz w:val="16"/>
          <w:szCs w:val="16"/>
        </w:rPr>
        <w:t>)</w:t>
      </w:r>
      <w:r w:rsidRPr="003021D4">
        <w:rPr>
          <w:rFonts w:asciiTheme="minorHAnsi" w:hAnsiTheme="minorHAnsi"/>
          <w:sz w:val="16"/>
          <w:szCs w:val="16"/>
        </w:rPr>
        <w:t>–New England tie is 1,000 MW. When adjusted for the ability to deliver capacity to the greater New England control area, the New Brunswick–New England transfer capability becomes 700 MW.</w:t>
      </w:r>
    </w:p>
    <w:p w:rsidR="003021D4" w:rsidRPr="003021D4" w:rsidRDefault="003021D4" w:rsidP="003021D4">
      <w:pPr>
        <w:keepNext/>
        <w:keepLines/>
        <w:spacing w:after="80" w:line="240" w:lineRule="auto"/>
        <w:ind w:left="1440" w:right="1080" w:hanging="274"/>
        <w:rPr>
          <w:rFonts w:asciiTheme="minorHAnsi" w:hAnsiTheme="minorHAnsi"/>
          <w:sz w:val="16"/>
          <w:szCs w:val="16"/>
        </w:rPr>
      </w:pPr>
      <w:r w:rsidRPr="003021D4">
        <w:rPr>
          <w:rFonts w:asciiTheme="minorHAnsi" w:hAnsiTheme="minorHAnsi"/>
          <w:sz w:val="16"/>
          <w:szCs w:val="16"/>
        </w:rPr>
        <w:t xml:space="preserve">(e) </w:t>
      </w:r>
      <w:r w:rsidRPr="003021D4">
        <w:rPr>
          <w:rFonts w:asciiTheme="minorHAnsi" w:hAnsiTheme="minorHAnsi"/>
          <w:sz w:val="16"/>
          <w:szCs w:val="16"/>
        </w:rPr>
        <w:tab/>
        <w:t>The capability listing for the Highgate facility is for the New England AC side of the Highgate terminal.</w:t>
      </w:r>
    </w:p>
    <w:p w:rsidR="003021D4" w:rsidRPr="003021D4" w:rsidRDefault="003021D4" w:rsidP="005D1DBF">
      <w:pPr>
        <w:spacing w:line="240" w:lineRule="auto"/>
        <w:ind w:left="1440" w:right="1080" w:hanging="274"/>
        <w:rPr>
          <w:rFonts w:asciiTheme="minorHAnsi" w:hAnsiTheme="minorHAnsi"/>
          <w:sz w:val="16"/>
          <w:szCs w:val="16"/>
        </w:rPr>
      </w:pPr>
      <w:r w:rsidRPr="003021D4">
        <w:rPr>
          <w:rFonts w:asciiTheme="minorHAnsi" w:hAnsiTheme="minorHAnsi"/>
          <w:sz w:val="16"/>
          <w:szCs w:val="16"/>
        </w:rPr>
        <w:t xml:space="preserve">(f) </w:t>
      </w:r>
      <w:r w:rsidRPr="003021D4">
        <w:rPr>
          <w:rFonts w:asciiTheme="minorHAnsi" w:hAnsiTheme="minorHAnsi"/>
          <w:sz w:val="16"/>
          <w:szCs w:val="16"/>
        </w:rPr>
        <w:tab/>
        <w:t xml:space="preserve">The Hydro-Québec Phase II interconnection is a DC tie with equipment ratings of 2,000 MW. Because of the need to protect for the loss of this line at the full import level in the PJM and NY systems, ISO New England has assumed its transfer capability to be 1,400 MW for calculating capacity and reliability. This assumption is based on the results of loss-of-source analyses conducted by PJM and NY. The procedure and daily limits are shown at the ISO’s “Operations Report: Single-Source Contingency,” webpage (2017), </w:t>
      </w:r>
      <w:hyperlink r:id="rId55" w:history="1">
        <w:r w:rsidRPr="003021D4">
          <w:rPr>
            <w:rFonts w:asciiTheme="minorHAnsi" w:hAnsiTheme="minorHAnsi"/>
            <w:color w:val="000000"/>
            <w:sz w:val="16"/>
            <w:szCs w:val="16"/>
          </w:rPr>
          <w:t>http://www.iso-ne.com/isoexpress/web/reports/operations/-/tree/single-src-cont</w:t>
        </w:r>
      </w:hyperlink>
      <w:r w:rsidRPr="003021D4">
        <w:rPr>
          <w:rFonts w:asciiTheme="minorHAnsi" w:hAnsiTheme="minorHAnsi"/>
          <w:sz w:val="16"/>
          <w:szCs w:val="16"/>
        </w:rPr>
        <w:t xml:space="preserve">. </w:t>
      </w:r>
    </w:p>
    <w:p w:rsidR="003021D4" w:rsidRPr="003021D4" w:rsidRDefault="003021D4" w:rsidP="003021D4">
      <w:pPr>
        <w:spacing w:before="120"/>
      </w:pPr>
      <w:r w:rsidRPr="003021D4">
        <w:t>Historically, New England experienced net capacity and energy imports. The ISO expects this trend to continue, given the amount of import capacity supply obligations resulting from the F</w:t>
      </w:r>
      <w:r w:rsidR="00166071">
        <w:t>CAs</w:t>
      </w:r>
      <w:r w:rsidRPr="00AD606F">
        <w:t xml:space="preserve"> (see </w:t>
      </w:r>
      <w:r w:rsidR="00595A75" w:rsidRPr="00AD606F">
        <w:t>Section</w:t>
      </w:r>
      <w:r w:rsidR="00595A75">
        <w:t> </w:t>
      </w:r>
      <w:r w:rsidR="00F87553">
        <w:fldChar w:fldCharType="begin"/>
      </w:r>
      <w:r w:rsidR="00F87553">
        <w:instrText xml:space="preserve"> REF _Ref491174539 \r \h </w:instrText>
      </w:r>
      <w:r w:rsidR="00F87553">
        <w:fldChar w:fldCharType="separate"/>
      </w:r>
      <w:r w:rsidR="00F87553">
        <w:t>4.1.3</w:t>
      </w:r>
      <w:r w:rsidR="00F87553">
        <w:fldChar w:fldCharType="end"/>
      </w:r>
      <w:r w:rsidRPr="00AD606F">
        <w:t>) and the number of tie-line projects in the ISO’s interconnection queue (</w:t>
      </w:r>
      <w:r w:rsidRPr="003D03EB">
        <w:t xml:space="preserve">Section </w:t>
      </w:r>
      <w:r w:rsidR="003D03EB" w:rsidRPr="003D03EB">
        <w:fldChar w:fldCharType="begin"/>
      </w:r>
      <w:r w:rsidR="003D03EB" w:rsidRPr="003D03EB">
        <w:instrText xml:space="preserve"> REF _Ref329080869 \r \h </w:instrText>
      </w:r>
      <w:r w:rsidR="003D03EB">
        <w:instrText xml:space="preserve"> \* MERGEFORMAT </w:instrText>
      </w:r>
      <w:r w:rsidR="003D03EB" w:rsidRPr="003D03EB">
        <w:fldChar w:fldCharType="separate"/>
      </w:r>
      <w:r w:rsidR="00314781">
        <w:t>4.5.4</w:t>
      </w:r>
      <w:r w:rsidR="003D03EB" w:rsidRPr="003D03EB">
        <w:fldChar w:fldCharType="end"/>
      </w:r>
      <w:r w:rsidRPr="003D03EB">
        <w:t>), which could provide additional opportunities for importing energy from neighboring</w:t>
      </w:r>
      <w:r w:rsidRPr="003021D4">
        <w:t xml:space="preserve"> power systems. </w:t>
      </w:r>
    </w:p>
    <w:p w:rsidR="003021D4" w:rsidRPr="003021D4" w:rsidRDefault="003021D4" w:rsidP="003021D4">
      <w:pPr>
        <w:spacing w:before="120"/>
      </w:pPr>
      <w:r w:rsidRPr="003021D4">
        <w:t>The summer import capacity supply obligations for FCA #8 (for the 2017/2018 capacity commitment period) through FCA #11 (for the 2020/2021 period) range from 1,235 MW (in FCA #11) to 1,450 MW (in FCA #10), with New York providing more than half of the CSOs. The tie-reliability benefits used in calculating the ICR ranges from 1,870 MW to 1,990 MW during that same period, with over half provided by Québec.</w:t>
      </w:r>
    </w:p>
    <w:p w:rsidR="003021D4" w:rsidRPr="003021D4" w:rsidRDefault="003021D4" w:rsidP="003021D4">
      <w:pPr>
        <w:spacing w:before="120"/>
      </w:pPr>
      <w:r w:rsidRPr="003021D4">
        <w:lastRenderedPageBreak/>
        <w:t>During the past five years, the annual net energy imports have increased from 12,648 GWh in 2012 to over 20,000 GWh in 2014 through 2016. The resulting percentage of the total New England net energy for load is approximately 10% to 17%.</w:t>
      </w:r>
      <w:r w:rsidRPr="003021D4">
        <w:rPr>
          <w:vertAlign w:val="superscript"/>
        </w:rPr>
        <w:footnoteReference w:id="195"/>
      </w:r>
      <w:r w:rsidRPr="003021D4">
        <w:t xml:space="preserve"> </w:t>
      </w:r>
    </w:p>
    <w:p w:rsidR="003021D4" w:rsidRPr="003021D4" w:rsidRDefault="003021D4" w:rsidP="003021D4">
      <w:r w:rsidRPr="003021D4">
        <w:t>New England imported 22,963 GWh of energy (i.e., gross imports without accounting for exports) during 2016. Over half the energy imports were from Québec, which is predominantly a hydro system.</w:t>
      </w:r>
      <w:r w:rsidRPr="003021D4">
        <w:rPr>
          <w:vertAlign w:val="superscript"/>
        </w:rPr>
        <w:footnoteReference w:id="196"/>
      </w:r>
      <w:r w:rsidRPr="003021D4">
        <w:t xml:space="preserve"> Avoided New England emissions associated with energy imported from Québec were estimated using the 2015 New England system average emission rates.</w:t>
      </w:r>
      <w:r w:rsidRPr="003021D4">
        <w:rPr>
          <w:vertAlign w:val="superscript"/>
        </w:rPr>
        <w:footnoteReference w:id="197"/>
      </w:r>
      <w:r w:rsidRPr="003021D4">
        <w:t xml:space="preserve"> The estimated avoided emissions were 2.14 ktons of nitrogen oxides (NO</w:t>
      </w:r>
      <w:r w:rsidRPr="003021D4">
        <w:rPr>
          <w:vertAlign w:val="subscript"/>
        </w:rPr>
        <w:t>x</w:t>
      </w:r>
      <w:r w:rsidRPr="003021D4">
        <w:t>), 1.04 ktons of SO</w:t>
      </w:r>
      <w:r w:rsidRPr="003021D4">
        <w:rPr>
          <w:vertAlign w:val="subscript"/>
        </w:rPr>
        <w:t>2</w:t>
      </w:r>
      <w:r w:rsidRPr="003021D4">
        <w:t>, and 4,565 ktons of CO</w:t>
      </w:r>
      <w:r w:rsidRPr="003021D4">
        <w:rPr>
          <w:vertAlign w:val="subscript"/>
        </w:rPr>
        <w:t>2</w:t>
      </w:r>
      <w:r w:rsidRPr="003021D4">
        <w:t xml:space="preserve">. </w:t>
      </w:r>
    </w:p>
    <w:p w:rsidR="003021D4" w:rsidRPr="00E443BD" w:rsidRDefault="003021D4" w:rsidP="005A7F54">
      <w:pPr>
        <w:pStyle w:val="Heading2"/>
      </w:pPr>
      <w:bookmarkStart w:id="667" w:name="_Toc484947384"/>
      <w:bookmarkStart w:id="668" w:name="_Toc490323069"/>
      <w:r w:rsidRPr="003021D4">
        <w:t>Summary</w:t>
      </w:r>
      <w:bookmarkEnd w:id="667"/>
      <w:bookmarkEnd w:id="668"/>
    </w:p>
    <w:p w:rsidR="003021D4" w:rsidRPr="003021D4" w:rsidRDefault="003021D4" w:rsidP="003021D4">
      <w:r w:rsidRPr="003021D4">
        <w:t>The ISO coordinates planning activities with the Northeast Power Coordinating Council and throughout North America through NERC studies, as well as joint system assessments and studies of planned projects and planning activities with neighboring systems. The JIPC, IRC, and EIPC also have all coordinated interregional activities and discussion, such as of the effects of environmental regulations and the development of renewable resources.</w:t>
      </w:r>
    </w:p>
    <w:p w:rsidR="003021D4" w:rsidRPr="003021D4" w:rsidRDefault="003021D4" w:rsidP="003021D4">
      <w:r w:rsidRPr="003021D4">
        <w:t>The ISO has achieved full compliance with all required planning standards and has successfully implemented the Northeastern ISO/RTO Planning Protocol, which has further improved interregional planning among neighboring areas. It will continue this effort as part of ongoing regional compliance with FERC Order No. 1000. Stakeholder input has been provided through the IPSAC.</w:t>
      </w:r>
    </w:p>
    <w:p w:rsidR="003021D4" w:rsidRPr="003021D4" w:rsidRDefault="003021D4" w:rsidP="003021D4">
      <w:r w:rsidRPr="003021D4">
        <w:t>Interconnections with neighboring systems provide access to capacity and energy and reduce emissions within the New England area. The interconnections have improved regional reliability and the economic operation of the system. The ISO uses the energy and capacity import capabilities of the interconnections in its planning studies.</w:t>
      </w:r>
    </w:p>
    <w:p w:rsidR="000C4646" w:rsidRPr="002B0664" w:rsidRDefault="000C4646" w:rsidP="002B0664">
      <w:pPr>
        <w:pStyle w:val="Heading1"/>
      </w:pPr>
      <w:bookmarkStart w:id="669" w:name="_Ref387650525"/>
      <w:r w:rsidRPr="002B0664">
        <w:lastRenderedPageBreak/>
        <w:br/>
      </w:r>
      <w:bookmarkStart w:id="670" w:name="_Ref418883760"/>
      <w:bookmarkStart w:id="671" w:name="_Toc429063434"/>
      <w:bookmarkStart w:id="672" w:name="_Toc490323070"/>
      <w:r w:rsidRPr="002B0664">
        <w:t>Fuel-Security Risks to System Reliability and Solutions</w:t>
      </w:r>
      <w:bookmarkEnd w:id="670"/>
      <w:bookmarkEnd w:id="671"/>
      <w:bookmarkEnd w:id="672"/>
    </w:p>
    <w:p w:rsidR="000C4646" w:rsidRPr="000C4646" w:rsidRDefault="000C4646" w:rsidP="000C4646">
      <w:r w:rsidRPr="000C4646">
        <w:t>New England has several fuel-related risks, as follows, that affect the reliability of the power system:</w:t>
      </w:r>
    </w:p>
    <w:p w:rsidR="000C4646" w:rsidRPr="00F579EE" w:rsidRDefault="000C4646" w:rsidP="000C4646">
      <w:pPr>
        <w:numPr>
          <w:ilvl w:val="0"/>
          <w:numId w:val="652"/>
        </w:numPr>
        <w:spacing w:after="120"/>
      </w:pPr>
      <w:r w:rsidRPr="00F579EE">
        <w:t xml:space="preserve">The region relies heavily on natural-gas-fired capacity, and serious and growing reliability issues have emerged </w:t>
      </w:r>
      <w:r w:rsidR="00F579EE">
        <w:t>regarding t</w:t>
      </w:r>
      <w:r w:rsidR="00F579EE" w:rsidRPr="00F579EE">
        <w:t xml:space="preserve">he </w:t>
      </w:r>
      <w:r w:rsidR="00F579EE" w:rsidRPr="00B064F4">
        <w:t xml:space="preserve">need for fuel for natural-gas-fired generation </w:t>
      </w:r>
      <w:r w:rsidRPr="00B064F4">
        <w:t>because of constraints of the natural gas delivery system and the amount of liquefied natural gas (LNG) the region uses</w:t>
      </w:r>
      <w:r w:rsidR="00F579EE" w:rsidRPr="00B064F4">
        <w:t>.</w:t>
      </w:r>
    </w:p>
    <w:p w:rsidR="000C4646" w:rsidRPr="000C4646" w:rsidRDefault="000C4646" w:rsidP="000C4646">
      <w:pPr>
        <w:numPr>
          <w:ilvl w:val="0"/>
          <w:numId w:val="652"/>
        </w:numPr>
        <w:spacing w:after="120"/>
      </w:pPr>
      <w:r w:rsidRPr="000C4646">
        <w:t>The lack of firm fuel contracts by natural gas generators has limited the availability of natural gas transport to generators and funding for natural gas infrastructure expansion.</w:t>
      </w:r>
    </w:p>
    <w:p w:rsidR="000C4646" w:rsidRPr="00F579EE" w:rsidRDefault="000C4646" w:rsidP="000C4646">
      <w:pPr>
        <w:numPr>
          <w:ilvl w:val="0"/>
          <w:numId w:val="652"/>
        </w:numPr>
        <w:spacing w:after="120"/>
      </w:pPr>
      <w:r w:rsidRPr="00D86120">
        <w:t>Gas units with dual-fuel capability can have limited on-site fuel storage</w:t>
      </w:r>
      <w:r w:rsidR="00F579EE">
        <w:t>,</w:t>
      </w:r>
      <w:r w:rsidRPr="00D86120">
        <w:t xml:space="preserve"> and</w:t>
      </w:r>
      <w:r w:rsidR="00F579EE">
        <w:t xml:space="preserve"> </w:t>
      </w:r>
      <w:r w:rsidRPr="00D86120">
        <w:t>some resources</w:t>
      </w:r>
      <w:r w:rsidR="00F579EE">
        <w:t xml:space="preserve"> </w:t>
      </w:r>
      <w:r w:rsidR="00F579EE" w:rsidRPr="00F579EE">
        <w:t xml:space="preserve">need </w:t>
      </w:r>
      <w:r w:rsidRPr="00F579EE">
        <w:t xml:space="preserve">an extended time </w:t>
      </w:r>
      <w:r w:rsidR="00F579EE" w:rsidRPr="00F579EE">
        <w:t xml:space="preserve">to </w:t>
      </w:r>
      <w:r w:rsidRPr="00F579EE">
        <w:t>switch and replenish fuels.</w:t>
      </w:r>
    </w:p>
    <w:p w:rsidR="000C4646" w:rsidRPr="000C4646" w:rsidRDefault="000C4646" w:rsidP="000C4646">
      <w:pPr>
        <w:numPr>
          <w:ilvl w:val="0"/>
          <w:numId w:val="652"/>
        </w:numPr>
        <w:spacing w:after="120"/>
      </w:pPr>
      <w:r w:rsidRPr="000C4646">
        <w:t xml:space="preserve">Infrequently operated and older oil and coal resources </w:t>
      </w:r>
      <w:r w:rsidR="00F579EE">
        <w:t xml:space="preserve">experience </w:t>
      </w:r>
      <w:r w:rsidRPr="000C4646">
        <w:t xml:space="preserve">diminished operating performance and </w:t>
      </w:r>
      <w:r w:rsidR="00DF08BC">
        <w:t xml:space="preserve">face </w:t>
      </w:r>
      <w:r w:rsidRPr="000C4646">
        <w:t xml:space="preserve">energy-production constraints, with oil units potentially experiencing issues with fuel availability, delivery, environmental restrictions, and other challenges caused by the sporadic operation of the units. </w:t>
      </w:r>
    </w:p>
    <w:p w:rsidR="000C4646" w:rsidRPr="000C4646" w:rsidRDefault="000C4646" w:rsidP="000C4646">
      <w:pPr>
        <w:numPr>
          <w:ilvl w:val="0"/>
          <w:numId w:val="652"/>
        </w:numPr>
      </w:pPr>
      <w:r w:rsidRPr="000C4646">
        <w:t xml:space="preserve">New England also faces the retirement of non-gas-fired generation, which will likely increase the region’s reliance on natural-gas-fired generation. </w:t>
      </w:r>
    </w:p>
    <w:p w:rsidR="000C4646" w:rsidRPr="000C4646" w:rsidRDefault="000C4646" w:rsidP="000C4646">
      <w:pPr>
        <w:spacing w:after="200" w:line="276" w:lineRule="auto"/>
      </w:pPr>
      <w:r w:rsidRPr="000C4646">
        <w:t xml:space="preserve">The ISO and other entities have been conducting many studies on these overarching and overlapping strategic risks and broad planning issues, the extent of these issues, and potential solutions. Some of the more specific topics analyzed have been as follows: </w:t>
      </w:r>
    </w:p>
    <w:p w:rsidR="000C4646" w:rsidRPr="000C4646" w:rsidRDefault="000C4646" w:rsidP="000C4646">
      <w:pPr>
        <w:numPr>
          <w:ilvl w:val="0"/>
          <w:numId w:val="551"/>
        </w:numPr>
        <w:spacing w:after="120"/>
      </w:pPr>
      <w:r w:rsidRPr="000C4646">
        <w:t>Winter operating experience, which shows the region’s exposure to high natural gas prices, the reliability risks of limited fuel supplies, and the results of regional actions to address these issues</w:t>
      </w:r>
    </w:p>
    <w:p w:rsidR="000C4646" w:rsidRPr="000C4646" w:rsidRDefault="000C4646" w:rsidP="00AE5323">
      <w:pPr>
        <w:numPr>
          <w:ilvl w:val="0"/>
          <w:numId w:val="551"/>
        </w:numPr>
      </w:pPr>
      <w:r w:rsidRPr="000C4646">
        <w:t>The interactions between the natural gas and electric power systems, which quantify the need for improving fuel security to the region</w:t>
      </w:r>
    </w:p>
    <w:p w:rsidR="000C4646" w:rsidRPr="000C4646" w:rsidRDefault="000C4646" w:rsidP="000C4646">
      <w:r w:rsidRPr="00AD606F">
        <w:t xml:space="preserve">Improvements to the wholesale electricity markets (see Section </w:t>
      </w:r>
      <w:r w:rsidR="00AD606F" w:rsidRPr="00AD606F">
        <w:fldChar w:fldCharType="begin"/>
      </w:r>
      <w:r w:rsidR="00AD606F" w:rsidRPr="00AD606F">
        <w:instrText xml:space="preserve"> REF _Ref485735432 \r \h </w:instrText>
      </w:r>
      <w:r w:rsidR="00AD606F">
        <w:instrText xml:space="preserve"> \* MERGEFORMAT </w:instrText>
      </w:r>
      <w:r w:rsidR="00AD606F" w:rsidRPr="00AD606F">
        <w:fldChar w:fldCharType="separate"/>
      </w:r>
      <w:r w:rsidR="00314781">
        <w:t>10.3.3</w:t>
      </w:r>
      <w:r w:rsidR="00AD606F" w:rsidRPr="00AD606F">
        <w:fldChar w:fldCharType="end"/>
      </w:r>
      <w:r w:rsidRPr="00AD606F">
        <w:t>) also will help secure a</w:t>
      </w:r>
      <w:r w:rsidRPr="000C4646">
        <w:t xml:space="preserve"> reliable supply of electric energy to the region. </w:t>
      </w:r>
    </w:p>
    <w:p w:rsidR="000C4646" w:rsidRPr="000C4646" w:rsidRDefault="000C4646" w:rsidP="000C4646">
      <w:r w:rsidRPr="000C4646">
        <w:t>This section discusses the electric power system’s reliance on natural-gas-fired generation, the associated reliability risks, the winter operating experience, and both short-term and long-term actions the region is taking to address these risks.</w:t>
      </w:r>
      <w:r w:rsidRPr="000C4646" w:rsidDel="00AE4437">
        <w:rPr>
          <w:vertAlign w:val="superscript"/>
        </w:rPr>
        <w:t xml:space="preserve"> </w:t>
      </w:r>
    </w:p>
    <w:p w:rsidR="000C4646" w:rsidRPr="000C4646" w:rsidRDefault="000C4646" w:rsidP="000C4646">
      <w:pPr>
        <w:pStyle w:val="Heading2"/>
        <w:rPr>
          <w:rFonts w:eastAsia="Times New Roman"/>
        </w:rPr>
      </w:pPr>
      <w:bookmarkStart w:id="673" w:name="_Ref390423940"/>
      <w:bookmarkStart w:id="674" w:name="_Toc396807656"/>
      <w:bookmarkStart w:id="675" w:name="_Toc429063435"/>
      <w:bookmarkStart w:id="676" w:name="_Toc490323071"/>
      <w:r w:rsidRPr="000C4646">
        <w:rPr>
          <w:rFonts w:eastAsia="Times New Roman"/>
        </w:rPr>
        <w:t>Capacity and Electric Energy Production in the Region by Fuel Type</w:t>
      </w:r>
      <w:bookmarkEnd w:id="673"/>
      <w:bookmarkEnd w:id="674"/>
      <w:bookmarkEnd w:id="675"/>
      <w:bookmarkEnd w:id="676"/>
      <w:r w:rsidRPr="000C4646" w:rsidDel="00BF3EC6">
        <w:rPr>
          <w:rFonts w:eastAsia="Times New Roman"/>
        </w:rPr>
        <w:t xml:space="preserve"> </w:t>
      </w:r>
    </w:p>
    <w:p w:rsidR="000C4646" w:rsidRPr="000C4646" w:rsidRDefault="000C4646" w:rsidP="000C4646">
      <w:r w:rsidRPr="000C4646">
        <w:t xml:space="preserve">New England’s capacity and electric energy production in 2016 indicates that the region is highly dependent on natural-gas-fired generation. As shown in </w:t>
      </w:r>
      <w:r w:rsidRPr="000C4646">
        <w:fldChar w:fldCharType="begin"/>
      </w:r>
      <w:r w:rsidRPr="000C4646">
        <w:instrText xml:space="preserve"> REF _Ref417549979 \h  \* MERGEFORMAT </w:instrText>
      </w:r>
      <w:r w:rsidRPr="000C4646">
        <w:fldChar w:fldCharType="separate"/>
      </w:r>
      <w:r w:rsidR="00314781" w:rsidRPr="000162C8">
        <w:rPr>
          <w:bCs/>
          <w:szCs w:val="18"/>
        </w:rPr>
        <w:t xml:space="preserve">Figure </w:t>
      </w:r>
      <w:r w:rsidR="00314781" w:rsidRPr="000162C8">
        <w:rPr>
          <w:bCs/>
          <w:noProof/>
          <w:szCs w:val="18"/>
        </w:rPr>
        <w:t>7</w:t>
      </w:r>
      <w:r w:rsidR="00314781" w:rsidRPr="000162C8">
        <w:rPr>
          <w:bCs/>
          <w:noProof/>
          <w:szCs w:val="18"/>
        </w:rPr>
        <w:noBreakHyphen/>
        <w:t>1</w:t>
      </w:r>
      <w:r w:rsidRPr="000C4646">
        <w:fldChar w:fldCharType="end"/>
      </w:r>
      <w:r w:rsidRPr="000C4646">
        <w:t xml:space="preserve">, approximately 45% of the region’s capacity in 2016 was natural-gas-fired generation. This is approximately twice as large as oil-fired capacity, which was the next-largest type of generation resource in the region. </w:t>
      </w:r>
      <w:r w:rsidRPr="000C4646">
        <w:fldChar w:fldCharType="begin"/>
      </w:r>
      <w:r w:rsidRPr="000C4646">
        <w:instrText xml:space="preserve"> REF _Ref417549979 \h  \* MERGEFORMAT </w:instrText>
      </w:r>
      <w:r w:rsidRPr="000C4646">
        <w:fldChar w:fldCharType="separate"/>
      </w:r>
      <w:r w:rsidR="00314781" w:rsidRPr="000162C8">
        <w:rPr>
          <w:bCs/>
          <w:szCs w:val="18"/>
        </w:rPr>
        <w:t xml:space="preserve">Figure </w:t>
      </w:r>
      <w:r w:rsidR="00314781" w:rsidRPr="000162C8">
        <w:rPr>
          <w:bCs/>
          <w:noProof/>
          <w:szCs w:val="18"/>
        </w:rPr>
        <w:t>7</w:t>
      </w:r>
      <w:r w:rsidR="00314781" w:rsidRPr="000162C8">
        <w:rPr>
          <w:bCs/>
          <w:noProof/>
          <w:szCs w:val="18"/>
        </w:rPr>
        <w:noBreakHyphen/>
        <w:t>1</w:t>
      </w:r>
      <w:r w:rsidRPr="000C4646">
        <w:fldChar w:fldCharType="end"/>
      </w:r>
      <w:r w:rsidRPr="000C4646">
        <w:t xml:space="preserve"> also shows that natural gas power plants contributed 49% to the region’s electric energy production in 2016. Nuclear generation supplied 31% of the electric energy, but each of the other types of generating resources </w:t>
      </w:r>
      <w:r w:rsidRPr="00AD606F">
        <w:t xml:space="preserve">produced less than 8%. (Refer to Section </w:t>
      </w:r>
      <w:r w:rsidR="00AD606F" w:rsidRPr="00AD606F">
        <w:fldChar w:fldCharType="begin"/>
      </w:r>
      <w:r w:rsidR="00AD606F" w:rsidRPr="00AD606F">
        <w:instrText xml:space="preserve"> REF _Ref485735585 \r \h </w:instrText>
      </w:r>
      <w:r w:rsidR="00AD606F">
        <w:instrText xml:space="preserve"> \* MERGEFORMAT </w:instrText>
      </w:r>
      <w:r w:rsidR="00AD606F" w:rsidRPr="00AD606F">
        <w:fldChar w:fldCharType="separate"/>
      </w:r>
      <w:r w:rsidR="00314781">
        <w:t>6.6</w:t>
      </w:r>
      <w:r w:rsidR="00AD606F" w:rsidRPr="00AD606F">
        <w:fldChar w:fldCharType="end"/>
      </w:r>
      <w:r w:rsidRPr="00AD606F">
        <w:t xml:space="preserve"> for a discussion on the role of imports that supply the</w:t>
      </w:r>
      <w:r w:rsidRPr="000C4646">
        <w:t xml:space="preserve"> region.)</w:t>
      </w:r>
    </w:p>
    <w:p w:rsidR="005D72CE" w:rsidRPr="000C4646" w:rsidRDefault="005D72CE" w:rsidP="005D72CE">
      <w:pPr>
        <w:spacing w:after="0" w:line="240" w:lineRule="auto"/>
        <w:jc w:val="center"/>
      </w:pPr>
      <w:r w:rsidRPr="005D72CE">
        <w:rPr>
          <w:noProof/>
        </w:rPr>
        <w:lastRenderedPageBreak/>
        <w:drawing>
          <wp:inline distT="0" distB="0" distL="0" distR="0" wp14:anchorId="6E89B029" wp14:editId="3337FA33">
            <wp:extent cx="5715000" cy="3354486"/>
            <wp:effectExtent l="19050" t="19050" r="19050" b="1778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715000" cy="3354486"/>
                    </a:xfrm>
                    <a:prstGeom prst="rect">
                      <a:avLst/>
                    </a:prstGeom>
                    <a:noFill/>
                    <a:ln w="3175">
                      <a:solidFill>
                        <a:srgbClr val="000000"/>
                      </a:solidFill>
                    </a:ln>
                  </pic:spPr>
                </pic:pic>
              </a:graphicData>
            </a:graphic>
          </wp:inline>
        </w:drawing>
      </w:r>
    </w:p>
    <w:p w:rsidR="000C4646" w:rsidRPr="000C4646" w:rsidRDefault="000C4646" w:rsidP="005D72CE">
      <w:pPr>
        <w:keepNext/>
        <w:keepLines/>
        <w:spacing w:before="120" w:after="80" w:line="240" w:lineRule="auto"/>
        <w:ind w:left="86"/>
        <w:rPr>
          <w:rFonts w:asciiTheme="minorHAnsi" w:hAnsiTheme="minorHAnsi"/>
          <w:b/>
          <w:bCs/>
          <w:szCs w:val="18"/>
        </w:rPr>
      </w:pPr>
      <w:bookmarkStart w:id="677" w:name="_Ref417549979"/>
      <w:bookmarkStart w:id="678" w:name="_Toc429063529"/>
      <w:bookmarkStart w:id="679" w:name="_Toc486233209"/>
      <w:r w:rsidRPr="002D2214">
        <w:rPr>
          <w:rFonts w:asciiTheme="minorHAnsi" w:hAnsiTheme="minorHAnsi"/>
          <w:b/>
          <w:bCs/>
          <w:szCs w:val="18"/>
        </w:rPr>
        <w:t xml:space="preserve">Figure </w:t>
      </w:r>
      <w:r w:rsidRPr="002D2214">
        <w:rPr>
          <w:rFonts w:asciiTheme="minorHAnsi" w:hAnsiTheme="minorHAnsi"/>
          <w:b/>
          <w:bCs/>
          <w:szCs w:val="18"/>
        </w:rPr>
        <w:fldChar w:fldCharType="begin"/>
      </w:r>
      <w:r w:rsidRPr="002D2214">
        <w:rPr>
          <w:rFonts w:asciiTheme="minorHAnsi" w:hAnsiTheme="minorHAnsi"/>
          <w:b/>
          <w:bCs/>
          <w:szCs w:val="18"/>
        </w:rPr>
        <w:instrText xml:space="preserve"> STYLEREF 1 \s </w:instrText>
      </w:r>
      <w:r w:rsidRPr="002D2214">
        <w:rPr>
          <w:rFonts w:asciiTheme="minorHAnsi" w:hAnsiTheme="minorHAnsi"/>
          <w:b/>
          <w:bCs/>
          <w:szCs w:val="18"/>
        </w:rPr>
        <w:fldChar w:fldCharType="separate"/>
      </w:r>
      <w:r w:rsidR="00314781">
        <w:rPr>
          <w:rFonts w:asciiTheme="minorHAnsi" w:hAnsiTheme="minorHAnsi"/>
          <w:b/>
          <w:bCs/>
          <w:noProof/>
          <w:szCs w:val="18"/>
        </w:rPr>
        <w:t>7</w:t>
      </w:r>
      <w:r w:rsidRPr="002D2214">
        <w:rPr>
          <w:rFonts w:asciiTheme="minorHAnsi" w:hAnsiTheme="minorHAnsi"/>
          <w:b/>
          <w:bCs/>
          <w:szCs w:val="18"/>
        </w:rPr>
        <w:fldChar w:fldCharType="end"/>
      </w:r>
      <w:r w:rsidRPr="002D2214">
        <w:rPr>
          <w:rFonts w:asciiTheme="minorHAnsi" w:hAnsiTheme="minorHAnsi"/>
          <w:b/>
          <w:bCs/>
          <w:szCs w:val="18"/>
        </w:rPr>
        <w:noBreakHyphen/>
      </w:r>
      <w:r w:rsidRPr="002D2214">
        <w:rPr>
          <w:rFonts w:asciiTheme="minorHAnsi" w:hAnsiTheme="minorHAnsi"/>
          <w:b/>
          <w:bCs/>
          <w:szCs w:val="18"/>
        </w:rPr>
        <w:fldChar w:fldCharType="begin"/>
      </w:r>
      <w:r w:rsidRPr="002D2214">
        <w:rPr>
          <w:rFonts w:asciiTheme="minorHAnsi" w:hAnsiTheme="minorHAnsi"/>
          <w:b/>
          <w:bCs/>
          <w:szCs w:val="18"/>
        </w:rPr>
        <w:instrText xml:space="preserve"> SEQ Figure \* ARABIC \s 1 </w:instrText>
      </w:r>
      <w:r w:rsidRPr="002D2214">
        <w:rPr>
          <w:rFonts w:asciiTheme="minorHAnsi" w:hAnsiTheme="minorHAnsi"/>
          <w:b/>
          <w:bCs/>
          <w:szCs w:val="18"/>
        </w:rPr>
        <w:fldChar w:fldCharType="separate"/>
      </w:r>
      <w:r w:rsidR="00314781">
        <w:rPr>
          <w:rFonts w:asciiTheme="minorHAnsi" w:hAnsiTheme="minorHAnsi"/>
          <w:b/>
          <w:bCs/>
          <w:noProof/>
          <w:szCs w:val="18"/>
        </w:rPr>
        <w:t>1</w:t>
      </w:r>
      <w:r w:rsidRPr="002D2214">
        <w:rPr>
          <w:rFonts w:asciiTheme="minorHAnsi" w:hAnsiTheme="minorHAnsi"/>
          <w:b/>
          <w:bCs/>
          <w:szCs w:val="18"/>
        </w:rPr>
        <w:fldChar w:fldCharType="end"/>
      </w:r>
      <w:bookmarkEnd w:id="677"/>
      <w:r w:rsidRPr="002D2214">
        <w:rPr>
          <w:rFonts w:asciiTheme="minorHAnsi" w:hAnsiTheme="minorHAnsi"/>
          <w:b/>
          <w:bCs/>
          <w:szCs w:val="18"/>
        </w:rPr>
        <w:t>: New</w:t>
      </w:r>
      <w:r w:rsidRPr="000C4646">
        <w:rPr>
          <w:rFonts w:asciiTheme="minorHAnsi" w:hAnsiTheme="minorHAnsi"/>
          <w:b/>
          <w:bCs/>
          <w:szCs w:val="18"/>
        </w:rPr>
        <w:t xml:space="preserve"> England’s summer seasonal claimed capability (MW, %) and electric energy production (GWh, %) by fuel type for 2016.</w:t>
      </w:r>
      <w:bookmarkEnd w:id="678"/>
      <w:bookmarkEnd w:id="679"/>
      <w:r w:rsidRPr="000C4646">
        <w:rPr>
          <w:rFonts w:asciiTheme="minorHAnsi" w:hAnsiTheme="minorHAnsi"/>
          <w:b/>
          <w:bCs/>
          <w:szCs w:val="18"/>
        </w:rPr>
        <w:t xml:space="preserve"> </w:t>
      </w:r>
    </w:p>
    <w:p w:rsidR="000C4646" w:rsidRPr="000C4646" w:rsidRDefault="000C4646" w:rsidP="005D72CE">
      <w:pPr>
        <w:keepNext/>
        <w:keepLines/>
        <w:spacing w:after="80" w:line="240" w:lineRule="auto"/>
        <w:ind w:left="90"/>
        <w:rPr>
          <w:rFonts w:asciiTheme="minorHAnsi" w:hAnsiTheme="minorHAnsi"/>
          <w:bCs/>
          <w:sz w:val="16"/>
          <w:szCs w:val="16"/>
        </w:rPr>
      </w:pPr>
      <w:r w:rsidRPr="000C4646">
        <w:rPr>
          <w:rFonts w:asciiTheme="minorHAnsi" w:hAnsiTheme="minorHAnsi"/>
          <w:b/>
          <w:bCs/>
          <w:sz w:val="16"/>
          <w:szCs w:val="16"/>
        </w:rPr>
        <w:t>Note:</w:t>
      </w:r>
      <w:r w:rsidRPr="000C4646">
        <w:rPr>
          <w:rFonts w:asciiTheme="minorHAnsi" w:hAnsiTheme="minorHAnsi"/>
          <w:bCs/>
          <w:sz w:val="16"/>
          <w:szCs w:val="16"/>
        </w:rPr>
        <w:t xml:space="preserve"> The capacity and energy statistics exclude the capacity and energy associated with imports and behind-the-meter generation not registered in the region’s wholesale energy markets. In 2016, the NEL, accounting for both EE and BTM PV, was 124,369 GWh, pumped storage consumed an additional of 1,959 GWh, and the net imports into the region were 20,769 GWh</w:t>
      </w:r>
      <w:r w:rsidR="00B064F4">
        <w:rPr>
          <w:rFonts w:asciiTheme="minorHAnsi" w:hAnsiTheme="minorHAnsi"/>
          <w:bCs/>
          <w:sz w:val="16"/>
          <w:szCs w:val="16"/>
        </w:rPr>
        <w:t>,</w:t>
      </w:r>
      <w:r w:rsidR="00B064F4" w:rsidRPr="00B064F4">
        <w:rPr>
          <w:rFonts w:asciiTheme="minorHAnsi" w:hAnsiTheme="minorHAnsi"/>
          <w:bCs/>
          <w:sz w:val="16"/>
          <w:szCs w:val="16"/>
        </w:rPr>
        <w:t xml:space="preserve"> </w:t>
      </w:r>
      <w:r w:rsidR="00B064F4" w:rsidRPr="00DA51FD">
        <w:rPr>
          <w:rFonts w:asciiTheme="minorHAnsi" w:hAnsiTheme="minorHAnsi"/>
          <w:bCs/>
          <w:sz w:val="16"/>
          <w:szCs w:val="16"/>
        </w:rPr>
        <w:t>which represents 17% of the 2016 system net energy for loa</w:t>
      </w:r>
      <w:r w:rsidR="00B064F4">
        <w:rPr>
          <w:rFonts w:asciiTheme="minorHAnsi" w:hAnsiTheme="minorHAnsi"/>
          <w:bCs/>
          <w:sz w:val="16"/>
          <w:szCs w:val="16"/>
        </w:rPr>
        <w:t>d</w:t>
      </w:r>
      <w:r w:rsidR="005B146A">
        <w:rPr>
          <w:rFonts w:asciiTheme="minorHAnsi" w:hAnsiTheme="minorHAnsi"/>
          <w:bCs/>
          <w:sz w:val="16"/>
          <w:szCs w:val="16"/>
        </w:rPr>
        <w:t xml:space="preserve">. </w:t>
      </w:r>
      <w:r w:rsidRPr="000C4646">
        <w:rPr>
          <w:rFonts w:asciiTheme="minorHAnsi" w:hAnsiTheme="minorHAnsi"/>
          <w:bCs/>
          <w:sz w:val="16"/>
          <w:szCs w:val="16"/>
        </w:rPr>
        <w:t xml:space="preserve">(Numbers may not add in </w:t>
      </w:r>
      <w:r w:rsidR="00AE5323">
        <w:rPr>
          <w:rFonts w:asciiTheme="minorHAnsi" w:hAnsiTheme="minorHAnsi"/>
          <w:bCs/>
          <w:sz w:val="16"/>
          <w:szCs w:val="16"/>
        </w:rPr>
        <w:t xml:space="preserve">the </w:t>
      </w:r>
      <w:r w:rsidRPr="000C4646">
        <w:rPr>
          <w:rFonts w:asciiTheme="minorHAnsi" w:hAnsiTheme="minorHAnsi"/>
          <w:bCs/>
          <w:sz w:val="16"/>
          <w:szCs w:val="16"/>
        </w:rPr>
        <w:t>figure due to rounding.)</w:t>
      </w:r>
    </w:p>
    <w:p w:rsidR="000C4646" w:rsidRPr="000C4646" w:rsidRDefault="000C4646" w:rsidP="005D72CE">
      <w:pPr>
        <w:keepNext/>
        <w:keepLines/>
        <w:spacing w:line="240" w:lineRule="auto"/>
        <w:ind w:left="90"/>
        <w:rPr>
          <w:rFonts w:asciiTheme="minorHAnsi" w:hAnsiTheme="minorHAnsi"/>
          <w:bCs/>
          <w:sz w:val="16"/>
          <w:szCs w:val="16"/>
        </w:rPr>
      </w:pPr>
      <w:r w:rsidRPr="000C4646">
        <w:rPr>
          <w:rFonts w:asciiTheme="minorHAnsi" w:hAnsiTheme="minorHAnsi"/>
          <w:b/>
          <w:bCs/>
          <w:sz w:val="16"/>
          <w:szCs w:val="16"/>
        </w:rPr>
        <w:t>Sources:</w:t>
      </w:r>
      <w:r w:rsidRPr="000C4646">
        <w:rPr>
          <w:rFonts w:asciiTheme="minorHAnsi" w:hAnsiTheme="minorHAnsi"/>
          <w:bCs/>
          <w:sz w:val="16"/>
          <w:szCs w:val="16"/>
        </w:rPr>
        <w:t xml:space="preserve"> The capacity data are the same as 2016 CELT Report data (</w:t>
      </w:r>
      <w:hyperlink r:id="rId57" w:history="1">
        <w:r w:rsidRPr="00AE5323">
          <w:rPr>
            <w:rStyle w:val="Hyperlink"/>
            <w:rFonts w:asciiTheme="minorHAnsi" w:hAnsiTheme="minorHAnsi"/>
            <w:bCs/>
            <w:sz w:val="16"/>
            <w:szCs w:val="16"/>
          </w:rPr>
          <w:t>https://www.iso-ne.com/static-assets/documents/2016/05/2016_celt_report.xls</w:t>
        </w:r>
      </w:hyperlink>
      <w:r w:rsidRPr="000C4646">
        <w:rPr>
          <w:rFonts w:asciiTheme="minorHAnsi" w:hAnsiTheme="minorHAnsi"/>
          <w:bCs/>
          <w:sz w:val="16"/>
          <w:szCs w:val="16"/>
        </w:rPr>
        <w:t>). The energy data are based on the March 1, 2017, 90-day resettlement of total electric energy production for 2016.</w:t>
      </w:r>
    </w:p>
    <w:p w:rsidR="000C4646" w:rsidRPr="000C4646" w:rsidRDefault="000C4646" w:rsidP="000C4646">
      <w:pPr>
        <w:rPr>
          <w:rFonts w:ascii="Times New Roman" w:eastAsia="Times New Roman" w:hAnsi="Times New Roman"/>
          <w:sz w:val="24"/>
          <w:szCs w:val="24"/>
        </w:rPr>
      </w:pPr>
      <w:r w:rsidRPr="000C4646">
        <w:rPr>
          <w:rFonts w:eastAsia="Times New Roman"/>
        </w:rPr>
        <w:t xml:space="preserve">The region will continue to rely on natural-gas-fired generation and the addition of variable renewable </w:t>
      </w:r>
      <w:r w:rsidRPr="00AD606F">
        <w:rPr>
          <w:rFonts w:eastAsia="Times New Roman"/>
        </w:rPr>
        <w:t xml:space="preserve">resources in its fuel mix. Recent FCM auction results (see Section </w:t>
      </w:r>
      <w:r w:rsidR="000162C8">
        <w:rPr>
          <w:rFonts w:eastAsia="Times New Roman"/>
        </w:rPr>
        <w:fldChar w:fldCharType="begin"/>
      </w:r>
      <w:r w:rsidR="000162C8">
        <w:rPr>
          <w:rFonts w:eastAsia="Times New Roman"/>
        </w:rPr>
        <w:instrText xml:space="preserve"> REF _Ref490324949 \r \h </w:instrText>
      </w:r>
      <w:r w:rsidR="000162C8">
        <w:rPr>
          <w:rFonts w:eastAsia="Times New Roman"/>
        </w:rPr>
      </w:r>
      <w:r w:rsidR="000162C8">
        <w:rPr>
          <w:rFonts w:eastAsia="Times New Roman"/>
        </w:rPr>
        <w:fldChar w:fldCharType="separate"/>
      </w:r>
      <w:r w:rsidR="000162C8">
        <w:rPr>
          <w:rFonts w:eastAsia="Times New Roman"/>
        </w:rPr>
        <w:t>4.1.3</w:t>
      </w:r>
      <w:r w:rsidR="000162C8">
        <w:rPr>
          <w:rFonts w:eastAsia="Times New Roman"/>
        </w:rPr>
        <w:fldChar w:fldCharType="end"/>
      </w:r>
      <w:r w:rsidRPr="00AD606F">
        <w:rPr>
          <w:rFonts w:eastAsia="Times New Roman"/>
        </w:rPr>
        <w:t>) have shown the retirement of</w:t>
      </w:r>
      <w:r w:rsidRPr="000C4646">
        <w:rPr>
          <w:rFonts w:eastAsia="Times New Roman"/>
        </w:rPr>
        <w:t xml:space="preserve"> coal- and oil-fired generators in the region as well as the loss of two nuclear plants.</w:t>
      </w:r>
      <w:r w:rsidRPr="000C4646">
        <w:rPr>
          <w:rFonts w:eastAsia="Times New Roman"/>
          <w:vertAlign w:val="superscript"/>
        </w:rPr>
        <w:footnoteReference w:id="198"/>
      </w:r>
      <w:r w:rsidRPr="000C4646">
        <w:rPr>
          <w:rFonts w:eastAsia="Times New Roman"/>
        </w:rPr>
        <w:t xml:space="preserve"> As additional generators retire, units in the ISO interconnection queue, which primarily are natural-gas-fired </w:t>
      </w:r>
      <w:r w:rsidRPr="00AD606F">
        <w:rPr>
          <w:rFonts w:eastAsia="Times New Roman"/>
        </w:rPr>
        <w:t>generation and wind resources (see Section 4.</w:t>
      </w:r>
      <w:r w:rsidRPr="00AD606F">
        <w:rPr>
          <w:rFonts w:eastAsia="Times New Roman"/>
        </w:rPr>
        <w:fldChar w:fldCharType="begin"/>
      </w:r>
      <w:r w:rsidRPr="00AD606F">
        <w:rPr>
          <w:rFonts w:eastAsia="Times New Roman"/>
        </w:rPr>
        <w:instrText xml:space="preserve"> REF _Ref329080869 \n \h  \* MERGEFORMAT </w:instrText>
      </w:r>
      <w:r w:rsidRPr="00AD606F">
        <w:rPr>
          <w:rFonts w:eastAsia="Times New Roman"/>
        </w:rPr>
      </w:r>
      <w:r w:rsidRPr="00AD606F">
        <w:rPr>
          <w:rFonts w:eastAsia="Times New Roman"/>
        </w:rPr>
        <w:fldChar w:fldCharType="separate"/>
      </w:r>
      <w:r w:rsidR="00314781">
        <w:rPr>
          <w:rFonts w:eastAsia="Times New Roman"/>
        </w:rPr>
        <w:t>4.5.4</w:t>
      </w:r>
      <w:r w:rsidRPr="00AD606F">
        <w:rPr>
          <w:rFonts w:eastAsia="Times New Roman"/>
        </w:rPr>
        <w:fldChar w:fldCharType="end"/>
      </w:r>
      <w:r w:rsidRPr="00AD606F">
        <w:rPr>
          <w:rFonts w:eastAsia="Times New Roman"/>
        </w:rPr>
        <w:t>), will likely replace them</w:t>
      </w:r>
      <w:r w:rsidRPr="00AD606F">
        <w:t xml:space="preserve">. </w:t>
      </w:r>
      <w:r w:rsidRPr="00AD606F">
        <w:rPr>
          <w:rFonts w:eastAsia="Times New Roman"/>
        </w:rPr>
        <w:t>The region experienced the</w:t>
      </w:r>
      <w:r w:rsidRPr="000C4646">
        <w:rPr>
          <w:rFonts w:eastAsia="Times New Roman"/>
        </w:rPr>
        <w:t xml:space="preserve"> addition of wind-powered generation and PV resources, and future growth is expected due to </w:t>
      </w:r>
      <w:r w:rsidR="003C5D64">
        <w:rPr>
          <w:rFonts w:eastAsia="Times New Roman"/>
        </w:rPr>
        <w:t xml:space="preserve">an </w:t>
      </w:r>
      <w:r w:rsidR="00811A70">
        <w:rPr>
          <w:rFonts w:eastAsia="Times New Roman"/>
        </w:rPr>
        <w:t xml:space="preserve">increase in </w:t>
      </w:r>
      <w:r w:rsidRPr="000C4646">
        <w:rPr>
          <w:rFonts w:eastAsia="Times New Roman"/>
        </w:rPr>
        <w:t xml:space="preserve">state </w:t>
      </w:r>
      <w:r w:rsidRPr="00166071">
        <w:rPr>
          <w:rFonts w:eastAsia="Times New Roman"/>
        </w:rPr>
        <w:t>renewable targets and funding to promote their development (see</w:t>
      </w:r>
      <w:r w:rsidR="00595A75">
        <w:rPr>
          <w:rFonts w:eastAsia="Times New Roman"/>
        </w:rPr>
        <w:t xml:space="preserve"> </w:t>
      </w:r>
      <w:r w:rsidR="00166071">
        <w:rPr>
          <w:rFonts w:eastAsia="Times New Roman"/>
        </w:rPr>
        <w:t xml:space="preserve">Section </w:t>
      </w:r>
      <w:r w:rsidR="00166071">
        <w:rPr>
          <w:rFonts w:eastAsia="Times New Roman"/>
        </w:rPr>
        <w:fldChar w:fldCharType="begin"/>
      </w:r>
      <w:r w:rsidR="00166071">
        <w:rPr>
          <w:rFonts w:eastAsia="Times New Roman"/>
        </w:rPr>
        <w:instrText xml:space="preserve"> REF _Ref487011629 \r \h </w:instrText>
      </w:r>
      <w:r w:rsidR="00166071">
        <w:rPr>
          <w:rFonts w:eastAsia="Times New Roman"/>
        </w:rPr>
      </w:r>
      <w:r w:rsidR="00166071">
        <w:rPr>
          <w:rFonts w:eastAsia="Times New Roman"/>
        </w:rPr>
        <w:fldChar w:fldCharType="separate"/>
      </w:r>
      <w:r w:rsidR="00314781">
        <w:rPr>
          <w:rFonts w:eastAsia="Times New Roman"/>
        </w:rPr>
        <w:t>10.4.1</w:t>
      </w:r>
      <w:r w:rsidR="00166071">
        <w:rPr>
          <w:rFonts w:eastAsia="Times New Roman"/>
        </w:rPr>
        <w:fldChar w:fldCharType="end"/>
      </w:r>
      <w:r w:rsidRPr="00166071">
        <w:rPr>
          <w:rFonts w:eastAsia="Times New Roman"/>
        </w:rPr>
        <w:t>).</w:t>
      </w:r>
      <w:r w:rsidR="00EF4F9B">
        <w:t xml:space="preserve"> </w:t>
      </w:r>
      <w:r w:rsidRPr="000C4646">
        <w:fldChar w:fldCharType="begin"/>
      </w:r>
      <w:r w:rsidRPr="000C4646">
        <w:instrText xml:space="preserve"> REF _Ref417557026 \h  \* MERGEFORMAT </w:instrText>
      </w:r>
      <w:r w:rsidRPr="000C4646">
        <w:fldChar w:fldCharType="separate"/>
      </w:r>
      <w:r w:rsidR="00314781" w:rsidRPr="000162C8">
        <w:rPr>
          <w:bCs/>
          <w:szCs w:val="18"/>
        </w:rPr>
        <w:t xml:space="preserve">Figure </w:t>
      </w:r>
      <w:r w:rsidR="00314781" w:rsidRPr="000162C8">
        <w:rPr>
          <w:bCs/>
          <w:noProof/>
          <w:szCs w:val="18"/>
        </w:rPr>
        <w:t>7</w:t>
      </w:r>
      <w:r w:rsidR="00314781" w:rsidRPr="000162C8">
        <w:rPr>
          <w:bCs/>
          <w:noProof/>
          <w:szCs w:val="18"/>
        </w:rPr>
        <w:noBreakHyphen/>
        <w:t>2</w:t>
      </w:r>
      <w:r w:rsidRPr="000C4646">
        <w:fldChar w:fldCharType="end"/>
      </w:r>
      <w:r w:rsidRPr="000C4646">
        <w:t xml:space="preserve"> shows the expected regional resource capacity mix for 2017, 2020, and 2026. As indicated, natural</w:t>
      </w:r>
      <w:r w:rsidR="00701205">
        <w:t>-</w:t>
      </w:r>
      <w:r w:rsidRPr="000C4646">
        <w:t xml:space="preserve">gas-fired generation in the capacity mix is expected to grow from approximately 45% in summer 2017 to 56% in 2026. </w:t>
      </w:r>
    </w:p>
    <w:p w:rsidR="000C4646" w:rsidRPr="000C4646" w:rsidRDefault="000C4646" w:rsidP="000C4646">
      <w:pPr>
        <w:keepNext/>
        <w:keepLines/>
        <w:spacing w:after="0" w:line="240" w:lineRule="auto"/>
        <w:jc w:val="center"/>
      </w:pPr>
    </w:p>
    <w:p w:rsidR="005D72CE" w:rsidRPr="000C4646" w:rsidRDefault="005D72CE" w:rsidP="005D72CE">
      <w:pPr>
        <w:keepNext/>
        <w:keepLines/>
        <w:spacing w:after="0" w:line="240" w:lineRule="auto"/>
        <w:jc w:val="center"/>
      </w:pPr>
      <w:r w:rsidRPr="005D72CE">
        <w:rPr>
          <w:noProof/>
        </w:rPr>
        <w:drawing>
          <wp:inline distT="0" distB="0" distL="0" distR="0" wp14:anchorId="05864030" wp14:editId="0A5913C2">
            <wp:extent cx="4893594" cy="3499757"/>
            <wp:effectExtent l="19050" t="19050" r="21590" b="2476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911684" cy="3512694"/>
                    </a:xfrm>
                    <a:prstGeom prst="rect">
                      <a:avLst/>
                    </a:prstGeom>
                    <a:noFill/>
                    <a:ln w="3175">
                      <a:solidFill>
                        <a:srgbClr val="000000"/>
                      </a:solidFill>
                    </a:ln>
                  </pic:spPr>
                </pic:pic>
              </a:graphicData>
            </a:graphic>
          </wp:inline>
        </w:drawing>
      </w:r>
    </w:p>
    <w:p w:rsidR="000C4646" w:rsidRPr="000C4646" w:rsidRDefault="000C4646" w:rsidP="000C4646">
      <w:pPr>
        <w:keepNext/>
        <w:keepLines/>
        <w:spacing w:before="120" w:after="80" w:line="240" w:lineRule="auto"/>
        <w:ind w:left="630" w:right="540"/>
        <w:rPr>
          <w:rFonts w:ascii="Calibri" w:hAnsi="Calibri"/>
          <w:b/>
          <w:bCs/>
          <w:szCs w:val="18"/>
        </w:rPr>
      </w:pPr>
      <w:bookmarkStart w:id="680" w:name="_Ref417557026"/>
      <w:bookmarkStart w:id="681" w:name="_Toc429063530"/>
      <w:bookmarkStart w:id="682" w:name="_Toc486233210"/>
      <w:r w:rsidRPr="000C4646">
        <w:rPr>
          <w:rFonts w:ascii="Calibri" w:hAnsi="Calibri"/>
          <w:b/>
          <w:bCs/>
          <w:szCs w:val="18"/>
        </w:rPr>
        <w:t xml:space="preserve">Figure </w:t>
      </w:r>
      <w:r w:rsidRPr="000C4646">
        <w:rPr>
          <w:rFonts w:ascii="Calibri" w:hAnsi="Calibri"/>
          <w:b/>
          <w:bCs/>
          <w:szCs w:val="18"/>
        </w:rPr>
        <w:fldChar w:fldCharType="begin"/>
      </w:r>
      <w:r w:rsidRPr="000C4646">
        <w:rPr>
          <w:rFonts w:ascii="Calibri" w:hAnsi="Calibri"/>
          <w:b/>
          <w:bCs/>
          <w:szCs w:val="18"/>
        </w:rPr>
        <w:instrText xml:space="preserve"> STYLEREF 1 \s </w:instrText>
      </w:r>
      <w:r w:rsidRPr="000C4646">
        <w:rPr>
          <w:rFonts w:ascii="Calibri" w:hAnsi="Calibri"/>
          <w:b/>
          <w:bCs/>
          <w:szCs w:val="18"/>
        </w:rPr>
        <w:fldChar w:fldCharType="separate"/>
      </w:r>
      <w:r w:rsidR="00314781">
        <w:rPr>
          <w:rFonts w:ascii="Calibri" w:hAnsi="Calibri"/>
          <w:b/>
          <w:bCs/>
          <w:noProof/>
          <w:szCs w:val="18"/>
        </w:rPr>
        <w:t>7</w:t>
      </w:r>
      <w:r w:rsidRPr="000C4646">
        <w:rPr>
          <w:rFonts w:ascii="Calibri" w:hAnsi="Calibri"/>
          <w:b/>
          <w:bCs/>
          <w:szCs w:val="18"/>
        </w:rPr>
        <w:fldChar w:fldCharType="end"/>
      </w:r>
      <w:r w:rsidRPr="000C4646">
        <w:rPr>
          <w:rFonts w:ascii="Calibri" w:hAnsi="Calibri"/>
          <w:b/>
          <w:bCs/>
          <w:szCs w:val="18"/>
        </w:rPr>
        <w:noBreakHyphen/>
      </w:r>
      <w:r w:rsidRPr="000C4646">
        <w:rPr>
          <w:rFonts w:ascii="Calibri" w:hAnsi="Calibri"/>
          <w:b/>
          <w:bCs/>
          <w:szCs w:val="18"/>
        </w:rPr>
        <w:fldChar w:fldCharType="begin"/>
      </w:r>
      <w:r w:rsidRPr="000C4646">
        <w:rPr>
          <w:rFonts w:ascii="Calibri" w:hAnsi="Calibri"/>
          <w:b/>
          <w:bCs/>
          <w:szCs w:val="18"/>
        </w:rPr>
        <w:instrText xml:space="preserve"> SEQ Figure \* ARABIC \s 1 </w:instrText>
      </w:r>
      <w:r w:rsidRPr="000C4646">
        <w:rPr>
          <w:rFonts w:ascii="Calibri" w:hAnsi="Calibri"/>
          <w:b/>
          <w:bCs/>
          <w:szCs w:val="18"/>
        </w:rPr>
        <w:fldChar w:fldCharType="separate"/>
      </w:r>
      <w:r w:rsidR="00314781">
        <w:rPr>
          <w:rFonts w:ascii="Calibri" w:hAnsi="Calibri"/>
          <w:b/>
          <w:bCs/>
          <w:noProof/>
          <w:szCs w:val="18"/>
        </w:rPr>
        <w:t>2</w:t>
      </w:r>
      <w:r w:rsidRPr="000C4646">
        <w:rPr>
          <w:rFonts w:ascii="Calibri" w:hAnsi="Calibri"/>
          <w:b/>
          <w:bCs/>
          <w:szCs w:val="18"/>
        </w:rPr>
        <w:fldChar w:fldCharType="end"/>
      </w:r>
      <w:bookmarkEnd w:id="680"/>
      <w:r w:rsidRPr="000C4646">
        <w:rPr>
          <w:rFonts w:ascii="Calibri" w:hAnsi="Calibri"/>
          <w:b/>
          <w:bCs/>
          <w:szCs w:val="18"/>
        </w:rPr>
        <w:t>: Generating resource summer capability by fuel type based on the 2017 CELT Report and the interconnection queue, 2017, 2020, and 2026 (MW, %).</w:t>
      </w:r>
      <w:bookmarkEnd w:id="681"/>
      <w:r w:rsidRPr="000C4646">
        <w:rPr>
          <w:rFonts w:ascii="Calibri" w:hAnsi="Calibri"/>
          <w:b/>
          <w:bCs/>
          <w:szCs w:val="18"/>
        </w:rPr>
        <w:t xml:space="preserve"> </w:t>
      </w:r>
      <w:bookmarkEnd w:id="682"/>
    </w:p>
    <w:p w:rsidR="000C4646" w:rsidRPr="000C4646" w:rsidRDefault="000C4646" w:rsidP="000C4646">
      <w:pPr>
        <w:keepNext/>
        <w:keepLines/>
        <w:spacing w:line="240" w:lineRule="auto"/>
        <w:ind w:left="630" w:right="540"/>
        <w:rPr>
          <w:rFonts w:asciiTheme="minorHAnsi" w:eastAsia="Times New Roman" w:hAnsiTheme="minorHAnsi"/>
          <w:sz w:val="16"/>
          <w:szCs w:val="16"/>
        </w:rPr>
      </w:pPr>
      <w:r w:rsidRPr="000C4646">
        <w:rPr>
          <w:rFonts w:asciiTheme="minorHAnsi" w:eastAsia="Times New Roman" w:hAnsiTheme="minorHAnsi"/>
          <w:b/>
          <w:sz w:val="16"/>
          <w:szCs w:val="16"/>
        </w:rPr>
        <w:t>Note:</w:t>
      </w:r>
      <w:r w:rsidRPr="000C4646">
        <w:rPr>
          <w:rFonts w:asciiTheme="minorHAnsi" w:eastAsia="Times New Roman" w:hAnsiTheme="minorHAnsi"/>
          <w:sz w:val="16"/>
          <w:szCs w:val="16"/>
        </w:rPr>
        <w:t xml:space="preserve"> The figure does not include interchange with neighboring regions (see Section </w:t>
      </w:r>
      <w:r w:rsidR="00FC2C85">
        <w:rPr>
          <w:rFonts w:asciiTheme="minorHAnsi" w:eastAsia="Times New Roman" w:hAnsiTheme="minorHAnsi"/>
          <w:sz w:val="16"/>
          <w:szCs w:val="16"/>
        </w:rPr>
        <w:fldChar w:fldCharType="begin"/>
      </w:r>
      <w:r w:rsidR="00FC2C85">
        <w:rPr>
          <w:rFonts w:asciiTheme="minorHAnsi" w:eastAsia="Times New Roman" w:hAnsiTheme="minorHAnsi"/>
          <w:sz w:val="16"/>
          <w:szCs w:val="16"/>
        </w:rPr>
        <w:instrText xml:space="preserve"> REF _Ref485736868 \r \h </w:instrText>
      </w:r>
      <w:r w:rsidR="00FC2C85">
        <w:rPr>
          <w:rFonts w:asciiTheme="minorHAnsi" w:eastAsia="Times New Roman" w:hAnsiTheme="minorHAnsi"/>
          <w:sz w:val="16"/>
          <w:szCs w:val="16"/>
        </w:rPr>
      </w:r>
      <w:r w:rsidR="00FC2C85">
        <w:rPr>
          <w:rFonts w:asciiTheme="minorHAnsi" w:eastAsia="Times New Roman" w:hAnsiTheme="minorHAnsi"/>
          <w:sz w:val="16"/>
          <w:szCs w:val="16"/>
        </w:rPr>
        <w:fldChar w:fldCharType="separate"/>
      </w:r>
      <w:r w:rsidR="00314781">
        <w:rPr>
          <w:rFonts w:asciiTheme="minorHAnsi" w:eastAsia="Times New Roman" w:hAnsiTheme="minorHAnsi"/>
          <w:sz w:val="16"/>
          <w:szCs w:val="16"/>
        </w:rPr>
        <w:t>6.6</w:t>
      </w:r>
      <w:r w:rsidR="00FC2C85">
        <w:rPr>
          <w:rFonts w:asciiTheme="minorHAnsi" w:eastAsia="Times New Roman" w:hAnsiTheme="minorHAnsi"/>
          <w:sz w:val="16"/>
          <w:szCs w:val="16"/>
        </w:rPr>
        <w:fldChar w:fldCharType="end"/>
      </w:r>
      <w:r w:rsidRPr="000C4646">
        <w:rPr>
          <w:rFonts w:asciiTheme="minorHAnsi" w:eastAsia="Times New Roman" w:hAnsiTheme="minorHAnsi"/>
          <w:sz w:val="16"/>
          <w:szCs w:val="16"/>
        </w:rPr>
        <w:t xml:space="preserve">). It also does not include active </w:t>
      </w:r>
      <w:r w:rsidRPr="00B064F4">
        <w:rPr>
          <w:rFonts w:asciiTheme="minorHAnsi" w:eastAsia="Times New Roman" w:hAnsiTheme="minorHAnsi"/>
          <w:sz w:val="16"/>
          <w:szCs w:val="16"/>
        </w:rPr>
        <w:t xml:space="preserve">demand resources, EE, and BTM PV (see </w:t>
      </w:r>
      <w:r w:rsidR="00FC2C85" w:rsidRPr="00B064F4">
        <w:rPr>
          <w:rFonts w:asciiTheme="minorHAnsi" w:eastAsia="Times New Roman" w:hAnsiTheme="minorHAnsi"/>
          <w:sz w:val="16"/>
          <w:szCs w:val="16"/>
        </w:rPr>
        <w:fldChar w:fldCharType="begin"/>
      </w:r>
      <w:r w:rsidR="00FC2C85" w:rsidRPr="00B064F4">
        <w:rPr>
          <w:rFonts w:asciiTheme="minorHAnsi" w:eastAsia="Times New Roman" w:hAnsiTheme="minorHAnsi"/>
          <w:sz w:val="16"/>
          <w:szCs w:val="16"/>
        </w:rPr>
        <w:instrText xml:space="preserve"> REF _Ref418357222 \r \h </w:instrText>
      </w:r>
      <w:r w:rsidR="00B064F4">
        <w:rPr>
          <w:rFonts w:asciiTheme="minorHAnsi" w:eastAsia="Times New Roman" w:hAnsiTheme="minorHAnsi"/>
          <w:sz w:val="16"/>
          <w:szCs w:val="16"/>
        </w:rPr>
        <w:instrText xml:space="preserve"> \* MERGEFORMAT </w:instrText>
      </w:r>
      <w:r w:rsidR="00FC2C85" w:rsidRPr="00B064F4">
        <w:rPr>
          <w:rFonts w:asciiTheme="minorHAnsi" w:eastAsia="Times New Roman" w:hAnsiTheme="minorHAnsi"/>
          <w:sz w:val="16"/>
          <w:szCs w:val="16"/>
        </w:rPr>
      </w:r>
      <w:r w:rsidR="00FC2C85" w:rsidRPr="00B064F4">
        <w:rPr>
          <w:rFonts w:asciiTheme="minorHAnsi" w:eastAsia="Times New Roman" w:hAnsiTheme="minorHAnsi"/>
          <w:sz w:val="16"/>
          <w:szCs w:val="16"/>
        </w:rPr>
        <w:fldChar w:fldCharType="separate"/>
      </w:r>
      <w:r w:rsidR="00314781" w:rsidRPr="00B064F4">
        <w:rPr>
          <w:rFonts w:asciiTheme="minorHAnsi" w:eastAsia="Times New Roman" w:hAnsiTheme="minorHAnsi"/>
          <w:sz w:val="16"/>
          <w:szCs w:val="16"/>
        </w:rPr>
        <w:t>Section 3</w:t>
      </w:r>
      <w:r w:rsidR="00FC2C85" w:rsidRPr="00B064F4">
        <w:rPr>
          <w:rFonts w:asciiTheme="minorHAnsi" w:eastAsia="Times New Roman" w:hAnsiTheme="minorHAnsi"/>
          <w:sz w:val="16"/>
          <w:szCs w:val="16"/>
        </w:rPr>
        <w:fldChar w:fldCharType="end"/>
      </w:r>
      <w:r w:rsidRPr="00B064F4">
        <w:rPr>
          <w:rFonts w:asciiTheme="minorHAnsi" w:eastAsia="Times New Roman" w:hAnsiTheme="minorHAnsi"/>
          <w:sz w:val="16"/>
          <w:szCs w:val="16"/>
        </w:rPr>
        <w:t>). PV resources forecasted to participate in the ISO capacity and</w:t>
      </w:r>
      <w:r w:rsidRPr="000C4646">
        <w:rPr>
          <w:rFonts w:asciiTheme="minorHAnsi" w:eastAsia="Times New Roman" w:hAnsiTheme="minorHAnsi"/>
          <w:sz w:val="16"/>
          <w:szCs w:val="16"/>
        </w:rPr>
        <w:t xml:space="preserve"> energy markets are shown as part of the hydro/renewables category. The wind is derated to 13.2% of nameplate capacity (based on an average ratio of summer SCC to nameplate for existing wind units), and</w:t>
      </w:r>
      <w:r w:rsidRPr="000C4646">
        <w:rPr>
          <w:rFonts w:asciiTheme="minorHAnsi" w:eastAsiaTheme="minorEastAsia" w:hAnsi="Calibri" w:cstheme="minorBidi"/>
          <w:color w:val="595959"/>
          <w:kern w:val="24"/>
          <w:sz w:val="22"/>
          <w:szCs w:val="22"/>
        </w:rPr>
        <w:t xml:space="preserve"> </w:t>
      </w:r>
      <w:r w:rsidRPr="000C4646">
        <w:rPr>
          <w:rFonts w:asciiTheme="minorHAnsi" w:eastAsia="Times New Roman" w:hAnsiTheme="minorHAnsi"/>
          <w:sz w:val="16"/>
          <w:szCs w:val="16"/>
        </w:rPr>
        <w:t>PV is derated to between 33.5% and 37.5% of nameplate depending on the in-service year.</w:t>
      </w:r>
    </w:p>
    <w:p w:rsidR="000C4646" w:rsidRPr="000C4646" w:rsidRDefault="000C4646" w:rsidP="000C4646">
      <w:pPr>
        <w:pStyle w:val="Heading2"/>
        <w:rPr>
          <w:rFonts w:eastAsia="Times New Roman"/>
        </w:rPr>
      </w:pPr>
      <w:bookmarkStart w:id="683" w:name="_Ref418962020"/>
      <w:bookmarkStart w:id="684" w:name="_Toc429063436"/>
      <w:bookmarkStart w:id="685" w:name="_Toc490323072"/>
      <w:bookmarkStart w:id="686" w:name="_Ref388876647"/>
      <w:bookmarkStart w:id="687" w:name="_Toc396807657"/>
      <w:r w:rsidRPr="000C4646">
        <w:rPr>
          <w:rFonts w:eastAsia="Times New Roman"/>
        </w:rPr>
        <w:t>Natural Gas Infrastructure</w:t>
      </w:r>
      <w:bookmarkEnd w:id="683"/>
      <w:bookmarkEnd w:id="684"/>
      <w:bookmarkEnd w:id="685"/>
      <w:r w:rsidRPr="000C4646">
        <w:rPr>
          <w:rFonts w:eastAsia="Times New Roman"/>
        </w:rPr>
        <w:t xml:space="preserve"> </w:t>
      </w:r>
    </w:p>
    <w:p w:rsidR="000C4646" w:rsidRPr="000C4646" w:rsidRDefault="000C4646" w:rsidP="000C4646">
      <w:r w:rsidRPr="000C4646">
        <w:t>New England’s natural gas supply and delivery infrastructure, and its limitations, have become an area of focus for improving the region’s fuel availability. Natural-gas-fired generators receive fuel supply from six interstate pipelines currently serving New England:</w:t>
      </w:r>
    </w:p>
    <w:p w:rsidR="000C4646" w:rsidRPr="000C4646" w:rsidRDefault="000C4646" w:rsidP="000C4646">
      <w:pPr>
        <w:numPr>
          <w:ilvl w:val="0"/>
          <w:numId w:val="558"/>
        </w:numPr>
        <w:spacing w:after="120"/>
      </w:pPr>
      <w:r w:rsidRPr="000C4646">
        <w:t>Three originate from the south and west:</w:t>
      </w:r>
    </w:p>
    <w:p w:rsidR="000C4646" w:rsidRPr="000C4646" w:rsidRDefault="000C4646" w:rsidP="000C4646">
      <w:pPr>
        <w:numPr>
          <w:ilvl w:val="1"/>
          <w:numId w:val="558"/>
        </w:numPr>
        <w:spacing w:after="120"/>
      </w:pPr>
      <w:r w:rsidRPr="000C4646">
        <w:t>Algonquin Gas Transmission (AGT) Pipeline</w:t>
      </w:r>
    </w:p>
    <w:p w:rsidR="000C4646" w:rsidRPr="000C4646" w:rsidRDefault="000C4646" w:rsidP="000C4646">
      <w:pPr>
        <w:numPr>
          <w:ilvl w:val="1"/>
          <w:numId w:val="558"/>
        </w:numPr>
        <w:spacing w:after="120"/>
      </w:pPr>
      <w:r w:rsidRPr="000C4646">
        <w:t>Tennessee Gas Pipeline (TGP)</w:t>
      </w:r>
    </w:p>
    <w:p w:rsidR="000C4646" w:rsidRPr="000C4646" w:rsidRDefault="000C4646" w:rsidP="000C4646">
      <w:pPr>
        <w:numPr>
          <w:ilvl w:val="1"/>
          <w:numId w:val="558"/>
        </w:numPr>
      </w:pPr>
      <w:r w:rsidRPr="000C4646">
        <w:t>Iroquois Gas Transmission System (IGTS)</w:t>
      </w:r>
    </w:p>
    <w:p w:rsidR="000C4646" w:rsidRPr="000C4646" w:rsidRDefault="000C4646" w:rsidP="000C4646">
      <w:pPr>
        <w:numPr>
          <w:ilvl w:val="0"/>
          <w:numId w:val="558"/>
        </w:numPr>
        <w:spacing w:after="120"/>
        <w:rPr>
          <w:rFonts w:eastAsia="Times New Roman"/>
          <w:szCs w:val="24"/>
        </w:rPr>
      </w:pPr>
      <w:r w:rsidRPr="000C4646">
        <w:t>The Portland Natural Gas Transmission System (PNGTS) originates in the northwest portion of New Hampshire.</w:t>
      </w:r>
    </w:p>
    <w:p w:rsidR="000C4646" w:rsidRPr="000C4646" w:rsidRDefault="000C4646" w:rsidP="000C4646">
      <w:pPr>
        <w:numPr>
          <w:ilvl w:val="0"/>
          <w:numId w:val="558"/>
        </w:numPr>
        <w:spacing w:after="120"/>
      </w:pPr>
      <w:r w:rsidRPr="000C4646">
        <w:t xml:space="preserve">The Maritimes and Northeast (M&amp;N) Pipeline originates in the Canadian Maritime provinces. </w:t>
      </w:r>
    </w:p>
    <w:p w:rsidR="000C4646" w:rsidRPr="000C4646" w:rsidRDefault="000C4646" w:rsidP="000C4646">
      <w:pPr>
        <w:numPr>
          <w:ilvl w:val="0"/>
          <w:numId w:val="558"/>
        </w:numPr>
      </w:pPr>
      <w:r w:rsidRPr="000C4646">
        <w:t>The Granite State Gas Transmission (GSGT) System is in Maine and New Hampshire and does not bring gas from outside New England into the region.</w:t>
      </w:r>
    </w:p>
    <w:p w:rsidR="000C4646" w:rsidRPr="000C4646" w:rsidRDefault="000C4646" w:rsidP="000C4646">
      <w:r w:rsidRPr="000C4646">
        <w:t xml:space="preserve">Three LNG import terminals also serve New England, two onshore and one offshore: </w:t>
      </w:r>
    </w:p>
    <w:p w:rsidR="000C4646" w:rsidRPr="000C4646" w:rsidRDefault="000C4646" w:rsidP="000C4646">
      <w:pPr>
        <w:numPr>
          <w:ilvl w:val="0"/>
          <w:numId w:val="563"/>
        </w:numPr>
        <w:spacing w:after="120"/>
      </w:pPr>
      <w:r w:rsidRPr="000C4646">
        <w:lastRenderedPageBreak/>
        <w:t>Distrigas LNG in Everett, Massachusetts and New Brunswick’s Canaport LNG onshore terminals</w:t>
      </w:r>
    </w:p>
    <w:p w:rsidR="000C4646" w:rsidRPr="000C4646" w:rsidRDefault="000C4646" w:rsidP="000C4646">
      <w:pPr>
        <w:numPr>
          <w:ilvl w:val="0"/>
          <w:numId w:val="563"/>
        </w:numPr>
      </w:pPr>
      <w:r w:rsidRPr="000C4646">
        <w:t>Northeast Gateway LNG offshore terminals</w:t>
      </w:r>
      <w:r w:rsidRPr="000C4646">
        <w:rPr>
          <w:vertAlign w:val="superscript"/>
        </w:rPr>
        <w:footnoteReference w:id="199"/>
      </w:r>
      <w:r w:rsidRPr="000C4646">
        <w:t xml:space="preserve"> </w:t>
      </w:r>
    </w:p>
    <w:p w:rsidR="000C4646" w:rsidRPr="000C4646" w:rsidRDefault="000C4646" w:rsidP="000C4646">
      <w:r w:rsidRPr="000C4646">
        <w:t xml:space="preserve">The Distrigas terminal is connected with the AGT and TGP pipelines and the local gas distribution company (National Grid)—the gas utility that serves residential, commercial, and industrial customers. The Canaport terminal sends natural gas through the Brunswick pipeline, which directly connects to the M&amp;N Pipeline. The M&amp;N Pipeline also has the option of delivering natural gas to New England from the offshore natural gas production fields of the Sable Offshore Energy Project (SOEP) and Deep Panuke located offshore from Nova Scotia, Canada. </w:t>
      </w:r>
      <w:r w:rsidRPr="000C4646">
        <w:fldChar w:fldCharType="begin"/>
      </w:r>
      <w:r w:rsidRPr="000C4646">
        <w:instrText xml:space="preserve"> REF _Ref418955669 \h  \* MERGEFORMAT </w:instrText>
      </w:r>
      <w:r w:rsidRPr="000C4646">
        <w:fldChar w:fldCharType="separate"/>
      </w:r>
      <w:r w:rsidR="00314781" w:rsidRPr="000162C8">
        <w:rPr>
          <w:bCs/>
          <w:szCs w:val="18"/>
        </w:rPr>
        <w:t xml:space="preserve">Figure </w:t>
      </w:r>
      <w:r w:rsidR="00314781" w:rsidRPr="000162C8">
        <w:rPr>
          <w:bCs/>
          <w:noProof/>
          <w:szCs w:val="18"/>
        </w:rPr>
        <w:t>7</w:t>
      </w:r>
      <w:r w:rsidR="00314781" w:rsidRPr="000162C8">
        <w:rPr>
          <w:bCs/>
          <w:noProof/>
          <w:szCs w:val="18"/>
        </w:rPr>
        <w:noBreakHyphen/>
        <w:t>3</w:t>
      </w:r>
      <w:r w:rsidRPr="000C4646">
        <w:fldChar w:fldCharType="end"/>
      </w:r>
      <w:r w:rsidRPr="000C4646">
        <w:t xml:space="preserve"> shows the major existing natural gas infrastructure serving New England.</w:t>
      </w:r>
    </w:p>
    <w:p w:rsidR="000C4646" w:rsidRPr="000C4646" w:rsidRDefault="000C4646" w:rsidP="000C4646">
      <w:pPr>
        <w:keepNext/>
        <w:keepLines/>
        <w:spacing w:before="120" w:after="80" w:line="240" w:lineRule="auto"/>
        <w:jc w:val="center"/>
      </w:pPr>
      <w:r w:rsidRPr="000C4646">
        <w:rPr>
          <w:noProof/>
        </w:rPr>
        <w:drawing>
          <wp:inline distT="0" distB="0" distL="0" distR="0" wp14:anchorId="1657B44C" wp14:editId="3DAC91A4">
            <wp:extent cx="5715000" cy="3726962"/>
            <wp:effectExtent l="0" t="0" r="0" b="6985"/>
            <wp:docPr id="50" name="Picture 1"/>
            <wp:cNvGraphicFramePr/>
            <a:graphic xmlns:a="http://schemas.openxmlformats.org/drawingml/2006/main">
              <a:graphicData uri="http://schemas.openxmlformats.org/drawingml/2006/picture">
                <pic:pic xmlns:pic="http://schemas.openxmlformats.org/drawingml/2006/picture">
                  <pic:nvPicPr>
                    <pic:cNvPr id="2" name="Picture 1"/>
                    <pic:cNvPicPr/>
                  </pic:nvPicPr>
                  <pic:blipFill>
                    <a:blip r:embed="rId59" cstate="print"/>
                    <a:srcRect/>
                    <a:stretch>
                      <a:fillRect/>
                    </a:stretch>
                  </pic:blipFill>
                  <pic:spPr bwMode="auto">
                    <a:xfrm>
                      <a:off x="0" y="0"/>
                      <a:ext cx="5715000" cy="3726962"/>
                    </a:xfrm>
                    <a:prstGeom prst="rect">
                      <a:avLst/>
                    </a:prstGeom>
                    <a:noFill/>
                  </pic:spPr>
                </pic:pic>
              </a:graphicData>
            </a:graphic>
          </wp:inline>
        </w:drawing>
      </w:r>
    </w:p>
    <w:p w:rsidR="000C4646" w:rsidRPr="000C4646" w:rsidRDefault="000C4646" w:rsidP="000C4646">
      <w:pPr>
        <w:keepNext/>
        <w:keepLines/>
        <w:tabs>
          <w:tab w:val="left" w:pos="0"/>
        </w:tabs>
        <w:spacing w:after="80" w:line="240" w:lineRule="auto"/>
        <w:ind w:left="90" w:right="-90"/>
        <w:rPr>
          <w:rFonts w:asciiTheme="minorHAnsi" w:hAnsiTheme="minorHAnsi"/>
          <w:b/>
          <w:bCs/>
          <w:szCs w:val="18"/>
        </w:rPr>
      </w:pPr>
      <w:bookmarkStart w:id="688" w:name="_Ref418955669"/>
      <w:bookmarkStart w:id="689" w:name="_Toc429063531"/>
      <w:bookmarkStart w:id="690" w:name="_Toc486233211"/>
      <w:r w:rsidRPr="000C4646">
        <w:rPr>
          <w:rFonts w:ascii="Calibri" w:hAnsi="Calibri"/>
          <w:b/>
          <w:bCs/>
          <w:szCs w:val="18"/>
        </w:rPr>
        <w:t xml:space="preserve">Figure </w:t>
      </w:r>
      <w:r w:rsidRPr="000C4646">
        <w:rPr>
          <w:rFonts w:ascii="Calibri" w:hAnsi="Calibri"/>
          <w:b/>
          <w:bCs/>
          <w:szCs w:val="18"/>
        </w:rPr>
        <w:fldChar w:fldCharType="begin"/>
      </w:r>
      <w:r w:rsidRPr="000C4646">
        <w:rPr>
          <w:rFonts w:ascii="Calibri" w:hAnsi="Calibri"/>
          <w:b/>
          <w:bCs/>
          <w:szCs w:val="18"/>
        </w:rPr>
        <w:instrText xml:space="preserve"> STYLEREF 1 \s </w:instrText>
      </w:r>
      <w:r w:rsidRPr="000C4646">
        <w:rPr>
          <w:rFonts w:ascii="Calibri" w:hAnsi="Calibri"/>
          <w:b/>
          <w:bCs/>
          <w:szCs w:val="18"/>
        </w:rPr>
        <w:fldChar w:fldCharType="separate"/>
      </w:r>
      <w:r w:rsidR="00314781">
        <w:rPr>
          <w:rFonts w:ascii="Calibri" w:hAnsi="Calibri"/>
          <w:b/>
          <w:bCs/>
          <w:noProof/>
          <w:szCs w:val="18"/>
        </w:rPr>
        <w:t>7</w:t>
      </w:r>
      <w:r w:rsidRPr="000C4646">
        <w:rPr>
          <w:rFonts w:ascii="Calibri" w:hAnsi="Calibri"/>
          <w:b/>
          <w:bCs/>
          <w:szCs w:val="18"/>
        </w:rPr>
        <w:fldChar w:fldCharType="end"/>
      </w:r>
      <w:r w:rsidRPr="000C4646">
        <w:rPr>
          <w:rFonts w:ascii="Calibri" w:hAnsi="Calibri"/>
          <w:b/>
          <w:bCs/>
          <w:szCs w:val="18"/>
        </w:rPr>
        <w:noBreakHyphen/>
      </w:r>
      <w:r w:rsidRPr="000C4646">
        <w:rPr>
          <w:rFonts w:ascii="Calibri" w:hAnsi="Calibri"/>
          <w:b/>
          <w:bCs/>
          <w:szCs w:val="18"/>
        </w:rPr>
        <w:fldChar w:fldCharType="begin"/>
      </w:r>
      <w:r w:rsidRPr="000C4646">
        <w:rPr>
          <w:rFonts w:ascii="Calibri" w:hAnsi="Calibri"/>
          <w:b/>
          <w:bCs/>
          <w:szCs w:val="18"/>
        </w:rPr>
        <w:instrText xml:space="preserve"> SEQ Figure \* ARABIC \s 1 </w:instrText>
      </w:r>
      <w:r w:rsidRPr="000C4646">
        <w:rPr>
          <w:rFonts w:ascii="Calibri" w:hAnsi="Calibri"/>
          <w:b/>
          <w:bCs/>
          <w:szCs w:val="18"/>
        </w:rPr>
        <w:fldChar w:fldCharType="separate"/>
      </w:r>
      <w:r w:rsidR="00314781">
        <w:rPr>
          <w:rFonts w:ascii="Calibri" w:hAnsi="Calibri"/>
          <w:b/>
          <w:bCs/>
          <w:noProof/>
          <w:szCs w:val="18"/>
        </w:rPr>
        <w:t>3</w:t>
      </w:r>
      <w:r w:rsidRPr="000C4646">
        <w:rPr>
          <w:rFonts w:ascii="Calibri" w:hAnsi="Calibri"/>
          <w:b/>
          <w:bCs/>
          <w:szCs w:val="18"/>
        </w:rPr>
        <w:fldChar w:fldCharType="end"/>
      </w:r>
      <w:bookmarkEnd w:id="688"/>
      <w:r w:rsidRPr="000C4646">
        <w:rPr>
          <w:rFonts w:asciiTheme="minorHAnsi" w:hAnsiTheme="minorHAnsi"/>
          <w:b/>
          <w:bCs/>
          <w:szCs w:val="18"/>
        </w:rPr>
        <w:t>: Overview map of the natural gas infrastructure serving New England.</w:t>
      </w:r>
      <w:bookmarkEnd w:id="689"/>
      <w:bookmarkEnd w:id="690"/>
    </w:p>
    <w:p w:rsidR="000C4646" w:rsidRPr="000C4646" w:rsidRDefault="000C4646" w:rsidP="000C4646">
      <w:pPr>
        <w:keepNext/>
        <w:keepLines/>
        <w:tabs>
          <w:tab w:val="left" w:pos="0"/>
        </w:tabs>
        <w:spacing w:after="80" w:line="240" w:lineRule="auto"/>
        <w:ind w:left="90" w:right="-90"/>
        <w:rPr>
          <w:rFonts w:asciiTheme="minorHAnsi" w:hAnsiTheme="minorHAnsi"/>
          <w:bCs/>
          <w:sz w:val="16"/>
          <w:szCs w:val="16"/>
        </w:rPr>
      </w:pPr>
      <w:r w:rsidRPr="000C4646">
        <w:rPr>
          <w:rFonts w:ascii="Calibri" w:hAnsi="Calibri"/>
          <w:b/>
          <w:bCs/>
          <w:sz w:val="16"/>
          <w:szCs w:val="16"/>
        </w:rPr>
        <w:t>Source</w:t>
      </w:r>
      <w:r w:rsidRPr="000C4646">
        <w:rPr>
          <w:rFonts w:asciiTheme="minorHAnsi" w:hAnsiTheme="minorHAnsi"/>
          <w:b/>
          <w:bCs/>
          <w:sz w:val="16"/>
          <w:szCs w:val="16"/>
        </w:rPr>
        <w:t xml:space="preserve">: </w:t>
      </w:r>
      <w:r w:rsidRPr="000C4646">
        <w:rPr>
          <w:rFonts w:asciiTheme="minorHAnsi" w:hAnsiTheme="minorHAnsi"/>
          <w:bCs/>
          <w:sz w:val="16"/>
          <w:szCs w:val="16"/>
        </w:rPr>
        <w:t>ICF International (ICF)</w:t>
      </w:r>
    </w:p>
    <w:p w:rsidR="000C4646" w:rsidRPr="000C4646" w:rsidRDefault="000C4646" w:rsidP="000C4646">
      <w:pPr>
        <w:tabs>
          <w:tab w:val="left" w:pos="0"/>
        </w:tabs>
        <w:spacing w:line="240" w:lineRule="auto"/>
        <w:ind w:left="86" w:right="-86"/>
        <w:rPr>
          <w:rFonts w:asciiTheme="minorHAnsi" w:hAnsiTheme="minorHAnsi"/>
          <w:bCs/>
          <w:sz w:val="16"/>
          <w:szCs w:val="16"/>
        </w:rPr>
      </w:pPr>
      <w:r w:rsidRPr="000C4646">
        <w:rPr>
          <w:rFonts w:ascii="Calibri" w:hAnsi="Calibri"/>
          <w:b/>
          <w:bCs/>
          <w:sz w:val="16"/>
          <w:szCs w:val="16"/>
        </w:rPr>
        <w:t>Notes</w:t>
      </w:r>
      <w:r w:rsidRPr="000C4646">
        <w:rPr>
          <w:rFonts w:asciiTheme="minorHAnsi" w:hAnsiTheme="minorHAnsi"/>
          <w:b/>
          <w:bCs/>
          <w:sz w:val="16"/>
          <w:szCs w:val="16"/>
        </w:rPr>
        <w:t xml:space="preserve">: </w:t>
      </w:r>
      <w:r w:rsidRPr="000C4646">
        <w:rPr>
          <w:rFonts w:asciiTheme="minorHAnsi" w:hAnsiTheme="minorHAnsi"/>
          <w:bCs/>
          <w:sz w:val="16"/>
          <w:szCs w:val="16"/>
        </w:rPr>
        <w:t>Several pipelines shown in the map indirectly serve New England: Emera New Brunswick owns and operates the Brunswick Pipeline. A subsidiary of Gaz Metro and TransCanada Pipeline owns the Trans Québec and Maritimes (TQM) Pipeline, which supplies Canadian gas into the PNGTS at Pittsburg, NH.</w:t>
      </w:r>
    </w:p>
    <w:p w:rsidR="000C4646" w:rsidRPr="000C4646" w:rsidRDefault="000C4646" w:rsidP="000C4646">
      <w:pPr>
        <w:rPr>
          <w:rFonts w:asciiTheme="minorHAnsi" w:hAnsiTheme="minorHAnsi"/>
        </w:rPr>
      </w:pPr>
      <w:r w:rsidRPr="000C4646">
        <w:fldChar w:fldCharType="begin"/>
      </w:r>
      <w:r w:rsidRPr="000C4646">
        <w:instrText xml:space="preserve"> REF _Ref419892326 \h  \* MERGEFORMAT </w:instrText>
      </w:r>
      <w:r w:rsidRPr="000C4646">
        <w:fldChar w:fldCharType="separate"/>
      </w:r>
      <w:r w:rsidR="00314781" w:rsidRPr="000162C8">
        <w:t xml:space="preserve">Figure </w:t>
      </w:r>
      <w:r w:rsidR="00314781" w:rsidRPr="000162C8">
        <w:rPr>
          <w:noProof/>
        </w:rPr>
        <w:t>7</w:t>
      </w:r>
      <w:r w:rsidR="00314781" w:rsidRPr="000162C8">
        <w:rPr>
          <w:noProof/>
        </w:rPr>
        <w:noBreakHyphen/>
        <w:t>4</w:t>
      </w:r>
      <w:r w:rsidRPr="000C4646">
        <w:fldChar w:fldCharType="end"/>
      </w:r>
      <w:r w:rsidRPr="000C4646">
        <w:t xml:space="preserve"> shows the sources of natural gas, including Utica and Marcellus shale gas, and </w:t>
      </w:r>
      <w:r w:rsidRPr="000C4646">
        <w:fldChar w:fldCharType="begin"/>
      </w:r>
      <w:r w:rsidRPr="000C4646">
        <w:instrText xml:space="preserve"> REF _Ref419892346 \h  \* MERGEFORMAT </w:instrText>
      </w:r>
      <w:r w:rsidRPr="000C4646">
        <w:fldChar w:fldCharType="separate"/>
      </w:r>
      <w:r w:rsidR="00314781" w:rsidRPr="000162C8">
        <w:t xml:space="preserve">Figure </w:t>
      </w:r>
      <w:r w:rsidR="00314781" w:rsidRPr="000162C8">
        <w:rPr>
          <w:noProof/>
        </w:rPr>
        <w:t>7</w:t>
      </w:r>
      <w:r w:rsidR="00314781" w:rsidRPr="000162C8">
        <w:rPr>
          <w:noProof/>
        </w:rPr>
        <w:noBreakHyphen/>
        <w:t>5</w:t>
      </w:r>
      <w:r w:rsidRPr="000C4646">
        <w:fldChar w:fldCharType="end"/>
      </w:r>
      <w:r w:rsidRPr="000C4646">
        <w:t xml:space="preserve"> shows the natural gas pipeline network in the lower 48 states. Comparing these figures shows that New England has relatively few pipelines that can access plentiful supplies of Marcellus and Utica shale gas.</w:t>
      </w:r>
    </w:p>
    <w:p w:rsidR="000C4646" w:rsidRPr="000C4646" w:rsidRDefault="000C4646" w:rsidP="000C4646">
      <w:pPr>
        <w:keepNext/>
        <w:spacing w:after="0" w:line="240" w:lineRule="auto"/>
        <w:jc w:val="center"/>
        <w:rPr>
          <w:rFonts w:asciiTheme="minorHAnsi" w:hAnsiTheme="minorHAnsi"/>
        </w:rPr>
      </w:pPr>
      <w:r w:rsidRPr="000C4646">
        <w:rPr>
          <w:noProof/>
        </w:rPr>
        <w:lastRenderedPageBreak/>
        <w:drawing>
          <wp:inline distT="0" distB="0" distL="0" distR="0" wp14:anchorId="205C05BD" wp14:editId="0554F03E">
            <wp:extent cx="5451316" cy="3831771"/>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446618" cy="3828469"/>
                    </a:xfrm>
                    <a:prstGeom prst="rect">
                      <a:avLst/>
                    </a:prstGeom>
                    <a:noFill/>
                    <a:ln>
                      <a:noFill/>
                    </a:ln>
                  </pic:spPr>
                </pic:pic>
              </a:graphicData>
            </a:graphic>
          </wp:inline>
        </w:drawing>
      </w:r>
    </w:p>
    <w:p w:rsidR="000C4646" w:rsidRPr="000C4646" w:rsidRDefault="000C4646" w:rsidP="005B5027">
      <w:pPr>
        <w:keepNext/>
        <w:keepLines/>
        <w:spacing w:before="120" w:after="80" w:line="240" w:lineRule="auto"/>
        <w:ind w:left="270" w:right="270"/>
        <w:rPr>
          <w:rFonts w:ascii="Calibri" w:hAnsi="Calibri"/>
          <w:b/>
          <w:szCs w:val="18"/>
        </w:rPr>
      </w:pPr>
      <w:bookmarkStart w:id="691" w:name="_Ref419892326"/>
      <w:bookmarkStart w:id="692" w:name="_Toc429063532"/>
      <w:bookmarkStart w:id="693" w:name="_Toc486233212"/>
      <w:r w:rsidRPr="000C4646">
        <w:rPr>
          <w:rFonts w:ascii="Calibri" w:hAnsi="Calibri"/>
          <w:b/>
          <w:bCs/>
          <w:szCs w:val="18"/>
        </w:rPr>
        <w:t xml:space="preserve">Figure </w:t>
      </w:r>
      <w:r w:rsidRPr="000C4646">
        <w:rPr>
          <w:rFonts w:ascii="Calibri" w:hAnsi="Calibri"/>
          <w:b/>
          <w:bCs/>
          <w:szCs w:val="18"/>
        </w:rPr>
        <w:fldChar w:fldCharType="begin"/>
      </w:r>
      <w:r w:rsidRPr="000C4646">
        <w:rPr>
          <w:rFonts w:ascii="Calibri" w:hAnsi="Calibri"/>
          <w:b/>
          <w:bCs/>
          <w:szCs w:val="18"/>
        </w:rPr>
        <w:instrText xml:space="preserve"> STYLEREF 1 \s </w:instrText>
      </w:r>
      <w:r w:rsidRPr="000C4646">
        <w:rPr>
          <w:rFonts w:ascii="Calibri" w:hAnsi="Calibri"/>
          <w:b/>
          <w:bCs/>
          <w:szCs w:val="18"/>
        </w:rPr>
        <w:fldChar w:fldCharType="separate"/>
      </w:r>
      <w:r w:rsidR="00314781">
        <w:rPr>
          <w:rFonts w:ascii="Calibri" w:hAnsi="Calibri"/>
          <w:b/>
          <w:bCs/>
          <w:noProof/>
          <w:szCs w:val="18"/>
        </w:rPr>
        <w:t>7</w:t>
      </w:r>
      <w:r w:rsidRPr="000C4646">
        <w:rPr>
          <w:rFonts w:ascii="Calibri" w:hAnsi="Calibri"/>
          <w:b/>
          <w:bCs/>
          <w:noProof/>
          <w:szCs w:val="18"/>
        </w:rPr>
        <w:fldChar w:fldCharType="end"/>
      </w:r>
      <w:r w:rsidRPr="000C4646">
        <w:rPr>
          <w:rFonts w:ascii="Calibri" w:hAnsi="Calibri"/>
          <w:b/>
          <w:bCs/>
          <w:szCs w:val="18"/>
        </w:rPr>
        <w:noBreakHyphen/>
      </w:r>
      <w:r w:rsidRPr="000C4646">
        <w:rPr>
          <w:rFonts w:ascii="Calibri" w:hAnsi="Calibri"/>
          <w:b/>
          <w:bCs/>
          <w:szCs w:val="18"/>
        </w:rPr>
        <w:fldChar w:fldCharType="begin"/>
      </w:r>
      <w:r w:rsidRPr="000C4646">
        <w:rPr>
          <w:rFonts w:ascii="Calibri" w:hAnsi="Calibri"/>
          <w:b/>
          <w:bCs/>
          <w:szCs w:val="18"/>
        </w:rPr>
        <w:instrText xml:space="preserve"> SEQ Figure \* ARABIC \s 1 </w:instrText>
      </w:r>
      <w:r w:rsidRPr="000C4646">
        <w:rPr>
          <w:rFonts w:ascii="Calibri" w:hAnsi="Calibri"/>
          <w:b/>
          <w:bCs/>
          <w:szCs w:val="18"/>
        </w:rPr>
        <w:fldChar w:fldCharType="separate"/>
      </w:r>
      <w:r w:rsidR="00314781">
        <w:rPr>
          <w:rFonts w:ascii="Calibri" w:hAnsi="Calibri"/>
          <w:b/>
          <w:bCs/>
          <w:noProof/>
          <w:szCs w:val="18"/>
        </w:rPr>
        <w:t>4</w:t>
      </w:r>
      <w:r w:rsidRPr="000C4646">
        <w:rPr>
          <w:rFonts w:ascii="Calibri" w:hAnsi="Calibri"/>
          <w:b/>
          <w:bCs/>
          <w:noProof/>
          <w:szCs w:val="18"/>
        </w:rPr>
        <w:fldChar w:fldCharType="end"/>
      </w:r>
      <w:bookmarkEnd w:id="691"/>
      <w:r w:rsidRPr="000C4646">
        <w:rPr>
          <w:rFonts w:ascii="Calibri" w:hAnsi="Calibri"/>
          <w:b/>
          <w:bCs/>
          <w:szCs w:val="18"/>
        </w:rPr>
        <w:t>: S</w:t>
      </w:r>
      <w:r w:rsidRPr="000C4646">
        <w:rPr>
          <w:rFonts w:ascii="Calibri" w:hAnsi="Calibri"/>
          <w:b/>
          <w:szCs w:val="18"/>
        </w:rPr>
        <w:t>ources of natural gas in the continental United States, 2015.</w:t>
      </w:r>
      <w:bookmarkEnd w:id="692"/>
      <w:bookmarkEnd w:id="693"/>
    </w:p>
    <w:p w:rsidR="000C4646" w:rsidRPr="000C4646" w:rsidRDefault="000C4646" w:rsidP="005B5027">
      <w:pPr>
        <w:keepNext/>
        <w:keepLines/>
        <w:spacing w:line="240" w:lineRule="auto"/>
        <w:ind w:left="270" w:right="270"/>
        <w:rPr>
          <w:rFonts w:ascii="Calibri" w:hAnsi="Calibri"/>
          <w:bCs/>
          <w:sz w:val="16"/>
          <w:szCs w:val="16"/>
        </w:rPr>
      </w:pPr>
      <w:r w:rsidRPr="000C4646">
        <w:rPr>
          <w:rFonts w:ascii="Calibri" w:hAnsi="Calibri"/>
          <w:b/>
          <w:sz w:val="16"/>
          <w:szCs w:val="16"/>
        </w:rPr>
        <w:t xml:space="preserve"> </w:t>
      </w:r>
      <w:r w:rsidRPr="000C4646">
        <w:rPr>
          <w:rFonts w:ascii="Calibri" w:hAnsi="Calibri"/>
          <w:b/>
          <w:bCs/>
          <w:sz w:val="16"/>
          <w:szCs w:val="16"/>
        </w:rPr>
        <w:t>Source:</w:t>
      </w:r>
      <w:r w:rsidR="009F5B84" w:rsidRPr="009F5B84">
        <w:rPr>
          <w:rFonts w:asciiTheme="minorHAnsi" w:hAnsiTheme="minorHAnsi"/>
          <w:sz w:val="16"/>
          <w:szCs w:val="16"/>
        </w:rPr>
        <w:t xml:space="preserve"> </w:t>
      </w:r>
      <w:r w:rsidR="009F5B84">
        <w:rPr>
          <w:rFonts w:asciiTheme="minorHAnsi" w:hAnsiTheme="minorHAnsi"/>
          <w:sz w:val="16"/>
          <w:szCs w:val="16"/>
        </w:rPr>
        <w:t>US DOE, Energy Information Agency (</w:t>
      </w:r>
      <w:r w:rsidRPr="000C4646">
        <w:rPr>
          <w:rFonts w:ascii="Calibri" w:hAnsi="Calibri"/>
          <w:bCs/>
          <w:sz w:val="16"/>
          <w:szCs w:val="16"/>
        </w:rPr>
        <w:t>EIA</w:t>
      </w:r>
      <w:r w:rsidR="009F5B84">
        <w:rPr>
          <w:rFonts w:ascii="Calibri" w:hAnsi="Calibri"/>
          <w:bCs/>
          <w:sz w:val="16"/>
          <w:szCs w:val="16"/>
        </w:rPr>
        <w:t>)</w:t>
      </w:r>
      <w:r w:rsidRPr="000C4646">
        <w:rPr>
          <w:rFonts w:ascii="Calibri" w:hAnsi="Calibri"/>
          <w:bCs/>
          <w:sz w:val="16"/>
          <w:szCs w:val="16"/>
        </w:rPr>
        <w:t>.</w:t>
      </w:r>
    </w:p>
    <w:p w:rsidR="000C4646" w:rsidRPr="000C4646" w:rsidRDefault="000C4646" w:rsidP="005E2C19">
      <w:pPr>
        <w:spacing w:after="0" w:line="240" w:lineRule="auto"/>
        <w:jc w:val="center"/>
      </w:pPr>
      <w:r w:rsidRPr="000C4646">
        <w:rPr>
          <w:noProof/>
        </w:rPr>
        <w:drawing>
          <wp:inline distT="0" distB="0" distL="0" distR="0" wp14:anchorId="26912010" wp14:editId="2887DFBA">
            <wp:extent cx="5034512" cy="3257712"/>
            <wp:effectExtent l="19050" t="19050" r="13970" b="1905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039613" cy="3261013"/>
                    </a:xfrm>
                    <a:prstGeom prst="rect">
                      <a:avLst/>
                    </a:prstGeom>
                    <a:noFill/>
                    <a:ln w="3175">
                      <a:solidFill>
                        <a:srgbClr val="000000"/>
                      </a:solidFill>
                    </a:ln>
                  </pic:spPr>
                </pic:pic>
              </a:graphicData>
            </a:graphic>
          </wp:inline>
        </w:drawing>
      </w:r>
    </w:p>
    <w:p w:rsidR="000C4646" w:rsidRPr="000C4646" w:rsidRDefault="000C4646" w:rsidP="005B5027">
      <w:pPr>
        <w:keepNext/>
        <w:keepLines/>
        <w:spacing w:before="120" w:after="80" w:line="240" w:lineRule="auto"/>
        <w:ind w:left="540" w:right="270"/>
        <w:rPr>
          <w:rFonts w:asciiTheme="minorHAnsi" w:eastAsia="Times New Roman" w:hAnsiTheme="minorHAnsi" w:cs="Arial"/>
          <w:b/>
          <w:bCs/>
          <w:color w:val="444444"/>
        </w:rPr>
      </w:pPr>
      <w:bookmarkStart w:id="694" w:name="_Ref419892346"/>
      <w:bookmarkStart w:id="695" w:name="_Toc429063533"/>
      <w:bookmarkStart w:id="696" w:name="_Toc486233213"/>
      <w:r w:rsidRPr="000C4646">
        <w:rPr>
          <w:rFonts w:ascii="Calibri" w:hAnsi="Calibri"/>
          <w:b/>
          <w:bCs/>
          <w:szCs w:val="18"/>
        </w:rPr>
        <w:t xml:space="preserve">Figure </w:t>
      </w:r>
      <w:r w:rsidRPr="000C4646">
        <w:rPr>
          <w:rFonts w:ascii="Calibri" w:hAnsi="Calibri"/>
          <w:b/>
          <w:bCs/>
          <w:szCs w:val="18"/>
        </w:rPr>
        <w:fldChar w:fldCharType="begin"/>
      </w:r>
      <w:r w:rsidRPr="000C4646">
        <w:rPr>
          <w:rFonts w:ascii="Calibri" w:hAnsi="Calibri"/>
          <w:b/>
          <w:bCs/>
          <w:szCs w:val="18"/>
        </w:rPr>
        <w:instrText xml:space="preserve"> STYLEREF 1 \s </w:instrText>
      </w:r>
      <w:r w:rsidRPr="000C4646">
        <w:rPr>
          <w:rFonts w:ascii="Calibri" w:hAnsi="Calibri"/>
          <w:b/>
          <w:bCs/>
          <w:szCs w:val="18"/>
        </w:rPr>
        <w:fldChar w:fldCharType="separate"/>
      </w:r>
      <w:r w:rsidR="00314781">
        <w:rPr>
          <w:rFonts w:ascii="Calibri" w:hAnsi="Calibri"/>
          <w:b/>
          <w:bCs/>
          <w:noProof/>
          <w:szCs w:val="18"/>
        </w:rPr>
        <w:t>7</w:t>
      </w:r>
      <w:r w:rsidRPr="000C4646">
        <w:rPr>
          <w:rFonts w:ascii="Calibri" w:hAnsi="Calibri"/>
          <w:b/>
          <w:bCs/>
          <w:noProof/>
          <w:szCs w:val="18"/>
        </w:rPr>
        <w:fldChar w:fldCharType="end"/>
      </w:r>
      <w:r w:rsidRPr="000C4646">
        <w:rPr>
          <w:rFonts w:ascii="Calibri" w:hAnsi="Calibri"/>
          <w:b/>
          <w:bCs/>
          <w:szCs w:val="18"/>
        </w:rPr>
        <w:noBreakHyphen/>
      </w:r>
      <w:r w:rsidRPr="000C4646">
        <w:rPr>
          <w:rFonts w:ascii="Calibri" w:hAnsi="Calibri"/>
          <w:b/>
          <w:bCs/>
          <w:szCs w:val="18"/>
        </w:rPr>
        <w:fldChar w:fldCharType="begin"/>
      </w:r>
      <w:r w:rsidRPr="000C4646">
        <w:rPr>
          <w:rFonts w:ascii="Calibri" w:hAnsi="Calibri"/>
          <w:b/>
          <w:bCs/>
          <w:szCs w:val="18"/>
        </w:rPr>
        <w:instrText xml:space="preserve"> SEQ Figure \* ARABIC \s 1 </w:instrText>
      </w:r>
      <w:r w:rsidRPr="000C4646">
        <w:rPr>
          <w:rFonts w:ascii="Calibri" w:hAnsi="Calibri"/>
          <w:b/>
          <w:bCs/>
          <w:szCs w:val="18"/>
        </w:rPr>
        <w:fldChar w:fldCharType="separate"/>
      </w:r>
      <w:r w:rsidR="00314781">
        <w:rPr>
          <w:rFonts w:ascii="Calibri" w:hAnsi="Calibri"/>
          <w:b/>
          <w:bCs/>
          <w:noProof/>
          <w:szCs w:val="18"/>
        </w:rPr>
        <w:t>5</w:t>
      </w:r>
      <w:r w:rsidRPr="000C4646">
        <w:rPr>
          <w:rFonts w:ascii="Calibri" w:hAnsi="Calibri"/>
          <w:b/>
          <w:bCs/>
          <w:noProof/>
          <w:szCs w:val="18"/>
        </w:rPr>
        <w:fldChar w:fldCharType="end"/>
      </w:r>
      <w:bookmarkEnd w:id="694"/>
      <w:r w:rsidRPr="000C4646">
        <w:rPr>
          <w:rFonts w:ascii="Calibri" w:hAnsi="Calibri"/>
          <w:b/>
          <w:bCs/>
          <w:szCs w:val="18"/>
        </w:rPr>
        <w:t xml:space="preserve">: </w:t>
      </w:r>
      <w:r w:rsidRPr="000C4646">
        <w:rPr>
          <w:rFonts w:asciiTheme="minorHAnsi" w:eastAsia="Times New Roman" w:hAnsiTheme="minorHAnsi" w:cs="Arial"/>
          <w:b/>
          <w:bCs/>
          <w:color w:val="444444"/>
        </w:rPr>
        <w:t>Natural gas pipeline network in the continental United States, September 2014.</w:t>
      </w:r>
      <w:bookmarkEnd w:id="695"/>
      <w:bookmarkEnd w:id="696"/>
    </w:p>
    <w:p w:rsidR="000C4646" w:rsidRPr="000C4646" w:rsidRDefault="000C4646" w:rsidP="005B5027">
      <w:pPr>
        <w:spacing w:line="240" w:lineRule="auto"/>
        <w:ind w:left="540" w:right="270"/>
        <w:rPr>
          <w:rFonts w:ascii="Calibri" w:hAnsi="Calibri"/>
          <w:b/>
          <w:sz w:val="16"/>
          <w:szCs w:val="16"/>
        </w:rPr>
      </w:pPr>
      <w:r w:rsidRPr="005E2C19">
        <w:rPr>
          <w:rFonts w:ascii="Calibri" w:hAnsi="Calibri"/>
          <w:b/>
          <w:sz w:val="16"/>
          <w:szCs w:val="16"/>
        </w:rPr>
        <w:t xml:space="preserve">Source: </w:t>
      </w:r>
      <w:r w:rsidR="005E2C19" w:rsidRPr="005E2C19">
        <w:rPr>
          <w:rFonts w:ascii="Calibri" w:hAnsi="Calibri"/>
          <w:sz w:val="16"/>
          <w:szCs w:val="16"/>
        </w:rPr>
        <w:t>Interstate Natural Gas Association of America</w:t>
      </w:r>
      <w:r w:rsidR="005E2C19" w:rsidRPr="005E2C19">
        <w:rPr>
          <w:rFonts w:ascii="Calibri" w:hAnsi="Calibri"/>
          <w:b/>
          <w:sz w:val="16"/>
          <w:szCs w:val="16"/>
        </w:rPr>
        <w:t xml:space="preserve"> (</w:t>
      </w:r>
      <w:r w:rsidRPr="005E2C19">
        <w:rPr>
          <w:rFonts w:ascii="Calibri" w:hAnsi="Calibri"/>
          <w:sz w:val="16"/>
          <w:szCs w:val="16"/>
        </w:rPr>
        <w:t>INGAA</w:t>
      </w:r>
      <w:r w:rsidR="005E2C19" w:rsidRPr="005E2C19">
        <w:rPr>
          <w:rFonts w:ascii="Calibri" w:hAnsi="Calibri"/>
          <w:sz w:val="16"/>
          <w:szCs w:val="16"/>
        </w:rPr>
        <w:t>)</w:t>
      </w:r>
      <w:r w:rsidRPr="005E2C19">
        <w:rPr>
          <w:rFonts w:ascii="Calibri" w:hAnsi="Calibri"/>
          <w:sz w:val="16"/>
          <w:szCs w:val="16"/>
        </w:rPr>
        <w:t>,</w:t>
      </w:r>
      <w:r w:rsidRPr="000C4646">
        <w:rPr>
          <w:rFonts w:ascii="Calibri" w:hAnsi="Calibri"/>
          <w:b/>
          <w:sz w:val="16"/>
          <w:szCs w:val="16"/>
        </w:rPr>
        <w:t xml:space="preserve"> </w:t>
      </w:r>
      <w:hyperlink r:id="rId62" w:history="1">
        <w:r w:rsidRPr="005E2C19">
          <w:rPr>
            <w:rStyle w:val="Hyperlink"/>
            <w:rFonts w:ascii="Calibri" w:hAnsi="Calibri"/>
            <w:sz w:val="16"/>
            <w:szCs w:val="16"/>
          </w:rPr>
          <w:t>http://www.ingaa.org/File.aspx?id=22553&amp;v=a776386</w:t>
        </w:r>
      </w:hyperlink>
      <w:r w:rsidR="005B5027">
        <w:rPr>
          <w:rStyle w:val="Hyperlink"/>
          <w:rFonts w:ascii="Calibri" w:hAnsi="Calibri"/>
          <w:sz w:val="16"/>
          <w:szCs w:val="16"/>
        </w:rPr>
        <w:t>.</w:t>
      </w:r>
      <w:r w:rsidRPr="000C4646">
        <w:rPr>
          <w:rFonts w:ascii="Calibri" w:hAnsi="Calibri"/>
          <w:b/>
          <w:sz w:val="16"/>
          <w:szCs w:val="16"/>
        </w:rPr>
        <w:t xml:space="preserve"> </w:t>
      </w:r>
    </w:p>
    <w:p w:rsidR="000C4646" w:rsidRPr="000C4646" w:rsidRDefault="000C4646" w:rsidP="00595A75">
      <w:pPr>
        <w:pStyle w:val="Heading2"/>
        <w:keepNext w:val="0"/>
        <w:keepLines w:val="0"/>
        <w:rPr>
          <w:rFonts w:eastAsia="Times New Roman"/>
        </w:rPr>
      </w:pPr>
      <w:bookmarkStart w:id="697" w:name="_Toc429063437"/>
      <w:bookmarkStart w:id="698" w:name="_Ref487012007"/>
      <w:bookmarkStart w:id="699" w:name="_Toc490323073"/>
      <w:r w:rsidRPr="000C4646">
        <w:rPr>
          <w:rFonts w:eastAsia="Times New Roman"/>
        </w:rPr>
        <w:lastRenderedPageBreak/>
        <w:t>Natural Gas and Oil Fuel Security and Risks to System Reliability</w:t>
      </w:r>
      <w:bookmarkEnd w:id="686"/>
      <w:bookmarkEnd w:id="687"/>
      <w:bookmarkEnd w:id="697"/>
      <w:bookmarkEnd w:id="698"/>
      <w:bookmarkEnd w:id="699"/>
    </w:p>
    <w:p w:rsidR="00903E0C" w:rsidRDefault="000C4646" w:rsidP="000C4646">
      <w:r w:rsidRPr="000C4646">
        <w:t xml:space="preserve">Because natural gas plants make up such a large part of the </w:t>
      </w:r>
      <w:r w:rsidR="002D2214">
        <w:t xml:space="preserve">New England </w:t>
      </w:r>
      <w:r w:rsidRPr="000C4646">
        <w:t xml:space="preserve">generating fleet, the availability of this fuel has an immediate effect on power grid reliability. For example, the planned or unplanned outage of a major gas pipeline at any time of year may affect many thousands of megawatts of generation. Additionally, when gas-fired generators are unavailable to run or are derated, the ISO needs to commit significant amounts of additional generating resources to maintain system reliability. However, many of the oil and coal plants called on to run require a long time to start and ramp up, may have performance problems related to their age, and may not have enough fuel to run as long as needed. Oil- and coal-fired generation may also need to limit their run times to comply with environmental restrictions (see </w:t>
      </w:r>
      <w:r w:rsidR="00F25300">
        <w:fldChar w:fldCharType="begin"/>
      </w:r>
      <w:r w:rsidR="00F25300">
        <w:instrText xml:space="preserve"> REF _Ref418883784 \r \h </w:instrText>
      </w:r>
      <w:r w:rsidR="00F25300">
        <w:fldChar w:fldCharType="separate"/>
      </w:r>
      <w:r w:rsidR="00F25300">
        <w:t>Section 8</w:t>
      </w:r>
      <w:r w:rsidR="00F25300">
        <w:fldChar w:fldCharType="end"/>
      </w:r>
      <w:r w:rsidRPr="000C4646">
        <w:t xml:space="preserve">). </w:t>
      </w:r>
    </w:p>
    <w:p w:rsidR="000C4646" w:rsidRPr="000C4646" w:rsidRDefault="000C4646" w:rsidP="000C4646">
      <w:r w:rsidRPr="000C4646">
        <w:t xml:space="preserve">The energy-production limitations create challenges to operating the system reliably and economically. In addition, many of these resources are retiring, limiting the amount of replacement capacity the ISO can call on during stressed system conditions (see Section </w:t>
      </w:r>
      <w:r w:rsidR="000162C8">
        <w:fldChar w:fldCharType="begin"/>
      </w:r>
      <w:r w:rsidR="000162C8">
        <w:instrText xml:space="preserve"> REF _Ref490324988 \r \h </w:instrText>
      </w:r>
      <w:r w:rsidR="000162C8">
        <w:fldChar w:fldCharType="separate"/>
      </w:r>
      <w:r w:rsidR="00F87553">
        <w:t>4.1.3</w:t>
      </w:r>
      <w:r w:rsidR="000162C8">
        <w:fldChar w:fldCharType="end"/>
      </w:r>
      <w:r w:rsidRPr="000C4646">
        <w:t>).</w:t>
      </w:r>
    </w:p>
    <w:p w:rsidR="000C4646" w:rsidRPr="000C4646" w:rsidRDefault="000C4646" w:rsidP="000C4646">
      <w:pPr>
        <w:pStyle w:val="Heading3"/>
      </w:pPr>
      <w:bookmarkStart w:id="700" w:name="_Toc429063438"/>
      <w:bookmarkStart w:id="701" w:name="_Toc490323074"/>
      <w:r w:rsidRPr="000C4646">
        <w:t>Fuel-Security Risks</w:t>
      </w:r>
      <w:bookmarkEnd w:id="700"/>
      <w:bookmarkEnd w:id="701"/>
    </w:p>
    <w:p w:rsidR="000C4646" w:rsidRPr="000C4646" w:rsidRDefault="000C4646" w:rsidP="000C4646">
      <w:r w:rsidRPr="000C4646">
        <w:t>The fuel-security risk occurs mostly during the winter but can occur any time of the year. During the last several years, a number of factors have been affecting the ability of natural gas plants to get the fuel they need to perform:</w:t>
      </w:r>
    </w:p>
    <w:p w:rsidR="000C4646" w:rsidRPr="00FC2C85" w:rsidRDefault="000C4646" w:rsidP="00FC2C85">
      <w:pPr>
        <w:numPr>
          <w:ilvl w:val="0"/>
          <w:numId w:val="656"/>
        </w:numPr>
        <w:spacing w:after="120"/>
        <w:ind w:left="720"/>
        <w:rPr>
          <w:color w:val="000000"/>
        </w:rPr>
      </w:pPr>
      <w:r w:rsidRPr="00FC2C85">
        <w:rPr>
          <w:b/>
          <w:color w:val="000000"/>
        </w:rPr>
        <w:t>Constrained infrastructure</w:t>
      </w:r>
      <w:r w:rsidRPr="00FC2C85">
        <w:rPr>
          <w:color w:val="000000"/>
        </w:rPr>
        <w:t xml:space="preserve">: The existing pipeline system in New England is reaching maximum capacity more often, especially in winter. The priority for a pipeline’s capacity goes to customers who have signed long-term firm contracts. In New England, these customers have been the local gas distribution companies. </w:t>
      </w:r>
    </w:p>
    <w:p w:rsidR="000C4646" w:rsidRPr="00FC2C85" w:rsidRDefault="000C4646" w:rsidP="00FC2C85">
      <w:pPr>
        <w:numPr>
          <w:ilvl w:val="0"/>
          <w:numId w:val="656"/>
        </w:numPr>
        <w:spacing w:after="120"/>
        <w:ind w:left="720"/>
        <w:rPr>
          <w:color w:val="000000"/>
        </w:rPr>
      </w:pPr>
      <w:r w:rsidRPr="00FC2C85">
        <w:rPr>
          <w:b/>
          <w:color w:val="000000"/>
        </w:rPr>
        <w:t>Interruptible fuel arrangements</w:t>
      </w:r>
      <w:r w:rsidRPr="00FC2C85">
        <w:rPr>
          <w:color w:val="000000"/>
        </w:rPr>
        <w:t>: Most natural gas plants procure, day to day, pipeline supply and transportation that the LDCs will not be using. As more people and businesses in New England convert to natural gas to take advantage of inexpensive shale gas, LDCs have had less pipeline capacity to release to the secondary markets. More competition also is taking place among the increasing numbers of gas-fired generators, which means generators risk not being able to obtain pipeline transportation for the gas needed to fuel their plants.</w:t>
      </w:r>
    </w:p>
    <w:p w:rsidR="000C4646" w:rsidRPr="00FC2C85" w:rsidRDefault="000C4646" w:rsidP="00FC2C85">
      <w:pPr>
        <w:numPr>
          <w:ilvl w:val="0"/>
          <w:numId w:val="656"/>
        </w:numPr>
        <w:spacing w:after="120"/>
        <w:ind w:left="720"/>
        <w:rPr>
          <w:color w:val="000000"/>
        </w:rPr>
      </w:pPr>
      <w:r w:rsidRPr="00FC2C85">
        <w:rPr>
          <w:b/>
          <w:color w:val="000000"/>
        </w:rPr>
        <w:t>Higher variable-cost peaking alternatives</w:t>
      </w:r>
      <w:r w:rsidRPr="00FC2C85">
        <w:rPr>
          <w:color w:val="000000"/>
        </w:rPr>
        <w:t xml:space="preserve">: Some generators can use LNG supplies when the region’s pipelines are fully congested. However, LNG tends to be more expensive than the typical price of gas emanating from the Marcellus shale. </w:t>
      </w:r>
    </w:p>
    <w:p w:rsidR="000C4646" w:rsidRPr="000C4646" w:rsidRDefault="000C4646" w:rsidP="00FC2C85">
      <w:pPr>
        <w:numPr>
          <w:ilvl w:val="0"/>
          <w:numId w:val="656"/>
        </w:numPr>
        <w:ind w:left="720"/>
        <w:rPr>
          <w:rFonts w:ascii="Calibri" w:hAnsi="Calibri"/>
          <w:color w:val="000000"/>
        </w:rPr>
      </w:pPr>
      <w:r w:rsidRPr="00FC2C85">
        <w:rPr>
          <w:b/>
          <w:color w:val="000000"/>
        </w:rPr>
        <w:t>Limited fuel storage</w:t>
      </w:r>
      <w:r w:rsidRPr="00FC2C85">
        <w:rPr>
          <w:color w:val="000000"/>
        </w:rPr>
        <w:t xml:space="preserve">: Unlike generators that use others types of fuel, many natural gas plants in the region have limited or no onsite gas storage, making them even more vulnerable to the pipeline supply problems. Dual-fuel units can switch to using oil when necessary, but only about 40% of the region’s gas-capable units currently have this ability. More so, limitations in onsite </w:t>
      </w:r>
      <w:r w:rsidR="002D2214">
        <w:rPr>
          <w:color w:val="000000"/>
        </w:rPr>
        <w:t xml:space="preserve">liquid </w:t>
      </w:r>
      <w:r w:rsidRPr="00FC2C85">
        <w:rPr>
          <w:color w:val="000000"/>
        </w:rPr>
        <w:t>fuel storage may constrain the operation of these generation units</w:t>
      </w:r>
      <w:r w:rsidRPr="000C4646">
        <w:rPr>
          <w:rFonts w:ascii="Calibri" w:hAnsi="Calibri"/>
          <w:color w:val="000000"/>
        </w:rPr>
        <w:t>.</w:t>
      </w:r>
    </w:p>
    <w:p w:rsidR="000C4646" w:rsidRPr="000C4646" w:rsidRDefault="000C4646" w:rsidP="000C4646">
      <w:pPr>
        <w:pStyle w:val="Heading3"/>
        <w:rPr>
          <w:iCs/>
        </w:rPr>
      </w:pPr>
      <w:bookmarkStart w:id="702" w:name="_Toc429063439"/>
      <w:bookmarkStart w:id="703" w:name="_Toc490323075"/>
      <w:r w:rsidRPr="000C4646">
        <w:t>Natural Gas Price Volatility</w:t>
      </w:r>
      <w:bookmarkEnd w:id="702"/>
      <w:bookmarkEnd w:id="703"/>
    </w:p>
    <w:p w:rsidR="000C4646" w:rsidRPr="000C4646" w:rsidRDefault="000C4646" w:rsidP="000C4646">
      <w:r w:rsidRPr="000C4646">
        <w:t xml:space="preserve">As shown in </w:t>
      </w:r>
      <w:r w:rsidRPr="000C4646">
        <w:fldChar w:fldCharType="begin"/>
      </w:r>
      <w:r w:rsidRPr="000C4646">
        <w:instrText xml:space="preserve"> REF _Ref418956229 \h  \* MERGEFORMAT </w:instrText>
      </w:r>
      <w:r w:rsidRPr="000C4646">
        <w:fldChar w:fldCharType="separate"/>
      </w:r>
      <w:r w:rsidR="00314781" w:rsidRPr="000162C8">
        <w:rPr>
          <w:bCs/>
        </w:rPr>
        <w:t xml:space="preserve">Figure </w:t>
      </w:r>
      <w:r w:rsidR="00314781" w:rsidRPr="000162C8">
        <w:rPr>
          <w:bCs/>
          <w:noProof/>
        </w:rPr>
        <w:t>7</w:t>
      </w:r>
      <w:r w:rsidR="00314781" w:rsidRPr="000162C8">
        <w:rPr>
          <w:bCs/>
          <w:noProof/>
        </w:rPr>
        <w:noBreakHyphen/>
        <w:t>6</w:t>
      </w:r>
      <w:r w:rsidRPr="000C4646">
        <w:fldChar w:fldCharType="end"/>
      </w:r>
      <w:r w:rsidRPr="000C4646">
        <w:t>, New England’s heavy reliance on natural-gas-fired generation has resulted in natural gas fuel prices setting or closely following the associated price for wholesale electricity. The daily volatility in natural gas fuel prices was at its greatest in winter 2013/2014 and winter 2014/2015. Gas prices were more stable, however, during winter 2015/2016 and winter 2016/2017</w:t>
      </w:r>
      <w:r w:rsidR="00FC2C85">
        <w:t xml:space="preserve">, </w:t>
      </w:r>
      <w:r w:rsidRPr="000C4646">
        <w:t>likely attributable to more mild winters and the winter reliability programs</w:t>
      </w:r>
      <w:r w:rsidRPr="000C4646">
        <w:rPr>
          <w:sz w:val="16"/>
          <w:szCs w:val="16"/>
        </w:rPr>
        <w:t>.</w:t>
      </w:r>
    </w:p>
    <w:p w:rsidR="006007FE" w:rsidRPr="000C4646" w:rsidRDefault="006007FE" w:rsidP="006007FE">
      <w:pPr>
        <w:keepNext/>
        <w:keepLines/>
        <w:spacing w:after="0" w:line="240" w:lineRule="auto"/>
        <w:jc w:val="center"/>
      </w:pPr>
      <w:r w:rsidRPr="006007FE">
        <w:rPr>
          <w:noProof/>
        </w:rPr>
        <w:lastRenderedPageBreak/>
        <w:drawing>
          <wp:inline distT="0" distB="0" distL="0" distR="0" wp14:anchorId="7F9EBB35" wp14:editId="0780DBE4">
            <wp:extent cx="5715000" cy="2919858"/>
            <wp:effectExtent l="19050" t="19050" r="19050" b="1397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715000" cy="2919858"/>
                    </a:xfrm>
                    <a:prstGeom prst="rect">
                      <a:avLst/>
                    </a:prstGeom>
                    <a:noFill/>
                    <a:ln w="3175">
                      <a:solidFill>
                        <a:srgbClr val="000000"/>
                      </a:solidFill>
                    </a:ln>
                  </pic:spPr>
                </pic:pic>
              </a:graphicData>
            </a:graphic>
          </wp:inline>
        </w:drawing>
      </w:r>
    </w:p>
    <w:p w:rsidR="000C4646" w:rsidRPr="000C4646" w:rsidRDefault="000C4646" w:rsidP="000C4646">
      <w:pPr>
        <w:keepNext/>
        <w:keepLines/>
        <w:tabs>
          <w:tab w:val="left" w:pos="90"/>
          <w:tab w:val="left" w:pos="7200"/>
        </w:tabs>
        <w:spacing w:before="120" w:after="80" w:line="240" w:lineRule="auto"/>
        <w:ind w:left="86"/>
        <w:rPr>
          <w:rFonts w:ascii="Calibri" w:hAnsi="Calibri"/>
          <w:b/>
          <w:bCs/>
          <w:szCs w:val="18"/>
        </w:rPr>
      </w:pPr>
      <w:bookmarkStart w:id="704" w:name="_Ref418956229"/>
      <w:bookmarkStart w:id="705" w:name="_Toc429063534"/>
      <w:bookmarkStart w:id="706" w:name="_Toc486233214"/>
      <w:r w:rsidRPr="000C4646">
        <w:rPr>
          <w:rFonts w:ascii="Calibri" w:hAnsi="Calibri"/>
          <w:b/>
          <w:bCs/>
          <w:szCs w:val="18"/>
        </w:rPr>
        <w:t xml:space="preserve">Figure </w:t>
      </w:r>
      <w:r w:rsidRPr="000C4646">
        <w:rPr>
          <w:rFonts w:ascii="Calibri" w:hAnsi="Calibri"/>
          <w:b/>
          <w:bCs/>
          <w:szCs w:val="18"/>
        </w:rPr>
        <w:fldChar w:fldCharType="begin"/>
      </w:r>
      <w:r w:rsidRPr="000C4646">
        <w:rPr>
          <w:rFonts w:ascii="Calibri" w:hAnsi="Calibri"/>
          <w:b/>
          <w:bCs/>
          <w:szCs w:val="18"/>
        </w:rPr>
        <w:instrText xml:space="preserve"> STYLEREF 1 \s </w:instrText>
      </w:r>
      <w:r w:rsidRPr="000C4646">
        <w:rPr>
          <w:rFonts w:ascii="Calibri" w:hAnsi="Calibri"/>
          <w:b/>
          <w:bCs/>
          <w:szCs w:val="18"/>
        </w:rPr>
        <w:fldChar w:fldCharType="separate"/>
      </w:r>
      <w:r w:rsidR="00314781">
        <w:rPr>
          <w:rFonts w:ascii="Calibri" w:hAnsi="Calibri"/>
          <w:b/>
          <w:bCs/>
          <w:noProof/>
          <w:szCs w:val="18"/>
        </w:rPr>
        <w:t>7</w:t>
      </w:r>
      <w:r w:rsidRPr="000C4646">
        <w:rPr>
          <w:rFonts w:ascii="Calibri" w:hAnsi="Calibri"/>
          <w:b/>
          <w:bCs/>
          <w:szCs w:val="18"/>
        </w:rPr>
        <w:fldChar w:fldCharType="end"/>
      </w:r>
      <w:r w:rsidRPr="000C4646">
        <w:rPr>
          <w:rFonts w:ascii="Calibri" w:hAnsi="Calibri"/>
          <w:b/>
          <w:bCs/>
          <w:szCs w:val="18"/>
        </w:rPr>
        <w:noBreakHyphen/>
      </w:r>
      <w:r w:rsidRPr="000C4646">
        <w:rPr>
          <w:rFonts w:ascii="Calibri" w:hAnsi="Calibri"/>
          <w:b/>
          <w:bCs/>
          <w:szCs w:val="18"/>
        </w:rPr>
        <w:fldChar w:fldCharType="begin"/>
      </w:r>
      <w:r w:rsidRPr="000C4646">
        <w:rPr>
          <w:rFonts w:ascii="Calibri" w:hAnsi="Calibri"/>
          <w:b/>
          <w:bCs/>
          <w:szCs w:val="18"/>
        </w:rPr>
        <w:instrText xml:space="preserve"> SEQ Figure \* ARABIC \s 1 </w:instrText>
      </w:r>
      <w:r w:rsidRPr="000C4646">
        <w:rPr>
          <w:rFonts w:ascii="Calibri" w:hAnsi="Calibri"/>
          <w:b/>
          <w:bCs/>
          <w:szCs w:val="18"/>
        </w:rPr>
        <w:fldChar w:fldCharType="separate"/>
      </w:r>
      <w:r w:rsidR="00314781">
        <w:rPr>
          <w:rFonts w:ascii="Calibri" w:hAnsi="Calibri"/>
          <w:b/>
          <w:bCs/>
          <w:noProof/>
          <w:szCs w:val="18"/>
        </w:rPr>
        <w:t>6</w:t>
      </w:r>
      <w:r w:rsidRPr="000C4646">
        <w:rPr>
          <w:rFonts w:ascii="Calibri" w:hAnsi="Calibri"/>
          <w:b/>
          <w:bCs/>
          <w:szCs w:val="18"/>
        </w:rPr>
        <w:fldChar w:fldCharType="end"/>
      </w:r>
      <w:bookmarkEnd w:id="704"/>
      <w:r w:rsidRPr="000C4646">
        <w:rPr>
          <w:rFonts w:ascii="Calibri" w:hAnsi="Calibri"/>
          <w:b/>
          <w:bCs/>
          <w:szCs w:val="18"/>
        </w:rPr>
        <w:t>: Monthly average natural gas prices and real-time Hub LMPs compared with regional natural gas prices, March 2003 to March 2017, ($/MWh; $/MMbtu).</w:t>
      </w:r>
      <w:bookmarkEnd w:id="705"/>
      <w:r w:rsidRPr="000C4646">
        <w:rPr>
          <w:rFonts w:ascii="Calibri" w:hAnsi="Calibri"/>
          <w:b/>
          <w:bCs/>
          <w:szCs w:val="18"/>
        </w:rPr>
        <w:t xml:space="preserve"> </w:t>
      </w:r>
      <w:bookmarkEnd w:id="706"/>
    </w:p>
    <w:p w:rsidR="000C4646" w:rsidRPr="000C4646" w:rsidRDefault="000C4646" w:rsidP="000C4646">
      <w:pPr>
        <w:tabs>
          <w:tab w:val="left" w:pos="90"/>
          <w:tab w:val="left" w:pos="7200"/>
        </w:tabs>
        <w:spacing w:before="80" w:line="240" w:lineRule="auto"/>
        <w:ind w:left="86"/>
        <w:rPr>
          <w:rFonts w:ascii="Calibri" w:hAnsi="Calibri"/>
          <w:bCs/>
          <w:sz w:val="18"/>
          <w:szCs w:val="18"/>
        </w:rPr>
      </w:pPr>
      <w:r w:rsidRPr="005E2C19">
        <w:rPr>
          <w:rFonts w:ascii="Calibri" w:eastAsia="Times New Roman" w:hAnsi="Calibri"/>
          <w:b/>
          <w:bCs/>
          <w:sz w:val="18"/>
          <w:szCs w:val="18"/>
        </w:rPr>
        <w:t xml:space="preserve">Note: </w:t>
      </w:r>
      <w:r w:rsidRPr="005E2C19">
        <w:rPr>
          <w:rFonts w:ascii="Calibri" w:hAnsi="Calibri"/>
          <w:bCs/>
          <w:sz w:val="18"/>
          <w:szCs w:val="18"/>
        </w:rPr>
        <w:t xml:space="preserve">Underlying natural gas data furnished by </w:t>
      </w:r>
      <w:r w:rsidR="005E2C19">
        <w:rPr>
          <w:rFonts w:ascii="Calibri" w:hAnsi="Calibri"/>
          <w:bCs/>
          <w:sz w:val="18"/>
          <w:szCs w:val="18"/>
        </w:rPr>
        <w:t>the Intercontinental Exchange (</w:t>
      </w:r>
      <w:r w:rsidRPr="005E2C19">
        <w:rPr>
          <w:rFonts w:ascii="Calibri" w:hAnsi="Calibri"/>
          <w:bCs/>
          <w:sz w:val="18"/>
          <w:szCs w:val="18"/>
        </w:rPr>
        <w:t>ICE</w:t>
      </w:r>
      <w:r w:rsidR="005E2C19">
        <w:rPr>
          <w:rFonts w:ascii="Calibri" w:hAnsi="Calibri"/>
          <w:bCs/>
          <w:sz w:val="18"/>
          <w:szCs w:val="18"/>
        </w:rPr>
        <w:t>)</w:t>
      </w:r>
      <w:r w:rsidRPr="005E2C19">
        <w:rPr>
          <w:rFonts w:ascii="Calibri" w:hAnsi="Calibri"/>
          <w:bCs/>
          <w:sz w:val="18"/>
          <w:szCs w:val="18"/>
        </w:rPr>
        <w:t>. The regional natural gas price is the average Massachusetts price,</w:t>
      </w:r>
      <w:r w:rsidRPr="000C4646">
        <w:rPr>
          <w:rFonts w:ascii="Calibri" w:hAnsi="Calibri"/>
          <w:bCs/>
          <w:sz w:val="18"/>
          <w:szCs w:val="18"/>
        </w:rPr>
        <w:t xml:space="preserve"> which is the volume-weighted average of pricing points for Algonquin, Tennessee, and Dracut.</w:t>
      </w:r>
    </w:p>
    <w:p w:rsidR="000C4646" w:rsidRPr="000C4646" w:rsidRDefault="000C4646" w:rsidP="000C4646">
      <w:r w:rsidRPr="000C4646">
        <w:fldChar w:fldCharType="begin"/>
      </w:r>
      <w:r w:rsidRPr="000C4646">
        <w:instrText xml:space="preserve"> REF _Ref418956280 \h  \* MERGEFORMAT </w:instrText>
      </w:r>
      <w:r w:rsidRPr="000C4646">
        <w:fldChar w:fldCharType="separate"/>
      </w:r>
      <w:r w:rsidR="00314781" w:rsidRPr="000162C8">
        <w:rPr>
          <w:bCs/>
          <w:szCs w:val="18"/>
        </w:rPr>
        <w:t xml:space="preserve">Figure </w:t>
      </w:r>
      <w:r w:rsidR="00314781" w:rsidRPr="000162C8">
        <w:rPr>
          <w:bCs/>
          <w:noProof/>
          <w:szCs w:val="18"/>
        </w:rPr>
        <w:t>7</w:t>
      </w:r>
      <w:r w:rsidR="00314781" w:rsidRPr="000162C8">
        <w:rPr>
          <w:bCs/>
          <w:noProof/>
          <w:szCs w:val="18"/>
        </w:rPr>
        <w:noBreakHyphen/>
        <w:t>7</w:t>
      </w:r>
      <w:r w:rsidRPr="000C4646">
        <w:fldChar w:fldCharType="end"/>
      </w:r>
      <w:r w:rsidRPr="000C4646">
        <w:t xml:space="preserve"> shows wholesale electricity and natural gas market data for New England trading hubs and the Marcellus price. Although the development of Marcellus shale is a growing source of natural gas, pipeline limitations into and within New England typically cause price separation between New England and Marcellus supplies. LNG supplies New England locally and can mitigate higher New England prices by providing supply during peak demand periods, but the higher unit cost of this supply still results in higher electric energy prices in New England than near the wellhead in Marcellus.</w:t>
      </w:r>
      <w:r w:rsidRPr="000C4646">
        <w:rPr>
          <w:vertAlign w:val="superscript"/>
        </w:rPr>
        <w:footnoteReference w:id="200"/>
      </w:r>
      <w:r w:rsidRPr="000C4646">
        <w:t xml:space="preserve"> </w:t>
      </w:r>
    </w:p>
    <w:p w:rsidR="006007FE" w:rsidRPr="000C4646" w:rsidRDefault="006007FE" w:rsidP="000C4646">
      <w:pPr>
        <w:spacing w:after="0" w:line="240" w:lineRule="auto"/>
        <w:jc w:val="center"/>
      </w:pPr>
      <w:r w:rsidRPr="006007FE">
        <w:rPr>
          <w:noProof/>
        </w:rPr>
        <w:lastRenderedPageBreak/>
        <w:drawing>
          <wp:inline distT="0" distB="0" distL="0" distR="0" wp14:anchorId="75806210" wp14:editId="593EEE68">
            <wp:extent cx="5715000" cy="3368870"/>
            <wp:effectExtent l="19050" t="19050" r="19050" b="2222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715000" cy="3368870"/>
                    </a:xfrm>
                    <a:prstGeom prst="rect">
                      <a:avLst/>
                    </a:prstGeom>
                    <a:noFill/>
                    <a:ln w="3175">
                      <a:solidFill>
                        <a:srgbClr val="000000"/>
                      </a:solidFill>
                    </a:ln>
                  </pic:spPr>
                </pic:pic>
              </a:graphicData>
            </a:graphic>
          </wp:inline>
        </w:drawing>
      </w:r>
    </w:p>
    <w:p w:rsidR="000C4646" w:rsidRPr="000C4646" w:rsidRDefault="000C4646" w:rsidP="000C4646">
      <w:pPr>
        <w:keepLines/>
        <w:spacing w:before="120" w:after="80" w:line="240" w:lineRule="auto"/>
        <w:ind w:left="90"/>
        <w:rPr>
          <w:rFonts w:ascii="Calibri" w:hAnsi="Calibri"/>
          <w:b/>
          <w:bCs/>
          <w:szCs w:val="18"/>
        </w:rPr>
      </w:pPr>
      <w:bookmarkStart w:id="707" w:name="_Ref418956280"/>
      <w:bookmarkStart w:id="708" w:name="_Toc429063535"/>
      <w:bookmarkStart w:id="709" w:name="_Toc486233215"/>
      <w:r w:rsidRPr="000C4646">
        <w:rPr>
          <w:rFonts w:ascii="Calibri" w:hAnsi="Calibri"/>
          <w:b/>
          <w:bCs/>
          <w:szCs w:val="18"/>
        </w:rPr>
        <w:t xml:space="preserve">Figure </w:t>
      </w:r>
      <w:r w:rsidRPr="000C4646">
        <w:rPr>
          <w:rFonts w:ascii="Calibri" w:hAnsi="Calibri"/>
          <w:b/>
          <w:bCs/>
          <w:szCs w:val="18"/>
        </w:rPr>
        <w:fldChar w:fldCharType="begin"/>
      </w:r>
      <w:r w:rsidRPr="000C4646">
        <w:rPr>
          <w:rFonts w:ascii="Calibri" w:hAnsi="Calibri"/>
          <w:b/>
          <w:bCs/>
          <w:szCs w:val="18"/>
        </w:rPr>
        <w:instrText xml:space="preserve"> STYLEREF 1 \s </w:instrText>
      </w:r>
      <w:r w:rsidRPr="000C4646">
        <w:rPr>
          <w:rFonts w:ascii="Calibri" w:hAnsi="Calibri"/>
          <w:b/>
          <w:bCs/>
          <w:szCs w:val="18"/>
        </w:rPr>
        <w:fldChar w:fldCharType="separate"/>
      </w:r>
      <w:r w:rsidR="00314781">
        <w:rPr>
          <w:rFonts w:ascii="Calibri" w:hAnsi="Calibri"/>
          <w:b/>
          <w:bCs/>
          <w:noProof/>
          <w:szCs w:val="18"/>
        </w:rPr>
        <w:t>7</w:t>
      </w:r>
      <w:r w:rsidRPr="000C4646">
        <w:rPr>
          <w:rFonts w:ascii="Calibri" w:hAnsi="Calibri"/>
          <w:b/>
          <w:bCs/>
          <w:szCs w:val="18"/>
        </w:rPr>
        <w:fldChar w:fldCharType="end"/>
      </w:r>
      <w:r w:rsidRPr="000C4646">
        <w:rPr>
          <w:rFonts w:ascii="Calibri" w:hAnsi="Calibri"/>
          <w:b/>
          <w:bCs/>
          <w:szCs w:val="18"/>
        </w:rPr>
        <w:noBreakHyphen/>
      </w:r>
      <w:r w:rsidRPr="000C4646">
        <w:rPr>
          <w:rFonts w:ascii="Calibri" w:hAnsi="Calibri"/>
          <w:b/>
          <w:bCs/>
          <w:szCs w:val="18"/>
        </w:rPr>
        <w:fldChar w:fldCharType="begin"/>
      </w:r>
      <w:r w:rsidRPr="000C4646">
        <w:rPr>
          <w:rFonts w:ascii="Calibri" w:hAnsi="Calibri"/>
          <w:b/>
          <w:bCs/>
          <w:szCs w:val="18"/>
        </w:rPr>
        <w:instrText xml:space="preserve"> SEQ Figure \* ARABIC \s 1 </w:instrText>
      </w:r>
      <w:r w:rsidRPr="000C4646">
        <w:rPr>
          <w:rFonts w:ascii="Calibri" w:hAnsi="Calibri"/>
          <w:b/>
          <w:bCs/>
          <w:szCs w:val="18"/>
        </w:rPr>
        <w:fldChar w:fldCharType="separate"/>
      </w:r>
      <w:r w:rsidR="00314781">
        <w:rPr>
          <w:rFonts w:ascii="Calibri" w:hAnsi="Calibri"/>
          <w:b/>
          <w:bCs/>
          <w:noProof/>
          <w:szCs w:val="18"/>
        </w:rPr>
        <w:t>7</w:t>
      </w:r>
      <w:r w:rsidRPr="000C4646">
        <w:rPr>
          <w:rFonts w:ascii="Calibri" w:hAnsi="Calibri"/>
          <w:b/>
          <w:bCs/>
          <w:szCs w:val="18"/>
        </w:rPr>
        <w:fldChar w:fldCharType="end"/>
      </w:r>
      <w:bookmarkEnd w:id="707"/>
      <w:r w:rsidRPr="000C4646">
        <w:rPr>
          <w:rFonts w:ascii="Calibri" w:hAnsi="Calibri"/>
          <w:b/>
          <w:bCs/>
          <w:szCs w:val="18"/>
        </w:rPr>
        <w:t>: Natural gas market data, April 2014 to April 2017 ($/MMBtu)</w:t>
      </w:r>
      <w:bookmarkEnd w:id="708"/>
      <w:r w:rsidRPr="000C4646">
        <w:rPr>
          <w:rFonts w:ascii="Calibri" w:hAnsi="Calibri"/>
          <w:b/>
          <w:bCs/>
          <w:szCs w:val="18"/>
        </w:rPr>
        <w:t>.</w:t>
      </w:r>
      <w:bookmarkEnd w:id="709"/>
    </w:p>
    <w:p w:rsidR="000C4646" w:rsidRPr="00F4497C" w:rsidRDefault="000C4646" w:rsidP="000C4646">
      <w:pPr>
        <w:keepNext/>
        <w:keepLines/>
        <w:spacing w:line="240" w:lineRule="auto"/>
        <w:ind w:left="90"/>
        <w:rPr>
          <w:rFonts w:ascii="Calibri" w:hAnsi="Calibri"/>
          <w:bCs/>
          <w:sz w:val="16"/>
          <w:szCs w:val="16"/>
        </w:rPr>
      </w:pPr>
      <w:r w:rsidRPr="000C4646">
        <w:rPr>
          <w:rFonts w:ascii="Calibri" w:hAnsi="Calibri"/>
          <w:b/>
          <w:bCs/>
          <w:sz w:val="16"/>
          <w:szCs w:val="16"/>
        </w:rPr>
        <w:t>Source:</w:t>
      </w:r>
      <w:r w:rsidRPr="000C4646">
        <w:rPr>
          <w:rFonts w:ascii="Calibri" w:hAnsi="Calibri"/>
          <w:sz w:val="16"/>
          <w:szCs w:val="16"/>
        </w:rPr>
        <w:t xml:space="preserve"> SNL </w:t>
      </w:r>
      <w:r w:rsidRPr="00F4497C">
        <w:rPr>
          <w:rFonts w:ascii="Calibri" w:hAnsi="Calibri"/>
          <w:sz w:val="16"/>
          <w:szCs w:val="16"/>
        </w:rPr>
        <w:t>Financial (</w:t>
      </w:r>
      <w:r w:rsidR="00236775" w:rsidRPr="00F4497C">
        <w:rPr>
          <w:rFonts w:ascii="Calibri" w:hAnsi="Calibri"/>
          <w:sz w:val="16"/>
          <w:szCs w:val="16"/>
        </w:rPr>
        <w:t>a</w:t>
      </w:r>
      <w:r w:rsidRPr="00F4497C">
        <w:rPr>
          <w:rFonts w:ascii="Calibri" w:hAnsi="Calibri"/>
          <w:sz w:val="16"/>
          <w:szCs w:val="16"/>
        </w:rPr>
        <w:t xml:space="preserve">ccessed May 12, 2017), </w:t>
      </w:r>
      <w:hyperlink r:id="rId65" w:history="1">
        <w:r w:rsidRPr="00F4497C">
          <w:rPr>
            <w:rFonts w:ascii="Calibri" w:hAnsi="Calibri"/>
            <w:sz w:val="16"/>
            <w:szCs w:val="16"/>
          </w:rPr>
          <w:t>http://www.snl.com/</w:t>
        </w:r>
      </w:hyperlink>
      <w:r w:rsidRPr="00F4497C">
        <w:rPr>
          <w:rFonts w:ascii="Calibri" w:hAnsi="Calibri"/>
          <w:sz w:val="16"/>
          <w:szCs w:val="16"/>
        </w:rPr>
        <w:t>.</w:t>
      </w:r>
    </w:p>
    <w:p w:rsidR="000C4646" w:rsidRPr="000C4646" w:rsidRDefault="000C4646" w:rsidP="000C4646">
      <w:r w:rsidRPr="00F4497C">
        <w:t>As shown</w:t>
      </w:r>
      <w:r w:rsidR="00236775" w:rsidRPr="00F4497C">
        <w:t xml:space="preserve"> in</w:t>
      </w:r>
      <w:r w:rsidRPr="00F4497C">
        <w:t xml:space="preserve"> </w:t>
      </w:r>
      <w:r w:rsidRPr="00F4497C">
        <w:fldChar w:fldCharType="begin"/>
      </w:r>
      <w:r w:rsidRPr="00F4497C">
        <w:instrText xml:space="preserve"> REF _Ref418956576 \h  \* MERGEFORMAT </w:instrText>
      </w:r>
      <w:r w:rsidRPr="00F4497C">
        <w:fldChar w:fldCharType="separate"/>
      </w:r>
      <w:r w:rsidR="00314781" w:rsidRPr="00F4497C">
        <w:rPr>
          <w:bCs/>
          <w:szCs w:val="18"/>
        </w:rPr>
        <w:t xml:space="preserve">Table </w:t>
      </w:r>
      <w:r w:rsidR="00314781" w:rsidRPr="00F4497C">
        <w:rPr>
          <w:bCs/>
          <w:noProof/>
          <w:szCs w:val="18"/>
        </w:rPr>
        <w:t>7</w:t>
      </w:r>
      <w:r w:rsidR="00314781" w:rsidRPr="00F4497C">
        <w:rPr>
          <w:bCs/>
          <w:noProof/>
          <w:szCs w:val="18"/>
        </w:rPr>
        <w:noBreakHyphen/>
        <w:t>1</w:t>
      </w:r>
      <w:r w:rsidRPr="00F4497C">
        <w:fldChar w:fldCharType="end"/>
      </w:r>
      <w:r w:rsidRPr="00F4497C">
        <w:t xml:space="preserve">, the natural gas futures prices </w:t>
      </w:r>
      <w:r w:rsidR="00CE147E" w:rsidRPr="00F4497C">
        <w:t xml:space="preserve">for January and February </w:t>
      </w:r>
      <w:r w:rsidRPr="00F4497C">
        <w:t xml:space="preserve">2016 were </w:t>
      </w:r>
      <w:r w:rsidR="00266B62" w:rsidRPr="00F4497C">
        <w:t>lower</w:t>
      </w:r>
      <w:r w:rsidRPr="00F4497C">
        <w:t xml:space="preserve"> compared with </w:t>
      </w:r>
      <w:r w:rsidR="00236775" w:rsidRPr="00F4497C">
        <w:t xml:space="preserve">the </w:t>
      </w:r>
      <w:r w:rsidRPr="00F4497C">
        <w:t>previous winter</w:t>
      </w:r>
      <w:r w:rsidR="00F4497C" w:rsidRPr="00F4497C">
        <w:t xml:space="preserve">s’ prices </w:t>
      </w:r>
      <w:r w:rsidRPr="00F4497C">
        <w:t xml:space="preserve">primarily because mild weather conditions </w:t>
      </w:r>
      <w:r w:rsidR="00236775" w:rsidRPr="00F4497C">
        <w:t xml:space="preserve">reduced demand, </w:t>
      </w:r>
      <w:r w:rsidR="00236775" w:rsidRPr="00D261E9">
        <w:t xml:space="preserve">which led to the greater </w:t>
      </w:r>
      <w:r w:rsidRPr="00D261E9">
        <w:t>availability of pipeline gas. The</w:t>
      </w:r>
      <w:r w:rsidR="00236775" w:rsidRPr="00D261E9">
        <w:t xml:space="preserve"> prices</w:t>
      </w:r>
      <w:r w:rsidRPr="00D261E9">
        <w:t xml:space="preserve"> rose again slightly in winter 2016/2017.</w:t>
      </w:r>
      <w:r w:rsidRPr="000C4646">
        <w:t xml:space="preserve"> LNG vaporization at Canaport, Distrigas, and Excelerate LNG (offshore buoy), continue to provide gas supplies directly to the northeastern part of the natural gas system, which has improved regional gas grid reliability.</w:t>
      </w:r>
    </w:p>
    <w:p w:rsidR="000C4646" w:rsidRPr="000427D9" w:rsidRDefault="000C4646" w:rsidP="000C4646">
      <w:pPr>
        <w:keepNext/>
        <w:keepLines/>
        <w:spacing w:after="120" w:line="240" w:lineRule="auto"/>
        <w:ind w:right="547"/>
        <w:jc w:val="center"/>
        <w:rPr>
          <w:rFonts w:ascii="Calibri" w:hAnsi="Calibri"/>
          <w:b/>
          <w:bCs/>
          <w:szCs w:val="18"/>
        </w:rPr>
      </w:pPr>
      <w:bookmarkStart w:id="710" w:name="_Ref418956576"/>
      <w:bookmarkStart w:id="711" w:name="_Toc429063578"/>
      <w:bookmarkStart w:id="712" w:name="_Toc491244019"/>
      <w:bookmarkStart w:id="713" w:name="OLE_LINK3"/>
      <w:r w:rsidRPr="000C4646">
        <w:rPr>
          <w:rFonts w:ascii="Calibri" w:hAnsi="Calibri"/>
          <w:b/>
          <w:bCs/>
          <w:szCs w:val="18"/>
        </w:rPr>
        <w:lastRenderedPageBreak/>
        <w:t xml:space="preserve">Table </w:t>
      </w:r>
      <w:r w:rsidR="00D95957">
        <w:rPr>
          <w:rFonts w:ascii="Calibri" w:hAnsi="Calibri"/>
          <w:b/>
          <w:bCs/>
          <w:szCs w:val="18"/>
        </w:rPr>
        <w:fldChar w:fldCharType="begin"/>
      </w:r>
      <w:r w:rsidR="00D95957">
        <w:rPr>
          <w:rFonts w:ascii="Calibri" w:hAnsi="Calibri"/>
          <w:b/>
          <w:bCs/>
          <w:szCs w:val="18"/>
        </w:rPr>
        <w:instrText xml:space="preserve"> STYLEREF 1 \s </w:instrText>
      </w:r>
      <w:r w:rsidR="00D95957">
        <w:rPr>
          <w:rFonts w:ascii="Calibri" w:hAnsi="Calibri"/>
          <w:b/>
          <w:bCs/>
          <w:szCs w:val="18"/>
        </w:rPr>
        <w:fldChar w:fldCharType="separate"/>
      </w:r>
      <w:r w:rsidR="00D95957">
        <w:rPr>
          <w:rFonts w:ascii="Calibri" w:hAnsi="Calibri"/>
          <w:b/>
          <w:bCs/>
          <w:noProof/>
          <w:szCs w:val="18"/>
        </w:rPr>
        <w:t>7</w:t>
      </w:r>
      <w:r w:rsidR="00D95957">
        <w:rPr>
          <w:rFonts w:ascii="Calibri" w:hAnsi="Calibri"/>
          <w:b/>
          <w:bCs/>
          <w:szCs w:val="18"/>
        </w:rPr>
        <w:fldChar w:fldCharType="end"/>
      </w:r>
      <w:r w:rsidR="00D95957">
        <w:rPr>
          <w:rFonts w:ascii="Calibri" w:hAnsi="Calibri"/>
          <w:b/>
          <w:bCs/>
          <w:szCs w:val="18"/>
        </w:rPr>
        <w:noBreakHyphen/>
      </w:r>
      <w:r w:rsidR="00D95957">
        <w:rPr>
          <w:rFonts w:ascii="Calibri" w:hAnsi="Calibri"/>
          <w:b/>
          <w:bCs/>
          <w:szCs w:val="18"/>
        </w:rPr>
        <w:fldChar w:fldCharType="begin"/>
      </w:r>
      <w:r w:rsidR="00D95957">
        <w:rPr>
          <w:rFonts w:ascii="Calibri" w:hAnsi="Calibri"/>
          <w:b/>
          <w:bCs/>
          <w:szCs w:val="18"/>
        </w:rPr>
        <w:instrText xml:space="preserve"> SEQ Table \* ARABIC \s 1 </w:instrText>
      </w:r>
      <w:r w:rsidR="00D95957">
        <w:rPr>
          <w:rFonts w:ascii="Calibri" w:hAnsi="Calibri"/>
          <w:b/>
          <w:bCs/>
          <w:szCs w:val="18"/>
        </w:rPr>
        <w:fldChar w:fldCharType="separate"/>
      </w:r>
      <w:r w:rsidR="00D95957">
        <w:rPr>
          <w:rFonts w:ascii="Calibri" w:hAnsi="Calibri"/>
          <w:b/>
          <w:bCs/>
          <w:noProof/>
          <w:szCs w:val="18"/>
        </w:rPr>
        <w:t>1</w:t>
      </w:r>
      <w:r w:rsidR="00D95957">
        <w:rPr>
          <w:rFonts w:ascii="Calibri" w:hAnsi="Calibri"/>
          <w:b/>
          <w:bCs/>
          <w:szCs w:val="18"/>
        </w:rPr>
        <w:fldChar w:fldCharType="end"/>
      </w:r>
      <w:bookmarkEnd w:id="710"/>
      <w:r w:rsidRPr="000C4646">
        <w:rPr>
          <w:rFonts w:ascii="Calibri" w:hAnsi="Calibri"/>
          <w:b/>
          <w:bCs/>
          <w:szCs w:val="18"/>
        </w:rPr>
        <w:br/>
        <w:t>Comparison of 2014, 2015, 2016, and 2017 Winter Futures Prices</w:t>
      </w:r>
      <w:r w:rsidR="00A5224F">
        <w:rPr>
          <w:rFonts w:ascii="Calibri" w:hAnsi="Calibri"/>
          <w:b/>
          <w:bCs/>
          <w:szCs w:val="18"/>
        </w:rPr>
        <w:t xml:space="preserve"> </w:t>
      </w:r>
      <w:bookmarkStart w:id="714" w:name="OLE_LINK2"/>
      <w:r w:rsidRPr="000C4646">
        <w:rPr>
          <w:rFonts w:ascii="Calibri" w:hAnsi="Calibri"/>
          <w:b/>
          <w:bCs/>
          <w:szCs w:val="18"/>
        </w:rPr>
        <w:t>($/MMBtu, $/MWh)</w:t>
      </w:r>
      <w:r w:rsidRPr="000C4646">
        <w:rPr>
          <w:rFonts w:ascii="Calibri" w:hAnsi="Calibri"/>
          <w:b/>
          <w:bCs/>
          <w:szCs w:val="18"/>
          <w:vertAlign w:val="superscript"/>
        </w:rPr>
        <w:t>(a)</w:t>
      </w:r>
      <w:bookmarkEnd w:id="711"/>
      <w:bookmarkEnd w:id="712"/>
    </w:p>
    <w:tbl>
      <w:tblPr>
        <w:tblStyle w:val="TableGrid43"/>
        <w:tblW w:w="0" w:type="auto"/>
        <w:jc w:val="center"/>
        <w:tblLook w:val="04A0" w:firstRow="1" w:lastRow="0" w:firstColumn="1" w:lastColumn="0" w:noHBand="0" w:noVBand="1"/>
      </w:tblPr>
      <w:tblGrid>
        <w:gridCol w:w="1216"/>
        <w:gridCol w:w="3340"/>
        <w:gridCol w:w="920"/>
        <w:gridCol w:w="906"/>
        <w:gridCol w:w="920"/>
        <w:gridCol w:w="920"/>
      </w:tblGrid>
      <w:tr w:rsidR="000C4646" w:rsidRPr="000C4646" w:rsidTr="00595A75">
        <w:trPr>
          <w:jc w:val="center"/>
        </w:trPr>
        <w:tc>
          <w:tcPr>
            <w:tcW w:w="1216" w:type="dxa"/>
            <w:shd w:val="clear" w:color="auto" w:fill="1795D2" w:themeFill="accent1"/>
            <w:vAlign w:val="center"/>
          </w:tcPr>
          <w:p w:rsidR="000C4646" w:rsidRPr="000C4646" w:rsidRDefault="000C4646" w:rsidP="000C4646">
            <w:pPr>
              <w:keepNext/>
              <w:keepLines/>
              <w:jc w:val="center"/>
              <w:rPr>
                <w:rFonts w:asciiTheme="minorHAnsi" w:hAnsiTheme="minorHAnsi"/>
                <w:b/>
                <w:color w:val="FFFFFF" w:themeColor="background1"/>
                <w:sz w:val="18"/>
                <w:szCs w:val="18"/>
              </w:rPr>
            </w:pPr>
          </w:p>
        </w:tc>
        <w:tc>
          <w:tcPr>
            <w:tcW w:w="3340" w:type="dxa"/>
            <w:shd w:val="clear" w:color="auto" w:fill="1795D2" w:themeFill="accent1"/>
            <w:vAlign w:val="center"/>
          </w:tcPr>
          <w:p w:rsidR="000C4646" w:rsidRPr="000C4646" w:rsidRDefault="000C4646" w:rsidP="000C4646">
            <w:pPr>
              <w:keepNext/>
              <w:keepLines/>
              <w:spacing w:before="80" w:after="80" w:line="240" w:lineRule="auto"/>
              <w:jc w:val="center"/>
              <w:rPr>
                <w:rFonts w:asciiTheme="minorHAnsi" w:hAnsiTheme="minorHAnsi"/>
                <w:b/>
                <w:color w:val="FFFFFF" w:themeColor="background1"/>
                <w:sz w:val="18"/>
                <w:szCs w:val="18"/>
              </w:rPr>
            </w:pPr>
            <w:r w:rsidRPr="000C4646">
              <w:rPr>
                <w:rFonts w:asciiTheme="minorHAnsi" w:hAnsiTheme="minorHAnsi"/>
                <w:b/>
                <w:color w:val="FFFFFF" w:themeColor="background1"/>
                <w:sz w:val="18"/>
                <w:szCs w:val="18"/>
              </w:rPr>
              <w:t>Location</w:t>
            </w:r>
          </w:p>
        </w:tc>
        <w:tc>
          <w:tcPr>
            <w:tcW w:w="0" w:type="auto"/>
            <w:shd w:val="clear" w:color="auto" w:fill="1795D2" w:themeFill="accent1"/>
            <w:vAlign w:val="center"/>
          </w:tcPr>
          <w:p w:rsidR="000C4646" w:rsidRPr="00A5224F" w:rsidRDefault="000C4646">
            <w:pPr>
              <w:keepNext/>
              <w:keepLines/>
              <w:spacing w:before="80" w:after="80" w:line="240" w:lineRule="auto"/>
              <w:jc w:val="center"/>
              <w:rPr>
                <w:rFonts w:asciiTheme="minorHAnsi" w:hAnsiTheme="minorHAnsi"/>
                <w:b/>
                <w:color w:val="FFFFFF" w:themeColor="background1"/>
                <w:sz w:val="18"/>
                <w:szCs w:val="18"/>
                <w:highlight w:val="yellow"/>
              </w:rPr>
            </w:pPr>
            <w:r w:rsidRPr="00924AA6">
              <w:rPr>
                <w:rFonts w:asciiTheme="minorHAnsi" w:hAnsiTheme="minorHAnsi"/>
                <w:b/>
                <w:color w:val="FFFFFF" w:themeColor="background1"/>
                <w:sz w:val="18"/>
                <w:szCs w:val="18"/>
              </w:rPr>
              <w:t>2014</w:t>
            </w:r>
            <w:r w:rsidRPr="00924AA6">
              <w:rPr>
                <w:rFonts w:asciiTheme="minorHAnsi" w:hAnsiTheme="minorHAnsi"/>
                <w:b/>
                <w:color w:val="FFFFFF" w:themeColor="background1"/>
                <w:sz w:val="18"/>
                <w:szCs w:val="18"/>
              </w:rPr>
              <w:br/>
              <w:t>Futures</w:t>
            </w:r>
            <w:r w:rsidRPr="00924AA6">
              <w:rPr>
                <w:rFonts w:asciiTheme="minorHAnsi" w:hAnsiTheme="minorHAnsi"/>
                <w:b/>
                <w:color w:val="FFFFFF" w:themeColor="background1"/>
                <w:sz w:val="18"/>
                <w:szCs w:val="18"/>
                <w:vertAlign w:val="superscript"/>
              </w:rPr>
              <w:t>(b)</w:t>
            </w:r>
            <w:r w:rsidRPr="00924AA6">
              <w:rPr>
                <w:rFonts w:asciiTheme="minorHAnsi" w:hAnsiTheme="minorHAnsi"/>
                <w:b/>
                <w:color w:val="FFFFFF" w:themeColor="background1"/>
                <w:sz w:val="18"/>
                <w:szCs w:val="18"/>
              </w:rPr>
              <w:t xml:space="preserve"> </w:t>
            </w:r>
          </w:p>
        </w:tc>
        <w:tc>
          <w:tcPr>
            <w:tcW w:w="0" w:type="auto"/>
            <w:shd w:val="clear" w:color="auto" w:fill="1795D2" w:themeFill="accent1"/>
            <w:vAlign w:val="center"/>
          </w:tcPr>
          <w:p w:rsidR="000C4646" w:rsidRPr="000C4646" w:rsidRDefault="000C4646" w:rsidP="00924AA6">
            <w:pPr>
              <w:keepNext/>
              <w:keepLines/>
              <w:spacing w:before="80" w:after="80" w:line="240" w:lineRule="auto"/>
              <w:jc w:val="center"/>
              <w:rPr>
                <w:rFonts w:asciiTheme="minorHAnsi" w:hAnsiTheme="minorHAnsi"/>
                <w:b/>
                <w:color w:val="FFFFFF" w:themeColor="background1"/>
                <w:sz w:val="18"/>
                <w:szCs w:val="18"/>
              </w:rPr>
            </w:pPr>
            <w:r w:rsidRPr="000C4646">
              <w:rPr>
                <w:rFonts w:asciiTheme="minorHAnsi" w:hAnsiTheme="minorHAnsi"/>
                <w:b/>
                <w:color w:val="FFFFFF" w:themeColor="background1"/>
                <w:sz w:val="18"/>
                <w:szCs w:val="18"/>
              </w:rPr>
              <w:t>2015</w:t>
            </w:r>
            <w:r w:rsidRPr="000C4646">
              <w:rPr>
                <w:rFonts w:asciiTheme="minorHAnsi" w:hAnsiTheme="minorHAnsi"/>
                <w:b/>
                <w:color w:val="FFFFFF" w:themeColor="background1"/>
                <w:sz w:val="18"/>
                <w:szCs w:val="18"/>
              </w:rPr>
              <w:br/>
              <w:t>Futures</w:t>
            </w:r>
            <w:r w:rsidRPr="000C4646">
              <w:rPr>
                <w:rFonts w:asciiTheme="minorHAnsi" w:hAnsiTheme="minorHAnsi"/>
                <w:b/>
                <w:color w:val="FFFFFF" w:themeColor="background1"/>
                <w:sz w:val="18"/>
                <w:szCs w:val="18"/>
                <w:vertAlign w:val="superscript"/>
              </w:rPr>
              <w:t>(c)</w:t>
            </w:r>
          </w:p>
        </w:tc>
        <w:tc>
          <w:tcPr>
            <w:tcW w:w="920" w:type="dxa"/>
            <w:shd w:val="clear" w:color="auto" w:fill="1795D2" w:themeFill="accent1"/>
            <w:vAlign w:val="center"/>
          </w:tcPr>
          <w:p w:rsidR="000C4646" w:rsidRPr="000C4646" w:rsidRDefault="000C4646" w:rsidP="00924AA6">
            <w:pPr>
              <w:keepNext/>
              <w:keepLines/>
              <w:spacing w:before="80" w:after="80" w:line="240" w:lineRule="auto"/>
              <w:jc w:val="center"/>
              <w:rPr>
                <w:rFonts w:asciiTheme="minorHAnsi" w:hAnsiTheme="minorHAnsi"/>
                <w:b/>
                <w:color w:val="FFFFFF" w:themeColor="background1"/>
                <w:sz w:val="18"/>
                <w:szCs w:val="18"/>
              </w:rPr>
            </w:pPr>
            <w:r w:rsidRPr="000C4646">
              <w:rPr>
                <w:rFonts w:asciiTheme="minorHAnsi" w:hAnsiTheme="minorHAnsi"/>
                <w:b/>
                <w:color w:val="FFFFFF" w:themeColor="background1"/>
                <w:sz w:val="18"/>
                <w:szCs w:val="18"/>
              </w:rPr>
              <w:t>2016</w:t>
            </w:r>
            <w:r w:rsidRPr="000C4646">
              <w:rPr>
                <w:rFonts w:asciiTheme="minorHAnsi" w:hAnsiTheme="minorHAnsi"/>
                <w:b/>
                <w:color w:val="FFFFFF" w:themeColor="background1"/>
                <w:sz w:val="18"/>
                <w:szCs w:val="18"/>
              </w:rPr>
              <w:br/>
              <w:t>Futures</w:t>
            </w:r>
            <w:r w:rsidRPr="000C4646">
              <w:rPr>
                <w:rFonts w:asciiTheme="minorHAnsi" w:hAnsiTheme="minorHAnsi"/>
                <w:b/>
                <w:color w:val="FFFFFF" w:themeColor="background1"/>
                <w:sz w:val="18"/>
                <w:szCs w:val="18"/>
                <w:vertAlign w:val="superscript"/>
              </w:rPr>
              <w:t>(d)</w:t>
            </w:r>
          </w:p>
        </w:tc>
        <w:tc>
          <w:tcPr>
            <w:tcW w:w="920" w:type="dxa"/>
            <w:shd w:val="clear" w:color="auto" w:fill="1795D2" w:themeFill="accent1"/>
            <w:vAlign w:val="center"/>
          </w:tcPr>
          <w:p w:rsidR="000C4646" w:rsidRPr="000C4646" w:rsidRDefault="000C4646" w:rsidP="000C4646">
            <w:pPr>
              <w:keepNext/>
              <w:keepLines/>
              <w:spacing w:before="80" w:after="80" w:line="240" w:lineRule="auto"/>
              <w:jc w:val="center"/>
              <w:rPr>
                <w:rFonts w:asciiTheme="minorHAnsi" w:hAnsiTheme="minorHAnsi"/>
                <w:b/>
                <w:color w:val="FFFFFF" w:themeColor="background1"/>
                <w:sz w:val="18"/>
                <w:szCs w:val="18"/>
              </w:rPr>
            </w:pPr>
            <w:r w:rsidRPr="000C4646">
              <w:rPr>
                <w:rFonts w:asciiTheme="minorHAnsi" w:hAnsiTheme="minorHAnsi"/>
                <w:b/>
                <w:color w:val="FFFFFF" w:themeColor="background1"/>
                <w:sz w:val="18"/>
                <w:szCs w:val="18"/>
              </w:rPr>
              <w:t>2017</w:t>
            </w:r>
          </w:p>
          <w:p w:rsidR="000C4646" w:rsidRPr="000C4646" w:rsidRDefault="000C4646" w:rsidP="000C4646">
            <w:pPr>
              <w:keepNext/>
              <w:keepLines/>
              <w:spacing w:before="80" w:after="80" w:line="240" w:lineRule="auto"/>
              <w:jc w:val="center"/>
              <w:rPr>
                <w:rFonts w:asciiTheme="minorHAnsi" w:hAnsiTheme="minorHAnsi"/>
                <w:b/>
                <w:color w:val="FFFFFF" w:themeColor="background1"/>
                <w:sz w:val="18"/>
                <w:szCs w:val="18"/>
              </w:rPr>
            </w:pPr>
            <w:r w:rsidRPr="000C4646">
              <w:rPr>
                <w:rFonts w:asciiTheme="minorHAnsi" w:hAnsiTheme="minorHAnsi"/>
                <w:b/>
                <w:color w:val="FFFFFF" w:themeColor="background1"/>
                <w:sz w:val="18"/>
                <w:szCs w:val="18"/>
              </w:rPr>
              <w:t>Futures</w:t>
            </w:r>
            <w:r w:rsidRPr="000C4646">
              <w:rPr>
                <w:rFonts w:asciiTheme="minorHAnsi" w:hAnsiTheme="minorHAnsi"/>
                <w:b/>
                <w:color w:val="FFFFFF" w:themeColor="background1"/>
                <w:sz w:val="18"/>
                <w:szCs w:val="18"/>
                <w:vertAlign w:val="superscript"/>
              </w:rPr>
              <w:t>(e)</w:t>
            </w:r>
          </w:p>
        </w:tc>
      </w:tr>
      <w:tr w:rsidR="000C4646" w:rsidRPr="000C4646" w:rsidTr="009243F5">
        <w:trPr>
          <w:jc w:val="center"/>
        </w:trPr>
        <w:tc>
          <w:tcPr>
            <w:tcW w:w="1216" w:type="dxa"/>
            <w:vMerge w:val="restart"/>
            <w:vAlign w:val="center"/>
          </w:tcPr>
          <w:p w:rsidR="000C4646" w:rsidRPr="000C4646" w:rsidRDefault="000C4646" w:rsidP="000C4646">
            <w:pPr>
              <w:keepNext/>
              <w:keepLines/>
              <w:spacing w:after="0" w:line="240" w:lineRule="auto"/>
              <w:rPr>
                <w:rFonts w:asciiTheme="minorHAnsi" w:hAnsiTheme="minorHAnsi"/>
                <w:b/>
                <w:sz w:val="18"/>
                <w:szCs w:val="18"/>
              </w:rPr>
            </w:pPr>
            <w:r w:rsidRPr="000C4646">
              <w:rPr>
                <w:rFonts w:asciiTheme="minorHAnsi" w:hAnsiTheme="minorHAnsi"/>
                <w:b/>
                <w:sz w:val="18"/>
                <w:szCs w:val="18"/>
              </w:rPr>
              <w:t>Natural gas</w:t>
            </w:r>
          </w:p>
          <w:p w:rsidR="000C4646" w:rsidRPr="000C4646" w:rsidRDefault="000C4646" w:rsidP="000C4646">
            <w:pPr>
              <w:keepNext/>
              <w:keepLines/>
              <w:spacing w:after="0" w:line="240" w:lineRule="auto"/>
              <w:rPr>
                <w:rFonts w:asciiTheme="minorHAnsi" w:hAnsiTheme="minorHAnsi"/>
                <w:b/>
                <w:sz w:val="18"/>
                <w:szCs w:val="18"/>
              </w:rPr>
            </w:pPr>
            <w:r w:rsidRPr="000C4646">
              <w:rPr>
                <w:rFonts w:asciiTheme="minorHAnsi" w:hAnsiTheme="minorHAnsi"/>
                <w:b/>
                <w:sz w:val="18"/>
                <w:szCs w:val="18"/>
              </w:rPr>
              <w:t>($/MMBtu)</w:t>
            </w:r>
            <w:r w:rsidRPr="000C4646">
              <w:rPr>
                <w:rFonts w:asciiTheme="minorHAnsi" w:hAnsiTheme="minorHAnsi"/>
                <w:b/>
                <w:sz w:val="18"/>
                <w:szCs w:val="18"/>
                <w:vertAlign w:val="superscript"/>
              </w:rPr>
              <w:t>(f)</w:t>
            </w:r>
          </w:p>
        </w:tc>
        <w:tc>
          <w:tcPr>
            <w:tcW w:w="3340" w:type="dxa"/>
            <w:vAlign w:val="center"/>
          </w:tcPr>
          <w:p w:rsidR="000C4646" w:rsidRPr="000C4646" w:rsidRDefault="000C4646" w:rsidP="000C4646">
            <w:pPr>
              <w:keepNext/>
              <w:keepLines/>
              <w:spacing w:before="80" w:after="80" w:line="240" w:lineRule="auto"/>
              <w:rPr>
                <w:rFonts w:asciiTheme="minorHAnsi" w:hAnsiTheme="minorHAnsi"/>
                <w:sz w:val="18"/>
                <w:szCs w:val="18"/>
              </w:rPr>
            </w:pPr>
            <w:r w:rsidRPr="000C4646">
              <w:rPr>
                <w:rFonts w:asciiTheme="minorHAnsi" w:hAnsiTheme="minorHAnsi"/>
                <w:sz w:val="18"/>
                <w:szCs w:val="18"/>
              </w:rPr>
              <w:t>Algonquin (New England)</w:t>
            </w:r>
          </w:p>
        </w:tc>
        <w:tc>
          <w:tcPr>
            <w:tcW w:w="0" w:type="auto"/>
            <w:vAlign w:val="center"/>
          </w:tcPr>
          <w:p w:rsidR="000C4646" w:rsidRPr="000C4646" w:rsidRDefault="000C4646" w:rsidP="000C4646">
            <w:pPr>
              <w:keepNext/>
              <w:keepLines/>
              <w:spacing w:before="80" w:after="80" w:line="240" w:lineRule="auto"/>
              <w:jc w:val="right"/>
              <w:rPr>
                <w:rFonts w:asciiTheme="minorHAnsi" w:hAnsiTheme="minorHAnsi"/>
                <w:sz w:val="18"/>
                <w:szCs w:val="18"/>
              </w:rPr>
            </w:pPr>
            <w:r w:rsidRPr="000C4646">
              <w:rPr>
                <w:rFonts w:ascii="Calibri" w:hAnsi="Calibri"/>
                <w:color w:val="000000"/>
                <w:sz w:val="18"/>
                <w:szCs w:val="18"/>
              </w:rPr>
              <w:t>11.76</w:t>
            </w:r>
          </w:p>
        </w:tc>
        <w:tc>
          <w:tcPr>
            <w:tcW w:w="0" w:type="auto"/>
            <w:vAlign w:val="center"/>
          </w:tcPr>
          <w:p w:rsidR="000C4646" w:rsidRPr="000C4646" w:rsidRDefault="000C4646" w:rsidP="000C4646">
            <w:pPr>
              <w:keepNext/>
              <w:keepLines/>
              <w:spacing w:before="80" w:after="80" w:line="240" w:lineRule="auto"/>
              <w:jc w:val="right"/>
              <w:rPr>
                <w:rFonts w:asciiTheme="minorHAnsi" w:hAnsiTheme="minorHAnsi"/>
                <w:sz w:val="18"/>
                <w:szCs w:val="18"/>
              </w:rPr>
            </w:pPr>
            <w:r w:rsidRPr="000C4646">
              <w:rPr>
                <w:rFonts w:ascii="Calibri" w:hAnsi="Calibri"/>
                <w:color w:val="000000"/>
                <w:sz w:val="18"/>
                <w:szCs w:val="18"/>
              </w:rPr>
              <w:t>21.45</w:t>
            </w:r>
          </w:p>
        </w:tc>
        <w:tc>
          <w:tcPr>
            <w:tcW w:w="920" w:type="dxa"/>
            <w:vAlign w:val="center"/>
          </w:tcPr>
          <w:p w:rsidR="000C4646" w:rsidRPr="000C4646" w:rsidRDefault="000C4646" w:rsidP="000C4646">
            <w:pPr>
              <w:keepNext/>
              <w:keepLines/>
              <w:spacing w:before="80" w:after="80" w:line="240" w:lineRule="auto"/>
              <w:jc w:val="right"/>
              <w:rPr>
                <w:rFonts w:asciiTheme="minorHAnsi" w:hAnsiTheme="minorHAnsi"/>
                <w:sz w:val="18"/>
                <w:szCs w:val="18"/>
              </w:rPr>
            </w:pPr>
            <w:r w:rsidRPr="000C4646">
              <w:rPr>
                <w:rFonts w:ascii="Calibri" w:hAnsi="Calibri"/>
                <w:color w:val="000000"/>
                <w:sz w:val="18"/>
                <w:szCs w:val="18"/>
              </w:rPr>
              <w:t>9.69</w:t>
            </w:r>
          </w:p>
        </w:tc>
        <w:tc>
          <w:tcPr>
            <w:tcW w:w="920" w:type="dxa"/>
            <w:vAlign w:val="center"/>
          </w:tcPr>
          <w:p w:rsidR="000C4646" w:rsidRPr="000C4646" w:rsidRDefault="000C4646" w:rsidP="000C4646">
            <w:pPr>
              <w:keepNext/>
              <w:keepLines/>
              <w:spacing w:before="80" w:after="80" w:line="240" w:lineRule="auto"/>
              <w:jc w:val="right"/>
              <w:rPr>
                <w:rFonts w:ascii="Calibri" w:hAnsi="Calibri"/>
                <w:color w:val="000000"/>
                <w:sz w:val="18"/>
                <w:szCs w:val="18"/>
              </w:rPr>
            </w:pPr>
            <w:r w:rsidRPr="000C4646">
              <w:rPr>
                <w:rFonts w:ascii="Calibri" w:hAnsi="Calibri"/>
                <w:color w:val="000000"/>
                <w:sz w:val="18"/>
                <w:szCs w:val="18"/>
              </w:rPr>
              <w:t>7.71</w:t>
            </w:r>
          </w:p>
        </w:tc>
      </w:tr>
      <w:tr w:rsidR="000C4646" w:rsidRPr="000C4646" w:rsidTr="00595A75">
        <w:trPr>
          <w:jc w:val="center"/>
        </w:trPr>
        <w:tc>
          <w:tcPr>
            <w:tcW w:w="1216" w:type="dxa"/>
            <w:vMerge/>
            <w:vAlign w:val="center"/>
          </w:tcPr>
          <w:p w:rsidR="000C4646" w:rsidRPr="000C4646" w:rsidRDefault="000C4646" w:rsidP="000C4646">
            <w:pPr>
              <w:keepNext/>
              <w:keepLines/>
              <w:spacing w:after="0" w:line="240" w:lineRule="auto"/>
              <w:rPr>
                <w:rFonts w:asciiTheme="minorHAnsi" w:hAnsiTheme="minorHAnsi"/>
                <w:b/>
                <w:sz w:val="18"/>
                <w:szCs w:val="18"/>
              </w:rPr>
            </w:pPr>
          </w:p>
        </w:tc>
        <w:tc>
          <w:tcPr>
            <w:tcW w:w="3340" w:type="dxa"/>
            <w:shd w:val="clear" w:color="auto" w:fill="CCEAF9" w:themeFill="accent1" w:themeFillTint="33"/>
            <w:vAlign w:val="center"/>
          </w:tcPr>
          <w:p w:rsidR="000C4646" w:rsidRPr="000C4646" w:rsidRDefault="000C4646" w:rsidP="000C4646">
            <w:pPr>
              <w:keepNext/>
              <w:keepLines/>
              <w:spacing w:before="80" w:after="80" w:line="240" w:lineRule="auto"/>
              <w:rPr>
                <w:rFonts w:asciiTheme="minorHAnsi" w:hAnsiTheme="minorHAnsi"/>
                <w:sz w:val="18"/>
                <w:szCs w:val="18"/>
              </w:rPr>
            </w:pPr>
            <w:r w:rsidRPr="000C4646">
              <w:rPr>
                <w:rFonts w:asciiTheme="minorHAnsi" w:hAnsiTheme="minorHAnsi"/>
                <w:sz w:val="18"/>
                <w:szCs w:val="18"/>
              </w:rPr>
              <w:t>Transco Zone 6 non-NY (Mid-Atlantic)</w:t>
            </w:r>
          </w:p>
        </w:tc>
        <w:tc>
          <w:tcPr>
            <w:tcW w:w="0" w:type="auto"/>
            <w:shd w:val="clear" w:color="auto" w:fill="CCEAF9" w:themeFill="accent1" w:themeFillTint="33"/>
            <w:vAlign w:val="center"/>
          </w:tcPr>
          <w:p w:rsidR="000C4646" w:rsidRPr="000C4646" w:rsidRDefault="000C4646" w:rsidP="000C4646">
            <w:pPr>
              <w:keepNext/>
              <w:keepLines/>
              <w:spacing w:before="80" w:after="80" w:line="240" w:lineRule="auto"/>
              <w:jc w:val="right"/>
              <w:rPr>
                <w:rFonts w:asciiTheme="minorHAnsi" w:hAnsiTheme="minorHAnsi"/>
                <w:sz w:val="18"/>
                <w:szCs w:val="18"/>
              </w:rPr>
            </w:pPr>
            <w:r w:rsidRPr="000C4646">
              <w:rPr>
                <w:rFonts w:ascii="Calibri" w:hAnsi="Calibri"/>
                <w:color w:val="000000"/>
                <w:sz w:val="18"/>
                <w:szCs w:val="18"/>
              </w:rPr>
              <w:t>4.78</w:t>
            </w:r>
          </w:p>
        </w:tc>
        <w:tc>
          <w:tcPr>
            <w:tcW w:w="0" w:type="auto"/>
            <w:shd w:val="clear" w:color="auto" w:fill="CCEAF9" w:themeFill="accent1" w:themeFillTint="33"/>
            <w:vAlign w:val="center"/>
          </w:tcPr>
          <w:p w:rsidR="000C4646" w:rsidRPr="000C4646" w:rsidRDefault="000C4646" w:rsidP="000C4646">
            <w:pPr>
              <w:keepNext/>
              <w:keepLines/>
              <w:spacing w:before="80" w:after="80" w:line="240" w:lineRule="auto"/>
              <w:jc w:val="right"/>
              <w:rPr>
                <w:rFonts w:asciiTheme="minorHAnsi" w:hAnsiTheme="minorHAnsi"/>
                <w:sz w:val="18"/>
                <w:szCs w:val="18"/>
              </w:rPr>
            </w:pPr>
            <w:r w:rsidRPr="000C4646">
              <w:rPr>
                <w:rFonts w:ascii="Calibri" w:hAnsi="Calibri"/>
                <w:color w:val="000000"/>
                <w:sz w:val="18"/>
                <w:szCs w:val="18"/>
              </w:rPr>
              <w:t>9.09</w:t>
            </w:r>
          </w:p>
        </w:tc>
        <w:tc>
          <w:tcPr>
            <w:tcW w:w="920" w:type="dxa"/>
            <w:shd w:val="clear" w:color="auto" w:fill="CCEAF9" w:themeFill="accent1" w:themeFillTint="33"/>
            <w:vAlign w:val="center"/>
          </w:tcPr>
          <w:p w:rsidR="000C4646" w:rsidRPr="000C4646" w:rsidRDefault="000C4646" w:rsidP="000C4646">
            <w:pPr>
              <w:keepNext/>
              <w:keepLines/>
              <w:spacing w:before="80" w:after="80" w:line="240" w:lineRule="auto"/>
              <w:jc w:val="right"/>
              <w:rPr>
                <w:rFonts w:asciiTheme="minorHAnsi" w:hAnsiTheme="minorHAnsi"/>
                <w:sz w:val="18"/>
                <w:szCs w:val="18"/>
              </w:rPr>
            </w:pPr>
            <w:r w:rsidRPr="000C4646">
              <w:rPr>
                <w:rFonts w:ascii="Calibri" w:hAnsi="Calibri"/>
                <w:color w:val="000000"/>
                <w:sz w:val="18"/>
                <w:szCs w:val="18"/>
              </w:rPr>
              <w:t>6.21</w:t>
            </w:r>
          </w:p>
        </w:tc>
        <w:tc>
          <w:tcPr>
            <w:tcW w:w="920" w:type="dxa"/>
            <w:shd w:val="clear" w:color="auto" w:fill="CCEAF9" w:themeFill="accent1" w:themeFillTint="33"/>
            <w:vAlign w:val="center"/>
          </w:tcPr>
          <w:p w:rsidR="000C4646" w:rsidRPr="000C4646" w:rsidRDefault="000C4646" w:rsidP="000C4646">
            <w:pPr>
              <w:keepNext/>
              <w:keepLines/>
              <w:spacing w:before="80" w:after="80" w:line="240" w:lineRule="auto"/>
              <w:jc w:val="right"/>
              <w:rPr>
                <w:rFonts w:ascii="Calibri" w:hAnsi="Calibri"/>
                <w:color w:val="000000"/>
                <w:sz w:val="18"/>
                <w:szCs w:val="18"/>
              </w:rPr>
            </w:pPr>
            <w:r w:rsidRPr="000C4646">
              <w:rPr>
                <w:rFonts w:ascii="Calibri" w:hAnsi="Calibri"/>
                <w:color w:val="000000"/>
                <w:sz w:val="18"/>
                <w:szCs w:val="18"/>
              </w:rPr>
              <w:t>6.26</w:t>
            </w:r>
          </w:p>
        </w:tc>
      </w:tr>
      <w:tr w:rsidR="000C4646" w:rsidRPr="000C4646" w:rsidTr="009243F5">
        <w:trPr>
          <w:jc w:val="center"/>
        </w:trPr>
        <w:tc>
          <w:tcPr>
            <w:tcW w:w="1216" w:type="dxa"/>
            <w:vMerge/>
            <w:vAlign w:val="center"/>
          </w:tcPr>
          <w:p w:rsidR="000C4646" w:rsidRPr="000C4646" w:rsidRDefault="000C4646" w:rsidP="000C4646">
            <w:pPr>
              <w:keepNext/>
              <w:keepLines/>
              <w:spacing w:after="0" w:line="240" w:lineRule="auto"/>
              <w:rPr>
                <w:rFonts w:asciiTheme="minorHAnsi" w:hAnsiTheme="minorHAnsi"/>
                <w:b/>
                <w:sz w:val="18"/>
                <w:szCs w:val="18"/>
              </w:rPr>
            </w:pPr>
          </w:p>
        </w:tc>
        <w:tc>
          <w:tcPr>
            <w:tcW w:w="3340" w:type="dxa"/>
            <w:vAlign w:val="center"/>
          </w:tcPr>
          <w:p w:rsidR="000C4646" w:rsidRPr="000C4646" w:rsidRDefault="000C4646" w:rsidP="000C4646">
            <w:pPr>
              <w:keepNext/>
              <w:keepLines/>
              <w:spacing w:before="80" w:after="80" w:line="240" w:lineRule="auto"/>
              <w:rPr>
                <w:rFonts w:asciiTheme="minorHAnsi" w:hAnsiTheme="minorHAnsi"/>
                <w:sz w:val="18"/>
                <w:szCs w:val="18"/>
              </w:rPr>
            </w:pPr>
            <w:r w:rsidRPr="000C4646">
              <w:rPr>
                <w:rFonts w:asciiTheme="minorHAnsi" w:hAnsiTheme="minorHAnsi"/>
                <w:sz w:val="18"/>
                <w:szCs w:val="18"/>
              </w:rPr>
              <w:t>Dominion South (Marcellus)</w:t>
            </w:r>
          </w:p>
        </w:tc>
        <w:tc>
          <w:tcPr>
            <w:tcW w:w="0" w:type="auto"/>
            <w:vAlign w:val="center"/>
          </w:tcPr>
          <w:p w:rsidR="000C4646" w:rsidRPr="000C4646" w:rsidRDefault="000C4646" w:rsidP="000C4646">
            <w:pPr>
              <w:keepNext/>
              <w:keepLines/>
              <w:spacing w:before="80" w:after="80" w:line="240" w:lineRule="auto"/>
              <w:jc w:val="right"/>
              <w:rPr>
                <w:rFonts w:asciiTheme="minorHAnsi" w:hAnsiTheme="minorHAnsi"/>
                <w:sz w:val="18"/>
                <w:szCs w:val="18"/>
              </w:rPr>
            </w:pPr>
            <w:r w:rsidRPr="000C4646">
              <w:rPr>
                <w:rFonts w:ascii="Calibri" w:hAnsi="Calibri"/>
                <w:color w:val="000000"/>
                <w:sz w:val="18"/>
                <w:szCs w:val="18"/>
              </w:rPr>
              <w:t>3.66</w:t>
            </w:r>
          </w:p>
        </w:tc>
        <w:tc>
          <w:tcPr>
            <w:tcW w:w="0" w:type="auto"/>
            <w:vAlign w:val="center"/>
          </w:tcPr>
          <w:p w:rsidR="000C4646" w:rsidRPr="000C4646" w:rsidRDefault="000C4646" w:rsidP="000C4646">
            <w:pPr>
              <w:keepNext/>
              <w:keepLines/>
              <w:spacing w:before="80" w:after="80" w:line="240" w:lineRule="auto"/>
              <w:jc w:val="right"/>
              <w:rPr>
                <w:rFonts w:asciiTheme="minorHAnsi" w:hAnsiTheme="minorHAnsi"/>
                <w:sz w:val="18"/>
                <w:szCs w:val="18"/>
              </w:rPr>
            </w:pPr>
            <w:r w:rsidRPr="000C4646">
              <w:rPr>
                <w:rFonts w:ascii="Calibri" w:hAnsi="Calibri"/>
                <w:color w:val="000000"/>
                <w:sz w:val="18"/>
                <w:szCs w:val="18"/>
              </w:rPr>
              <w:t>2.85</w:t>
            </w:r>
          </w:p>
        </w:tc>
        <w:tc>
          <w:tcPr>
            <w:tcW w:w="920" w:type="dxa"/>
            <w:vAlign w:val="center"/>
          </w:tcPr>
          <w:p w:rsidR="000C4646" w:rsidRPr="000C4646" w:rsidRDefault="000C4646" w:rsidP="000C4646">
            <w:pPr>
              <w:keepNext/>
              <w:keepLines/>
              <w:spacing w:before="80" w:after="80" w:line="240" w:lineRule="auto"/>
              <w:jc w:val="right"/>
              <w:rPr>
                <w:rFonts w:asciiTheme="minorHAnsi" w:hAnsiTheme="minorHAnsi"/>
                <w:sz w:val="18"/>
                <w:szCs w:val="18"/>
              </w:rPr>
            </w:pPr>
            <w:r w:rsidRPr="000C4646">
              <w:rPr>
                <w:rFonts w:ascii="Calibri" w:hAnsi="Calibri"/>
                <w:color w:val="000000"/>
                <w:sz w:val="18"/>
                <w:szCs w:val="18"/>
              </w:rPr>
              <w:t>1.97</w:t>
            </w:r>
          </w:p>
        </w:tc>
        <w:tc>
          <w:tcPr>
            <w:tcW w:w="920" w:type="dxa"/>
            <w:vAlign w:val="center"/>
          </w:tcPr>
          <w:p w:rsidR="000C4646" w:rsidRPr="000C4646" w:rsidRDefault="000C4646" w:rsidP="000C4646">
            <w:pPr>
              <w:keepNext/>
              <w:keepLines/>
              <w:spacing w:before="80" w:after="80" w:line="240" w:lineRule="auto"/>
              <w:jc w:val="right"/>
              <w:rPr>
                <w:rFonts w:ascii="Calibri" w:hAnsi="Calibri"/>
                <w:color w:val="000000"/>
                <w:sz w:val="18"/>
                <w:szCs w:val="18"/>
              </w:rPr>
            </w:pPr>
            <w:r w:rsidRPr="000C4646">
              <w:rPr>
                <w:rFonts w:ascii="Calibri" w:hAnsi="Calibri"/>
                <w:color w:val="000000"/>
                <w:sz w:val="18"/>
                <w:szCs w:val="18"/>
              </w:rPr>
              <w:t>2.14</w:t>
            </w:r>
          </w:p>
        </w:tc>
      </w:tr>
      <w:tr w:rsidR="000C4646" w:rsidRPr="000C4646" w:rsidTr="00595A75">
        <w:trPr>
          <w:jc w:val="center"/>
        </w:trPr>
        <w:tc>
          <w:tcPr>
            <w:tcW w:w="1216" w:type="dxa"/>
            <w:vMerge/>
            <w:vAlign w:val="center"/>
          </w:tcPr>
          <w:p w:rsidR="000C4646" w:rsidRPr="000C4646" w:rsidRDefault="000C4646" w:rsidP="000C4646">
            <w:pPr>
              <w:keepNext/>
              <w:keepLines/>
              <w:spacing w:after="0" w:line="240" w:lineRule="auto"/>
              <w:rPr>
                <w:rFonts w:asciiTheme="minorHAnsi" w:hAnsiTheme="minorHAnsi"/>
                <w:b/>
                <w:sz w:val="18"/>
                <w:szCs w:val="18"/>
              </w:rPr>
            </w:pPr>
          </w:p>
        </w:tc>
        <w:tc>
          <w:tcPr>
            <w:tcW w:w="3340" w:type="dxa"/>
            <w:shd w:val="clear" w:color="auto" w:fill="CCEAF9" w:themeFill="accent1" w:themeFillTint="33"/>
            <w:vAlign w:val="center"/>
          </w:tcPr>
          <w:p w:rsidR="000C4646" w:rsidRPr="000C4646" w:rsidRDefault="000C4646" w:rsidP="000C4646">
            <w:pPr>
              <w:keepNext/>
              <w:keepLines/>
              <w:spacing w:before="80" w:after="80" w:line="240" w:lineRule="auto"/>
              <w:rPr>
                <w:rFonts w:asciiTheme="minorHAnsi" w:hAnsiTheme="minorHAnsi"/>
                <w:sz w:val="18"/>
                <w:szCs w:val="18"/>
              </w:rPr>
            </w:pPr>
            <w:r w:rsidRPr="000C4646">
              <w:rPr>
                <w:rFonts w:asciiTheme="minorHAnsi" w:hAnsiTheme="minorHAnsi"/>
                <w:sz w:val="18"/>
                <w:szCs w:val="18"/>
              </w:rPr>
              <w:t>Southern California border</w:t>
            </w:r>
          </w:p>
        </w:tc>
        <w:tc>
          <w:tcPr>
            <w:tcW w:w="0" w:type="auto"/>
            <w:shd w:val="clear" w:color="auto" w:fill="CCEAF9" w:themeFill="accent1" w:themeFillTint="33"/>
            <w:vAlign w:val="center"/>
          </w:tcPr>
          <w:p w:rsidR="000C4646" w:rsidRPr="000C4646" w:rsidRDefault="000C4646" w:rsidP="000C4646">
            <w:pPr>
              <w:keepNext/>
              <w:keepLines/>
              <w:spacing w:before="80" w:after="80" w:line="240" w:lineRule="auto"/>
              <w:jc w:val="right"/>
              <w:rPr>
                <w:rFonts w:asciiTheme="minorHAnsi" w:hAnsiTheme="minorHAnsi"/>
                <w:sz w:val="18"/>
                <w:szCs w:val="18"/>
              </w:rPr>
            </w:pPr>
            <w:r w:rsidRPr="000C4646">
              <w:rPr>
                <w:rFonts w:ascii="Calibri" w:hAnsi="Calibri"/>
                <w:color w:val="000000"/>
                <w:sz w:val="18"/>
                <w:szCs w:val="18"/>
              </w:rPr>
              <w:t>3.95</w:t>
            </w:r>
          </w:p>
        </w:tc>
        <w:tc>
          <w:tcPr>
            <w:tcW w:w="0" w:type="auto"/>
            <w:shd w:val="clear" w:color="auto" w:fill="CCEAF9" w:themeFill="accent1" w:themeFillTint="33"/>
            <w:vAlign w:val="center"/>
          </w:tcPr>
          <w:p w:rsidR="000C4646" w:rsidRPr="000C4646" w:rsidRDefault="000C4646" w:rsidP="000C4646">
            <w:pPr>
              <w:keepNext/>
              <w:keepLines/>
              <w:spacing w:before="80" w:after="80" w:line="240" w:lineRule="auto"/>
              <w:jc w:val="right"/>
              <w:rPr>
                <w:rFonts w:asciiTheme="minorHAnsi" w:hAnsiTheme="minorHAnsi"/>
                <w:sz w:val="18"/>
                <w:szCs w:val="18"/>
              </w:rPr>
            </w:pPr>
            <w:r w:rsidRPr="000C4646">
              <w:rPr>
                <w:rFonts w:ascii="Calibri" w:hAnsi="Calibri"/>
                <w:color w:val="000000"/>
                <w:sz w:val="18"/>
                <w:szCs w:val="18"/>
              </w:rPr>
              <w:t>4.30</w:t>
            </w:r>
          </w:p>
        </w:tc>
        <w:tc>
          <w:tcPr>
            <w:tcW w:w="920" w:type="dxa"/>
            <w:shd w:val="clear" w:color="auto" w:fill="CCEAF9" w:themeFill="accent1" w:themeFillTint="33"/>
            <w:vAlign w:val="center"/>
          </w:tcPr>
          <w:p w:rsidR="000C4646" w:rsidRPr="000C4646" w:rsidRDefault="000C4646" w:rsidP="000C4646">
            <w:pPr>
              <w:keepNext/>
              <w:keepLines/>
              <w:spacing w:before="80" w:after="80" w:line="240" w:lineRule="auto"/>
              <w:jc w:val="right"/>
              <w:rPr>
                <w:rFonts w:asciiTheme="minorHAnsi" w:hAnsiTheme="minorHAnsi"/>
                <w:sz w:val="18"/>
                <w:szCs w:val="18"/>
              </w:rPr>
            </w:pPr>
            <w:r w:rsidRPr="000C4646">
              <w:rPr>
                <w:rFonts w:ascii="Calibri" w:hAnsi="Calibri"/>
                <w:color w:val="000000"/>
                <w:sz w:val="18"/>
                <w:szCs w:val="18"/>
              </w:rPr>
              <w:t>2.85</w:t>
            </w:r>
          </w:p>
        </w:tc>
        <w:tc>
          <w:tcPr>
            <w:tcW w:w="920" w:type="dxa"/>
            <w:shd w:val="clear" w:color="auto" w:fill="CCEAF9" w:themeFill="accent1" w:themeFillTint="33"/>
            <w:vAlign w:val="center"/>
          </w:tcPr>
          <w:p w:rsidR="000C4646" w:rsidRPr="000C4646" w:rsidRDefault="000C4646" w:rsidP="000C4646">
            <w:pPr>
              <w:keepNext/>
              <w:keepLines/>
              <w:spacing w:before="80" w:after="80" w:line="240" w:lineRule="auto"/>
              <w:jc w:val="right"/>
              <w:rPr>
                <w:rFonts w:ascii="Calibri" w:hAnsi="Calibri"/>
                <w:color w:val="000000"/>
                <w:sz w:val="18"/>
                <w:szCs w:val="18"/>
              </w:rPr>
            </w:pPr>
            <w:r w:rsidRPr="000C4646">
              <w:rPr>
                <w:rFonts w:ascii="Calibri" w:hAnsi="Calibri"/>
                <w:color w:val="000000"/>
                <w:sz w:val="18"/>
                <w:szCs w:val="18"/>
              </w:rPr>
              <w:t>3.79</w:t>
            </w:r>
          </w:p>
        </w:tc>
      </w:tr>
      <w:tr w:rsidR="000C4646" w:rsidRPr="000C4646" w:rsidTr="009243F5">
        <w:trPr>
          <w:jc w:val="center"/>
        </w:trPr>
        <w:tc>
          <w:tcPr>
            <w:tcW w:w="1216" w:type="dxa"/>
            <w:vMerge/>
            <w:tcBorders>
              <w:bottom w:val="triple" w:sz="4" w:space="0" w:color="auto"/>
            </w:tcBorders>
            <w:vAlign w:val="center"/>
          </w:tcPr>
          <w:p w:rsidR="000C4646" w:rsidRPr="000C4646" w:rsidRDefault="000C4646" w:rsidP="000C4646">
            <w:pPr>
              <w:keepNext/>
              <w:keepLines/>
              <w:spacing w:after="0" w:line="240" w:lineRule="auto"/>
              <w:rPr>
                <w:rFonts w:asciiTheme="minorHAnsi" w:hAnsiTheme="minorHAnsi"/>
                <w:b/>
                <w:sz w:val="18"/>
                <w:szCs w:val="18"/>
              </w:rPr>
            </w:pPr>
          </w:p>
        </w:tc>
        <w:tc>
          <w:tcPr>
            <w:tcW w:w="3340" w:type="dxa"/>
            <w:tcBorders>
              <w:bottom w:val="triple" w:sz="4" w:space="0" w:color="auto"/>
            </w:tcBorders>
            <w:vAlign w:val="center"/>
          </w:tcPr>
          <w:p w:rsidR="000C4646" w:rsidRPr="000C4646" w:rsidRDefault="000C4646" w:rsidP="000C4646">
            <w:pPr>
              <w:keepNext/>
              <w:keepLines/>
              <w:spacing w:before="80" w:after="80" w:line="240" w:lineRule="auto"/>
              <w:rPr>
                <w:rFonts w:asciiTheme="minorHAnsi" w:hAnsiTheme="minorHAnsi"/>
                <w:sz w:val="18"/>
                <w:szCs w:val="18"/>
              </w:rPr>
            </w:pPr>
            <w:r w:rsidRPr="000C4646">
              <w:rPr>
                <w:rFonts w:asciiTheme="minorHAnsi" w:hAnsiTheme="minorHAnsi"/>
                <w:sz w:val="18"/>
                <w:szCs w:val="18"/>
              </w:rPr>
              <w:t>Henry Hub</w:t>
            </w:r>
          </w:p>
        </w:tc>
        <w:tc>
          <w:tcPr>
            <w:tcW w:w="0" w:type="auto"/>
            <w:tcBorders>
              <w:bottom w:val="triple" w:sz="4" w:space="0" w:color="auto"/>
            </w:tcBorders>
            <w:vAlign w:val="center"/>
          </w:tcPr>
          <w:p w:rsidR="000C4646" w:rsidRPr="000C4646" w:rsidRDefault="000C4646" w:rsidP="000C4646">
            <w:pPr>
              <w:keepNext/>
              <w:keepLines/>
              <w:spacing w:before="80" w:after="80" w:line="240" w:lineRule="auto"/>
              <w:jc w:val="right"/>
              <w:rPr>
                <w:rFonts w:asciiTheme="minorHAnsi" w:hAnsiTheme="minorHAnsi"/>
                <w:sz w:val="18"/>
                <w:szCs w:val="18"/>
              </w:rPr>
            </w:pPr>
            <w:r w:rsidRPr="000C4646">
              <w:rPr>
                <w:rFonts w:ascii="Calibri" w:hAnsi="Calibri"/>
                <w:color w:val="000000"/>
                <w:sz w:val="18"/>
                <w:szCs w:val="18"/>
              </w:rPr>
              <w:t>3.87</w:t>
            </w:r>
          </w:p>
        </w:tc>
        <w:tc>
          <w:tcPr>
            <w:tcW w:w="0" w:type="auto"/>
            <w:tcBorders>
              <w:bottom w:val="triple" w:sz="4" w:space="0" w:color="auto"/>
            </w:tcBorders>
            <w:vAlign w:val="center"/>
          </w:tcPr>
          <w:p w:rsidR="000C4646" w:rsidRPr="000C4646" w:rsidRDefault="000C4646" w:rsidP="000C4646">
            <w:pPr>
              <w:keepNext/>
              <w:keepLines/>
              <w:spacing w:before="80" w:after="80" w:line="240" w:lineRule="auto"/>
              <w:jc w:val="right"/>
              <w:rPr>
                <w:rFonts w:asciiTheme="minorHAnsi" w:hAnsiTheme="minorHAnsi"/>
                <w:sz w:val="18"/>
                <w:szCs w:val="18"/>
              </w:rPr>
            </w:pPr>
            <w:r w:rsidRPr="000C4646">
              <w:rPr>
                <w:rFonts w:ascii="Calibri" w:hAnsi="Calibri"/>
                <w:color w:val="000000"/>
                <w:sz w:val="18"/>
                <w:szCs w:val="18"/>
              </w:rPr>
              <w:t>4.08</w:t>
            </w:r>
          </w:p>
        </w:tc>
        <w:tc>
          <w:tcPr>
            <w:tcW w:w="920" w:type="dxa"/>
            <w:tcBorders>
              <w:bottom w:val="triple" w:sz="4" w:space="0" w:color="auto"/>
            </w:tcBorders>
            <w:vAlign w:val="center"/>
          </w:tcPr>
          <w:p w:rsidR="000C4646" w:rsidRPr="000C4646" w:rsidRDefault="000C4646" w:rsidP="000C4646">
            <w:pPr>
              <w:keepNext/>
              <w:keepLines/>
              <w:spacing w:before="80" w:after="80" w:line="240" w:lineRule="auto"/>
              <w:jc w:val="right"/>
              <w:rPr>
                <w:rFonts w:asciiTheme="minorHAnsi" w:hAnsiTheme="minorHAnsi"/>
                <w:sz w:val="18"/>
                <w:szCs w:val="18"/>
              </w:rPr>
            </w:pPr>
            <w:r w:rsidRPr="000C4646">
              <w:rPr>
                <w:rFonts w:ascii="Calibri" w:hAnsi="Calibri"/>
                <w:color w:val="000000"/>
                <w:sz w:val="18"/>
                <w:szCs w:val="18"/>
              </w:rPr>
              <w:t>2.77</w:t>
            </w:r>
          </w:p>
        </w:tc>
        <w:tc>
          <w:tcPr>
            <w:tcW w:w="920" w:type="dxa"/>
            <w:tcBorders>
              <w:bottom w:val="triple" w:sz="4" w:space="0" w:color="auto"/>
            </w:tcBorders>
            <w:vAlign w:val="center"/>
          </w:tcPr>
          <w:p w:rsidR="000C4646" w:rsidRPr="000C4646" w:rsidRDefault="000C4646" w:rsidP="000C4646">
            <w:pPr>
              <w:keepNext/>
              <w:keepLines/>
              <w:spacing w:before="80" w:after="80" w:line="240" w:lineRule="auto"/>
              <w:jc w:val="right"/>
              <w:rPr>
                <w:rFonts w:ascii="Calibri" w:hAnsi="Calibri"/>
                <w:color w:val="000000"/>
                <w:sz w:val="18"/>
                <w:szCs w:val="18"/>
              </w:rPr>
            </w:pPr>
            <w:r w:rsidRPr="000C4646">
              <w:rPr>
                <w:rFonts w:ascii="Calibri" w:hAnsi="Calibri"/>
                <w:color w:val="000000"/>
                <w:sz w:val="18"/>
                <w:szCs w:val="18"/>
              </w:rPr>
              <w:t>3.55</w:t>
            </w:r>
          </w:p>
        </w:tc>
      </w:tr>
      <w:tr w:rsidR="000C4646" w:rsidRPr="000C4646" w:rsidTr="00595A75">
        <w:trPr>
          <w:jc w:val="center"/>
        </w:trPr>
        <w:tc>
          <w:tcPr>
            <w:tcW w:w="1216" w:type="dxa"/>
            <w:vMerge w:val="restart"/>
            <w:tcBorders>
              <w:top w:val="triple" w:sz="4" w:space="0" w:color="auto"/>
            </w:tcBorders>
            <w:shd w:val="clear" w:color="auto" w:fill="CCEAF9" w:themeFill="accent1" w:themeFillTint="33"/>
            <w:vAlign w:val="center"/>
          </w:tcPr>
          <w:p w:rsidR="000C4646" w:rsidRPr="000C4646" w:rsidRDefault="000C4646" w:rsidP="000C4646">
            <w:pPr>
              <w:keepNext/>
              <w:keepLines/>
              <w:spacing w:after="0" w:line="240" w:lineRule="auto"/>
              <w:rPr>
                <w:rFonts w:asciiTheme="minorHAnsi" w:hAnsiTheme="minorHAnsi"/>
                <w:b/>
                <w:sz w:val="18"/>
                <w:szCs w:val="18"/>
              </w:rPr>
            </w:pPr>
            <w:r w:rsidRPr="000C4646">
              <w:rPr>
                <w:rFonts w:asciiTheme="minorHAnsi" w:hAnsiTheme="minorHAnsi"/>
                <w:b/>
                <w:sz w:val="18"/>
                <w:szCs w:val="18"/>
              </w:rPr>
              <w:t>Power</w:t>
            </w:r>
          </w:p>
          <w:p w:rsidR="000C4646" w:rsidRPr="000C4646" w:rsidRDefault="000C4646" w:rsidP="000C4646">
            <w:pPr>
              <w:keepNext/>
              <w:keepLines/>
              <w:spacing w:after="0" w:line="240" w:lineRule="auto"/>
              <w:rPr>
                <w:rFonts w:asciiTheme="minorHAnsi" w:hAnsiTheme="minorHAnsi"/>
                <w:b/>
                <w:sz w:val="18"/>
                <w:szCs w:val="18"/>
              </w:rPr>
            </w:pPr>
            <w:r w:rsidRPr="000C4646">
              <w:rPr>
                <w:rFonts w:asciiTheme="minorHAnsi" w:hAnsiTheme="minorHAnsi"/>
                <w:b/>
                <w:sz w:val="18"/>
                <w:szCs w:val="18"/>
              </w:rPr>
              <w:t>($/MWh)</w:t>
            </w:r>
            <w:r w:rsidRPr="000C4646">
              <w:rPr>
                <w:rFonts w:asciiTheme="minorHAnsi" w:hAnsiTheme="minorHAnsi"/>
                <w:b/>
                <w:sz w:val="18"/>
                <w:szCs w:val="18"/>
                <w:vertAlign w:val="superscript"/>
              </w:rPr>
              <w:t>(g)</w:t>
            </w:r>
          </w:p>
        </w:tc>
        <w:tc>
          <w:tcPr>
            <w:tcW w:w="3340" w:type="dxa"/>
            <w:tcBorders>
              <w:top w:val="triple" w:sz="4" w:space="0" w:color="auto"/>
            </w:tcBorders>
            <w:shd w:val="clear" w:color="auto" w:fill="CCEAF9" w:themeFill="accent1" w:themeFillTint="33"/>
            <w:vAlign w:val="center"/>
          </w:tcPr>
          <w:p w:rsidR="000C4646" w:rsidRPr="000C4646" w:rsidRDefault="000C4646" w:rsidP="000C4646">
            <w:pPr>
              <w:keepNext/>
              <w:keepLines/>
              <w:spacing w:before="80" w:after="80" w:line="240" w:lineRule="auto"/>
              <w:rPr>
                <w:rFonts w:asciiTheme="minorHAnsi" w:hAnsiTheme="minorHAnsi"/>
                <w:sz w:val="18"/>
                <w:szCs w:val="18"/>
              </w:rPr>
            </w:pPr>
            <w:r w:rsidRPr="000C4646">
              <w:rPr>
                <w:rFonts w:asciiTheme="minorHAnsi" w:hAnsiTheme="minorHAnsi"/>
                <w:sz w:val="18"/>
                <w:szCs w:val="18"/>
              </w:rPr>
              <w:t>Massachusetts hub</w:t>
            </w:r>
          </w:p>
        </w:tc>
        <w:tc>
          <w:tcPr>
            <w:tcW w:w="0" w:type="auto"/>
            <w:tcBorders>
              <w:top w:val="triple" w:sz="4" w:space="0" w:color="auto"/>
            </w:tcBorders>
            <w:shd w:val="clear" w:color="auto" w:fill="CCEAF9" w:themeFill="accent1" w:themeFillTint="33"/>
            <w:vAlign w:val="center"/>
          </w:tcPr>
          <w:p w:rsidR="000C4646" w:rsidRPr="000C4646" w:rsidRDefault="000C4646" w:rsidP="000C4646">
            <w:pPr>
              <w:keepNext/>
              <w:keepLines/>
              <w:spacing w:before="80" w:after="80" w:line="240" w:lineRule="auto"/>
              <w:jc w:val="right"/>
              <w:rPr>
                <w:rFonts w:asciiTheme="minorHAnsi" w:hAnsiTheme="minorHAnsi"/>
                <w:sz w:val="18"/>
                <w:szCs w:val="18"/>
              </w:rPr>
            </w:pPr>
            <w:r w:rsidRPr="000C4646">
              <w:rPr>
                <w:rFonts w:ascii="Calibri" w:hAnsi="Calibri"/>
                <w:color w:val="000000"/>
                <w:sz w:val="18"/>
                <w:szCs w:val="18"/>
              </w:rPr>
              <w:t>99.88</w:t>
            </w:r>
          </w:p>
        </w:tc>
        <w:tc>
          <w:tcPr>
            <w:tcW w:w="0" w:type="auto"/>
            <w:tcBorders>
              <w:top w:val="triple" w:sz="4" w:space="0" w:color="auto"/>
            </w:tcBorders>
            <w:shd w:val="clear" w:color="auto" w:fill="CCEAF9" w:themeFill="accent1" w:themeFillTint="33"/>
            <w:vAlign w:val="center"/>
          </w:tcPr>
          <w:p w:rsidR="000C4646" w:rsidRPr="000C4646" w:rsidRDefault="000C4646" w:rsidP="000C4646">
            <w:pPr>
              <w:keepNext/>
              <w:keepLines/>
              <w:spacing w:before="80" w:after="80" w:line="240" w:lineRule="auto"/>
              <w:jc w:val="right"/>
              <w:rPr>
                <w:rFonts w:asciiTheme="minorHAnsi" w:hAnsiTheme="minorHAnsi"/>
                <w:sz w:val="18"/>
                <w:szCs w:val="18"/>
              </w:rPr>
            </w:pPr>
            <w:r w:rsidRPr="000C4646">
              <w:rPr>
                <w:rFonts w:ascii="Calibri" w:hAnsi="Calibri"/>
                <w:color w:val="000000"/>
                <w:sz w:val="18"/>
                <w:szCs w:val="18"/>
              </w:rPr>
              <w:t>183.88</w:t>
            </w:r>
          </w:p>
        </w:tc>
        <w:tc>
          <w:tcPr>
            <w:tcW w:w="920" w:type="dxa"/>
            <w:tcBorders>
              <w:top w:val="triple" w:sz="4" w:space="0" w:color="auto"/>
            </w:tcBorders>
            <w:shd w:val="clear" w:color="auto" w:fill="CCEAF9" w:themeFill="accent1" w:themeFillTint="33"/>
            <w:vAlign w:val="center"/>
          </w:tcPr>
          <w:p w:rsidR="000C4646" w:rsidRPr="000C4646" w:rsidRDefault="000C4646" w:rsidP="000C4646">
            <w:pPr>
              <w:keepNext/>
              <w:keepLines/>
              <w:spacing w:before="80" w:after="80" w:line="240" w:lineRule="auto"/>
              <w:jc w:val="right"/>
              <w:rPr>
                <w:rFonts w:asciiTheme="minorHAnsi" w:hAnsiTheme="minorHAnsi"/>
                <w:sz w:val="18"/>
                <w:szCs w:val="18"/>
              </w:rPr>
            </w:pPr>
            <w:r w:rsidRPr="000C4646">
              <w:rPr>
                <w:rFonts w:ascii="Calibri" w:hAnsi="Calibri"/>
                <w:color w:val="000000"/>
                <w:sz w:val="18"/>
                <w:szCs w:val="18"/>
              </w:rPr>
              <w:t>89.28</w:t>
            </w:r>
          </w:p>
        </w:tc>
        <w:tc>
          <w:tcPr>
            <w:tcW w:w="920" w:type="dxa"/>
            <w:tcBorders>
              <w:top w:val="triple" w:sz="4" w:space="0" w:color="auto"/>
            </w:tcBorders>
            <w:shd w:val="clear" w:color="auto" w:fill="CCEAF9" w:themeFill="accent1" w:themeFillTint="33"/>
            <w:vAlign w:val="center"/>
          </w:tcPr>
          <w:p w:rsidR="000C4646" w:rsidRPr="000C4646" w:rsidRDefault="000C4646" w:rsidP="000C4646">
            <w:pPr>
              <w:keepNext/>
              <w:keepLines/>
              <w:spacing w:before="80" w:after="80" w:line="240" w:lineRule="auto"/>
              <w:jc w:val="right"/>
              <w:rPr>
                <w:rFonts w:ascii="Calibri" w:hAnsi="Calibri"/>
                <w:color w:val="000000"/>
                <w:sz w:val="18"/>
                <w:szCs w:val="18"/>
              </w:rPr>
            </w:pPr>
            <w:r w:rsidRPr="000C4646">
              <w:rPr>
                <w:rFonts w:ascii="Calibri" w:hAnsi="Calibri"/>
                <w:color w:val="000000"/>
                <w:sz w:val="18"/>
                <w:szCs w:val="18"/>
              </w:rPr>
              <w:t>78.93</w:t>
            </w:r>
          </w:p>
        </w:tc>
      </w:tr>
      <w:tr w:rsidR="000C4646" w:rsidRPr="000C4646" w:rsidTr="00595A75">
        <w:trPr>
          <w:jc w:val="center"/>
        </w:trPr>
        <w:tc>
          <w:tcPr>
            <w:tcW w:w="1216" w:type="dxa"/>
            <w:vMerge/>
            <w:shd w:val="clear" w:color="auto" w:fill="CCEAF9" w:themeFill="accent1" w:themeFillTint="33"/>
            <w:vAlign w:val="center"/>
          </w:tcPr>
          <w:p w:rsidR="000C4646" w:rsidRPr="000C4646" w:rsidRDefault="000C4646" w:rsidP="000C4646">
            <w:pPr>
              <w:keepNext/>
              <w:keepLines/>
              <w:rPr>
                <w:rFonts w:asciiTheme="minorHAnsi" w:hAnsiTheme="minorHAnsi"/>
                <w:sz w:val="18"/>
                <w:szCs w:val="18"/>
              </w:rPr>
            </w:pPr>
          </w:p>
        </w:tc>
        <w:tc>
          <w:tcPr>
            <w:tcW w:w="3340" w:type="dxa"/>
            <w:vAlign w:val="center"/>
          </w:tcPr>
          <w:p w:rsidR="000C4646" w:rsidRPr="000C4646" w:rsidRDefault="000C4646" w:rsidP="000C4646">
            <w:pPr>
              <w:keepNext/>
              <w:keepLines/>
              <w:spacing w:before="80" w:after="80" w:line="240" w:lineRule="auto"/>
              <w:rPr>
                <w:rFonts w:asciiTheme="minorHAnsi" w:hAnsiTheme="minorHAnsi"/>
                <w:sz w:val="18"/>
                <w:szCs w:val="18"/>
              </w:rPr>
            </w:pPr>
            <w:r w:rsidRPr="000C4646">
              <w:rPr>
                <w:rFonts w:asciiTheme="minorHAnsi" w:hAnsiTheme="minorHAnsi"/>
                <w:sz w:val="18"/>
                <w:szCs w:val="18"/>
              </w:rPr>
              <w:t>PJM western hub</w:t>
            </w:r>
          </w:p>
        </w:tc>
        <w:tc>
          <w:tcPr>
            <w:tcW w:w="0" w:type="auto"/>
            <w:vAlign w:val="center"/>
          </w:tcPr>
          <w:p w:rsidR="000C4646" w:rsidRPr="000C4646" w:rsidRDefault="000C4646" w:rsidP="000C4646">
            <w:pPr>
              <w:keepNext/>
              <w:keepLines/>
              <w:spacing w:before="80" w:after="80" w:line="240" w:lineRule="auto"/>
              <w:jc w:val="right"/>
              <w:rPr>
                <w:rFonts w:asciiTheme="minorHAnsi" w:hAnsiTheme="minorHAnsi"/>
                <w:sz w:val="18"/>
                <w:szCs w:val="18"/>
              </w:rPr>
            </w:pPr>
            <w:r w:rsidRPr="000C4646">
              <w:rPr>
                <w:rFonts w:ascii="Calibri" w:hAnsi="Calibri"/>
                <w:color w:val="000000"/>
                <w:sz w:val="18"/>
                <w:szCs w:val="18"/>
              </w:rPr>
              <w:t>44.90</w:t>
            </w:r>
          </w:p>
        </w:tc>
        <w:tc>
          <w:tcPr>
            <w:tcW w:w="0" w:type="auto"/>
            <w:vAlign w:val="center"/>
          </w:tcPr>
          <w:p w:rsidR="000C4646" w:rsidRPr="000C4646" w:rsidRDefault="000C4646" w:rsidP="000C4646">
            <w:pPr>
              <w:keepNext/>
              <w:keepLines/>
              <w:spacing w:before="80" w:after="80" w:line="240" w:lineRule="auto"/>
              <w:jc w:val="right"/>
              <w:rPr>
                <w:rFonts w:asciiTheme="minorHAnsi" w:hAnsiTheme="minorHAnsi"/>
                <w:sz w:val="18"/>
                <w:szCs w:val="18"/>
              </w:rPr>
            </w:pPr>
            <w:r w:rsidRPr="000C4646">
              <w:rPr>
                <w:rFonts w:ascii="Calibri" w:hAnsi="Calibri"/>
                <w:color w:val="000000"/>
                <w:sz w:val="18"/>
                <w:szCs w:val="18"/>
              </w:rPr>
              <w:t>72.60</w:t>
            </w:r>
          </w:p>
        </w:tc>
        <w:tc>
          <w:tcPr>
            <w:tcW w:w="920" w:type="dxa"/>
            <w:vAlign w:val="center"/>
          </w:tcPr>
          <w:p w:rsidR="000C4646" w:rsidRPr="000C4646" w:rsidRDefault="000C4646" w:rsidP="000C4646">
            <w:pPr>
              <w:keepNext/>
              <w:keepLines/>
              <w:spacing w:before="80" w:after="80" w:line="240" w:lineRule="auto"/>
              <w:jc w:val="right"/>
              <w:rPr>
                <w:rFonts w:asciiTheme="minorHAnsi" w:hAnsiTheme="minorHAnsi"/>
                <w:sz w:val="18"/>
                <w:szCs w:val="18"/>
              </w:rPr>
            </w:pPr>
            <w:r w:rsidRPr="000C4646">
              <w:rPr>
                <w:rFonts w:ascii="Calibri" w:hAnsi="Calibri"/>
                <w:color w:val="000000"/>
                <w:sz w:val="18"/>
                <w:szCs w:val="18"/>
              </w:rPr>
              <w:t>50.56</w:t>
            </w:r>
          </w:p>
        </w:tc>
        <w:tc>
          <w:tcPr>
            <w:tcW w:w="920" w:type="dxa"/>
            <w:vAlign w:val="center"/>
          </w:tcPr>
          <w:p w:rsidR="000C4646" w:rsidRPr="000C4646" w:rsidRDefault="000C4646" w:rsidP="000C4646">
            <w:pPr>
              <w:keepNext/>
              <w:keepLines/>
              <w:spacing w:before="80" w:after="80" w:line="240" w:lineRule="auto"/>
              <w:jc w:val="right"/>
              <w:rPr>
                <w:rFonts w:ascii="Calibri" w:hAnsi="Calibri"/>
                <w:color w:val="000000"/>
                <w:sz w:val="18"/>
                <w:szCs w:val="18"/>
              </w:rPr>
            </w:pPr>
            <w:r w:rsidRPr="000C4646">
              <w:rPr>
                <w:rFonts w:ascii="Calibri" w:hAnsi="Calibri"/>
                <w:color w:val="000000"/>
                <w:sz w:val="18"/>
                <w:szCs w:val="18"/>
              </w:rPr>
              <w:t>55.80</w:t>
            </w:r>
          </w:p>
        </w:tc>
      </w:tr>
      <w:tr w:rsidR="000C4646" w:rsidRPr="000C4646" w:rsidTr="00595A75">
        <w:trPr>
          <w:jc w:val="center"/>
        </w:trPr>
        <w:tc>
          <w:tcPr>
            <w:tcW w:w="1216" w:type="dxa"/>
            <w:vMerge/>
            <w:shd w:val="clear" w:color="auto" w:fill="CCEAF9" w:themeFill="accent1" w:themeFillTint="33"/>
            <w:vAlign w:val="center"/>
          </w:tcPr>
          <w:p w:rsidR="000C4646" w:rsidRPr="000C4646" w:rsidRDefault="000C4646" w:rsidP="000C4646">
            <w:pPr>
              <w:keepNext/>
              <w:keepLines/>
              <w:rPr>
                <w:rFonts w:asciiTheme="minorHAnsi" w:hAnsiTheme="minorHAnsi"/>
                <w:sz w:val="18"/>
                <w:szCs w:val="18"/>
              </w:rPr>
            </w:pPr>
          </w:p>
        </w:tc>
        <w:tc>
          <w:tcPr>
            <w:tcW w:w="3340" w:type="dxa"/>
            <w:shd w:val="clear" w:color="auto" w:fill="CCEAF9" w:themeFill="accent1" w:themeFillTint="33"/>
            <w:vAlign w:val="center"/>
          </w:tcPr>
          <w:p w:rsidR="000C4646" w:rsidRPr="000C4646" w:rsidRDefault="000C4646" w:rsidP="000C4646">
            <w:pPr>
              <w:keepNext/>
              <w:keepLines/>
              <w:spacing w:before="80" w:after="80" w:line="240" w:lineRule="auto"/>
              <w:rPr>
                <w:rFonts w:asciiTheme="minorHAnsi" w:hAnsiTheme="minorHAnsi"/>
                <w:sz w:val="18"/>
                <w:szCs w:val="18"/>
              </w:rPr>
            </w:pPr>
            <w:r w:rsidRPr="000C4646">
              <w:rPr>
                <w:rFonts w:asciiTheme="minorHAnsi" w:hAnsiTheme="minorHAnsi"/>
                <w:sz w:val="18"/>
                <w:szCs w:val="18"/>
              </w:rPr>
              <w:t>Northwest (Mid-Columbia trading point)</w:t>
            </w:r>
            <w:r w:rsidRPr="000C4646">
              <w:rPr>
                <w:rFonts w:asciiTheme="minorHAnsi" w:hAnsiTheme="minorHAnsi"/>
                <w:sz w:val="18"/>
                <w:szCs w:val="18"/>
                <w:vertAlign w:val="superscript"/>
              </w:rPr>
              <w:t>(h)</w:t>
            </w:r>
          </w:p>
        </w:tc>
        <w:tc>
          <w:tcPr>
            <w:tcW w:w="0" w:type="auto"/>
            <w:shd w:val="clear" w:color="auto" w:fill="CCEAF9" w:themeFill="accent1" w:themeFillTint="33"/>
            <w:vAlign w:val="center"/>
          </w:tcPr>
          <w:p w:rsidR="000C4646" w:rsidRPr="000C4646" w:rsidRDefault="000C4646" w:rsidP="000C4646">
            <w:pPr>
              <w:keepNext/>
              <w:keepLines/>
              <w:spacing w:before="80" w:after="80" w:line="240" w:lineRule="auto"/>
              <w:jc w:val="right"/>
              <w:rPr>
                <w:rFonts w:asciiTheme="minorHAnsi" w:hAnsiTheme="minorHAnsi"/>
                <w:sz w:val="18"/>
                <w:szCs w:val="18"/>
              </w:rPr>
            </w:pPr>
            <w:r w:rsidRPr="000C4646">
              <w:rPr>
                <w:rFonts w:ascii="Calibri" w:hAnsi="Calibri"/>
                <w:color w:val="000000"/>
                <w:sz w:val="18"/>
                <w:szCs w:val="18"/>
              </w:rPr>
              <w:t>37.73</w:t>
            </w:r>
          </w:p>
        </w:tc>
        <w:tc>
          <w:tcPr>
            <w:tcW w:w="0" w:type="auto"/>
            <w:shd w:val="clear" w:color="auto" w:fill="CCEAF9" w:themeFill="accent1" w:themeFillTint="33"/>
            <w:vAlign w:val="center"/>
          </w:tcPr>
          <w:p w:rsidR="000C4646" w:rsidRPr="000C4646" w:rsidRDefault="000C4646" w:rsidP="000C4646">
            <w:pPr>
              <w:keepNext/>
              <w:keepLines/>
              <w:spacing w:before="80" w:after="80" w:line="240" w:lineRule="auto"/>
              <w:jc w:val="right"/>
              <w:rPr>
                <w:rFonts w:asciiTheme="minorHAnsi" w:hAnsiTheme="minorHAnsi"/>
                <w:sz w:val="18"/>
                <w:szCs w:val="18"/>
              </w:rPr>
            </w:pPr>
            <w:r w:rsidRPr="000C4646">
              <w:rPr>
                <w:rFonts w:ascii="Calibri" w:hAnsi="Calibri"/>
                <w:color w:val="000000"/>
                <w:sz w:val="18"/>
                <w:szCs w:val="18"/>
              </w:rPr>
              <w:t>35.75</w:t>
            </w:r>
          </w:p>
        </w:tc>
        <w:tc>
          <w:tcPr>
            <w:tcW w:w="920" w:type="dxa"/>
            <w:shd w:val="clear" w:color="auto" w:fill="CCEAF9" w:themeFill="accent1" w:themeFillTint="33"/>
            <w:vAlign w:val="center"/>
          </w:tcPr>
          <w:p w:rsidR="000C4646" w:rsidRPr="000C4646" w:rsidRDefault="000C4646" w:rsidP="000C4646">
            <w:pPr>
              <w:keepNext/>
              <w:keepLines/>
              <w:spacing w:before="80" w:after="80" w:line="240" w:lineRule="auto"/>
              <w:jc w:val="right"/>
              <w:rPr>
                <w:rFonts w:asciiTheme="minorHAnsi" w:hAnsiTheme="minorHAnsi"/>
                <w:sz w:val="18"/>
                <w:szCs w:val="18"/>
              </w:rPr>
            </w:pPr>
            <w:r w:rsidRPr="000C4646">
              <w:rPr>
                <w:rFonts w:ascii="Calibri" w:hAnsi="Calibri"/>
                <w:color w:val="000000"/>
                <w:sz w:val="18"/>
                <w:szCs w:val="18"/>
              </w:rPr>
              <w:t>24.88</w:t>
            </w:r>
          </w:p>
        </w:tc>
        <w:tc>
          <w:tcPr>
            <w:tcW w:w="920" w:type="dxa"/>
            <w:shd w:val="clear" w:color="auto" w:fill="CCEAF9" w:themeFill="accent1" w:themeFillTint="33"/>
            <w:vAlign w:val="center"/>
          </w:tcPr>
          <w:p w:rsidR="000C4646" w:rsidRPr="000C4646" w:rsidRDefault="000C4646" w:rsidP="000C4646">
            <w:pPr>
              <w:keepNext/>
              <w:keepLines/>
              <w:spacing w:before="80" w:after="80" w:line="240" w:lineRule="auto"/>
              <w:jc w:val="right"/>
              <w:rPr>
                <w:rFonts w:ascii="Calibri" w:hAnsi="Calibri"/>
                <w:color w:val="000000"/>
                <w:sz w:val="18"/>
                <w:szCs w:val="18"/>
              </w:rPr>
            </w:pPr>
            <w:r w:rsidRPr="000C4646">
              <w:rPr>
                <w:rFonts w:ascii="Calibri" w:hAnsi="Calibri"/>
                <w:color w:val="000000"/>
                <w:sz w:val="18"/>
                <w:szCs w:val="18"/>
              </w:rPr>
              <w:t>32.05</w:t>
            </w:r>
          </w:p>
        </w:tc>
      </w:tr>
      <w:tr w:rsidR="000C4646" w:rsidRPr="000C4646" w:rsidTr="00595A75">
        <w:trPr>
          <w:jc w:val="center"/>
        </w:trPr>
        <w:tc>
          <w:tcPr>
            <w:tcW w:w="1216" w:type="dxa"/>
            <w:vMerge/>
            <w:shd w:val="clear" w:color="auto" w:fill="CCEAF9" w:themeFill="accent1" w:themeFillTint="33"/>
            <w:vAlign w:val="center"/>
          </w:tcPr>
          <w:p w:rsidR="000C4646" w:rsidRPr="000C4646" w:rsidRDefault="000C4646" w:rsidP="000C4646">
            <w:pPr>
              <w:keepNext/>
              <w:keepLines/>
              <w:rPr>
                <w:rFonts w:asciiTheme="minorHAnsi" w:hAnsiTheme="minorHAnsi"/>
                <w:sz w:val="18"/>
                <w:szCs w:val="18"/>
              </w:rPr>
            </w:pPr>
          </w:p>
        </w:tc>
        <w:tc>
          <w:tcPr>
            <w:tcW w:w="3340" w:type="dxa"/>
            <w:vAlign w:val="center"/>
          </w:tcPr>
          <w:p w:rsidR="000C4646" w:rsidRPr="000C4646" w:rsidRDefault="000C4646" w:rsidP="000C4646">
            <w:pPr>
              <w:keepNext/>
              <w:keepLines/>
              <w:spacing w:before="80" w:after="80" w:line="240" w:lineRule="auto"/>
              <w:rPr>
                <w:rFonts w:asciiTheme="minorHAnsi" w:hAnsiTheme="minorHAnsi"/>
                <w:sz w:val="18"/>
                <w:szCs w:val="18"/>
              </w:rPr>
            </w:pPr>
            <w:r w:rsidRPr="000C4646">
              <w:rPr>
                <w:rFonts w:asciiTheme="minorHAnsi" w:hAnsiTheme="minorHAnsi"/>
                <w:sz w:val="18"/>
                <w:szCs w:val="18"/>
              </w:rPr>
              <w:t>Southern California (SP-15)</w:t>
            </w:r>
            <w:r w:rsidRPr="000C4646">
              <w:rPr>
                <w:rFonts w:asciiTheme="minorHAnsi" w:hAnsiTheme="minorHAnsi"/>
                <w:sz w:val="18"/>
                <w:szCs w:val="18"/>
                <w:vertAlign w:val="superscript"/>
              </w:rPr>
              <w:t>(i)</w:t>
            </w:r>
          </w:p>
        </w:tc>
        <w:tc>
          <w:tcPr>
            <w:tcW w:w="0" w:type="auto"/>
            <w:vAlign w:val="center"/>
          </w:tcPr>
          <w:p w:rsidR="000C4646" w:rsidRPr="000C4646" w:rsidRDefault="000C4646" w:rsidP="000C4646">
            <w:pPr>
              <w:keepNext/>
              <w:keepLines/>
              <w:spacing w:before="80" w:after="80" w:line="240" w:lineRule="auto"/>
              <w:jc w:val="right"/>
              <w:rPr>
                <w:rFonts w:asciiTheme="minorHAnsi" w:hAnsiTheme="minorHAnsi"/>
                <w:sz w:val="18"/>
                <w:szCs w:val="18"/>
              </w:rPr>
            </w:pPr>
            <w:r w:rsidRPr="000C4646">
              <w:rPr>
                <w:rFonts w:ascii="Calibri" w:hAnsi="Calibri"/>
                <w:color w:val="000000"/>
                <w:sz w:val="18"/>
                <w:szCs w:val="18"/>
              </w:rPr>
              <w:t>42.25</w:t>
            </w:r>
            <w:r w:rsidRPr="000C4646">
              <w:rPr>
                <w:rFonts w:ascii="Calibri" w:hAnsi="Calibri"/>
                <w:color w:val="000000"/>
                <w:sz w:val="18"/>
                <w:szCs w:val="18"/>
                <w:vertAlign w:val="superscript"/>
              </w:rPr>
              <w:t>(j)</w:t>
            </w:r>
          </w:p>
        </w:tc>
        <w:tc>
          <w:tcPr>
            <w:tcW w:w="0" w:type="auto"/>
            <w:vAlign w:val="center"/>
          </w:tcPr>
          <w:p w:rsidR="000C4646" w:rsidRPr="000C4646" w:rsidRDefault="005123BD" w:rsidP="000C4646">
            <w:pPr>
              <w:keepNext/>
              <w:keepLines/>
              <w:spacing w:before="80" w:after="80" w:line="240" w:lineRule="auto"/>
              <w:jc w:val="right"/>
              <w:rPr>
                <w:rFonts w:asciiTheme="minorHAnsi" w:hAnsiTheme="minorHAnsi"/>
                <w:sz w:val="18"/>
                <w:szCs w:val="18"/>
              </w:rPr>
            </w:pPr>
            <w:r>
              <w:rPr>
                <w:rFonts w:ascii="Calibri" w:hAnsi="Calibri"/>
                <w:color w:val="000000"/>
                <w:sz w:val="18"/>
                <w:szCs w:val="18"/>
              </w:rPr>
              <w:t>4</w:t>
            </w:r>
            <w:r w:rsidR="000C4646" w:rsidRPr="000C4646">
              <w:rPr>
                <w:rFonts w:ascii="Calibri" w:hAnsi="Calibri"/>
                <w:color w:val="000000"/>
                <w:sz w:val="18"/>
                <w:szCs w:val="18"/>
              </w:rPr>
              <w:t>6.13</w:t>
            </w:r>
          </w:p>
        </w:tc>
        <w:tc>
          <w:tcPr>
            <w:tcW w:w="920" w:type="dxa"/>
            <w:vAlign w:val="center"/>
          </w:tcPr>
          <w:p w:rsidR="000C4646" w:rsidRPr="000C4646" w:rsidRDefault="000C4646" w:rsidP="000C4646">
            <w:pPr>
              <w:keepNext/>
              <w:keepLines/>
              <w:spacing w:before="80" w:after="80" w:line="240" w:lineRule="auto"/>
              <w:jc w:val="right"/>
              <w:rPr>
                <w:rFonts w:asciiTheme="minorHAnsi" w:hAnsiTheme="minorHAnsi"/>
                <w:sz w:val="18"/>
                <w:szCs w:val="18"/>
              </w:rPr>
            </w:pPr>
            <w:r w:rsidRPr="000C4646">
              <w:rPr>
                <w:rFonts w:ascii="Calibri" w:hAnsi="Calibri"/>
                <w:color w:val="000000"/>
                <w:sz w:val="18"/>
                <w:szCs w:val="18"/>
              </w:rPr>
              <w:t>33.76</w:t>
            </w:r>
          </w:p>
        </w:tc>
        <w:tc>
          <w:tcPr>
            <w:tcW w:w="920" w:type="dxa"/>
            <w:vAlign w:val="center"/>
          </w:tcPr>
          <w:p w:rsidR="000C4646" w:rsidRPr="000C4646" w:rsidRDefault="000C4646" w:rsidP="000C4646">
            <w:pPr>
              <w:keepNext/>
              <w:keepLines/>
              <w:spacing w:before="80" w:after="80" w:line="240" w:lineRule="auto"/>
              <w:jc w:val="right"/>
              <w:rPr>
                <w:rFonts w:ascii="Calibri" w:hAnsi="Calibri"/>
                <w:color w:val="000000"/>
                <w:sz w:val="18"/>
                <w:szCs w:val="18"/>
              </w:rPr>
            </w:pPr>
            <w:r w:rsidRPr="000C4646">
              <w:rPr>
                <w:rFonts w:ascii="Calibri" w:hAnsi="Calibri"/>
                <w:color w:val="000000"/>
                <w:sz w:val="18"/>
                <w:szCs w:val="18"/>
              </w:rPr>
              <w:t>41.18</w:t>
            </w:r>
          </w:p>
        </w:tc>
      </w:tr>
    </w:tbl>
    <w:p w:rsidR="000C4646" w:rsidRPr="000C4646" w:rsidRDefault="000C4646" w:rsidP="009A2981">
      <w:pPr>
        <w:keepNext/>
        <w:keepLines/>
        <w:spacing w:before="120" w:after="80" w:line="240" w:lineRule="auto"/>
        <w:ind w:left="360" w:right="180" w:hanging="270"/>
        <w:rPr>
          <w:rFonts w:ascii="Calibri" w:hAnsi="Calibri"/>
          <w:bCs/>
          <w:sz w:val="16"/>
          <w:szCs w:val="16"/>
        </w:rPr>
      </w:pPr>
      <w:r w:rsidRPr="000C4646">
        <w:rPr>
          <w:rFonts w:ascii="Calibri" w:hAnsi="Calibri"/>
          <w:bCs/>
          <w:sz w:val="16"/>
          <w:szCs w:val="16"/>
        </w:rPr>
        <w:t xml:space="preserve">(a) </w:t>
      </w:r>
      <w:r w:rsidRPr="000C4646">
        <w:rPr>
          <w:rFonts w:ascii="Calibri" w:hAnsi="Calibri"/>
          <w:bCs/>
          <w:sz w:val="16"/>
          <w:szCs w:val="16"/>
        </w:rPr>
        <w:tab/>
        <w:t xml:space="preserve">Sources: Derived ICE and Nymex data and FERC, </w:t>
      </w:r>
      <w:r w:rsidRPr="000C4646">
        <w:rPr>
          <w:rFonts w:ascii="Calibri" w:hAnsi="Calibri"/>
          <w:bCs/>
          <w:i/>
          <w:sz w:val="16"/>
          <w:szCs w:val="16"/>
        </w:rPr>
        <w:t>2014–2015, 2015–2016, and 2016–2017  Winter Energy Market Assessment Presentation</w:t>
      </w:r>
      <w:r w:rsidRPr="000C4646">
        <w:rPr>
          <w:rFonts w:ascii="Calibri" w:hAnsi="Calibri"/>
          <w:bCs/>
          <w:sz w:val="16"/>
          <w:szCs w:val="16"/>
        </w:rPr>
        <w:t xml:space="preserve"> (October 16, 2014), (October 15, 2015), and (October 20, 2016); </w:t>
      </w:r>
      <w:hyperlink r:id="rId66" w:history="1">
        <w:r w:rsidRPr="000C4646">
          <w:rPr>
            <w:rFonts w:ascii="Calibri" w:hAnsi="Calibri"/>
            <w:bCs/>
            <w:sz w:val="16"/>
            <w:szCs w:val="16"/>
          </w:rPr>
          <w:t>http://www.ferc.gov/market-oversight/reports-analyses/mkt-views/2014/10-16-14-A-3.pdf</w:t>
        </w:r>
      </w:hyperlink>
      <w:r w:rsidRPr="000C4646">
        <w:rPr>
          <w:rFonts w:ascii="Calibri" w:hAnsi="Calibri"/>
          <w:bCs/>
          <w:sz w:val="16"/>
          <w:szCs w:val="16"/>
        </w:rPr>
        <w:t xml:space="preserve">,  </w:t>
      </w:r>
      <w:hyperlink r:id="rId67" w:history="1">
        <w:r w:rsidRPr="000C4646">
          <w:rPr>
            <w:rFonts w:ascii="Calibri" w:hAnsi="Calibri"/>
            <w:bCs/>
            <w:color w:val="000000"/>
            <w:sz w:val="16"/>
            <w:szCs w:val="16"/>
          </w:rPr>
          <w:t>https://www.ferc.gov/market-oversight/reports-analyses/mkt-views/2015/10-15-15-A-3.pdf</w:t>
        </w:r>
      </w:hyperlink>
      <w:r w:rsidRPr="000C4646">
        <w:rPr>
          <w:rFonts w:ascii="Calibri" w:hAnsi="Calibri"/>
          <w:bCs/>
          <w:sz w:val="16"/>
          <w:szCs w:val="16"/>
        </w:rPr>
        <w:t>, and https://www.ferc.gov/market-oversight/reports-analyses/mkt-views/2016/10-20-16-A-3.pdf.</w:t>
      </w:r>
    </w:p>
    <w:p w:rsidR="000C4646" w:rsidRPr="000C4646" w:rsidRDefault="000C4646" w:rsidP="009A2981">
      <w:pPr>
        <w:keepNext/>
        <w:keepLines/>
        <w:spacing w:after="80" w:line="240" w:lineRule="auto"/>
        <w:ind w:left="360" w:right="180" w:hanging="270"/>
        <w:rPr>
          <w:rFonts w:ascii="Calibri" w:hAnsi="Calibri"/>
          <w:bCs/>
          <w:sz w:val="16"/>
          <w:szCs w:val="16"/>
        </w:rPr>
      </w:pPr>
      <w:r w:rsidRPr="000C4646">
        <w:rPr>
          <w:rFonts w:ascii="Calibri" w:hAnsi="Calibri"/>
          <w:bCs/>
          <w:sz w:val="16"/>
          <w:szCs w:val="16"/>
        </w:rPr>
        <w:t xml:space="preserve">(b) </w:t>
      </w:r>
      <w:r w:rsidRPr="000C4646">
        <w:rPr>
          <w:rFonts w:ascii="Calibri" w:hAnsi="Calibri"/>
          <w:bCs/>
          <w:sz w:val="16"/>
          <w:szCs w:val="16"/>
        </w:rPr>
        <w:tab/>
        <w:t>January and February 2014 futures pricing is as of October 1, 2013.</w:t>
      </w:r>
    </w:p>
    <w:p w:rsidR="000C4646" w:rsidRPr="000C4646" w:rsidRDefault="000C4646" w:rsidP="009A2981">
      <w:pPr>
        <w:keepNext/>
        <w:keepLines/>
        <w:spacing w:after="80" w:line="240" w:lineRule="auto"/>
        <w:ind w:left="360" w:right="180" w:hanging="270"/>
        <w:rPr>
          <w:rFonts w:ascii="Calibri" w:hAnsi="Calibri"/>
          <w:sz w:val="16"/>
          <w:szCs w:val="16"/>
        </w:rPr>
      </w:pPr>
      <w:r w:rsidRPr="000C4646">
        <w:rPr>
          <w:rFonts w:ascii="Calibri" w:hAnsi="Calibri"/>
          <w:sz w:val="16"/>
          <w:szCs w:val="16"/>
        </w:rPr>
        <w:t>(c)</w:t>
      </w:r>
      <w:r w:rsidRPr="000C4646">
        <w:rPr>
          <w:rFonts w:ascii="Calibri" w:hAnsi="Calibri"/>
          <w:sz w:val="16"/>
          <w:szCs w:val="16"/>
        </w:rPr>
        <w:tab/>
        <w:t xml:space="preserve">January and February 2015 futures pricing is as of October 1, 2014. </w:t>
      </w:r>
    </w:p>
    <w:p w:rsidR="000C4646" w:rsidRPr="000C4646" w:rsidRDefault="000C4646" w:rsidP="009A2981">
      <w:pPr>
        <w:keepNext/>
        <w:spacing w:after="80" w:line="240" w:lineRule="auto"/>
        <w:ind w:left="360" w:right="180" w:hanging="270"/>
        <w:rPr>
          <w:rFonts w:ascii="Calibri" w:hAnsi="Calibri"/>
          <w:sz w:val="16"/>
          <w:szCs w:val="16"/>
        </w:rPr>
      </w:pPr>
      <w:r w:rsidRPr="000C4646">
        <w:rPr>
          <w:rFonts w:ascii="Calibri" w:hAnsi="Calibri"/>
          <w:sz w:val="16"/>
          <w:szCs w:val="16"/>
        </w:rPr>
        <w:t>(d)</w:t>
      </w:r>
      <w:r w:rsidRPr="000C4646">
        <w:rPr>
          <w:rFonts w:ascii="Calibri" w:hAnsi="Calibri"/>
          <w:sz w:val="16"/>
          <w:szCs w:val="16"/>
        </w:rPr>
        <w:tab/>
        <w:t xml:space="preserve">January and February 2016 futures pricing as of October 1, 2015. </w:t>
      </w:r>
    </w:p>
    <w:p w:rsidR="000C4646" w:rsidRPr="000C4646" w:rsidRDefault="000C4646" w:rsidP="009A2981">
      <w:pPr>
        <w:keepNext/>
        <w:spacing w:after="80" w:line="240" w:lineRule="auto"/>
        <w:ind w:left="360" w:right="180" w:hanging="270"/>
        <w:rPr>
          <w:rFonts w:ascii="Calibri" w:hAnsi="Calibri"/>
          <w:sz w:val="16"/>
          <w:szCs w:val="16"/>
        </w:rPr>
      </w:pPr>
      <w:r w:rsidRPr="000C4646">
        <w:rPr>
          <w:rFonts w:ascii="Calibri" w:hAnsi="Calibri"/>
          <w:sz w:val="16"/>
          <w:szCs w:val="16"/>
        </w:rPr>
        <w:t>(e)</w:t>
      </w:r>
      <w:r w:rsidRPr="000C4646">
        <w:rPr>
          <w:rFonts w:ascii="Calibri" w:hAnsi="Calibri"/>
          <w:sz w:val="16"/>
          <w:szCs w:val="16"/>
        </w:rPr>
        <w:tab/>
        <w:t>January and February 2017 futures pricing as of October 1, 2016. Futures location pricing is derived from CME Group/NYMEX and OTC Global Holdings futures for the above locations.</w:t>
      </w:r>
    </w:p>
    <w:p w:rsidR="000C4646" w:rsidRPr="000C4646" w:rsidRDefault="000C4646" w:rsidP="009A2981">
      <w:pPr>
        <w:keepNext/>
        <w:spacing w:after="80" w:line="240" w:lineRule="auto"/>
        <w:ind w:left="360" w:right="180" w:hanging="270"/>
        <w:rPr>
          <w:rFonts w:ascii="Calibri" w:hAnsi="Calibri"/>
          <w:bCs/>
          <w:sz w:val="16"/>
          <w:szCs w:val="16"/>
        </w:rPr>
      </w:pPr>
      <w:r w:rsidRPr="000C4646" w:rsidDel="00D232AA">
        <w:rPr>
          <w:rFonts w:ascii="Calibri" w:hAnsi="Calibri"/>
          <w:sz w:val="16"/>
          <w:szCs w:val="16"/>
        </w:rPr>
        <w:t xml:space="preserve"> </w:t>
      </w:r>
      <w:r w:rsidRPr="000C4646">
        <w:rPr>
          <w:rFonts w:ascii="Calibri" w:hAnsi="Calibri"/>
          <w:bCs/>
          <w:sz w:val="16"/>
          <w:szCs w:val="16"/>
        </w:rPr>
        <w:t>(f)</w:t>
      </w:r>
      <w:r w:rsidRPr="000C4646">
        <w:rPr>
          <w:rFonts w:ascii="Calibri" w:hAnsi="Calibri"/>
          <w:bCs/>
          <w:sz w:val="16"/>
          <w:szCs w:val="16"/>
        </w:rPr>
        <w:tab/>
        <w:t>Gas prices ($/MMBtu) shown are regional futures prices (the sum of the Henry Hub future contract price plus the regional basis futures).</w:t>
      </w:r>
    </w:p>
    <w:p w:rsidR="000C4646" w:rsidRPr="000C4646" w:rsidRDefault="000C4646" w:rsidP="009A2981">
      <w:pPr>
        <w:keepNext/>
        <w:keepLines/>
        <w:spacing w:after="80" w:line="240" w:lineRule="auto"/>
        <w:ind w:left="360" w:right="180" w:hanging="270"/>
        <w:rPr>
          <w:rFonts w:ascii="Calibri" w:hAnsi="Calibri"/>
          <w:bCs/>
          <w:sz w:val="16"/>
          <w:szCs w:val="16"/>
        </w:rPr>
      </w:pPr>
      <w:r w:rsidRPr="000C4646">
        <w:rPr>
          <w:rFonts w:ascii="Calibri" w:hAnsi="Calibri"/>
          <w:bCs/>
          <w:sz w:val="16"/>
          <w:szCs w:val="16"/>
        </w:rPr>
        <w:t xml:space="preserve">(g) </w:t>
      </w:r>
      <w:r w:rsidRPr="000C4646">
        <w:rPr>
          <w:rFonts w:ascii="Calibri" w:hAnsi="Calibri"/>
          <w:bCs/>
          <w:sz w:val="16"/>
          <w:szCs w:val="16"/>
        </w:rPr>
        <w:tab/>
        <w:t>Power prices ($/MWh) shown are peak financial swap prices.</w:t>
      </w:r>
    </w:p>
    <w:p w:rsidR="000C4646" w:rsidRPr="000C4646" w:rsidRDefault="000C4646" w:rsidP="009A2981">
      <w:pPr>
        <w:keepNext/>
        <w:keepLines/>
        <w:spacing w:after="80" w:line="240" w:lineRule="auto"/>
        <w:ind w:left="360" w:right="180" w:hanging="270"/>
        <w:rPr>
          <w:rFonts w:ascii="Calibri" w:hAnsi="Calibri"/>
          <w:bCs/>
          <w:sz w:val="16"/>
          <w:szCs w:val="16"/>
        </w:rPr>
      </w:pPr>
      <w:r w:rsidRPr="000C4646">
        <w:rPr>
          <w:rFonts w:ascii="Calibri" w:hAnsi="Calibri"/>
          <w:bCs/>
          <w:sz w:val="16"/>
          <w:szCs w:val="16"/>
        </w:rPr>
        <w:t>(h)</w:t>
      </w:r>
      <w:r w:rsidRPr="000C4646">
        <w:rPr>
          <w:rFonts w:ascii="Calibri" w:hAnsi="Calibri"/>
          <w:bCs/>
          <w:sz w:val="16"/>
          <w:szCs w:val="16"/>
        </w:rPr>
        <w:tab/>
        <w:t xml:space="preserve">The Mid-Columbia electric trading point is a center point along the Columbia River on the border between Washington and Oregon states. </w:t>
      </w:r>
    </w:p>
    <w:p w:rsidR="000C4646" w:rsidRPr="000C4646" w:rsidRDefault="000C4646" w:rsidP="009A2981">
      <w:pPr>
        <w:keepNext/>
        <w:keepLines/>
        <w:spacing w:after="80" w:line="240" w:lineRule="auto"/>
        <w:ind w:left="360" w:right="180" w:hanging="270"/>
        <w:rPr>
          <w:rFonts w:ascii="Calibri" w:hAnsi="Calibri"/>
          <w:bCs/>
          <w:sz w:val="16"/>
          <w:szCs w:val="16"/>
        </w:rPr>
      </w:pPr>
      <w:r w:rsidRPr="00F4497C">
        <w:rPr>
          <w:rFonts w:ascii="Calibri" w:hAnsi="Calibri"/>
          <w:bCs/>
          <w:sz w:val="16"/>
          <w:szCs w:val="16"/>
        </w:rPr>
        <w:t xml:space="preserve">(i) </w:t>
      </w:r>
      <w:r w:rsidRPr="00F4497C">
        <w:rPr>
          <w:rFonts w:ascii="Calibri" w:hAnsi="Calibri"/>
          <w:bCs/>
          <w:sz w:val="16"/>
          <w:szCs w:val="16"/>
        </w:rPr>
        <w:tab/>
        <w:t xml:space="preserve">SP-15 refers to </w:t>
      </w:r>
      <w:r w:rsidR="00F4497C" w:rsidRPr="00F4497C">
        <w:rPr>
          <w:rFonts w:ascii="Calibri" w:hAnsi="Calibri"/>
          <w:bCs/>
          <w:sz w:val="16"/>
          <w:szCs w:val="16"/>
        </w:rPr>
        <w:t>California Independent System Operator’s (</w:t>
      </w:r>
      <w:r w:rsidRPr="00F4497C">
        <w:rPr>
          <w:rFonts w:ascii="Calibri" w:hAnsi="Calibri"/>
          <w:bCs/>
          <w:sz w:val="16"/>
          <w:szCs w:val="16"/>
        </w:rPr>
        <w:t>CAISO’s</w:t>
      </w:r>
      <w:r w:rsidR="00F4497C" w:rsidRPr="00F4497C">
        <w:rPr>
          <w:rFonts w:ascii="Calibri" w:hAnsi="Calibri"/>
          <w:bCs/>
          <w:sz w:val="16"/>
          <w:szCs w:val="16"/>
        </w:rPr>
        <w:t>)</w:t>
      </w:r>
      <w:r w:rsidRPr="00F4497C">
        <w:rPr>
          <w:rFonts w:ascii="Calibri" w:hAnsi="Calibri"/>
          <w:bCs/>
          <w:sz w:val="16"/>
          <w:szCs w:val="16"/>
        </w:rPr>
        <w:t xml:space="preserve"> zone covering southern California.</w:t>
      </w:r>
      <w:r w:rsidRPr="000C4646">
        <w:rPr>
          <w:rFonts w:ascii="Calibri" w:hAnsi="Calibri"/>
          <w:bCs/>
          <w:sz w:val="16"/>
          <w:szCs w:val="16"/>
        </w:rPr>
        <w:t xml:space="preserve"> </w:t>
      </w:r>
    </w:p>
    <w:p w:rsidR="000C4646" w:rsidRPr="000C4646" w:rsidRDefault="000C4646" w:rsidP="009A2981">
      <w:pPr>
        <w:spacing w:line="240" w:lineRule="auto"/>
        <w:ind w:left="360" w:right="180" w:hanging="270"/>
        <w:rPr>
          <w:rFonts w:ascii="Calibri" w:hAnsi="Calibri"/>
          <w:bCs/>
          <w:sz w:val="16"/>
          <w:szCs w:val="16"/>
        </w:rPr>
      </w:pPr>
      <w:r w:rsidRPr="000C4646">
        <w:rPr>
          <w:rFonts w:ascii="Calibri" w:eastAsia="Calibri" w:hAnsi="Calibri"/>
          <w:sz w:val="16"/>
          <w:szCs w:val="16"/>
        </w:rPr>
        <w:t xml:space="preserve">(j) </w:t>
      </w:r>
      <w:r w:rsidRPr="000C4646">
        <w:rPr>
          <w:rFonts w:ascii="Calibri" w:eastAsia="Calibri" w:hAnsi="Calibri"/>
          <w:sz w:val="16"/>
          <w:szCs w:val="16"/>
        </w:rPr>
        <w:tab/>
        <w:t>The futures pricing for SP-15 2014 is as of October 31, 2013.</w:t>
      </w:r>
    </w:p>
    <w:p w:rsidR="000C4646" w:rsidRPr="000C4646" w:rsidRDefault="000C4646" w:rsidP="000C4646">
      <w:pPr>
        <w:pStyle w:val="Heading2"/>
        <w:rPr>
          <w:rFonts w:eastAsia="Times New Roman"/>
        </w:rPr>
      </w:pPr>
      <w:bookmarkStart w:id="715" w:name="_Toc429063440"/>
      <w:bookmarkStart w:id="716" w:name="_Toc490323076"/>
      <w:bookmarkEnd w:id="713"/>
      <w:bookmarkEnd w:id="714"/>
      <w:r w:rsidRPr="000C4646">
        <w:rPr>
          <w:rFonts w:eastAsia="Times New Roman"/>
        </w:rPr>
        <w:t>Addressing Fuel-Security and Cost Risks</w:t>
      </w:r>
      <w:bookmarkEnd w:id="715"/>
      <w:bookmarkEnd w:id="716"/>
    </w:p>
    <w:p w:rsidR="000C4646" w:rsidRPr="000C4646" w:rsidRDefault="000C4646" w:rsidP="000C4646">
      <w:r w:rsidRPr="000C4646">
        <w:t xml:space="preserve">A number of solutions to the fuel-security and cost-volatility risk are underway. These measures include improved coordination between the electric power system and natural gas sector, winter reliability programs, revised wholesale electricity market rules (see Section </w:t>
      </w:r>
      <w:r w:rsidR="00FC2C85">
        <w:fldChar w:fldCharType="begin"/>
      </w:r>
      <w:r w:rsidR="00FC2C85">
        <w:instrText xml:space="preserve"> REF _Ref485737104 \r \h </w:instrText>
      </w:r>
      <w:r w:rsidR="00FC2C85">
        <w:fldChar w:fldCharType="separate"/>
      </w:r>
      <w:r w:rsidR="00314781">
        <w:t>10.3.3</w:t>
      </w:r>
      <w:r w:rsidR="00FC2C85">
        <w:fldChar w:fldCharType="end"/>
      </w:r>
      <w:r w:rsidRPr="000C4646">
        <w:t>) and pipeline infrastructure expansion and enhancements. Fuel stored as oil, LNG, and compressed natural gas also improve the fuel security of the region</w:t>
      </w:r>
      <w:r w:rsidR="005B146A">
        <w:t xml:space="preserve">. </w:t>
      </w:r>
    </w:p>
    <w:p w:rsidR="000C4646" w:rsidRPr="000C4646" w:rsidRDefault="000C4646" w:rsidP="000C4646">
      <w:pPr>
        <w:pStyle w:val="Heading3"/>
      </w:pPr>
      <w:bookmarkStart w:id="717" w:name="_Ref418968603"/>
      <w:bookmarkStart w:id="718" w:name="_Toc429063441"/>
      <w:bookmarkStart w:id="719" w:name="_Toc490323077"/>
      <w:r w:rsidRPr="000C4646">
        <w:t>Electric Power System and Natural Gas Sector Coordination</w:t>
      </w:r>
      <w:bookmarkEnd w:id="717"/>
      <w:bookmarkEnd w:id="718"/>
      <w:bookmarkEnd w:id="719"/>
    </w:p>
    <w:p w:rsidR="000C4646" w:rsidRPr="000C4646" w:rsidRDefault="000C4646" w:rsidP="000C4646">
      <w:pPr>
        <w:rPr>
          <w:i/>
        </w:rPr>
      </w:pPr>
      <w:r w:rsidRPr="000C4646">
        <w:t xml:space="preserve">The implementation of operating procedures and an increase in communications between electric power and natural gas system operators over the past several years have improved the coordination between the natural gas and electric power systems and have prevented certain operational risks. ISO efforts have included examining data from various sources to estimate the availability of natural gas for electric </w:t>
      </w:r>
      <w:r w:rsidRPr="000C4646">
        <w:lastRenderedPageBreak/>
        <w:t>energy purposes, analyzing capacity scenarios across different seasons using information gathered from fuel surveys and pipelines, and establishing operating plans to deal with different system conditions.</w:t>
      </w:r>
      <w:r w:rsidRPr="000C4646">
        <w:rPr>
          <w:i/>
        </w:rPr>
        <w:t xml:space="preserve"> </w:t>
      </w:r>
    </w:p>
    <w:p w:rsidR="000C4646" w:rsidRPr="000C4646" w:rsidRDefault="000C4646" w:rsidP="000C4646">
      <w:r w:rsidRPr="000C4646">
        <w:rPr>
          <w:vertAlign w:val="superscript"/>
        </w:rPr>
        <w:t xml:space="preserve"> </w:t>
      </w:r>
      <w:r w:rsidRPr="00D61577">
        <w:t xml:space="preserve">The ISO continues to work with the natural gas industry to address the challenges of the increasing interdependency between the gas and electric power industries. </w:t>
      </w:r>
      <w:r w:rsidRPr="00E04A99">
        <w:t xml:space="preserve">Ways in which the gas sector could assist with reliability efforts include having gas suppliers provide generators with additional </w:t>
      </w:r>
      <w:r w:rsidRPr="00CE147E">
        <w:t>opportunities to obtain fuel outside normal business hours, having pipelines offer more flexible scheduling</w:t>
      </w:r>
      <w:r w:rsidR="00E04A99" w:rsidRPr="00EB4FB0">
        <w:t xml:space="preserve"> by modifying the nomination process</w:t>
      </w:r>
      <w:r w:rsidRPr="00CE147E">
        <w:t xml:space="preserve">, offering additional nonratable transportation services, </w:t>
      </w:r>
      <w:r w:rsidR="00E04A99" w:rsidRPr="00EB4FB0">
        <w:t xml:space="preserve">physically improving infrastructure, </w:t>
      </w:r>
      <w:r w:rsidRPr="00CE147E">
        <w:t>and</w:t>
      </w:r>
      <w:r w:rsidRPr="00E04A99">
        <w:t xml:space="preserve"> continually improving real</w:t>
      </w:r>
      <w:r w:rsidRPr="00D61577">
        <w:t>-time information exchange on the status of the pipeline system</w:t>
      </w:r>
      <w:r w:rsidRPr="00CE147E">
        <w:t>.</w:t>
      </w:r>
      <w:r w:rsidR="00D61577" w:rsidRPr="00CE147E">
        <w:t xml:space="preserve"> The a</w:t>
      </w:r>
      <w:r w:rsidR="00D61577" w:rsidRPr="00EB4FB0">
        <w:t>dditional flexibility of pipeline operations could facilitate more variable electric power system operations, including using fast-start generation, regulation, ramping, and reserves.</w:t>
      </w:r>
    </w:p>
    <w:p w:rsidR="000C4646" w:rsidRPr="000C4646" w:rsidRDefault="000C4646" w:rsidP="000C4646">
      <w:pPr>
        <w:pStyle w:val="Heading3"/>
      </w:pPr>
      <w:bookmarkStart w:id="720" w:name="_Toc429063442"/>
      <w:bookmarkStart w:id="721" w:name="_Toc490323078"/>
      <w:r w:rsidRPr="000C4646">
        <w:t xml:space="preserve">Fuel </w:t>
      </w:r>
      <w:bookmarkEnd w:id="720"/>
      <w:r w:rsidRPr="000C4646">
        <w:t>Security—Use of Oil, LNG, Compressed Natural Gas, and Efficiency Measures</w:t>
      </w:r>
      <w:bookmarkEnd w:id="721"/>
    </w:p>
    <w:p w:rsidR="000C4646" w:rsidRPr="000C4646" w:rsidRDefault="000C4646" w:rsidP="000C4646">
      <w:r w:rsidRPr="000C4646">
        <w:fldChar w:fldCharType="begin"/>
      </w:r>
      <w:r w:rsidRPr="000C4646">
        <w:instrText xml:space="preserve"> REF _Ref417840330 \h  \* MERGEFORMAT </w:instrText>
      </w:r>
      <w:r w:rsidRPr="000C4646">
        <w:fldChar w:fldCharType="separate"/>
      </w:r>
      <w:r w:rsidR="00314781" w:rsidRPr="000162C8">
        <w:rPr>
          <w:bCs/>
          <w:szCs w:val="18"/>
        </w:rPr>
        <w:t xml:space="preserve">Figure </w:t>
      </w:r>
      <w:r w:rsidR="00314781" w:rsidRPr="000162C8">
        <w:rPr>
          <w:bCs/>
          <w:noProof/>
          <w:szCs w:val="18"/>
        </w:rPr>
        <w:t>7</w:t>
      </w:r>
      <w:r w:rsidR="00314781" w:rsidRPr="000162C8">
        <w:rPr>
          <w:bCs/>
          <w:noProof/>
          <w:szCs w:val="18"/>
        </w:rPr>
        <w:noBreakHyphen/>
        <w:t>8</w:t>
      </w:r>
      <w:r w:rsidRPr="000C4646">
        <w:fldChar w:fldCharType="end"/>
      </w:r>
      <w:r w:rsidRPr="000C4646">
        <w:t xml:space="preserve"> displays a comparison of the total number of barrels of fuel oil (both heavy and light oil) burned at all regional fossil stations in 2015/2016 compared with the amount burned in 2016/2017</w:t>
      </w:r>
      <w:r w:rsidR="005B146A">
        <w:t xml:space="preserve">. </w:t>
      </w:r>
      <w:r w:rsidRPr="000C4646">
        <w:t>The overall amount of fuel oil burned was approximately 19% higher in 2016/2017 than in the prior winter. The regional electric power sector consumed approximately 136,754 barrels (bbls) in December 2016, approximately 55,895 bbls in January 2017, and approximately 78,677 bbls during February 2017, bringing the three-month total of fuel oil used to approximately 271,325 bbls.</w:t>
      </w:r>
      <w:r w:rsidRPr="000C4646">
        <w:rPr>
          <w:vertAlign w:val="superscript"/>
        </w:rPr>
        <w:footnoteReference w:id="201"/>
      </w:r>
      <w:r w:rsidRPr="000C4646">
        <w:t xml:space="preserve"> </w:t>
      </w:r>
    </w:p>
    <w:p w:rsidR="000C4646" w:rsidRPr="000C4646" w:rsidRDefault="000C4646" w:rsidP="000C4646">
      <w:pPr>
        <w:keepNext/>
        <w:keepLines/>
        <w:spacing w:after="0" w:line="240" w:lineRule="auto"/>
        <w:jc w:val="center"/>
      </w:pPr>
      <w:r w:rsidRPr="000C4646">
        <w:rPr>
          <w:noProof/>
        </w:rPr>
        <w:drawing>
          <wp:inline distT="0" distB="0" distL="0" distR="0" wp14:anchorId="5E4CE984" wp14:editId="47A74FB5">
            <wp:extent cx="4521200" cy="2540000"/>
            <wp:effectExtent l="19050" t="19050" r="12700" b="1270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513645" cy="2535756"/>
                    </a:xfrm>
                    <a:prstGeom prst="rect">
                      <a:avLst/>
                    </a:prstGeom>
                    <a:noFill/>
                    <a:ln>
                      <a:solidFill>
                        <a:srgbClr val="002060"/>
                      </a:solidFill>
                    </a:ln>
                  </pic:spPr>
                </pic:pic>
              </a:graphicData>
            </a:graphic>
          </wp:inline>
        </w:drawing>
      </w:r>
    </w:p>
    <w:p w:rsidR="000C4646" w:rsidRPr="000C4646" w:rsidRDefault="000C4646" w:rsidP="000C4646">
      <w:pPr>
        <w:keepNext/>
        <w:keepLines/>
        <w:spacing w:before="120" w:after="80" w:line="240" w:lineRule="auto"/>
        <w:ind w:left="994" w:right="994"/>
        <w:rPr>
          <w:rFonts w:ascii="Calibri" w:hAnsi="Calibri"/>
          <w:b/>
          <w:bCs/>
          <w:szCs w:val="18"/>
        </w:rPr>
      </w:pPr>
      <w:bookmarkStart w:id="722" w:name="_Ref417840330"/>
      <w:bookmarkStart w:id="723" w:name="_Toc429063536"/>
      <w:bookmarkStart w:id="724" w:name="_Toc486233216"/>
      <w:r w:rsidRPr="000C4646">
        <w:rPr>
          <w:rFonts w:ascii="Calibri" w:hAnsi="Calibri"/>
          <w:b/>
          <w:bCs/>
          <w:szCs w:val="18"/>
        </w:rPr>
        <w:t xml:space="preserve">Figure </w:t>
      </w:r>
      <w:r w:rsidRPr="000C4646">
        <w:rPr>
          <w:rFonts w:ascii="Calibri" w:hAnsi="Calibri"/>
          <w:b/>
          <w:bCs/>
          <w:szCs w:val="18"/>
        </w:rPr>
        <w:fldChar w:fldCharType="begin"/>
      </w:r>
      <w:r w:rsidRPr="000C4646">
        <w:rPr>
          <w:rFonts w:ascii="Calibri" w:hAnsi="Calibri"/>
          <w:b/>
          <w:bCs/>
          <w:szCs w:val="18"/>
        </w:rPr>
        <w:instrText xml:space="preserve"> STYLEREF 1 \s </w:instrText>
      </w:r>
      <w:r w:rsidRPr="000C4646">
        <w:rPr>
          <w:rFonts w:ascii="Calibri" w:hAnsi="Calibri"/>
          <w:b/>
          <w:bCs/>
          <w:szCs w:val="18"/>
        </w:rPr>
        <w:fldChar w:fldCharType="separate"/>
      </w:r>
      <w:r w:rsidR="00314781">
        <w:rPr>
          <w:rFonts w:ascii="Calibri" w:hAnsi="Calibri"/>
          <w:b/>
          <w:bCs/>
          <w:noProof/>
          <w:szCs w:val="18"/>
        </w:rPr>
        <w:t>7</w:t>
      </w:r>
      <w:r w:rsidRPr="000C4646">
        <w:rPr>
          <w:rFonts w:ascii="Calibri" w:hAnsi="Calibri"/>
          <w:b/>
          <w:bCs/>
          <w:szCs w:val="18"/>
        </w:rPr>
        <w:fldChar w:fldCharType="end"/>
      </w:r>
      <w:r w:rsidRPr="000C4646">
        <w:rPr>
          <w:rFonts w:ascii="Calibri" w:hAnsi="Calibri"/>
          <w:b/>
          <w:bCs/>
          <w:szCs w:val="18"/>
        </w:rPr>
        <w:noBreakHyphen/>
      </w:r>
      <w:r w:rsidRPr="000C4646">
        <w:rPr>
          <w:rFonts w:ascii="Calibri" w:hAnsi="Calibri"/>
          <w:b/>
          <w:bCs/>
          <w:szCs w:val="18"/>
        </w:rPr>
        <w:fldChar w:fldCharType="begin"/>
      </w:r>
      <w:r w:rsidRPr="000C4646">
        <w:rPr>
          <w:rFonts w:ascii="Calibri" w:hAnsi="Calibri"/>
          <w:b/>
          <w:bCs/>
          <w:szCs w:val="18"/>
        </w:rPr>
        <w:instrText xml:space="preserve"> SEQ Figure \* ARABIC \s 1 </w:instrText>
      </w:r>
      <w:r w:rsidRPr="000C4646">
        <w:rPr>
          <w:rFonts w:ascii="Calibri" w:hAnsi="Calibri"/>
          <w:b/>
          <w:bCs/>
          <w:szCs w:val="18"/>
        </w:rPr>
        <w:fldChar w:fldCharType="separate"/>
      </w:r>
      <w:r w:rsidR="00314781">
        <w:rPr>
          <w:rFonts w:ascii="Calibri" w:hAnsi="Calibri"/>
          <w:b/>
          <w:bCs/>
          <w:noProof/>
          <w:szCs w:val="18"/>
        </w:rPr>
        <w:t>8</w:t>
      </w:r>
      <w:r w:rsidRPr="000C4646">
        <w:rPr>
          <w:rFonts w:ascii="Calibri" w:hAnsi="Calibri"/>
          <w:b/>
          <w:bCs/>
          <w:szCs w:val="18"/>
        </w:rPr>
        <w:fldChar w:fldCharType="end"/>
      </w:r>
      <w:bookmarkEnd w:id="722"/>
      <w:r w:rsidRPr="000C4646">
        <w:rPr>
          <w:rFonts w:ascii="Calibri" w:hAnsi="Calibri"/>
          <w:b/>
          <w:bCs/>
          <w:szCs w:val="18"/>
        </w:rPr>
        <w:t>:  Monthly fuel burn (both heavy and light oil) at all New England fossil-fuel stations, winter 2015/2016 and 2016/2017 (beginning of each month) (barrels)</w:t>
      </w:r>
      <w:bookmarkEnd w:id="723"/>
      <w:bookmarkEnd w:id="724"/>
    </w:p>
    <w:p w:rsidR="000C4646" w:rsidRPr="009E7046" w:rsidRDefault="000C4646" w:rsidP="000C4646">
      <w:pPr>
        <w:spacing w:line="240" w:lineRule="auto"/>
        <w:ind w:left="994" w:right="994"/>
        <w:rPr>
          <w:rFonts w:asciiTheme="minorHAnsi" w:hAnsiTheme="minorHAnsi"/>
          <w:sz w:val="18"/>
          <w:szCs w:val="18"/>
        </w:rPr>
      </w:pPr>
      <w:r w:rsidRPr="009E7046">
        <w:rPr>
          <w:rFonts w:asciiTheme="minorHAnsi" w:hAnsiTheme="minorHAnsi"/>
          <w:b/>
          <w:sz w:val="18"/>
          <w:szCs w:val="18"/>
        </w:rPr>
        <w:t>Note:</w:t>
      </w:r>
      <w:r w:rsidRPr="009E7046">
        <w:rPr>
          <w:rFonts w:asciiTheme="minorHAnsi" w:hAnsiTheme="minorHAnsi"/>
          <w:sz w:val="18"/>
          <w:szCs w:val="18"/>
        </w:rPr>
        <w:t xml:space="preserve"> All values were taken from </w:t>
      </w:r>
      <w:r w:rsidR="003338CE" w:rsidRPr="009E7046">
        <w:rPr>
          <w:rFonts w:asciiTheme="minorHAnsi" w:hAnsiTheme="minorHAnsi"/>
          <w:sz w:val="18"/>
          <w:szCs w:val="18"/>
        </w:rPr>
        <w:t xml:space="preserve">fuel </w:t>
      </w:r>
      <w:r w:rsidRPr="009E7046">
        <w:rPr>
          <w:rFonts w:asciiTheme="minorHAnsi" w:hAnsiTheme="minorHAnsi"/>
          <w:sz w:val="18"/>
          <w:szCs w:val="18"/>
        </w:rPr>
        <w:t xml:space="preserve">surveys submitted </w:t>
      </w:r>
      <w:r w:rsidR="003338CE" w:rsidRPr="009E7046">
        <w:rPr>
          <w:rFonts w:asciiTheme="minorHAnsi" w:hAnsiTheme="minorHAnsi"/>
          <w:sz w:val="18"/>
          <w:szCs w:val="18"/>
        </w:rPr>
        <w:t xml:space="preserve">to the ISO </w:t>
      </w:r>
      <w:r w:rsidRPr="009E7046">
        <w:rPr>
          <w:rFonts w:asciiTheme="minorHAnsi" w:hAnsiTheme="minorHAnsi"/>
          <w:sz w:val="18"/>
          <w:szCs w:val="18"/>
        </w:rPr>
        <w:t>on the first day of each</w:t>
      </w:r>
      <w:r w:rsidRPr="000C4646">
        <w:rPr>
          <w:rFonts w:asciiTheme="minorHAnsi" w:hAnsiTheme="minorHAnsi"/>
          <w:sz w:val="18"/>
          <w:szCs w:val="18"/>
        </w:rPr>
        <w:t xml:space="preserve"> </w:t>
      </w:r>
      <w:r w:rsidRPr="009E7046">
        <w:rPr>
          <w:rFonts w:asciiTheme="minorHAnsi" w:hAnsiTheme="minorHAnsi"/>
          <w:sz w:val="18"/>
          <w:szCs w:val="18"/>
        </w:rPr>
        <w:t>month.</w:t>
      </w:r>
    </w:p>
    <w:p w:rsidR="000C4646" w:rsidRPr="000C4646" w:rsidRDefault="00D7069B" w:rsidP="000C4646">
      <w:r w:rsidRPr="009E7046">
        <w:t xml:space="preserve">During </w:t>
      </w:r>
      <w:r w:rsidR="009E7046" w:rsidRPr="00EB4FB0">
        <w:t>winters 2015/2016 and 2016/2017</w:t>
      </w:r>
      <w:r w:rsidRPr="009E7046">
        <w:t>,</w:t>
      </w:r>
      <w:r w:rsidR="009E7046" w:rsidRPr="00EB4FB0">
        <w:t xml:space="preserve"> </w:t>
      </w:r>
      <w:r w:rsidRPr="00EB4FB0">
        <w:t>o</w:t>
      </w:r>
      <w:r w:rsidR="000C4646" w:rsidRPr="009E7046">
        <w:t xml:space="preserve">il was a reliable fuel source and </w:t>
      </w:r>
      <w:r w:rsidR="009E7046" w:rsidRPr="009E7046">
        <w:t>capped</w:t>
      </w:r>
      <w:r w:rsidR="000C4646" w:rsidRPr="009E7046">
        <w:t xml:space="preserve"> the effects that high natural gas prices ha</w:t>
      </w:r>
      <w:r w:rsidR="009E7046" w:rsidRPr="009E7046">
        <w:t>d</w:t>
      </w:r>
      <w:r w:rsidR="000C4646" w:rsidRPr="009E7046">
        <w:t xml:space="preserve"> on the wholesale electric system markets. </w:t>
      </w:r>
      <w:r w:rsidRPr="009E7046">
        <w:t>In general, o</w:t>
      </w:r>
      <w:r w:rsidR="000C4646" w:rsidRPr="009E7046">
        <w:t>il</w:t>
      </w:r>
      <w:r w:rsidR="000C4646" w:rsidRPr="000C4646">
        <w:t xml:space="preserve"> consumption during the winter months increases, which relieves stress on the natural gas fuel supply for New England </w:t>
      </w:r>
      <w:r w:rsidR="000C4646" w:rsidRPr="00B062CD">
        <w:t xml:space="preserve">generators. Specifically, natural gas prices above $6.00/MBtu </w:t>
      </w:r>
      <w:r w:rsidR="00B062CD" w:rsidRPr="00B062CD">
        <w:t xml:space="preserve">at Algonquin Gates and TGP Dracut </w:t>
      </w:r>
      <w:r w:rsidR="00611013" w:rsidRPr="00B062CD">
        <w:t>(refer</w:t>
      </w:r>
      <w:r w:rsidR="00611013" w:rsidRPr="00A5224F">
        <w:t xml:space="preserve"> </w:t>
      </w:r>
      <w:r w:rsidR="00611013" w:rsidRPr="00B062CD">
        <w:lastRenderedPageBreak/>
        <w:t xml:space="preserve">to </w:t>
      </w:r>
      <w:r w:rsidR="00611013" w:rsidRPr="00B062CD">
        <w:fldChar w:fldCharType="begin"/>
      </w:r>
      <w:r w:rsidR="00611013" w:rsidRPr="00B062CD">
        <w:instrText xml:space="preserve"> REF _Ref418956280 \h  \* MERGEFORMAT </w:instrText>
      </w:r>
      <w:r w:rsidR="00611013" w:rsidRPr="00B062CD">
        <w:fldChar w:fldCharType="separate"/>
      </w:r>
      <w:r w:rsidR="00611013" w:rsidRPr="00B062CD">
        <w:rPr>
          <w:bCs/>
          <w:szCs w:val="18"/>
        </w:rPr>
        <w:t xml:space="preserve">Figure </w:t>
      </w:r>
      <w:r w:rsidR="00611013" w:rsidRPr="00B062CD">
        <w:rPr>
          <w:bCs/>
          <w:noProof/>
          <w:szCs w:val="18"/>
        </w:rPr>
        <w:t>7</w:t>
      </w:r>
      <w:r w:rsidR="00611013" w:rsidRPr="00B062CD">
        <w:rPr>
          <w:bCs/>
          <w:noProof/>
          <w:szCs w:val="18"/>
        </w:rPr>
        <w:noBreakHyphen/>
        <w:t>7</w:t>
      </w:r>
      <w:r w:rsidR="00611013" w:rsidRPr="00B062CD">
        <w:fldChar w:fldCharType="end"/>
      </w:r>
      <w:r w:rsidR="00611013" w:rsidRPr="00B062CD">
        <w:t xml:space="preserve">, above) </w:t>
      </w:r>
      <w:r w:rsidR="000C4646" w:rsidRPr="00B062CD">
        <w:t xml:space="preserve">were indicative of </w:t>
      </w:r>
      <w:r w:rsidR="00A5224F" w:rsidRPr="00B062CD">
        <w:t xml:space="preserve">when natural gas supplies to generators were tight </w:t>
      </w:r>
      <w:r w:rsidR="000C4646" w:rsidRPr="00B062CD">
        <w:t>during winter 2016/2017</w:t>
      </w:r>
      <w:r w:rsidR="00B062CD" w:rsidRPr="00B062CD">
        <w:t>.</w:t>
      </w:r>
    </w:p>
    <w:p w:rsidR="000C4646" w:rsidRPr="000C4646" w:rsidRDefault="002805FF" w:rsidP="000C4646">
      <w:r w:rsidRPr="002805FF">
        <w:fldChar w:fldCharType="begin"/>
      </w:r>
      <w:r w:rsidRPr="002805FF">
        <w:instrText xml:space="preserve"> REF _Ref485805901 \h  \* MERGEFORMAT </w:instrText>
      </w:r>
      <w:r w:rsidRPr="002805FF">
        <w:fldChar w:fldCharType="separate"/>
      </w:r>
      <w:r w:rsidR="00314781" w:rsidRPr="000162C8">
        <w:rPr>
          <w:bCs/>
          <w:szCs w:val="18"/>
        </w:rPr>
        <w:t xml:space="preserve">Figure </w:t>
      </w:r>
      <w:r w:rsidR="00314781" w:rsidRPr="000162C8">
        <w:rPr>
          <w:bCs/>
          <w:noProof/>
          <w:szCs w:val="18"/>
        </w:rPr>
        <w:t>7</w:t>
      </w:r>
      <w:r w:rsidR="00314781" w:rsidRPr="000162C8">
        <w:rPr>
          <w:bCs/>
          <w:noProof/>
          <w:szCs w:val="18"/>
        </w:rPr>
        <w:noBreakHyphen/>
        <w:t>9</w:t>
      </w:r>
      <w:r w:rsidRPr="002805FF">
        <w:fldChar w:fldCharType="end"/>
      </w:r>
      <w:r w:rsidR="000C4646" w:rsidRPr="000C4646">
        <w:t xml:space="preserve"> shows the increase in LNG supplies delivered to the region for the past two winters. Winter 2014/2015 had almost double the amount of LNG supplies at approximately 32 billion cubic feet (Bcf) compared with approximately 16 Bcf in the prior winter. The ISO has observed on the regional pipeline electronic bulletin boards an increased LNG send out, which is a result of the recently improved availability of spot-market gas within the Northeast and contracts made in advance of the winter. LNG deliveries help address the regional fuel security issue. </w:t>
      </w:r>
    </w:p>
    <w:p w:rsidR="00B31E80" w:rsidRDefault="00B31E80" w:rsidP="000C4646">
      <w:pPr>
        <w:spacing w:after="0" w:line="240" w:lineRule="auto"/>
        <w:rPr>
          <w:rFonts w:asciiTheme="minorHAnsi" w:hAnsiTheme="minorHAnsi"/>
          <w:b/>
          <w:sz w:val="16"/>
          <w:szCs w:val="16"/>
        </w:rPr>
      </w:pPr>
      <w:r w:rsidRPr="00B31E80">
        <w:rPr>
          <w:noProof/>
        </w:rPr>
        <w:drawing>
          <wp:inline distT="0" distB="0" distL="0" distR="0" wp14:anchorId="78A9BC06" wp14:editId="229F3A40">
            <wp:extent cx="5715000" cy="2204077"/>
            <wp:effectExtent l="19050" t="19050" r="19050" b="2540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715000" cy="2204077"/>
                    </a:xfrm>
                    <a:prstGeom prst="rect">
                      <a:avLst/>
                    </a:prstGeom>
                    <a:noFill/>
                    <a:ln w="3175">
                      <a:solidFill>
                        <a:srgbClr val="000000"/>
                      </a:solidFill>
                    </a:ln>
                  </pic:spPr>
                </pic:pic>
              </a:graphicData>
            </a:graphic>
          </wp:inline>
        </w:drawing>
      </w:r>
    </w:p>
    <w:p w:rsidR="000C4646" w:rsidRPr="000C4646" w:rsidRDefault="000C4646" w:rsidP="000C4646">
      <w:pPr>
        <w:keepNext/>
        <w:keepLines/>
        <w:spacing w:before="120" w:after="80" w:line="240" w:lineRule="auto"/>
        <w:rPr>
          <w:rFonts w:ascii="Calibri" w:hAnsi="Calibri"/>
          <w:b/>
          <w:bCs/>
          <w:szCs w:val="18"/>
        </w:rPr>
      </w:pPr>
      <w:bookmarkStart w:id="725" w:name="_Ref485805901"/>
      <w:bookmarkStart w:id="726" w:name="_Toc486233217"/>
      <w:r w:rsidRPr="000C4646">
        <w:rPr>
          <w:rFonts w:ascii="Calibri" w:hAnsi="Calibri"/>
          <w:b/>
          <w:bCs/>
          <w:szCs w:val="18"/>
        </w:rPr>
        <w:t xml:space="preserve">Figure </w:t>
      </w:r>
      <w:r w:rsidRPr="000C4646">
        <w:rPr>
          <w:rFonts w:ascii="Calibri" w:hAnsi="Calibri"/>
          <w:b/>
          <w:bCs/>
          <w:szCs w:val="18"/>
        </w:rPr>
        <w:fldChar w:fldCharType="begin"/>
      </w:r>
      <w:r w:rsidRPr="000C4646">
        <w:rPr>
          <w:rFonts w:ascii="Calibri" w:hAnsi="Calibri"/>
          <w:b/>
          <w:bCs/>
          <w:szCs w:val="18"/>
        </w:rPr>
        <w:instrText xml:space="preserve"> STYLEREF 1 \s </w:instrText>
      </w:r>
      <w:r w:rsidRPr="000C4646">
        <w:rPr>
          <w:rFonts w:ascii="Calibri" w:hAnsi="Calibri"/>
          <w:b/>
          <w:bCs/>
          <w:szCs w:val="18"/>
        </w:rPr>
        <w:fldChar w:fldCharType="separate"/>
      </w:r>
      <w:r w:rsidR="00314781">
        <w:rPr>
          <w:rFonts w:ascii="Calibri" w:hAnsi="Calibri"/>
          <w:b/>
          <w:bCs/>
          <w:noProof/>
          <w:szCs w:val="18"/>
        </w:rPr>
        <w:t>7</w:t>
      </w:r>
      <w:r w:rsidRPr="000C4646">
        <w:rPr>
          <w:rFonts w:ascii="Calibri" w:hAnsi="Calibri"/>
          <w:b/>
          <w:bCs/>
          <w:szCs w:val="18"/>
        </w:rPr>
        <w:fldChar w:fldCharType="end"/>
      </w:r>
      <w:r w:rsidRPr="000C4646">
        <w:rPr>
          <w:rFonts w:ascii="Calibri" w:hAnsi="Calibri"/>
          <w:b/>
          <w:bCs/>
          <w:szCs w:val="18"/>
        </w:rPr>
        <w:noBreakHyphen/>
      </w:r>
      <w:r w:rsidRPr="000C4646">
        <w:rPr>
          <w:rFonts w:ascii="Calibri" w:hAnsi="Calibri"/>
          <w:b/>
          <w:bCs/>
          <w:szCs w:val="18"/>
        </w:rPr>
        <w:fldChar w:fldCharType="begin"/>
      </w:r>
      <w:r w:rsidRPr="000C4646">
        <w:rPr>
          <w:rFonts w:ascii="Calibri" w:hAnsi="Calibri"/>
          <w:b/>
          <w:bCs/>
          <w:szCs w:val="18"/>
        </w:rPr>
        <w:instrText xml:space="preserve"> SEQ Figure \* ARABIC \s 1 </w:instrText>
      </w:r>
      <w:r w:rsidRPr="000C4646">
        <w:rPr>
          <w:rFonts w:ascii="Calibri" w:hAnsi="Calibri"/>
          <w:b/>
          <w:bCs/>
          <w:szCs w:val="18"/>
        </w:rPr>
        <w:fldChar w:fldCharType="separate"/>
      </w:r>
      <w:r w:rsidR="00314781">
        <w:rPr>
          <w:rFonts w:ascii="Calibri" w:hAnsi="Calibri"/>
          <w:b/>
          <w:bCs/>
          <w:noProof/>
          <w:szCs w:val="18"/>
        </w:rPr>
        <w:t>9</w:t>
      </w:r>
      <w:r w:rsidRPr="000C4646">
        <w:rPr>
          <w:rFonts w:ascii="Calibri" w:hAnsi="Calibri"/>
          <w:b/>
          <w:bCs/>
          <w:szCs w:val="18"/>
        </w:rPr>
        <w:fldChar w:fldCharType="end"/>
      </w:r>
      <w:bookmarkEnd w:id="725"/>
      <w:r w:rsidRPr="000C4646">
        <w:rPr>
          <w:rFonts w:ascii="Calibri" w:hAnsi="Calibri"/>
          <w:b/>
          <w:bCs/>
          <w:szCs w:val="18"/>
        </w:rPr>
        <w:t>: Comparison of LNG deliveries for winter 2014/2015 through winter 2016/2017.</w:t>
      </w:r>
      <w:bookmarkEnd w:id="726"/>
    </w:p>
    <w:p w:rsidR="000C4646" w:rsidRPr="000C4646" w:rsidRDefault="000C4646" w:rsidP="000C4646">
      <w:pPr>
        <w:spacing w:line="240" w:lineRule="auto"/>
        <w:rPr>
          <w:rFonts w:asciiTheme="minorHAnsi" w:hAnsiTheme="minorHAnsi"/>
          <w:sz w:val="16"/>
          <w:szCs w:val="16"/>
        </w:rPr>
      </w:pPr>
      <w:r w:rsidRPr="000C4646">
        <w:rPr>
          <w:rFonts w:asciiTheme="minorHAnsi" w:hAnsiTheme="minorHAnsi"/>
          <w:b/>
          <w:sz w:val="16"/>
          <w:szCs w:val="16"/>
        </w:rPr>
        <w:t>Source:</w:t>
      </w:r>
      <w:r w:rsidRPr="000C4646">
        <w:rPr>
          <w:rFonts w:asciiTheme="minorHAnsi" w:hAnsiTheme="minorHAnsi"/>
          <w:sz w:val="16"/>
          <w:szCs w:val="16"/>
        </w:rPr>
        <w:t xml:space="preserve"> </w:t>
      </w:r>
      <w:hyperlink r:id="rId70" w:history="1">
        <w:r w:rsidRPr="000C4646">
          <w:rPr>
            <w:rFonts w:asciiTheme="minorHAnsi" w:hAnsiTheme="minorHAnsi"/>
            <w:color w:val="000000"/>
            <w:sz w:val="16"/>
            <w:szCs w:val="16"/>
          </w:rPr>
          <w:t>EIA</w:t>
        </w:r>
      </w:hyperlink>
      <w:r w:rsidRPr="000C4646">
        <w:rPr>
          <w:rFonts w:asciiTheme="minorHAnsi" w:hAnsiTheme="minorHAnsi"/>
          <w:sz w:val="16"/>
          <w:szCs w:val="16"/>
        </w:rPr>
        <w:t xml:space="preserve">, </w:t>
      </w:r>
      <w:r w:rsidRPr="000C4646">
        <w:rPr>
          <w:rFonts w:asciiTheme="minorHAnsi" w:hAnsiTheme="minorHAnsi"/>
          <w:i/>
          <w:sz w:val="16"/>
          <w:szCs w:val="16"/>
        </w:rPr>
        <w:t>U.S. Liquefied Natural Gas Imports by Point of Entry</w:t>
      </w:r>
      <w:r w:rsidRPr="000C4646">
        <w:t xml:space="preserve">, </w:t>
      </w:r>
      <w:hyperlink r:id="rId71" w:history="1">
        <w:r w:rsidRPr="000C4646">
          <w:rPr>
            <w:rFonts w:asciiTheme="minorHAnsi" w:hAnsiTheme="minorHAnsi"/>
            <w:color w:val="000000"/>
            <w:sz w:val="16"/>
            <w:szCs w:val="16"/>
          </w:rPr>
          <w:t>https://www.eia.gov/dnav/ng/ng_move_poe1_a_epg0_iml_mmcf_m.htm</w:t>
        </w:r>
      </w:hyperlink>
      <w:r w:rsidRPr="000C4646">
        <w:rPr>
          <w:rFonts w:asciiTheme="minorHAnsi" w:hAnsiTheme="minorHAnsi"/>
          <w:sz w:val="16"/>
          <w:szCs w:val="16"/>
        </w:rPr>
        <w:t>.</w:t>
      </w:r>
    </w:p>
    <w:p w:rsidR="000C4646" w:rsidRPr="000C4646" w:rsidRDefault="000C4646" w:rsidP="000C4646">
      <w:r w:rsidRPr="000C4646">
        <w:t>The use of compressed natural gas (CNG) also offers an option for storing natural gas. CNG can be used instead of ultral</w:t>
      </w:r>
      <w:r w:rsidR="00E70615">
        <w:t>ow</w:t>
      </w:r>
      <w:r w:rsidRPr="000C4646">
        <w:t xml:space="preserve"> </w:t>
      </w:r>
      <w:r w:rsidR="00ED1E44">
        <w:t xml:space="preserve">sulfur </w:t>
      </w:r>
      <w:r w:rsidRPr="000C4646">
        <w:t xml:space="preserve">diesel </w:t>
      </w:r>
      <w:r w:rsidR="00ED1E44" w:rsidRPr="000C4646">
        <w:t xml:space="preserve">(ULSD) </w:t>
      </w:r>
      <w:r w:rsidRPr="000C4646">
        <w:t>fuel as a backup fuel for dual-fuel peaking generating units where the primary fuel is pipeline gas. CNG has lower air emissions than ULSD without the need to “retune” the gas turbine (GT) to run on liquids. CNG also facilitates the coordination between the electrical dispatch of generating units and their gas-nomination times with the natural gas pipelines for regularly scheduled gas deliveries.</w:t>
      </w:r>
    </w:p>
    <w:p w:rsidR="000C4646" w:rsidRPr="000C4646" w:rsidRDefault="000C4646" w:rsidP="000C4646">
      <w:pPr>
        <w:spacing w:before="120" w:line="240" w:lineRule="auto"/>
        <w:rPr>
          <w:rFonts w:asciiTheme="minorHAnsi" w:hAnsiTheme="minorHAnsi"/>
          <w:sz w:val="16"/>
          <w:szCs w:val="16"/>
        </w:rPr>
      </w:pPr>
      <w:r w:rsidRPr="009F714D">
        <w:t>The natural gas industry actively seeks to improve its use of existing infrastructure. In 2015, the nine northeastern states (six New England states plus New York, New Jersey, and Pennsylvania) invested $544 million in gas efficiency measures, which represents 39% of the total US investment.</w:t>
      </w:r>
      <w:r w:rsidRPr="009F714D">
        <w:rPr>
          <w:vertAlign w:val="superscript"/>
        </w:rPr>
        <w:footnoteReference w:id="202"/>
      </w:r>
      <w:r w:rsidRPr="009F714D">
        <w:t xml:space="preserve"> </w:t>
      </w:r>
    </w:p>
    <w:p w:rsidR="000C4646" w:rsidRPr="000C4646" w:rsidRDefault="000C4646" w:rsidP="000C4646">
      <w:pPr>
        <w:pStyle w:val="Heading3"/>
      </w:pPr>
      <w:bookmarkStart w:id="727" w:name="_Toc490323079"/>
      <w:r w:rsidRPr="000C4646">
        <w:t>Fuel-Security Analyses</w:t>
      </w:r>
      <w:bookmarkEnd w:id="727"/>
    </w:p>
    <w:p w:rsidR="000C4646" w:rsidRPr="000C4646" w:rsidRDefault="000C4646" w:rsidP="00AA7820">
      <w:r w:rsidRPr="000C4646">
        <w:t xml:space="preserve">ISO New England has had long-standing concerns about the region’s dependence of New England’s natural gas infrastructure. This dependency is likely to increase in the coming years as older oil, coal and nuclear generators retire. To quantify the risks to the region as well as evaluate the effectiveness of </w:t>
      </w:r>
      <w:r w:rsidRPr="000C4646">
        <w:lastRenderedPageBreak/>
        <w:t>various solutions, in 2017, the ISO began to assess potential reliability consequences of various future gas pipeline scenarios for 2025. By calculating the generation mix required to meet demand each day, calculating the associated fuel usage, and then comparing the needed fuel with the capacity of the region’s pipelines, the ISO may be able to better predict potential reliability consequences of a physically limited natural gas fuel supply.</w:t>
      </w:r>
      <w:r w:rsidR="00303449" w:rsidRPr="00303449">
        <w:t xml:space="preserve"> </w:t>
      </w:r>
      <w:r w:rsidR="00303449">
        <w:t>The ISO plans to present its 2017 fuel security analysis to stakeholders in late 2017.</w:t>
      </w:r>
    </w:p>
    <w:p w:rsidR="000C4646" w:rsidRPr="000C4646" w:rsidRDefault="000C4646" w:rsidP="000C4646">
      <w:pPr>
        <w:pStyle w:val="Heading3"/>
      </w:pPr>
      <w:bookmarkStart w:id="728" w:name="_Toc429063444"/>
      <w:bookmarkStart w:id="729" w:name="_Toc490323080"/>
      <w:r>
        <w:t>Pipeline I</w:t>
      </w:r>
      <w:r w:rsidRPr="000C4646">
        <w:t>mprovements</w:t>
      </w:r>
      <w:bookmarkEnd w:id="728"/>
      <w:bookmarkEnd w:id="729"/>
    </w:p>
    <w:p w:rsidR="000C4646" w:rsidRPr="000C4646" w:rsidRDefault="000C4646" w:rsidP="000C4646">
      <w:pPr>
        <w:spacing w:after="200" w:line="276" w:lineRule="auto"/>
      </w:pPr>
      <w:r w:rsidRPr="000C4646">
        <w:t>The ISO continues to monitor upgrades to natural gas infrastructure to maintain operational awareness of the changing capacity of the natural gas system. Interstate pipeline companies serving the Northeast region (including the Mid-Atlantic region) have added numerous interconnections from the Marcellus gas production area’s large and small producers, and annual natural gas production volumes in the Northeast are projected to rise from 3.92 trillion cubic feet (Tcf)</w:t>
      </w:r>
      <w:r w:rsidRPr="000C4646">
        <w:rPr>
          <w:sz w:val="22"/>
        </w:rPr>
        <w:t xml:space="preserve"> i</w:t>
      </w:r>
      <w:r w:rsidRPr="000C4646">
        <w:t xml:space="preserve">n 2013 to 6.66 Tcf in 2024. </w:t>
      </w:r>
      <w:r w:rsidRPr="000C4646">
        <w:fldChar w:fldCharType="begin"/>
      </w:r>
      <w:r w:rsidRPr="000C4646">
        <w:instrText xml:space="preserve"> REF _Ref417559197 \h  \* MERGEFORMAT </w:instrText>
      </w:r>
      <w:r w:rsidRPr="000C4646">
        <w:fldChar w:fldCharType="separate"/>
      </w:r>
      <w:r w:rsidR="00314781" w:rsidRPr="000162C8">
        <w:rPr>
          <w:bCs/>
          <w:szCs w:val="18"/>
        </w:rPr>
        <w:t xml:space="preserve">Figure </w:t>
      </w:r>
      <w:r w:rsidR="00314781" w:rsidRPr="000162C8">
        <w:rPr>
          <w:bCs/>
          <w:noProof/>
          <w:szCs w:val="18"/>
        </w:rPr>
        <w:t>7</w:t>
      </w:r>
      <w:r w:rsidR="00314781" w:rsidRPr="000162C8">
        <w:rPr>
          <w:bCs/>
          <w:noProof/>
          <w:szCs w:val="18"/>
        </w:rPr>
        <w:noBreakHyphen/>
        <w:t>10</w:t>
      </w:r>
      <w:r w:rsidRPr="000C4646">
        <w:fldChar w:fldCharType="end"/>
      </w:r>
      <w:r w:rsidRPr="000C4646">
        <w:t xml:space="preserve"> shows the proposed natural gas pipeline expansions that could benefit New England.</w:t>
      </w:r>
    </w:p>
    <w:p w:rsidR="000C4646" w:rsidRPr="000C4646" w:rsidRDefault="000C4646" w:rsidP="000C4646">
      <w:pPr>
        <w:keepNext/>
        <w:spacing w:after="0" w:line="240" w:lineRule="auto"/>
        <w:ind w:left="86"/>
        <w:rPr>
          <w:rFonts w:asciiTheme="minorHAnsi" w:hAnsiTheme="minorHAnsi"/>
          <w:sz w:val="16"/>
          <w:szCs w:val="16"/>
        </w:rPr>
      </w:pPr>
      <w:r w:rsidRPr="000C4646">
        <w:rPr>
          <w:noProof/>
        </w:rPr>
        <w:drawing>
          <wp:inline distT="0" distB="0" distL="0" distR="0" wp14:anchorId="518A7DB2" wp14:editId="4904E457">
            <wp:extent cx="5689600" cy="3587739"/>
            <wp:effectExtent l="19050" t="19050" r="25400" b="1333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681039" cy="3582341"/>
                    </a:xfrm>
                    <a:prstGeom prst="rect">
                      <a:avLst/>
                    </a:prstGeom>
                    <a:noFill/>
                    <a:ln>
                      <a:solidFill>
                        <a:srgbClr val="002060"/>
                      </a:solidFill>
                    </a:ln>
                  </pic:spPr>
                </pic:pic>
              </a:graphicData>
            </a:graphic>
          </wp:inline>
        </w:drawing>
      </w:r>
    </w:p>
    <w:p w:rsidR="000C4646" w:rsidRPr="000C4646" w:rsidRDefault="000C4646" w:rsidP="000C4646">
      <w:pPr>
        <w:keepNext/>
        <w:keepLines/>
        <w:spacing w:before="120" w:after="80" w:line="240" w:lineRule="auto"/>
        <w:ind w:left="90"/>
        <w:rPr>
          <w:rFonts w:asciiTheme="minorHAnsi" w:hAnsiTheme="minorHAnsi"/>
          <w:b/>
          <w:bCs/>
          <w:sz w:val="18"/>
          <w:szCs w:val="18"/>
        </w:rPr>
      </w:pPr>
      <w:bookmarkStart w:id="730" w:name="_Ref417559197"/>
      <w:bookmarkStart w:id="731" w:name="_Toc429063537"/>
      <w:bookmarkStart w:id="732" w:name="_Toc486233218"/>
      <w:r w:rsidRPr="000C4646">
        <w:rPr>
          <w:rFonts w:ascii="Calibri" w:hAnsi="Calibri"/>
          <w:b/>
          <w:bCs/>
          <w:szCs w:val="18"/>
        </w:rPr>
        <w:t xml:space="preserve">Figure </w:t>
      </w:r>
      <w:r w:rsidRPr="000C4646">
        <w:rPr>
          <w:rFonts w:ascii="Calibri" w:hAnsi="Calibri"/>
          <w:b/>
          <w:bCs/>
          <w:szCs w:val="18"/>
        </w:rPr>
        <w:fldChar w:fldCharType="begin"/>
      </w:r>
      <w:r w:rsidRPr="000C4646">
        <w:rPr>
          <w:rFonts w:ascii="Calibri" w:hAnsi="Calibri"/>
          <w:b/>
          <w:bCs/>
          <w:szCs w:val="18"/>
        </w:rPr>
        <w:instrText xml:space="preserve"> STYLEREF 1 \s </w:instrText>
      </w:r>
      <w:r w:rsidRPr="000C4646">
        <w:rPr>
          <w:rFonts w:ascii="Calibri" w:hAnsi="Calibri"/>
          <w:b/>
          <w:bCs/>
          <w:szCs w:val="18"/>
        </w:rPr>
        <w:fldChar w:fldCharType="separate"/>
      </w:r>
      <w:r w:rsidR="00314781">
        <w:rPr>
          <w:rFonts w:ascii="Calibri" w:hAnsi="Calibri"/>
          <w:b/>
          <w:bCs/>
          <w:noProof/>
          <w:szCs w:val="18"/>
        </w:rPr>
        <w:t>7</w:t>
      </w:r>
      <w:r w:rsidRPr="000C4646">
        <w:rPr>
          <w:rFonts w:ascii="Calibri" w:hAnsi="Calibri"/>
          <w:b/>
          <w:bCs/>
          <w:szCs w:val="18"/>
        </w:rPr>
        <w:fldChar w:fldCharType="end"/>
      </w:r>
      <w:r w:rsidRPr="000C4646">
        <w:rPr>
          <w:rFonts w:ascii="Calibri" w:hAnsi="Calibri"/>
          <w:b/>
          <w:bCs/>
          <w:szCs w:val="18"/>
        </w:rPr>
        <w:noBreakHyphen/>
      </w:r>
      <w:r w:rsidRPr="000C4646">
        <w:rPr>
          <w:rFonts w:ascii="Calibri" w:hAnsi="Calibri"/>
          <w:b/>
          <w:bCs/>
          <w:szCs w:val="18"/>
        </w:rPr>
        <w:fldChar w:fldCharType="begin"/>
      </w:r>
      <w:r w:rsidRPr="000C4646">
        <w:rPr>
          <w:rFonts w:ascii="Calibri" w:hAnsi="Calibri"/>
          <w:b/>
          <w:bCs/>
          <w:szCs w:val="18"/>
        </w:rPr>
        <w:instrText xml:space="preserve"> SEQ Figure \* ARABIC \s 1 </w:instrText>
      </w:r>
      <w:r w:rsidRPr="000C4646">
        <w:rPr>
          <w:rFonts w:ascii="Calibri" w:hAnsi="Calibri"/>
          <w:b/>
          <w:bCs/>
          <w:szCs w:val="18"/>
        </w:rPr>
        <w:fldChar w:fldCharType="separate"/>
      </w:r>
      <w:r w:rsidR="00314781">
        <w:rPr>
          <w:rFonts w:ascii="Calibri" w:hAnsi="Calibri"/>
          <w:b/>
          <w:bCs/>
          <w:noProof/>
          <w:szCs w:val="18"/>
        </w:rPr>
        <w:t>10</w:t>
      </w:r>
      <w:r w:rsidRPr="000C4646">
        <w:rPr>
          <w:rFonts w:ascii="Calibri" w:hAnsi="Calibri"/>
          <w:b/>
          <w:bCs/>
          <w:szCs w:val="18"/>
        </w:rPr>
        <w:fldChar w:fldCharType="end"/>
      </w:r>
      <w:bookmarkEnd w:id="730"/>
      <w:r w:rsidRPr="000C4646">
        <w:rPr>
          <w:rFonts w:ascii="Calibri" w:hAnsi="Calibri"/>
          <w:b/>
          <w:bCs/>
          <w:szCs w:val="18"/>
        </w:rPr>
        <w:t>: Proposed natural gas pipeline expansions benefiting New England, 2015.</w:t>
      </w:r>
      <w:bookmarkEnd w:id="731"/>
      <w:bookmarkEnd w:id="732"/>
      <w:r w:rsidRPr="000C4646">
        <w:rPr>
          <w:rFonts w:ascii="Calibri" w:hAnsi="Calibri"/>
          <w:b/>
          <w:bCs/>
          <w:szCs w:val="18"/>
        </w:rPr>
        <w:t xml:space="preserve"> </w:t>
      </w:r>
    </w:p>
    <w:p w:rsidR="000C4646" w:rsidRPr="000C4646" w:rsidRDefault="000C4646" w:rsidP="000C4646">
      <w:pPr>
        <w:spacing w:after="200" w:line="276" w:lineRule="auto"/>
        <w:ind w:left="90"/>
        <w:rPr>
          <w:rFonts w:ascii="Calibri" w:hAnsi="Calibri"/>
          <w:sz w:val="16"/>
          <w:szCs w:val="16"/>
        </w:rPr>
      </w:pPr>
      <w:r w:rsidRPr="000C4646">
        <w:rPr>
          <w:rFonts w:ascii="Calibri" w:hAnsi="Calibri"/>
          <w:b/>
          <w:sz w:val="16"/>
          <w:szCs w:val="16"/>
        </w:rPr>
        <w:t>Source:</w:t>
      </w:r>
      <w:r w:rsidRPr="000C4646">
        <w:rPr>
          <w:rFonts w:ascii="Calibri" w:hAnsi="Calibri"/>
          <w:sz w:val="16"/>
          <w:szCs w:val="16"/>
        </w:rPr>
        <w:t xml:space="preserve"> EIA, New England natural gas pipeline capacity increases for the first time since 2010 (December 6, 2016).</w:t>
      </w:r>
    </w:p>
    <w:p w:rsidR="00E70615" w:rsidRPr="00E70615" w:rsidRDefault="000C4646" w:rsidP="000C4646">
      <w:pPr>
        <w:spacing w:after="200" w:line="276" w:lineRule="auto"/>
      </w:pPr>
      <w:r w:rsidRPr="000C4646">
        <w:t xml:space="preserve">At present, of the 19 proposed pipeline-expansion projects under development across the Northeast, </w:t>
      </w:r>
      <w:r w:rsidR="00F0138D">
        <w:t>seven</w:t>
      </w:r>
      <w:r w:rsidRPr="000C4646">
        <w:t xml:space="preserve"> projects, as shown in </w:t>
      </w:r>
      <w:r w:rsidRPr="000C4646">
        <w:fldChar w:fldCharType="begin"/>
      </w:r>
      <w:r w:rsidRPr="000C4646">
        <w:instrText xml:space="preserve"> REF _Ref417561140 \h  \* MERGEFORMAT </w:instrText>
      </w:r>
      <w:r w:rsidRPr="000C4646">
        <w:fldChar w:fldCharType="separate"/>
      </w:r>
      <w:r w:rsidR="00314781" w:rsidRPr="000162C8">
        <w:rPr>
          <w:bCs/>
        </w:rPr>
        <w:t xml:space="preserve">Table </w:t>
      </w:r>
      <w:r w:rsidR="00314781" w:rsidRPr="000162C8">
        <w:rPr>
          <w:bCs/>
          <w:noProof/>
        </w:rPr>
        <w:t>7</w:t>
      </w:r>
      <w:r w:rsidR="00314781" w:rsidRPr="000162C8">
        <w:rPr>
          <w:bCs/>
          <w:noProof/>
        </w:rPr>
        <w:noBreakHyphen/>
        <w:t>2</w:t>
      </w:r>
      <w:r w:rsidRPr="000C4646">
        <w:fldChar w:fldCharType="end"/>
      </w:r>
      <w:r w:rsidRPr="000C4646">
        <w:t>, would specifically bring either new or incremental pipeline capacity to New England and regional access to additional natural gas supplies.</w:t>
      </w:r>
      <w:r w:rsidRPr="000C4646">
        <w:rPr>
          <w:vertAlign w:val="superscript"/>
        </w:rPr>
        <w:t xml:space="preserve"> </w:t>
      </w:r>
    </w:p>
    <w:p w:rsidR="000C4646" w:rsidRPr="000C4646" w:rsidRDefault="000C4646" w:rsidP="000C4646">
      <w:pPr>
        <w:keepNext/>
        <w:keepLines/>
        <w:spacing w:after="60" w:line="240" w:lineRule="auto"/>
        <w:jc w:val="center"/>
        <w:rPr>
          <w:rFonts w:asciiTheme="minorHAnsi" w:hAnsiTheme="minorHAnsi"/>
          <w:b/>
        </w:rPr>
      </w:pPr>
      <w:bookmarkStart w:id="733" w:name="_Ref417561140"/>
      <w:bookmarkStart w:id="734" w:name="_Toc429063580"/>
      <w:bookmarkStart w:id="735" w:name="_Toc491244020"/>
      <w:r w:rsidRPr="000C4646">
        <w:rPr>
          <w:rFonts w:asciiTheme="minorHAnsi" w:hAnsiTheme="minorHAnsi"/>
          <w:b/>
          <w:bCs/>
        </w:rPr>
        <w:lastRenderedPageBreak/>
        <w:t xml:space="preserve">Table </w:t>
      </w:r>
      <w:r w:rsidR="00D95957">
        <w:rPr>
          <w:rFonts w:asciiTheme="minorHAnsi" w:hAnsiTheme="minorHAnsi"/>
          <w:b/>
          <w:bCs/>
        </w:rPr>
        <w:fldChar w:fldCharType="begin"/>
      </w:r>
      <w:r w:rsidR="00D95957">
        <w:rPr>
          <w:rFonts w:asciiTheme="minorHAnsi" w:hAnsiTheme="minorHAnsi"/>
          <w:b/>
          <w:bCs/>
        </w:rPr>
        <w:instrText xml:space="preserve"> STYLEREF 1 \s </w:instrText>
      </w:r>
      <w:r w:rsidR="00D95957">
        <w:rPr>
          <w:rFonts w:asciiTheme="minorHAnsi" w:hAnsiTheme="minorHAnsi"/>
          <w:b/>
          <w:bCs/>
        </w:rPr>
        <w:fldChar w:fldCharType="separate"/>
      </w:r>
      <w:r w:rsidR="00D95957">
        <w:rPr>
          <w:rFonts w:asciiTheme="minorHAnsi" w:hAnsiTheme="minorHAnsi"/>
          <w:b/>
          <w:bCs/>
          <w:noProof/>
        </w:rPr>
        <w:t>7</w:t>
      </w:r>
      <w:r w:rsidR="00D95957">
        <w:rPr>
          <w:rFonts w:asciiTheme="minorHAnsi" w:hAnsiTheme="minorHAnsi"/>
          <w:b/>
          <w:bCs/>
        </w:rPr>
        <w:fldChar w:fldCharType="end"/>
      </w:r>
      <w:r w:rsidR="00D95957">
        <w:rPr>
          <w:rFonts w:asciiTheme="minorHAnsi" w:hAnsiTheme="minorHAnsi"/>
          <w:b/>
          <w:bCs/>
        </w:rPr>
        <w:noBreakHyphen/>
      </w:r>
      <w:r w:rsidR="00D95957">
        <w:rPr>
          <w:rFonts w:asciiTheme="minorHAnsi" w:hAnsiTheme="minorHAnsi"/>
          <w:b/>
          <w:bCs/>
        </w:rPr>
        <w:fldChar w:fldCharType="begin"/>
      </w:r>
      <w:r w:rsidR="00D95957">
        <w:rPr>
          <w:rFonts w:asciiTheme="minorHAnsi" w:hAnsiTheme="minorHAnsi"/>
          <w:b/>
          <w:bCs/>
        </w:rPr>
        <w:instrText xml:space="preserve"> SEQ Table \* ARABIC \s 1 </w:instrText>
      </w:r>
      <w:r w:rsidR="00D95957">
        <w:rPr>
          <w:rFonts w:asciiTheme="minorHAnsi" w:hAnsiTheme="minorHAnsi"/>
          <w:b/>
          <w:bCs/>
        </w:rPr>
        <w:fldChar w:fldCharType="separate"/>
      </w:r>
      <w:r w:rsidR="00D95957">
        <w:rPr>
          <w:rFonts w:asciiTheme="minorHAnsi" w:hAnsiTheme="minorHAnsi"/>
          <w:b/>
          <w:bCs/>
          <w:noProof/>
        </w:rPr>
        <w:t>2</w:t>
      </w:r>
      <w:r w:rsidR="00D95957">
        <w:rPr>
          <w:rFonts w:asciiTheme="minorHAnsi" w:hAnsiTheme="minorHAnsi"/>
          <w:b/>
          <w:bCs/>
        </w:rPr>
        <w:fldChar w:fldCharType="end"/>
      </w:r>
      <w:bookmarkEnd w:id="733"/>
      <w:r w:rsidRPr="000C4646">
        <w:rPr>
          <w:rFonts w:asciiTheme="minorHAnsi" w:hAnsiTheme="minorHAnsi"/>
          <w:b/>
        </w:rPr>
        <w:br/>
        <w:t xml:space="preserve"> Summary of Pipeline Improvements Benefiting New England</w:t>
      </w:r>
      <w:bookmarkEnd w:id="734"/>
      <w:bookmarkEnd w:id="735"/>
    </w:p>
    <w:tbl>
      <w:tblPr>
        <w:tblStyle w:val="TableGrid43"/>
        <w:tblW w:w="0" w:type="auto"/>
        <w:jc w:val="center"/>
        <w:tblInd w:w="-483" w:type="dxa"/>
        <w:tblLook w:val="04A0" w:firstRow="1" w:lastRow="0" w:firstColumn="1" w:lastColumn="0" w:noHBand="0" w:noVBand="1"/>
      </w:tblPr>
      <w:tblGrid>
        <w:gridCol w:w="3180"/>
        <w:gridCol w:w="2789"/>
        <w:gridCol w:w="1308"/>
        <w:gridCol w:w="2322"/>
      </w:tblGrid>
      <w:tr w:rsidR="000C4646" w:rsidRPr="000C4646" w:rsidTr="00595A75">
        <w:trPr>
          <w:jc w:val="center"/>
        </w:trPr>
        <w:tc>
          <w:tcPr>
            <w:tcW w:w="3180" w:type="dxa"/>
            <w:shd w:val="clear" w:color="auto" w:fill="1795D2" w:themeFill="accent1"/>
            <w:tcMar>
              <w:top w:w="29" w:type="dxa"/>
              <w:left w:w="58" w:type="dxa"/>
              <w:bottom w:w="29" w:type="dxa"/>
              <w:right w:w="58" w:type="dxa"/>
            </w:tcMar>
            <w:vAlign w:val="center"/>
          </w:tcPr>
          <w:p w:rsidR="000C4646" w:rsidRPr="000C4646" w:rsidRDefault="000C4646" w:rsidP="000C4646">
            <w:pPr>
              <w:keepNext/>
              <w:keepLines/>
              <w:spacing w:after="0" w:line="240" w:lineRule="auto"/>
              <w:jc w:val="center"/>
              <w:rPr>
                <w:rFonts w:asciiTheme="minorHAnsi" w:hAnsiTheme="minorHAnsi"/>
                <w:b/>
                <w:color w:val="FFFFFF" w:themeColor="background1"/>
                <w:sz w:val="18"/>
                <w:szCs w:val="18"/>
              </w:rPr>
            </w:pPr>
            <w:r w:rsidRPr="000C4646">
              <w:rPr>
                <w:rFonts w:asciiTheme="minorHAnsi" w:hAnsiTheme="minorHAnsi"/>
                <w:b/>
                <w:color w:val="FFFFFF" w:themeColor="background1"/>
                <w:sz w:val="18"/>
                <w:szCs w:val="18"/>
              </w:rPr>
              <w:t>Project</w:t>
            </w:r>
          </w:p>
          <w:p w:rsidR="000C4646" w:rsidRPr="000C4646" w:rsidRDefault="000C4646" w:rsidP="000C4646">
            <w:pPr>
              <w:keepNext/>
              <w:keepLines/>
              <w:spacing w:after="0" w:line="240" w:lineRule="auto"/>
              <w:jc w:val="center"/>
              <w:rPr>
                <w:rFonts w:asciiTheme="minorHAnsi" w:hAnsiTheme="minorHAnsi"/>
                <w:b/>
                <w:color w:val="FFFFFF" w:themeColor="background1"/>
                <w:sz w:val="18"/>
                <w:szCs w:val="18"/>
              </w:rPr>
            </w:pPr>
            <w:r w:rsidRPr="000C4646">
              <w:rPr>
                <w:rFonts w:asciiTheme="minorHAnsi" w:hAnsiTheme="minorHAnsi"/>
                <w:b/>
                <w:color w:val="FFFFFF" w:themeColor="background1"/>
                <w:sz w:val="18"/>
                <w:szCs w:val="18"/>
              </w:rPr>
              <w:t>(Developer)</w:t>
            </w:r>
          </w:p>
        </w:tc>
        <w:tc>
          <w:tcPr>
            <w:tcW w:w="2789" w:type="dxa"/>
            <w:shd w:val="clear" w:color="auto" w:fill="1795D2" w:themeFill="accent1"/>
            <w:tcMar>
              <w:top w:w="29" w:type="dxa"/>
              <w:left w:w="58" w:type="dxa"/>
              <w:bottom w:w="29" w:type="dxa"/>
              <w:right w:w="58" w:type="dxa"/>
            </w:tcMar>
            <w:vAlign w:val="center"/>
          </w:tcPr>
          <w:p w:rsidR="000C4646" w:rsidRPr="000C4646" w:rsidRDefault="000C4646" w:rsidP="000C4646">
            <w:pPr>
              <w:keepNext/>
              <w:keepLines/>
              <w:spacing w:after="0" w:line="240" w:lineRule="auto"/>
              <w:jc w:val="center"/>
              <w:rPr>
                <w:rFonts w:asciiTheme="minorHAnsi" w:hAnsiTheme="minorHAnsi"/>
                <w:b/>
                <w:color w:val="FFFFFF" w:themeColor="background1"/>
                <w:sz w:val="18"/>
                <w:szCs w:val="18"/>
              </w:rPr>
            </w:pPr>
            <w:r w:rsidRPr="000C4646">
              <w:rPr>
                <w:rFonts w:asciiTheme="minorHAnsi" w:hAnsiTheme="minorHAnsi"/>
                <w:b/>
                <w:color w:val="FFFFFF" w:themeColor="background1"/>
                <w:sz w:val="18"/>
                <w:szCs w:val="18"/>
              </w:rPr>
              <w:t>Additional Capacity</w:t>
            </w:r>
            <w:r w:rsidRPr="000C4646">
              <w:rPr>
                <w:rFonts w:asciiTheme="minorHAnsi" w:hAnsiTheme="minorHAnsi"/>
                <w:b/>
                <w:color w:val="FFFFFF" w:themeColor="background1"/>
                <w:sz w:val="18"/>
                <w:szCs w:val="18"/>
              </w:rPr>
              <w:br/>
              <w:t xml:space="preserve">Dekatherms per </w:t>
            </w:r>
            <w:r w:rsidRPr="00440A24">
              <w:rPr>
                <w:rFonts w:asciiTheme="minorHAnsi" w:hAnsiTheme="minorHAnsi"/>
                <w:b/>
                <w:color w:val="FFFFFF" w:themeColor="background1"/>
                <w:sz w:val="18"/>
                <w:szCs w:val="18"/>
              </w:rPr>
              <w:t>day (Dth/d)</w:t>
            </w:r>
          </w:p>
        </w:tc>
        <w:tc>
          <w:tcPr>
            <w:tcW w:w="1308" w:type="dxa"/>
            <w:shd w:val="clear" w:color="auto" w:fill="1795D2" w:themeFill="accent1"/>
            <w:tcMar>
              <w:top w:w="29" w:type="dxa"/>
              <w:left w:w="58" w:type="dxa"/>
              <w:bottom w:w="29" w:type="dxa"/>
              <w:right w:w="58" w:type="dxa"/>
            </w:tcMar>
            <w:vAlign w:val="center"/>
          </w:tcPr>
          <w:p w:rsidR="000C4646" w:rsidRPr="000C4646" w:rsidRDefault="000C4646" w:rsidP="000C4646">
            <w:pPr>
              <w:keepNext/>
              <w:keepLines/>
              <w:spacing w:after="0" w:line="240" w:lineRule="auto"/>
              <w:jc w:val="center"/>
              <w:rPr>
                <w:rFonts w:asciiTheme="minorHAnsi" w:hAnsiTheme="minorHAnsi"/>
                <w:b/>
                <w:color w:val="FFFFFF" w:themeColor="background1"/>
                <w:sz w:val="18"/>
                <w:szCs w:val="18"/>
              </w:rPr>
            </w:pPr>
            <w:r w:rsidRPr="000C4646">
              <w:rPr>
                <w:rFonts w:asciiTheme="minorHAnsi" w:hAnsiTheme="minorHAnsi"/>
                <w:b/>
                <w:color w:val="FFFFFF" w:themeColor="background1"/>
                <w:sz w:val="18"/>
                <w:szCs w:val="18"/>
              </w:rPr>
              <w:t>Location</w:t>
            </w:r>
          </w:p>
        </w:tc>
        <w:tc>
          <w:tcPr>
            <w:tcW w:w="2322" w:type="dxa"/>
            <w:shd w:val="clear" w:color="auto" w:fill="1795D2" w:themeFill="accent1"/>
            <w:tcMar>
              <w:top w:w="29" w:type="dxa"/>
              <w:left w:w="58" w:type="dxa"/>
              <w:bottom w:w="29" w:type="dxa"/>
              <w:right w:w="58" w:type="dxa"/>
            </w:tcMar>
            <w:vAlign w:val="center"/>
          </w:tcPr>
          <w:p w:rsidR="000C4646" w:rsidRPr="000C4646" w:rsidRDefault="000C4646" w:rsidP="000C4646">
            <w:pPr>
              <w:keepNext/>
              <w:keepLines/>
              <w:spacing w:after="0" w:line="240" w:lineRule="auto"/>
              <w:jc w:val="center"/>
              <w:rPr>
                <w:rFonts w:asciiTheme="minorHAnsi" w:hAnsiTheme="minorHAnsi"/>
                <w:b/>
                <w:color w:val="FFFFFF" w:themeColor="background1"/>
                <w:sz w:val="18"/>
                <w:szCs w:val="18"/>
              </w:rPr>
            </w:pPr>
            <w:r w:rsidRPr="000C4646">
              <w:rPr>
                <w:rFonts w:asciiTheme="minorHAnsi" w:hAnsiTheme="minorHAnsi"/>
                <w:b/>
                <w:color w:val="FFFFFF" w:themeColor="background1"/>
                <w:sz w:val="18"/>
                <w:szCs w:val="18"/>
              </w:rPr>
              <w:t>Regulatory Status</w:t>
            </w:r>
          </w:p>
        </w:tc>
      </w:tr>
      <w:tr w:rsidR="000C4646" w:rsidRPr="000C4646" w:rsidTr="009243F5">
        <w:trPr>
          <w:trHeight w:val="825"/>
          <w:jc w:val="center"/>
        </w:trPr>
        <w:tc>
          <w:tcPr>
            <w:tcW w:w="3180" w:type="dxa"/>
            <w:tcMar>
              <w:top w:w="29" w:type="dxa"/>
              <w:left w:w="58" w:type="dxa"/>
              <w:bottom w:w="29" w:type="dxa"/>
              <w:right w:w="58" w:type="dxa"/>
            </w:tcMar>
            <w:vAlign w:val="center"/>
          </w:tcPr>
          <w:p w:rsidR="000C4646" w:rsidRPr="000C4646" w:rsidRDefault="000C4646" w:rsidP="000C4646">
            <w:pPr>
              <w:keepNext/>
              <w:keepLines/>
              <w:spacing w:after="0" w:line="240" w:lineRule="auto"/>
              <w:rPr>
                <w:rFonts w:asciiTheme="minorHAnsi" w:hAnsiTheme="minorHAnsi"/>
                <w:sz w:val="18"/>
                <w:szCs w:val="18"/>
              </w:rPr>
            </w:pPr>
            <w:r w:rsidRPr="000C4646">
              <w:rPr>
                <w:rFonts w:asciiTheme="minorHAnsi" w:hAnsiTheme="minorHAnsi"/>
                <w:b/>
                <w:sz w:val="18"/>
                <w:szCs w:val="18"/>
              </w:rPr>
              <w:t>Algonquin Incremental Market</w:t>
            </w:r>
            <w:r w:rsidRPr="000C4646">
              <w:rPr>
                <w:rFonts w:asciiTheme="minorHAnsi" w:hAnsiTheme="minorHAnsi"/>
                <w:sz w:val="18"/>
                <w:szCs w:val="18"/>
              </w:rPr>
              <w:t xml:space="preserve"> </w:t>
            </w:r>
            <w:r w:rsidRPr="000C4646">
              <w:rPr>
                <w:rFonts w:asciiTheme="minorHAnsi" w:hAnsiTheme="minorHAnsi"/>
                <w:b/>
                <w:sz w:val="18"/>
                <w:szCs w:val="18"/>
              </w:rPr>
              <w:t>(AIM)</w:t>
            </w:r>
          </w:p>
          <w:p w:rsidR="000C4646" w:rsidRPr="000C4646" w:rsidRDefault="000C4646">
            <w:pPr>
              <w:keepNext/>
              <w:keepLines/>
              <w:spacing w:after="0" w:line="240" w:lineRule="auto"/>
              <w:rPr>
                <w:rFonts w:asciiTheme="minorHAnsi" w:hAnsiTheme="minorHAnsi"/>
                <w:sz w:val="18"/>
                <w:szCs w:val="18"/>
              </w:rPr>
            </w:pPr>
            <w:r w:rsidRPr="00266AF6">
              <w:rPr>
                <w:rFonts w:asciiTheme="minorHAnsi" w:hAnsiTheme="minorHAnsi"/>
                <w:sz w:val="18"/>
                <w:szCs w:val="18"/>
              </w:rPr>
              <w:t>(</w:t>
            </w:r>
            <w:r w:rsidR="00266AF6" w:rsidRPr="00191031">
              <w:rPr>
                <w:rFonts w:asciiTheme="minorHAnsi" w:hAnsiTheme="minorHAnsi"/>
                <w:sz w:val="18"/>
                <w:szCs w:val="18"/>
              </w:rPr>
              <w:t>Enbridge/</w:t>
            </w:r>
            <w:r w:rsidRPr="00266AF6">
              <w:rPr>
                <w:rFonts w:asciiTheme="minorHAnsi" w:hAnsiTheme="minorHAnsi"/>
                <w:sz w:val="18"/>
                <w:szCs w:val="18"/>
              </w:rPr>
              <w:t xml:space="preserve">Spectra </w:t>
            </w:r>
            <w:r w:rsidRPr="009E7046">
              <w:rPr>
                <w:rFonts w:asciiTheme="minorHAnsi" w:hAnsiTheme="minorHAnsi"/>
                <w:sz w:val="18"/>
                <w:szCs w:val="18"/>
              </w:rPr>
              <w:t>Energy)</w:t>
            </w:r>
            <w:r w:rsidR="00E318CA" w:rsidRPr="00191031">
              <w:rPr>
                <w:rFonts w:asciiTheme="minorHAnsi" w:hAnsiTheme="minorHAnsi"/>
                <w:sz w:val="18"/>
                <w:szCs w:val="18"/>
                <w:vertAlign w:val="superscript"/>
              </w:rPr>
              <w:t>(a)</w:t>
            </w:r>
          </w:p>
        </w:tc>
        <w:tc>
          <w:tcPr>
            <w:tcW w:w="2789" w:type="dxa"/>
            <w:tcMar>
              <w:top w:w="29" w:type="dxa"/>
              <w:left w:w="58" w:type="dxa"/>
              <w:bottom w:w="29" w:type="dxa"/>
              <w:right w:w="58" w:type="dxa"/>
            </w:tcMar>
            <w:vAlign w:val="center"/>
          </w:tcPr>
          <w:p w:rsidR="000C4646" w:rsidRPr="000C4646" w:rsidRDefault="000C4646" w:rsidP="000C4646">
            <w:pPr>
              <w:keepNext/>
              <w:keepLines/>
              <w:spacing w:after="0" w:line="240" w:lineRule="auto"/>
              <w:jc w:val="center"/>
              <w:rPr>
                <w:rFonts w:asciiTheme="minorHAnsi" w:hAnsiTheme="minorHAnsi"/>
                <w:b/>
                <w:sz w:val="18"/>
                <w:szCs w:val="18"/>
              </w:rPr>
            </w:pPr>
            <w:r w:rsidRPr="000C4646">
              <w:rPr>
                <w:rFonts w:asciiTheme="minorHAnsi" w:hAnsiTheme="minorHAnsi"/>
                <w:b/>
                <w:sz w:val="18"/>
                <w:szCs w:val="18"/>
              </w:rPr>
              <w:t>342,000</w:t>
            </w:r>
          </w:p>
        </w:tc>
        <w:tc>
          <w:tcPr>
            <w:tcW w:w="1308" w:type="dxa"/>
            <w:tcMar>
              <w:top w:w="29" w:type="dxa"/>
              <w:left w:w="58" w:type="dxa"/>
              <w:bottom w:w="29" w:type="dxa"/>
              <w:right w:w="58" w:type="dxa"/>
            </w:tcMar>
            <w:vAlign w:val="center"/>
          </w:tcPr>
          <w:p w:rsidR="000C4646" w:rsidRPr="000C4646" w:rsidRDefault="000C4646" w:rsidP="000C4646">
            <w:pPr>
              <w:keepNext/>
              <w:keepLines/>
              <w:spacing w:after="0" w:line="240" w:lineRule="auto"/>
              <w:jc w:val="center"/>
              <w:rPr>
                <w:rFonts w:asciiTheme="minorHAnsi" w:hAnsiTheme="minorHAnsi"/>
                <w:sz w:val="18"/>
                <w:szCs w:val="18"/>
              </w:rPr>
            </w:pPr>
            <w:r w:rsidRPr="000C4646">
              <w:rPr>
                <w:rFonts w:asciiTheme="minorHAnsi" w:hAnsiTheme="minorHAnsi"/>
                <w:sz w:val="18"/>
                <w:szCs w:val="18"/>
              </w:rPr>
              <w:t>CT and MA</w:t>
            </w:r>
          </w:p>
        </w:tc>
        <w:tc>
          <w:tcPr>
            <w:tcW w:w="2322" w:type="dxa"/>
            <w:tcMar>
              <w:top w:w="29" w:type="dxa"/>
              <w:left w:w="58" w:type="dxa"/>
              <w:bottom w:w="29" w:type="dxa"/>
              <w:right w:w="58" w:type="dxa"/>
            </w:tcMar>
            <w:vAlign w:val="center"/>
          </w:tcPr>
          <w:p w:rsidR="000C4646" w:rsidRPr="000C4646" w:rsidRDefault="000C4646" w:rsidP="00777F71">
            <w:pPr>
              <w:keepNext/>
              <w:keepLines/>
              <w:spacing w:after="0" w:line="240" w:lineRule="auto"/>
              <w:jc w:val="center"/>
              <w:rPr>
                <w:rFonts w:asciiTheme="minorHAnsi" w:hAnsiTheme="minorHAnsi"/>
                <w:sz w:val="18"/>
                <w:szCs w:val="18"/>
              </w:rPr>
            </w:pPr>
            <w:r w:rsidRPr="000C4646">
              <w:rPr>
                <w:rFonts w:asciiTheme="minorHAnsi" w:hAnsiTheme="minorHAnsi"/>
                <w:sz w:val="18"/>
                <w:szCs w:val="18"/>
              </w:rPr>
              <w:t xml:space="preserve">FERC granted approval, March 2015; </w:t>
            </w:r>
            <w:r w:rsidR="00777F71">
              <w:rPr>
                <w:rFonts w:asciiTheme="minorHAnsi" w:hAnsiTheme="minorHAnsi"/>
                <w:sz w:val="18"/>
                <w:szCs w:val="18"/>
              </w:rPr>
              <w:t xml:space="preserve">full in-service date, </w:t>
            </w:r>
            <w:r w:rsidRPr="000C4646">
              <w:rPr>
                <w:rFonts w:asciiTheme="minorHAnsi" w:hAnsiTheme="minorHAnsi"/>
                <w:sz w:val="18"/>
                <w:szCs w:val="18"/>
              </w:rPr>
              <w:t>January 2017</w:t>
            </w:r>
          </w:p>
        </w:tc>
      </w:tr>
      <w:tr w:rsidR="000C4646" w:rsidRPr="000C4646" w:rsidTr="00595A75">
        <w:trPr>
          <w:jc w:val="center"/>
        </w:trPr>
        <w:tc>
          <w:tcPr>
            <w:tcW w:w="3180" w:type="dxa"/>
            <w:shd w:val="clear" w:color="auto" w:fill="CCEAF9" w:themeFill="accent1" w:themeFillTint="33"/>
            <w:tcMar>
              <w:top w:w="29" w:type="dxa"/>
              <w:left w:w="58" w:type="dxa"/>
              <w:bottom w:w="29" w:type="dxa"/>
              <w:right w:w="58" w:type="dxa"/>
            </w:tcMar>
            <w:vAlign w:val="center"/>
          </w:tcPr>
          <w:p w:rsidR="000C4646" w:rsidRPr="000C4646" w:rsidRDefault="000C4646" w:rsidP="000C4646">
            <w:pPr>
              <w:keepNext/>
              <w:keepLines/>
              <w:spacing w:after="0" w:line="240" w:lineRule="auto"/>
              <w:rPr>
                <w:rFonts w:asciiTheme="minorHAnsi" w:hAnsiTheme="minorHAnsi"/>
                <w:sz w:val="18"/>
                <w:szCs w:val="18"/>
              </w:rPr>
            </w:pPr>
            <w:r w:rsidRPr="000C4646">
              <w:rPr>
                <w:rFonts w:asciiTheme="minorHAnsi" w:hAnsiTheme="minorHAnsi"/>
                <w:b/>
                <w:sz w:val="18"/>
                <w:szCs w:val="18"/>
              </w:rPr>
              <w:t>Connecticut Expansion Project</w:t>
            </w:r>
          </w:p>
          <w:p w:rsidR="000C4646" w:rsidRPr="000C4646" w:rsidRDefault="000C4646" w:rsidP="000C4646">
            <w:pPr>
              <w:keepNext/>
              <w:keepLines/>
              <w:spacing w:after="0" w:line="240" w:lineRule="auto"/>
              <w:rPr>
                <w:rFonts w:asciiTheme="minorHAnsi" w:hAnsiTheme="minorHAnsi"/>
                <w:sz w:val="18"/>
                <w:szCs w:val="18"/>
              </w:rPr>
            </w:pPr>
            <w:r w:rsidRPr="000C4646">
              <w:rPr>
                <w:rFonts w:asciiTheme="minorHAnsi" w:hAnsiTheme="minorHAnsi"/>
                <w:sz w:val="18"/>
                <w:szCs w:val="18"/>
              </w:rPr>
              <w:t>(Kinder Morgan/Tennessee Gas Pipeline)</w:t>
            </w:r>
          </w:p>
        </w:tc>
        <w:tc>
          <w:tcPr>
            <w:tcW w:w="2789" w:type="dxa"/>
            <w:shd w:val="clear" w:color="auto" w:fill="CCEAF9" w:themeFill="accent1" w:themeFillTint="33"/>
            <w:tcMar>
              <w:top w:w="29" w:type="dxa"/>
              <w:left w:w="58" w:type="dxa"/>
              <w:bottom w:w="29" w:type="dxa"/>
              <w:right w:w="58" w:type="dxa"/>
            </w:tcMar>
            <w:vAlign w:val="center"/>
          </w:tcPr>
          <w:p w:rsidR="000C4646" w:rsidRPr="000C4646" w:rsidRDefault="000C4646" w:rsidP="000C4646">
            <w:pPr>
              <w:keepNext/>
              <w:keepLines/>
              <w:spacing w:after="0" w:line="240" w:lineRule="auto"/>
              <w:jc w:val="center"/>
              <w:rPr>
                <w:rFonts w:asciiTheme="minorHAnsi" w:hAnsiTheme="minorHAnsi"/>
                <w:b/>
                <w:sz w:val="18"/>
                <w:szCs w:val="18"/>
              </w:rPr>
            </w:pPr>
            <w:r w:rsidRPr="000C4646">
              <w:rPr>
                <w:rFonts w:asciiTheme="minorHAnsi" w:hAnsiTheme="minorHAnsi"/>
                <w:b/>
                <w:sz w:val="18"/>
                <w:szCs w:val="18"/>
              </w:rPr>
              <w:t>72,000</w:t>
            </w:r>
          </w:p>
        </w:tc>
        <w:tc>
          <w:tcPr>
            <w:tcW w:w="1308" w:type="dxa"/>
            <w:shd w:val="clear" w:color="auto" w:fill="CCEAF9" w:themeFill="accent1" w:themeFillTint="33"/>
            <w:tcMar>
              <w:top w:w="29" w:type="dxa"/>
              <w:left w:w="58" w:type="dxa"/>
              <w:bottom w:w="29" w:type="dxa"/>
              <w:right w:w="58" w:type="dxa"/>
            </w:tcMar>
            <w:vAlign w:val="center"/>
          </w:tcPr>
          <w:p w:rsidR="000C4646" w:rsidRPr="000C4646" w:rsidRDefault="000C4646" w:rsidP="000C4646">
            <w:pPr>
              <w:keepNext/>
              <w:keepLines/>
              <w:spacing w:after="0" w:line="240" w:lineRule="auto"/>
              <w:jc w:val="center"/>
              <w:rPr>
                <w:rFonts w:asciiTheme="minorHAnsi" w:hAnsiTheme="minorHAnsi"/>
                <w:sz w:val="18"/>
                <w:szCs w:val="18"/>
              </w:rPr>
            </w:pPr>
            <w:r w:rsidRPr="000C4646">
              <w:rPr>
                <w:rFonts w:asciiTheme="minorHAnsi" w:hAnsiTheme="minorHAnsi"/>
                <w:sz w:val="18"/>
                <w:szCs w:val="18"/>
              </w:rPr>
              <w:t>Primarily CT, some NY and MA</w:t>
            </w:r>
          </w:p>
        </w:tc>
        <w:tc>
          <w:tcPr>
            <w:tcW w:w="2322" w:type="dxa"/>
            <w:shd w:val="clear" w:color="auto" w:fill="CCEAF9" w:themeFill="accent1" w:themeFillTint="33"/>
            <w:tcMar>
              <w:top w:w="29" w:type="dxa"/>
              <w:left w:w="58" w:type="dxa"/>
              <w:bottom w:w="29" w:type="dxa"/>
              <w:right w:w="58" w:type="dxa"/>
            </w:tcMar>
            <w:vAlign w:val="center"/>
          </w:tcPr>
          <w:p w:rsidR="000C4646" w:rsidRPr="000C4646" w:rsidRDefault="000C4646" w:rsidP="000C4646">
            <w:pPr>
              <w:keepNext/>
              <w:keepLines/>
              <w:spacing w:after="0" w:line="240" w:lineRule="auto"/>
              <w:jc w:val="center"/>
              <w:rPr>
                <w:rFonts w:asciiTheme="minorHAnsi" w:hAnsiTheme="minorHAnsi"/>
                <w:sz w:val="18"/>
                <w:szCs w:val="18"/>
              </w:rPr>
            </w:pPr>
            <w:r w:rsidRPr="000C4646">
              <w:rPr>
                <w:rFonts w:asciiTheme="minorHAnsi" w:hAnsiTheme="minorHAnsi"/>
                <w:sz w:val="18"/>
                <w:szCs w:val="18"/>
              </w:rPr>
              <w:t>FERC issued final approval</w:t>
            </w:r>
            <w:r w:rsidR="00777F71">
              <w:rPr>
                <w:rFonts w:asciiTheme="minorHAnsi" w:hAnsiTheme="minorHAnsi"/>
                <w:sz w:val="18"/>
                <w:szCs w:val="18"/>
              </w:rPr>
              <w:t>, March 2016</w:t>
            </w:r>
            <w:r w:rsidRPr="000C4646">
              <w:rPr>
                <w:rFonts w:asciiTheme="minorHAnsi" w:hAnsiTheme="minorHAnsi"/>
                <w:sz w:val="18"/>
                <w:szCs w:val="18"/>
              </w:rPr>
              <w:t>; estimated November 2017 in-service date</w:t>
            </w:r>
          </w:p>
        </w:tc>
      </w:tr>
      <w:tr w:rsidR="000C4646" w:rsidRPr="000C4646" w:rsidTr="009243F5">
        <w:trPr>
          <w:jc w:val="center"/>
        </w:trPr>
        <w:tc>
          <w:tcPr>
            <w:tcW w:w="3180" w:type="dxa"/>
            <w:tcMar>
              <w:top w:w="29" w:type="dxa"/>
              <w:left w:w="58" w:type="dxa"/>
              <w:bottom w:w="29" w:type="dxa"/>
              <w:right w:w="58" w:type="dxa"/>
            </w:tcMar>
            <w:vAlign w:val="center"/>
          </w:tcPr>
          <w:p w:rsidR="000C4646" w:rsidRPr="000C4646" w:rsidRDefault="000C4646" w:rsidP="000C4646">
            <w:pPr>
              <w:keepNext/>
              <w:keepLines/>
              <w:spacing w:after="0" w:line="240" w:lineRule="auto"/>
              <w:rPr>
                <w:rFonts w:asciiTheme="minorHAnsi" w:hAnsiTheme="minorHAnsi"/>
                <w:sz w:val="18"/>
                <w:szCs w:val="18"/>
              </w:rPr>
            </w:pPr>
            <w:r w:rsidRPr="000C4646">
              <w:rPr>
                <w:rFonts w:asciiTheme="minorHAnsi" w:hAnsiTheme="minorHAnsi"/>
                <w:b/>
                <w:sz w:val="18"/>
                <w:szCs w:val="18"/>
              </w:rPr>
              <w:t>Continent</w:t>
            </w:r>
            <w:r w:rsidR="00751389">
              <w:rPr>
                <w:rFonts w:asciiTheme="minorHAnsi" w:hAnsiTheme="minorHAnsi"/>
                <w:b/>
                <w:sz w:val="18"/>
                <w:szCs w:val="18"/>
              </w:rPr>
              <w:t>-</w:t>
            </w:r>
            <w:r w:rsidRPr="000C4646">
              <w:rPr>
                <w:rFonts w:asciiTheme="minorHAnsi" w:hAnsiTheme="minorHAnsi"/>
                <w:b/>
                <w:sz w:val="18"/>
                <w:szCs w:val="18"/>
              </w:rPr>
              <w:t>to</w:t>
            </w:r>
            <w:r w:rsidR="00751389">
              <w:rPr>
                <w:rFonts w:asciiTheme="minorHAnsi" w:hAnsiTheme="minorHAnsi"/>
                <w:b/>
                <w:sz w:val="18"/>
                <w:szCs w:val="18"/>
              </w:rPr>
              <w:t>-</w:t>
            </w:r>
            <w:r w:rsidRPr="000C4646">
              <w:rPr>
                <w:rFonts w:asciiTheme="minorHAnsi" w:hAnsiTheme="minorHAnsi"/>
                <w:b/>
                <w:sz w:val="18"/>
                <w:szCs w:val="18"/>
              </w:rPr>
              <w:t>Coast</w:t>
            </w:r>
            <w:r w:rsidRPr="000C4646">
              <w:rPr>
                <w:rFonts w:asciiTheme="minorHAnsi" w:hAnsiTheme="minorHAnsi"/>
                <w:sz w:val="18"/>
                <w:szCs w:val="18"/>
              </w:rPr>
              <w:t xml:space="preserve"> </w:t>
            </w:r>
            <w:r w:rsidRPr="000C4646">
              <w:rPr>
                <w:rFonts w:asciiTheme="minorHAnsi" w:hAnsiTheme="minorHAnsi"/>
                <w:b/>
                <w:sz w:val="18"/>
                <w:szCs w:val="18"/>
              </w:rPr>
              <w:t>(C2C)</w:t>
            </w:r>
            <w:r w:rsidRPr="000C4646">
              <w:rPr>
                <w:rFonts w:asciiTheme="minorHAnsi" w:hAnsiTheme="minorHAnsi"/>
                <w:sz w:val="18"/>
                <w:szCs w:val="18"/>
              </w:rPr>
              <w:br/>
            </w:r>
            <w:r w:rsidRPr="000C4646">
              <w:rPr>
                <w:rFonts w:asciiTheme="minorHAnsi" w:hAnsiTheme="minorHAnsi"/>
                <w:b/>
                <w:sz w:val="18"/>
                <w:szCs w:val="18"/>
              </w:rPr>
              <w:t>Expansion Project</w:t>
            </w:r>
          </w:p>
          <w:p w:rsidR="000C4646" w:rsidRPr="000C4646" w:rsidRDefault="000C4646" w:rsidP="000C4646">
            <w:pPr>
              <w:keepNext/>
              <w:keepLines/>
              <w:spacing w:after="0" w:line="240" w:lineRule="auto"/>
              <w:rPr>
                <w:rFonts w:asciiTheme="minorHAnsi" w:hAnsiTheme="minorHAnsi"/>
                <w:sz w:val="18"/>
                <w:szCs w:val="18"/>
              </w:rPr>
            </w:pPr>
            <w:r w:rsidRPr="000C4646">
              <w:rPr>
                <w:rFonts w:asciiTheme="minorHAnsi" w:hAnsiTheme="minorHAnsi"/>
                <w:sz w:val="18"/>
                <w:szCs w:val="18"/>
              </w:rPr>
              <w:t>(PNGTS, TransCanada, Iroquois)</w:t>
            </w:r>
          </w:p>
        </w:tc>
        <w:tc>
          <w:tcPr>
            <w:tcW w:w="2789" w:type="dxa"/>
            <w:tcMar>
              <w:top w:w="29" w:type="dxa"/>
              <w:left w:w="58" w:type="dxa"/>
              <w:bottom w:w="29" w:type="dxa"/>
              <w:right w:w="58" w:type="dxa"/>
            </w:tcMar>
            <w:vAlign w:val="center"/>
          </w:tcPr>
          <w:p w:rsidR="000C4646" w:rsidRPr="000C4646" w:rsidRDefault="000C4646" w:rsidP="000C4646">
            <w:pPr>
              <w:keepNext/>
              <w:keepLines/>
              <w:spacing w:after="0" w:line="240" w:lineRule="auto"/>
              <w:jc w:val="center"/>
              <w:rPr>
                <w:rFonts w:asciiTheme="minorHAnsi" w:hAnsiTheme="minorHAnsi"/>
                <w:b/>
                <w:sz w:val="18"/>
                <w:szCs w:val="18"/>
              </w:rPr>
            </w:pPr>
            <w:r w:rsidRPr="000C4646">
              <w:rPr>
                <w:rFonts w:asciiTheme="minorHAnsi" w:hAnsiTheme="minorHAnsi"/>
                <w:b/>
                <w:sz w:val="18"/>
                <w:szCs w:val="18"/>
              </w:rPr>
              <w:t>168,000 – 300,000</w:t>
            </w:r>
          </w:p>
        </w:tc>
        <w:tc>
          <w:tcPr>
            <w:tcW w:w="1308" w:type="dxa"/>
            <w:tcMar>
              <w:top w:w="29" w:type="dxa"/>
              <w:left w:w="58" w:type="dxa"/>
              <w:bottom w:w="29" w:type="dxa"/>
              <w:right w:w="58" w:type="dxa"/>
            </w:tcMar>
            <w:vAlign w:val="center"/>
          </w:tcPr>
          <w:p w:rsidR="000C4646" w:rsidRPr="000C4646" w:rsidRDefault="000C4646" w:rsidP="000C4646">
            <w:pPr>
              <w:keepNext/>
              <w:keepLines/>
              <w:spacing w:after="0" w:line="240" w:lineRule="auto"/>
              <w:jc w:val="center"/>
              <w:rPr>
                <w:rFonts w:asciiTheme="minorHAnsi" w:hAnsiTheme="minorHAnsi"/>
                <w:sz w:val="18"/>
                <w:szCs w:val="18"/>
              </w:rPr>
            </w:pPr>
            <w:r w:rsidRPr="000C4646">
              <w:rPr>
                <w:rFonts w:asciiTheme="minorHAnsi" w:hAnsiTheme="minorHAnsi"/>
                <w:sz w:val="18"/>
                <w:szCs w:val="18"/>
              </w:rPr>
              <w:t>Québec, NY, and ME</w:t>
            </w:r>
          </w:p>
        </w:tc>
        <w:tc>
          <w:tcPr>
            <w:tcW w:w="2322" w:type="dxa"/>
            <w:tcMar>
              <w:top w:w="29" w:type="dxa"/>
              <w:left w:w="58" w:type="dxa"/>
              <w:bottom w:w="29" w:type="dxa"/>
              <w:right w:w="58" w:type="dxa"/>
            </w:tcMar>
            <w:vAlign w:val="center"/>
          </w:tcPr>
          <w:p w:rsidR="000C4646" w:rsidRPr="000C4646" w:rsidRDefault="000C4646" w:rsidP="000C4646">
            <w:pPr>
              <w:keepNext/>
              <w:keepLines/>
              <w:spacing w:after="0" w:line="240" w:lineRule="auto"/>
              <w:jc w:val="center"/>
              <w:rPr>
                <w:rFonts w:asciiTheme="minorHAnsi" w:hAnsiTheme="minorHAnsi"/>
                <w:sz w:val="18"/>
                <w:szCs w:val="18"/>
              </w:rPr>
            </w:pPr>
            <w:r w:rsidRPr="000C4646">
              <w:rPr>
                <w:rFonts w:asciiTheme="minorHAnsi" w:hAnsiTheme="minorHAnsi"/>
                <w:sz w:val="18"/>
                <w:szCs w:val="18"/>
              </w:rPr>
              <w:t>Estimated November 2017 in-service date</w:t>
            </w:r>
          </w:p>
        </w:tc>
      </w:tr>
      <w:tr w:rsidR="000C4646" w:rsidRPr="000C4646" w:rsidTr="00595A75">
        <w:trPr>
          <w:jc w:val="center"/>
        </w:trPr>
        <w:tc>
          <w:tcPr>
            <w:tcW w:w="3180" w:type="dxa"/>
            <w:shd w:val="clear" w:color="auto" w:fill="CCEAF9" w:themeFill="accent1" w:themeFillTint="33"/>
            <w:tcMar>
              <w:top w:w="29" w:type="dxa"/>
              <w:left w:w="58" w:type="dxa"/>
              <w:bottom w:w="29" w:type="dxa"/>
              <w:right w:w="58" w:type="dxa"/>
            </w:tcMar>
            <w:vAlign w:val="center"/>
          </w:tcPr>
          <w:p w:rsidR="000C4646" w:rsidRPr="009E7046" w:rsidRDefault="000C4646" w:rsidP="000C4646">
            <w:pPr>
              <w:keepNext/>
              <w:keepLines/>
              <w:spacing w:after="0" w:line="240" w:lineRule="auto"/>
              <w:rPr>
                <w:rFonts w:asciiTheme="minorHAnsi" w:hAnsiTheme="minorHAnsi"/>
                <w:sz w:val="18"/>
                <w:szCs w:val="18"/>
              </w:rPr>
            </w:pPr>
            <w:r w:rsidRPr="009E7046">
              <w:rPr>
                <w:rFonts w:asciiTheme="minorHAnsi" w:hAnsiTheme="minorHAnsi"/>
                <w:b/>
                <w:sz w:val="18"/>
                <w:szCs w:val="18"/>
              </w:rPr>
              <w:t>Atlantic Bridge Project</w:t>
            </w:r>
          </w:p>
          <w:p w:rsidR="000C4646" w:rsidRPr="000C4646" w:rsidRDefault="000C4646" w:rsidP="00E318CA">
            <w:pPr>
              <w:keepNext/>
              <w:keepLines/>
              <w:spacing w:after="0" w:line="240" w:lineRule="auto"/>
              <w:rPr>
                <w:rFonts w:asciiTheme="minorHAnsi" w:hAnsiTheme="minorHAnsi"/>
                <w:sz w:val="18"/>
                <w:szCs w:val="18"/>
              </w:rPr>
            </w:pPr>
            <w:r w:rsidRPr="009E7046">
              <w:rPr>
                <w:rFonts w:asciiTheme="minorHAnsi" w:hAnsiTheme="minorHAnsi"/>
                <w:sz w:val="18"/>
                <w:szCs w:val="18"/>
              </w:rPr>
              <w:t>(</w:t>
            </w:r>
            <w:r w:rsidR="00E318CA" w:rsidRPr="00191031">
              <w:rPr>
                <w:rFonts w:asciiTheme="minorHAnsi" w:hAnsiTheme="minorHAnsi"/>
                <w:sz w:val="18"/>
                <w:szCs w:val="18"/>
              </w:rPr>
              <w:t>Enbridge</w:t>
            </w:r>
            <w:r w:rsidR="00266AF6" w:rsidRPr="00191031">
              <w:rPr>
                <w:rFonts w:asciiTheme="minorHAnsi" w:hAnsiTheme="minorHAnsi"/>
                <w:sz w:val="18"/>
                <w:szCs w:val="18"/>
              </w:rPr>
              <w:t>/</w:t>
            </w:r>
            <w:r w:rsidRPr="00191031">
              <w:rPr>
                <w:rFonts w:asciiTheme="minorHAnsi" w:hAnsiTheme="minorHAnsi"/>
                <w:sz w:val="18"/>
                <w:szCs w:val="18"/>
              </w:rPr>
              <w:t>Spectra Energy</w:t>
            </w:r>
            <w:r w:rsidRPr="009E7046">
              <w:rPr>
                <w:rFonts w:asciiTheme="minorHAnsi" w:hAnsiTheme="minorHAnsi"/>
                <w:sz w:val="18"/>
                <w:szCs w:val="18"/>
              </w:rPr>
              <w:t>/</w:t>
            </w:r>
            <w:r w:rsidR="00266AF6">
              <w:rPr>
                <w:rFonts w:asciiTheme="minorHAnsi" w:hAnsiTheme="minorHAnsi"/>
                <w:sz w:val="18"/>
                <w:szCs w:val="18"/>
              </w:rPr>
              <w:br/>
            </w:r>
            <w:r w:rsidRPr="000C4646">
              <w:rPr>
                <w:rFonts w:asciiTheme="minorHAnsi" w:hAnsiTheme="minorHAnsi"/>
                <w:sz w:val="18"/>
                <w:szCs w:val="18"/>
              </w:rPr>
              <w:t xml:space="preserve">Algonquin </w:t>
            </w:r>
            <w:r w:rsidR="00E318CA">
              <w:rPr>
                <w:rFonts w:asciiTheme="minorHAnsi" w:hAnsiTheme="minorHAnsi"/>
                <w:sz w:val="18"/>
                <w:szCs w:val="18"/>
              </w:rPr>
              <w:t>and</w:t>
            </w:r>
            <w:r w:rsidRPr="000C4646">
              <w:rPr>
                <w:rFonts w:asciiTheme="minorHAnsi" w:hAnsiTheme="minorHAnsi"/>
                <w:sz w:val="18"/>
                <w:szCs w:val="18"/>
              </w:rPr>
              <w:t xml:space="preserve"> Maritimes)</w:t>
            </w:r>
          </w:p>
        </w:tc>
        <w:tc>
          <w:tcPr>
            <w:tcW w:w="2789" w:type="dxa"/>
            <w:shd w:val="clear" w:color="auto" w:fill="CCEAF9" w:themeFill="accent1" w:themeFillTint="33"/>
            <w:tcMar>
              <w:top w:w="29" w:type="dxa"/>
              <w:left w:w="58" w:type="dxa"/>
              <w:bottom w:w="29" w:type="dxa"/>
              <w:right w:w="58" w:type="dxa"/>
            </w:tcMar>
            <w:vAlign w:val="center"/>
          </w:tcPr>
          <w:p w:rsidR="000C4646" w:rsidRPr="000C4646" w:rsidRDefault="004D5B15" w:rsidP="000C4646">
            <w:pPr>
              <w:keepNext/>
              <w:keepLines/>
              <w:spacing w:after="0" w:line="240" w:lineRule="auto"/>
              <w:jc w:val="center"/>
              <w:rPr>
                <w:rFonts w:asciiTheme="minorHAnsi" w:hAnsiTheme="minorHAnsi"/>
                <w:b/>
                <w:sz w:val="18"/>
                <w:szCs w:val="18"/>
              </w:rPr>
            </w:pPr>
            <w:r>
              <w:rPr>
                <w:rFonts w:asciiTheme="minorHAnsi" w:hAnsiTheme="minorHAnsi"/>
                <w:b/>
                <w:sz w:val="18"/>
                <w:szCs w:val="18"/>
              </w:rPr>
              <w:t>133,000</w:t>
            </w:r>
          </w:p>
          <w:p w:rsidR="00E70615" w:rsidRPr="000C4646" w:rsidRDefault="000C4646" w:rsidP="009E7046">
            <w:pPr>
              <w:keepNext/>
              <w:keepLines/>
              <w:spacing w:after="0" w:line="240" w:lineRule="auto"/>
              <w:jc w:val="center"/>
              <w:rPr>
                <w:rFonts w:asciiTheme="minorHAnsi" w:hAnsiTheme="minorHAnsi"/>
                <w:sz w:val="18"/>
                <w:szCs w:val="18"/>
              </w:rPr>
            </w:pPr>
            <w:r w:rsidRPr="000C4646">
              <w:rPr>
                <w:rFonts w:asciiTheme="minorHAnsi" w:hAnsiTheme="minorHAnsi"/>
                <w:sz w:val="18"/>
                <w:szCs w:val="18"/>
              </w:rPr>
              <w:t>Involves incremental expansion on the AGT and M&amp;N pipelines to serve emerging gas markets in northern New England and the Canadian Maritimes</w:t>
            </w:r>
          </w:p>
        </w:tc>
        <w:tc>
          <w:tcPr>
            <w:tcW w:w="1308" w:type="dxa"/>
            <w:shd w:val="clear" w:color="auto" w:fill="CCEAF9" w:themeFill="accent1" w:themeFillTint="33"/>
            <w:tcMar>
              <w:top w:w="29" w:type="dxa"/>
              <w:left w:w="58" w:type="dxa"/>
              <w:bottom w:w="29" w:type="dxa"/>
              <w:right w:w="58" w:type="dxa"/>
            </w:tcMar>
            <w:vAlign w:val="center"/>
          </w:tcPr>
          <w:p w:rsidR="000C4646" w:rsidRPr="000C4646" w:rsidRDefault="000C4646" w:rsidP="000C4646">
            <w:pPr>
              <w:keepNext/>
              <w:keepLines/>
              <w:spacing w:after="0" w:line="240" w:lineRule="auto"/>
              <w:jc w:val="center"/>
              <w:rPr>
                <w:rFonts w:asciiTheme="minorHAnsi" w:hAnsiTheme="minorHAnsi"/>
                <w:sz w:val="18"/>
                <w:szCs w:val="18"/>
              </w:rPr>
            </w:pPr>
            <w:r w:rsidRPr="000C4646">
              <w:rPr>
                <w:rFonts w:asciiTheme="minorHAnsi" w:hAnsiTheme="minorHAnsi"/>
                <w:sz w:val="18"/>
                <w:szCs w:val="18"/>
              </w:rPr>
              <w:t>CT, RI, MA, NH, and ME</w:t>
            </w:r>
          </w:p>
        </w:tc>
        <w:tc>
          <w:tcPr>
            <w:tcW w:w="2322" w:type="dxa"/>
            <w:shd w:val="clear" w:color="auto" w:fill="CCEAF9" w:themeFill="accent1" w:themeFillTint="33"/>
            <w:tcMar>
              <w:top w:w="29" w:type="dxa"/>
              <w:left w:w="58" w:type="dxa"/>
              <w:bottom w:w="29" w:type="dxa"/>
              <w:right w:w="58" w:type="dxa"/>
            </w:tcMar>
            <w:vAlign w:val="center"/>
          </w:tcPr>
          <w:p w:rsidR="000C4646" w:rsidRPr="00191031" w:rsidRDefault="000C4646" w:rsidP="009E7046">
            <w:pPr>
              <w:keepNext/>
              <w:keepLines/>
              <w:spacing w:after="0" w:line="240" w:lineRule="auto"/>
              <w:jc w:val="center"/>
              <w:rPr>
                <w:rFonts w:asciiTheme="minorHAnsi" w:hAnsiTheme="minorHAnsi"/>
                <w:sz w:val="18"/>
                <w:szCs w:val="18"/>
                <w:highlight w:val="yellow"/>
              </w:rPr>
            </w:pPr>
            <w:r w:rsidRPr="000C4646">
              <w:rPr>
                <w:rFonts w:asciiTheme="minorHAnsi" w:hAnsiTheme="minorHAnsi"/>
                <w:sz w:val="18"/>
                <w:szCs w:val="18"/>
              </w:rPr>
              <w:t>FERC issued final approval</w:t>
            </w:r>
            <w:r w:rsidR="00777F71">
              <w:rPr>
                <w:rFonts w:asciiTheme="minorHAnsi" w:hAnsiTheme="minorHAnsi"/>
                <w:sz w:val="18"/>
                <w:szCs w:val="18"/>
              </w:rPr>
              <w:t xml:space="preserve">, January 2017; expected to be in service </w:t>
            </w:r>
            <w:r w:rsidR="009E7046">
              <w:rPr>
                <w:rFonts w:asciiTheme="minorHAnsi" w:hAnsiTheme="minorHAnsi"/>
                <w:sz w:val="18"/>
                <w:szCs w:val="18"/>
              </w:rPr>
              <w:t>no earlier than late 2017.</w:t>
            </w:r>
            <w:r w:rsidR="00777F71">
              <w:rPr>
                <w:rFonts w:asciiTheme="minorHAnsi" w:hAnsiTheme="minorHAnsi"/>
                <w:sz w:val="18"/>
                <w:szCs w:val="18"/>
              </w:rPr>
              <w:t xml:space="preserve"> </w:t>
            </w:r>
          </w:p>
        </w:tc>
      </w:tr>
      <w:tr w:rsidR="000C4646" w:rsidRPr="000C4646" w:rsidTr="009243F5">
        <w:trPr>
          <w:jc w:val="center"/>
        </w:trPr>
        <w:tc>
          <w:tcPr>
            <w:tcW w:w="3180" w:type="dxa"/>
            <w:tcMar>
              <w:top w:w="29" w:type="dxa"/>
              <w:left w:w="58" w:type="dxa"/>
              <w:bottom w:w="29" w:type="dxa"/>
              <w:right w:w="58" w:type="dxa"/>
            </w:tcMar>
            <w:vAlign w:val="center"/>
          </w:tcPr>
          <w:p w:rsidR="000C4646" w:rsidRPr="000C4646" w:rsidRDefault="000C4646" w:rsidP="000C4646">
            <w:pPr>
              <w:keepNext/>
              <w:keepLines/>
              <w:spacing w:after="0" w:line="240" w:lineRule="auto"/>
              <w:rPr>
                <w:rFonts w:asciiTheme="minorHAnsi" w:hAnsiTheme="minorHAnsi"/>
                <w:b/>
                <w:sz w:val="18"/>
                <w:szCs w:val="18"/>
              </w:rPr>
            </w:pPr>
            <w:r w:rsidRPr="000C4646">
              <w:rPr>
                <w:rFonts w:asciiTheme="minorHAnsi" w:hAnsiTheme="minorHAnsi"/>
                <w:b/>
                <w:sz w:val="18"/>
                <w:szCs w:val="18"/>
              </w:rPr>
              <w:t xml:space="preserve">Iroquois South to North </w:t>
            </w:r>
            <w:r w:rsidRPr="009E7046">
              <w:rPr>
                <w:rFonts w:asciiTheme="minorHAnsi" w:hAnsiTheme="minorHAnsi"/>
                <w:b/>
                <w:sz w:val="18"/>
                <w:szCs w:val="18"/>
              </w:rPr>
              <w:t>Project</w:t>
            </w:r>
            <w:r w:rsidR="00266AF6" w:rsidRPr="00191031">
              <w:rPr>
                <w:rFonts w:asciiTheme="minorHAnsi" w:hAnsiTheme="minorHAnsi"/>
                <w:b/>
                <w:sz w:val="18"/>
                <w:szCs w:val="18"/>
                <w:vertAlign w:val="superscript"/>
              </w:rPr>
              <w:t>(b)</w:t>
            </w:r>
          </w:p>
          <w:p w:rsidR="000C4646" w:rsidRPr="000C4646" w:rsidRDefault="000C4646" w:rsidP="000C4646">
            <w:pPr>
              <w:keepNext/>
              <w:keepLines/>
              <w:spacing w:after="0" w:line="240" w:lineRule="auto"/>
              <w:rPr>
                <w:rFonts w:asciiTheme="minorHAnsi" w:hAnsiTheme="minorHAnsi"/>
                <w:sz w:val="18"/>
                <w:szCs w:val="18"/>
              </w:rPr>
            </w:pPr>
            <w:r w:rsidRPr="000C4646">
              <w:rPr>
                <w:rFonts w:asciiTheme="minorHAnsi" w:hAnsiTheme="minorHAnsi"/>
                <w:sz w:val="18"/>
                <w:szCs w:val="18"/>
              </w:rPr>
              <w:t>(Iroquois Gas Transmission System)</w:t>
            </w:r>
          </w:p>
        </w:tc>
        <w:tc>
          <w:tcPr>
            <w:tcW w:w="2789" w:type="dxa"/>
            <w:tcMar>
              <w:top w:w="29" w:type="dxa"/>
              <w:left w:w="58" w:type="dxa"/>
              <w:bottom w:w="29" w:type="dxa"/>
              <w:right w:w="58" w:type="dxa"/>
            </w:tcMar>
            <w:vAlign w:val="center"/>
          </w:tcPr>
          <w:p w:rsidR="000C4646" w:rsidRPr="000C4646" w:rsidRDefault="000C4646" w:rsidP="000C4646">
            <w:pPr>
              <w:keepNext/>
              <w:keepLines/>
              <w:spacing w:after="0" w:line="240" w:lineRule="auto"/>
              <w:jc w:val="center"/>
              <w:rPr>
                <w:rFonts w:asciiTheme="minorHAnsi" w:hAnsiTheme="minorHAnsi"/>
                <w:b/>
                <w:sz w:val="18"/>
                <w:szCs w:val="18"/>
              </w:rPr>
            </w:pPr>
            <w:r w:rsidRPr="000C4646">
              <w:rPr>
                <w:rFonts w:asciiTheme="minorHAnsi" w:hAnsiTheme="minorHAnsi"/>
                <w:b/>
                <w:sz w:val="18"/>
                <w:szCs w:val="18"/>
              </w:rPr>
              <w:t>Up to 650,000</w:t>
            </w:r>
          </w:p>
          <w:p w:rsidR="000C4646" w:rsidRPr="000C4646" w:rsidRDefault="000C4646" w:rsidP="000C4646">
            <w:pPr>
              <w:keepNext/>
              <w:keepLines/>
              <w:spacing w:after="0" w:line="240" w:lineRule="auto"/>
              <w:jc w:val="center"/>
              <w:rPr>
                <w:rFonts w:asciiTheme="minorHAnsi" w:hAnsiTheme="minorHAnsi"/>
                <w:sz w:val="18"/>
                <w:szCs w:val="18"/>
              </w:rPr>
            </w:pPr>
            <w:r w:rsidRPr="000C4646">
              <w:rPr>
                <w:rFonts w:asciiTheme="minorHAnsi" w:hAnsiTheme="minorHAnsi"/>
                <w:sz w:val="18"/>
                <w:szCs w:val="18"/>
              </w:rPr>
              <w:t>Reverse flow on Iroquois northward to US/Canada border. Would  export Marcellus production using interconnects with Dominion in Canajoharie, NY, Algonquin in Brookfield, CT, and the proposed Constitution Pipeline in Wright, NY</w:t>
            </w:r>
          </w:p>
        </w:tc>
        <w:tc>
          <w:tcPr>
            <w:tcW w:w="1308" w:type="dxa"/>
            <w:tcMar>
              <w:top w:w="29" w:type="dxa"/>
              <w:left w:w="58" w:type="dxa"/>
              <w:bottom w:w="29" w:type="dxa"/>
              <w:right w:w="58" w:type="dxa"/>
            </w:tcMar>
            <w:vAlign w:val="center"/>
          </w:tcPr>
          <w:p w:rsidR="000C4646" w:rsidRPr="000C4646" w:rsidRDefault="000C4646" w:rsidP="000C4646">
            <w:pPr>
              <w:keepNext/>
              <w:keepLines/>
              <w:spacing w:after="0" w:line="240" w:lineRule="auto"/>
              <w:jc w:val="center"/>
              <w:rPr>
                <w:rFonts w:asciiTheme="minorHAnsi" w:hAnsiTheme="minorHAnsi"/>
                <w:sz w:val="18"/>
                <w:szCs w:val="18"/>
              </w:rPr>
            </w:pPr>
            <w:r w:rsidRPr="000C4646">
              <w:rPr>
                <w:rFonts w:asciiTheme="minorHAnsi" w:hAnsiTheme="minorHAnsi"/>
                <w:sz w:val="18"/>
                <w:szCs w:val="18"/>
              </w:rPr>
              <w:t>CT, NY</w:t>
            </w:r>
          </w:p>
        </w:tc>
        <w:tc>
          <w:tcPr>
            <w:tcW w:w="2322" w:type="dxa"/>
            <w:tcMar>
              <w:top w:w="29" w:type="dxa"/>
              <w:left w:w="58" w:type="dxa"/>
              <w:bottom w:w="29" w:type="dxa"/>
              <w:right w:w="58" w:type="dxa"/>
            </w:tcMar>
            <w:vAlign w:val="center"/>
          </w:tcPr>
          <w:p w:rsidR="000C4646" w:rsidRPr="000C4646" w:rsidRDefault="000C4646" w:rsidP="000C4646">
            <w:pPr>
              <w:keepNext/>
              <w:keepLines/>
              <w:spacing w:after="0" w:line="240" w:lineRule="auto"/>
              <w:jc w:val="center"/>
              <w:rPr>
                <w:rFonts w:asciiTheme="minorHAnsi" w:hAnsiTheme="minorHAnsi"/>
                <w:sz w:val="18"/>
                <w:szCs w:val="18"/>
              </w:rPr>
            </w:pPr>
            <w:r w:rsidRPr="000C4646">
              <w:rPr>
                <w:rFonts w:asciiTheme="minorHAnsi" w:hAnsiTheme="minorHAnsi"/>
                <w:sz w:val="18"/>
                <w:szCs w:val="18"/>
              </w:rPr>
              <w:t>Developer delayed estimated in-service date until 2020</w:t>
            </w:r>
          </w:p>
        </w:tc>
      </w:tr>
      <w:tr w:rsidR="000C4646" w:rsidRPr="000C4646" w:rsidTr="00595A75">
        <w:trPr>
          <w:jc w:val="center"/>
        </w:trPr>
        <w:tc>
          <w:tcPr>
            <w:tcW w:w="3180" w:type="dxa"/>
            <w:shd w:val="clear" w:color="auto" w:fill="CCEAF9" w:themeFill="accent1" w:themeFillTint="33"/>
            <w:tcMar>
              <w:top w:w="29" w:type="dxa"/>
              <w:left w:w="58" w:type="dxa"/>
              <w:bottom w:w="29" w:type="dxa"/>
              <w:right w:w="58" w:type="dxa"/>
            </w:tcMar>
            <w:vAlign w:val="center"/>
          </w:tcPr>
          <w:p w:rsidR="000C4646" w:rsidRPr="000C4646" w:rsidRDefault="000C4646" w:rsidP="000C4646">
            <w:pPr>
              <w:keepNext/>
              <w:keepLines/>
              <w:spacing w:after="0" w:line="240" w:lineRule="auto"/>
              <w:rPr>
                <w:rFonts w:asciiTheme="minorHAnsi" w:hAnsiTheme="minorHAnsi"/>
                <w:b/>
                <w:sz w:val="18"/>
                <w:szCs w:val="18"/>
              </w:rPr>
            </w:pPr>
            <w:r w:rsidRPr="000C4646">
              <w:rPr>
                <w:rFonts w:asciiTheme="minorHAnsi" w:hAnsiTheme="minorHAnsi"/>
                <w:b/>
                <w:sz w:val="18"/>
                <w:szCs w:val="18"/>
              </w:rPr>
              <w:t>Iroquois Wright Interconnect Project</w:t>
            </w:r>
          </w:p>
          <w:p w:rsidR="000C4646" w:rsidRPr="000C4646" w:rsidRDefault="000C4646" w:rsidP="000C4646">
            <w:pPr>
              <w:keepNext/>
              <w:keepLines/>
              <w:spacing w:after="0" w:line="240" w:lineRule="auto"/>
              <w:rPr>
                <w:rFonts w:asciiTheme="minorHAnsi" w:hAnsiTheme="minorHAnsi"/>
                <w:sz w:val="18"/>
                <w:szCs w:val="18"/>
              </w:rPr>
            </w:pPr>
            <w:r w:rsidRPr="000C4646">
              <w:rPr>
                <w:rFonts w:asciiTheme="minorHAnsi" w:hAnsiTheme="minorHAnsi"/>
                <w:sz w:val="18"/>
                <w:szCs w:val="18"/>
              </w:rPr>
              <w:t>(Iroquois Gas Transmission System)</w:t>
            </w:r>
          </w:p>
        </w:tc>
        <w:tc>
          <w:tcPr>
            <w:tcW w:w="2789" w:type="dxa"/>
            <w:shd w:val="clear" w:color="auto" w:fill="CCEAF9" w:themeFill="accent1" w:themeFillTint="33"/>
            <w:tcMar>
              <w:top w:w="29" w:type="dxa"/>
              <w:left w:w="58" w:type="dxa"/>
              <w:bottom w:w="29" w:type="dxa"/>
              <w:right w:w="58" w:type="dxa"/>
            </w:tcMar>
            <w:vAlign w:val="center"/>
          </w:tcPr>
          <w:p w:rsidR="000C4646" w:rsidRPr="000C4646" w:rsidRDefault="000C4646" w:rsidP="000C4646">
            <w:pPr>
              <w:keepNext/>
              <w:keepLines/>
              <w:spacing w:after="0" w:line="240" w:lineRule="auto"/>
              <w:jc w:val="center"/>
              <w:rPr>
                <w:rFonts w:asciiTheme="minorHAnsi" w:hAnsiTheme="minorHAnsi"/>
                <w:b/>
                <w:sz w:val="18"/>
                <w:szCs w:val="18"/>
              </w:rPr>
            </w:pPr>
            <w:r w:rsidRPr="000C4646">
              <w:rPr>
                <w:rFonts w:asciiTheme="minorHAnsi" w:hAnsiTheme="minorHAnsi"/>
                <w:b/>
                <w:sz w:val="18"/>
                <w:szCs w:val="18"/>
              </w:rPr>
              <w:t>Up to 650,000</w:t>
            </w:r>
          </w:p>
          <w:p w:rsidR="000C4646" w:rsidRPr="000C4646" w:rsidRDefault="000C4646" w:rsidP="000C4646">
            <w:pPr>
              <w:keepNext/>
              <w:keepLines/>
              <w:spacing w:after="0" w:line="240" w:lineRule="auto"/>
              <w:jc w:val="center"/>
              <w:rPr>
                <w:rFonts w:asciiTheme="minorHAnsi" w:hAnsiTheme="minorHAnsi"/>
                <w:sz w:val="18"/>
                <w:szCs w:val="18"/>
              </w:rPr>
            </w:pPr>
            <w:r w:rsidRPr="000C4646">
              <w:rPr>
                <w:rFonts w:asciiTheme="minorHAnsi" w:hAnsiTheme="minorHAnsi"/>
                <w:sz w:val="18"/>
                <w:szCs w:val="18"/>
              </w:rPr>
              <w:t>Adds new interconnection point with Constitution Pipeline, modifies existing compressor station with new transfer capacity and compressors</w:t>
            </w:r>
          </w:p>
        </w:tc>
        <w:tc>
          <w:tcPr>
            <w:tcW w:w="1308" w:type="dxa"/>
            <w:shd w:val="clear" w:color="auto" w:fill="CCEAF9" w:themeFill="accent1" w:themeFillTint="33"/>
            <w:tcMar>
              <w:top w:w="29" w:type="dxa"/>
              <w:left w:w="58" w:type="dxa"/>
              <w:bottom w:w="29" w:type="dxa"/>
              <w:right w:w="58" w:type="dxa"/>
            </w:tcMar>
            <w:vAlign w:val="center"/>
          </w:tcPr>
          <w:p w:rsidR="000C4646" w:rsidRPr="000C4646" w:rsidRDefault="000C4646" w:rsidP="000C4646">
            <w:pPr>
              <w:keepNext/>
              <w:keepLines/>
              <w:spacing w:after="0" w:line="240" w:lineRule="auto"/>
              <w:jc w:val="center"/>
              <w:rPr>
                <w:rFonts w:asciiTheme="minorHAnsi" w:hAnsiTheme="minorHAnsi"/>
                <w:sz w:val="18"/>
                <w:szCs w:val="18"/>
              </w:rPr>
            </w:pPr>
            <w:r w:rsidRPr="000C4646">
              <w:rPr>
                <w:rFonts w:asciiTheme="minorHAnsi" w:hAnsiTheme="minorHAnsi"/>
                <w:sz w:val="18"/>
                <w:szCs w:val="18"/>
              </w:rPr>
              <w:t>Mid-state NY</w:t>
            </w:r>
          </w:p>
        </w:tc>
        <w:tc>
          <w:tcPr>
            <w:tcW w:w="2322" w:type="dxa"/>
            <w:shd w:val="clear" w:color="auto" w:fill="CCEAF9" w:themeFill="accent1" w:themeFillTint="33"/>
            <w:tcMar>
              <w:top w:w="29" w:type="dxa"/>
              <w:left w:w="58" w:type="dxa"/>
              <w:bottom w:w="29" w:type="dxa"/>
              <w:right w:w="58" w:type="dxa"/>
            </w:tcMar>
            <w:vAlign w:val="center"/>
          </w:tcPr>
          <w:p w:rsidR="000C4646" w:rsidRPr="000C4646" w:rsidRDefault="000C4646" w:rsidP="000C4646">
            <w:pPr>
              <w:keepNext/>
              <w:keepLines/>
              <w:spacing w:after="0" w:line="240" w:lineRule="auto"/>
              <w:jc w:val="center"/>
              <w:rPr>
                <w:rFonts w:asciiTheme="minorHAnsi" w:hAnsiTheme="minorHAnsi"/>
                <w:sz w:val="18"/>
                <w:szCs w:val="18"/>
              </w:rPr>
            </w:pPr>
            <w:r w:rsidRPr="000C4646">
              <w:rPr>
                <w:rFonts w:asciiTheme="minorHAnsi" w:hAnsiTheme="minorHAnsi"/>
                <w:sz w:val="18"/>
                <w:szCs w:val="18"/>
              </w:rPr>
              <w:t>FERC issued final approval, December 2, 2014; in August 2016, FERC authorized extension until December 2018 to construct due to NY Dept. of Environmental Conservation permitting delay</w:t>
            </w:r>
          </w:p>
        </w:tc>
      </w:tr>
      <w:tr w:rsidR="000C4646" w:rsidRPr="000C4646" w:rsidTr="00595A75">
        <w:trPr>
          <w:jc w:val="center"/>
        </w:trPr>
        <w:tc>
          <w:tcPr>
            <w:tcW w:w="3180" w:type="dxa"/>
            <w:shd w:val="clear" w:color="auto" w:fill="auto"/>
            <w:tcMar>
              <w:top w:w="29" w:type="dxa"/>
              <w:left w:w="58" w:type="dxa"/>
              <w:bottom w:w="29" w:type="dxa"/>
              <w:right w:w="58" w:type="dxa"/>
            </w:tcMar>
            <w:vAlign w:val="center"/>
          </w:tcPr>
          <w:p w:rsidR="000C4646" w:rsidRPr="000C4646" w:rsidRDefault="000C4646" w:rsidP="000C4646">
            <w:pPr>
              <w:keepNext/>
              <w:keepLines/>
              <w:spacing w:after="0" w:line="240" w:lineRule="auto"/>
              <w:rPr>
                <w:rFonts w:asciiTheme="minorHAnsi" w:hAnsiTheme="minorHAnsi"/>
                <w:b/>
                <w:sz w:val="18"/>
                <w:szCs w:val="18"/>
              </w:rPr>
            </w:pPr>
            <w:r w:rsidRPr="000C4646">
              <w:rPr>
                <w:rFonts w:asciiTheme="minorHAnsi" w:hAnsiTheme="minorHAnsi"/>
                <w:b/>
                <w:sz w:val="18"/>
                <w:szCs w:val="18"/>
              </w:rPr>
              <w:t>Portland Natural Gas Transmission</w:t>
            </w:r>
          </w:p>
        </w:tc>
        <w:tc>
          <w:tcPr>
            <w:tcW w:w="2789" w:type="dxa"/>
            <w:shd w:val="clear" w:color="auto" w:fill="auto"/>
            <w:tcMar>
              <w:top w:w="29" w:type="dxa"/>
              <w:left w:w="58" w:type="dxa"/>
              <w:bottom w:w="29" w:type="dxa"/>
              <w:right w:w="58" w:type="dxa"/>
            </w:tcMar>
            <w:vAlign w:val="center"/>
          </w:tcPr>
          <w:p w:rsidR="000C4646" w:rsidRPr="000C4646" w:rsidRDefault="000C4646" w:rsidP="000C4646">
            <w:pPr>
              <w:keepNext/>
              <w:keepLines/>
              <w:spacing w:after="0" w:line="240" w:lineRule="auto"/>
              <w:jc w:val="center"/>
              <w:rPr>
                <w:rFonts w:asciiTheme="minorHAnsi" w:hAnsiTheme="minorHAnsi"/>
                <w:b/>
                <w:sz w:val="18"/>
                <w:szCs w:val="18"/>
              </w:rPr>
            </w:pPr>
            <w:r w:rsidRPr="000C4646">
              <w:rPr>
                <w:rFonts w:asciiTheme="minorHAnsi" w:hAnsiTheme="minorHAnsi"/>
                <w:b/>
                <w:sz w:val="18"/>
                <w:szCs w:val="18"/>
              </w:rPr>
              <w:t>Up to 32,000</w:t>
            </w:r>
          </w:p>
          <w:p w:rsidR="000C4646" w:rsidRPr="000C4646" w:rsidRDefault="000C4646" w:rsidP="000C4646">
            <w:pPr>
              <w:keepNext/>
              <w:keepLines/>
              <w:spacing w:after="0" w:line="240" w:lineRule="auto"/>
              <w:jc w:val="center"/>
              <w:rPr>
                <w:rFonts w:asciiTheme="minorHAnsi" w:hAnsiTheme="minorHAnsi"/>
                <w:sz w:val="18"/>
                <w:szCs w:val="18"/>
              </w:rPr>
            </w:pPr>
            <w:r w:rsidRPr="000C4646">
              <w:rPr>
                <w:rFonts w:asciiTheme="minorHAnsi" w:hAnsiTheme="minorHAnsi"/>
                <w:sz w:val="18"/>
                <w:szCs w:val="18"/>
              </w:rPr>
              <w:t xml:space="preserve">Increase import/export capacity from 178,000 to 210,000 from Pittsburg, NH, to Westbrook, ME </w:t>
            </w:r>
          </w:p>
        </w:tc>
        <w:tc>
          <w:tcPr>
            <w:tcW w:w="1308" w:type="dxa"/>
            <w:shd w:val="clear" w:color="auto" w:fill="auto"/>
            <w:tcMar>
              <w:top w:w="29" w:type="dxa"/>
              <w:left w:w="58" w:type="dxa"/>
              <w:bottom w:w="29" w:type="dxa"/>
              <w:right w:w="58" w:type="dxa"/>
            </w:tcMar>
            <w:vAlign w:val="center"/>
          </w:tcPr>
          <w:p w:rsidR="000C4646" w:rsidRPr="000C4646" w:rsidRDefault="000C4646" w:rsidP="000C4646">
            <w:pPr>
              <w:keepNext/>
              <w:keepLines/>
              <w:spacing w:after="0" w:line="240" w:lineRule="auto"/>
              <w:jc w:val="center"/>
              <w:rPr>
                <w:rFonts w:asciiTheme="minorHAnsi" w:hAnsiTheme="minorHAnsi"/>
                <w:sz w:val="18"/>
                <w:szCs w:val="18"/>
              </w:rPr>
            </w:pPr>
            <w:r w:rsidRPr="000C4646">
              <w:rPr>
                <w:rFonts w:asciiTheme="minorHAnsi" w:hAnsiTheme="minorHAnsi"/>
                <w:sz w:val="18"/>
                <w:szCs w:val="18"/>
              </w:rPr>
              <w:t>NH, ME</w:t>
            </w:r>
          </w:p>
        </w:tc>
        <w:tc>
          <w:tcPr>
            <w:tcW w:w="2322" w:type="dxa"/>
            <w:shd w:val="clear" w:color="auto" w:fill="auto"/>
            <w:tcMar>
              <w:top w:w="29" w:type="dxa"/>
              <w:left w:w="58" w:type="dxa"/>
              <w:bottom w:w="29" w:type="dxa"/>
              <w:right w:w="58" w:type="dxa"/>
            </w:tcMar>
            <w:vAlign w:val="center"/>
          </w:tcPr>
          <w:p w:rsidR="000C4646" w:rsidRPr="000C4646" w:rsidRDefault="000C4646" w:rsidP="000C4646">
            <w:pPr>
              <w:keepNext/>
              <w:keepLines/>
              <w:spacing w:after="0" w:line="240" w:lineRule="auto"/>
              <w:jc w:val="center"/>
              <w:rPr>
                <w:rFonts w:asciiTheme="minorHAnsi" w:hAnsiTheme="minorHAnsi"/>
                <w:sz w:val="18"/>
                <w:szCs w:val="18"/>
              </w:rPr>
            </w:pPr>
            <w:r w:rsidRPr="000C4646">
              <w:rPr>
                <w:rFonts w:asciiTheme="minorHAnsi" w:hAnsiTheme="minorHAnsi"/>
                <w:sz w:val="18"/>
                <w:szCs w:val="18"/>
              </w:rPr>
              <w:t>FERC application filed, December 2016</w:t>
            </w:r>
          </w:p>
          <w:p w:rsidR="000C4646" w:rsidRPr="000C4646" w:rsidDel="00797242" w:rsidRDefault="000C4646" w:rsidP="000C4646">
            <w:pPr>
              <w:keepNext/>
              <w:keepLines/>
              <w:spacing w:after="0" w:line="240" w:lineRule="auto"/>
              <w:jc w:val="center"/>
              <w:rPr>
                <w:rFonts w:asciiTheme="minorHAnsi" w:hAnsiTheme="minorHAnsi"/>
                <w:sz w:val="18"/>
                <w:szCs w:val="18"/>
              </w:rPr>
            </w:pPr>
            <w:r w:rsidRPr="000C4646">
              <w:rPr>
                <w:rFonts w:asciiTheme="minorHAnsi" w:hAnsiTheme="minorHAnsi"/>
                <w:sz w:val="18"/>
                <w:szCs w:val="18"/>
              </w:rPr>
              <w:t>Part of C2C Expansion Project</w:t>
            </w:r>
          </w:p>
        </w:tc>
      </w:tr>
    </w:tbl>
    <w:p w:rsidR="00E318CA" w:rsidRDefault="00E318CA" w:rsidP="00D35F3F">
      <w:pPr>
        <w:spacing w:before="120" w:after="80" w:line="240" w:lineRule="auto"/>
        <w:ind w:left="-274"/>
        <w:rPr>
          <w:rFonts w:asciiTheme="minorHAnsi" w:eastAsia="Times New Roman" w:hAnsiTheme="minorHAnsi" w:cs="Arial"/>
          <w:sz w:val="16"/>
          <w:szCs w:val="16"/>
        </w:rPr>
      </w:pPr>
      <w:r w:rsidRPr="00D35F3F">
        <w:rPr>
          <w:rFonts w:asciiTheme="minorHAnsi" w:eastAsia="Times New Roman" w:hAnsiTheme="minorHAnsi" w:cs="Arial"/>
          <w:sz w:val="16"/>
          <w:szCs w:val="16"/>
        </w:rPr>
        <w:t>(a)</w:t>
      </w:r>
      <w:r>
        <w:rPr>
          <w:rFonts w:asciiTheme="minorHAnsi" w:eastAsia="Times New Roman" w:hAnsiTheme="minorHAnsi" w:cs="Arial"/>
          <w:sz w:val="16"/>
          <w:szCs w:val="16"/>
        </w:rPr>
        <w:t xml:space="preserve"> As of February 2017, Spectra Energy became Enbridge.</w:t>
      </w:r>
    </w:p>
    <w:p w:rsidR="00266AF6" w:rsidRPr="00D35F3F" w:rsidRDefault="00266AF6" w:rsidP="00D35F3F">
      <w:pPr>
        <w:spacing w:before="120" w:after="80" w:line="240" w:lineRule="auto"/>
        <w:ind w:left="-274"/>
        <w:rPr>
          <w:rFonts w:asciiTheme="minorHAnsi" w:eastAsia="Times New Roman" w:hAnsiTheme="minorHAnsi" w:cs="Arial"/>
          <w:sz w:val="16"/>
          <w:szCs w:val="16"/>
        </w:rPr>
      </w:pPr>
      <w:r>
        <w:rPr>
          <w:rFonts w:asciiTheme="minorHAnsi" w:eastAsia="Times New Roman" w:hAnsiTheme="minorHAnsi" w:cs="Arial"/>
          <w:sz w:val="16"/>
          <w:szCs w:val="16"/>
        </w:rPr>
        <w:t xml:space="preserve">(b) The Iroquois South to North Project will be able to operate either north or south to New England. If it operates north, the gas may be used by customers in Canada, or it </w:t>
      </w:r>
      <w:r w:rsidRPr="009E7046">
        <w:rPr>
          <w:rFonts w:asciiTheme="minorHAnsi" w:eastAsia="Times New Roman" w:hAnsiTheme="minorHAnsi" w:cs="Arial"/>
          <w:sz w:val="16"/>
          <w:szCs w:val="16"/>
        </w:rPr>
        <w:t>may be routed back</w:t>
      </w:r>
      <w:r>
        <w:rPr>
          <w:rFonts w:asciiTheme="minorHAnsi" w:eastAsia="Times New Roman" w:hAnsiTheme="minorHAnsi" w:cs="Arial"/>
          <w:sz w:val="16"/>
          <w:szCs w:val="16"/>
        </w:rPr>
        <w:t xml:space="preserve"> south to New England over the Portland Gas Pipelne.</w:t>
      </w:r>
    </w:p>
    <w:p w:rsidR="000C4646" w:rsidRPr="000C4646" w:rsidRDefault="000C4646" w:rsidP="00D35F3F">
      <w:pPr>
        <w:spacing w:line="240" w:lineRule="auto"/>
        <w:ind w:left="-274"/>
      </w:pPr>
      <w:r w:rsidRPr="000C4646">
        <w:rPr>
          <w:rFonts w:asciiTheme="minorHAnsi" w:eastAsia="Times New Roman" w:hAnsiTheme="minorHAnsi" w:cs="Arial"/>
          <w:b/>
          <w:sz w:val="16"/>
          <w:szCs w:val="16"/>
        </w:rPr>
        <w:t>Sources:</w:t>
      </w:r>
      <w:r w:rsidRPr="000C4646">
        <w:rPr>
          <w:rFonts w:asciiTheme="minorHAnsi" w:eastAsia="Times New Roman" w:hAnsiTheme="minorHAnsi" w:cs="Arial"/>
          <w:sz w:val="16"/>
          <w:szCs w:val="16"/>
        </w:rPr>
        <w:t xml:space="preserve"> </w:t>
      </w:r>
      <w:r w:rsidRPr="000C4646">
        <w:rPr>
          <w:rFonts w:asciiTheme="minorHAnsi" w:hAnsiTheme="minorHAnsi"/>
          <w:sz w:val="16"/>
          <w:szCs w:val="16"/>
        </w:rPr>
        <w:t xml:space="preserve"> FERC, Northeast Gas Association, ICF International, and RBN.</w:t>
      </w:r>
    </w:p>
    <w:p w:rsidR="000C4646" w:rsidRPr="000C4646" w:rsidRDefault="000C4646" w:rsidP="000C4646">
      <w:r w:rsidRPr="000C4646">
        <w:rPr>
          <w:rFonts w:cs="Arial"/>
        </w:rPr>
        <w:t xml:space="preserve">Unlike the electric power industry, which builds infrastructure in anticipation of demand, </w:t>
      </w:r>
      <w:r w:rsidRPr="000C4646">
        <w:t xml:space="preserve">interstate natural gas pipeline companies require gas shippers and customers to enter into long-term firm commitments before the infrastructure can be developed. </w:t>
      </w:r>
      <w:r w:rsidRPr="000C4646">
        <w:rPr>
          <w:rFonts w:cs="Arial"/>
        </w:rPr>
        <w:t>Although the natural gas pipelines serving the region are at or near capacity, they will not be expanded until customers make firm commitments. In fact, FERC, which must approve interstate pipeline projects, bases its decision that a pipeline project is in the public convenience and a necessity in large part on the existence of firm contractual commitments.</w:t>
      </w:r>
      <w:r w:rsidRPr="000C4646">
        <w:rPr>
          <w:rFonts w:eastAsia="Times New Roman"/>
          <w:b/>
          <w:bCs/>
          <w:iCs/>
          <w:sz w:val="24"/>
          <w:szCs w:val="28"/>
        </w:rPr>
        <w:t xml:space="preserve"> </w:t>
      </w:r>
      <w:r w:rsidRPr="000C4646">
        <w:rPr>
          <w:rFonts w:eastAsia="Times New Roman"/>
          <w:bCs/>
          <w:iCs/>
        </w:rPr>
        <w:t xml:space="preserve">The </w:t>
      </w:r>
      <w:r w:rsidRPr="000C4646">
        <w:rPr>
          <w:rFonts w:eastAsia="Times New Roman"/>
          <w:bCs/>
          <w:iCs/>
        </w:rPr>
        <w:lastRenderedPageBreak/>
        <w:t xml:space="preserve">ISO will continue to monitor when any power generators within New England sign a firm contract for any portion of these regional upgrades that will improve fuel assurance. </w:t>
      </w:r>
    </w:p>
    <w:p w:rsidR="000C4646" w:rsidRPr="000C4646" w:rsidRDefault="000C4646" w:rsidP="000C4646">
      <w:pPr>
        <w:rPr>
          <w:rFonts w:eastAsia="Times New Roman"/>
        </w:rPr>
      </w:pPr>
      <w:r w:rsidRPr="000C4646">
        <w:t xml:space="preserve">The recent and planned expansion and other upgrades to the regional and interregional natural gas infrastructure </w:t>
      </w:r>
      <w:r w:rsidR="00DF59A8">
        <w:t>are</w:t>
      </w:r>
      <w:r w:rsidRPr="000C4646">
        <w:t xml:space="preserve"> initial steps for expanding access to natural gas sources</w:t>
      </w:r>
      <w:r w:rsidR="00DF59A8">
        <w:t xml:space="preserve">, helping </w:t>
      </w:r>
      <w:r w:rsidRPr="000C4646">
        <w:t>New England</w:t>
      </w:r>
      <w:r w:rsidR="00DF59A8">
        <w:t xml:space="preserve"> meet it</w:t>
      </w:r>
      <w:r w:rsidRPr="000C4646">
        <w:t>s increasing demand for gas to generate electric power. More expansion will most likely be required, however.</w:t>
      </w:r>
    </w:p>
    <w:p w:rsidR="000C4646" w:rsidRPr="000C4646" w:rsidRDefault="000C4646" w:rsidP="000C4646">
      <w:pPr>
        <w:pStyle w:val="Heading2"/>
        <w:rPr>
          <w:rFonts w:eastAsia="Times New Roman"/>
        </w:rPr>
      </w:pPr>
      <w:bookmarkStart w:id="736" w:name="_Toc429063450"/>
      <w:bookmarkStart w:id="737" w:name="_Toc490323081"/>
      <w:r w:rsidRPr="000C4646">
        <w:rPr>
          <w:rFonts w:eastAsia="Times New Roman"/>
        </w:rPr>
        <w:t>Summary</w:t>
      </w:r>
      <w:bookmarkEnd w:id="736"/>
      <w:bookmarkEnd w:id="737"/>
      <w:r w:rsidRPr="000C4646">
        <w:rPr>
          <w:rFonts w:eastAsia="Times New Roman"/>
        </w:rPr>
        <w:t xml:space="preserve"> </w:t>
      </w:r>
    </w:p>
    <w:p w:rsidR="000C4646" w:rsidRPr="000C4646" w:rsidRDefault="000C4646" w:rsidP="000C4646">
      <w:r w:rsidRPr="000C4646">
        <w:t>The operational challenges experienced during winter periods highlight the need for the ISO to manage energy production limitations of electric power generators, especially natural</w:t>
      </w:r>
      <w:r w:rsidR="00701205">
        <w:t>-</w:t>
      </w:r>
      <w:r w:rsidRPr="000C4646">
        <w:t xml:space="preserve">gas-fired generators. The constrained ability of natural gas pipelines to deliver fuel to generating units results in the need for oil and coal generators to produce electricity. Siting and permitting new dual-fuel facilities </w:t>
      </w:r>
      <w:r w:rsidRPr="009E7046">
        <w:t>that have sufficient operating flexibility when access to natural gas is limited remains challenging. Similarly, siting new gas</w:t>
      </w:r>
      <w:r w:rsidR="00B5094C" w:rsidRPr="009E7046">
        <w:t xml:space="preserve"> </w:t>
      </w:r>
      <w:r w:rsidRPr="009E7046">
        <w:t xml:space="preserve">pipelines can be a long and difficult process and will </w:t>
      </w:r>
      <w:r w:rsidR="00B5094C" w:rsidRPr="00D35F3F">
        <w:t xml:space="preserve">not </w:t>
      </w:r>
      <w:r w:rsidRPr="009E7046">
        <w:t>address short-term needs. Fuel</w:t>
      </w:r>
      <w:r w:rsidRPr="000C4646">
        <w:t xml:space="preserve"> constraints physically challenge the reliable operation of the system and result in increased prices for electricity</w:t>
      </w:r>
      <w:r w:rsidR="00876057">
        <w:t xml:space="preserve"> whenever </w:t>
      </w:r>
      <w:r w:rsidR="005D3CA9">
        <w:t>natural gas is in shorter supply to the region</w:t>
      </w:r>
      <w:r w:rsidR="005D3CA9" w:rsidRPr="005D3CA9">
        <w:t xml:space="preserve">, </w:t>
      </w:r>
      <w:r w:rsidRPr="005D3CA9">
        <w:t>especially</w:t>
      </w:r>
      <w:r w:rsidRPr="000C4646">
        <w:t xml:space="preserve"> during the winter months. </w:t>
      </w:r>
    </w:p>
    <w:p w:rsidR="000C4646" w:rsidRPr="000C4646" w:rsidRDefault="000C4646" w:rsidP="000C4646">
      <w:r w:rsidRPr="000C4646">
        <w:t>Making natural gas scheduling more flexible will improve generator response to system conditions and enhance system reliability. Improvements to the regional and interregional natural gas infrastructure also would help. Fuel-security could be further improved in a number of ways:</w:t>
      </w:r>
    </w:p>
    <w:p w:rsidR="000C4646" w:rsidRPr="000C4646" w:rsidRDefault="000C4646" w:rsidP="000C4646">
      <w:pPr>
        <w:numPr>
          <w:ilvl w:val="0"/>
          <w:numId w:val="573"/>
        </w:numPr>
        <w:spacing w:after="120"/>
      </w:pPr>
      <w:r w:rsidRPr="000C4646">
        <w:t xml:space="preserve">Firm contracts with natural gas pipelines would support the building of new natural gas pipeline capacity. </w:t>
      </w:r>
    </w:p>
    <w:p w:rsidR="000C4646" w:rsidRPr="000C4646" w:rsidRDefault="000C4646" w:rsidP="000C4646">
      <w:pPr>
        <w:numPr>
          <w:ilvl w:val="0"/>
          <w:numId w:val="573"/>
        </w:numPr>
        <w:spacing w:after="120"/>
      </w:pPr>
      <w:r w:rsidRPr="000C4646">
        <w:t>Firm contracts with natural gas suppliers, including LNG operators, would improve the availability of natural gas for electric power generation.</w:t>
      </w:r>
    </w:p>
    <w:p w:rsidR="000C4646" w:rsidRPr="000C4646" w:rsidRDefault="000C4646" w:rsidP="000C4646">
      <w:pPr>
        <w:numPr>
          <w:ilvl w:val="0"/>
          <w:numId w:val="573"/>
        </w:numPr>
        <w:spacing w:after="120"/>
      </w:pPr>
      <w:r w:rsidRPr="000C4646">
        <w:t>The use of existing and new dual-fuel capability at generating plants would provide alternative supplies of fuel when natural gas supplies are limited.</w:t>
      </w:r>
    </w:p>
    <w:p w:rsidR="000C4646" w:rsidRPr="000C4646" w:rsidRDefault="000C4646" w:rsidP="000C4646">
      <w:pPr>
        <w:numPr>
          <w:ilvl w:val="0"/>
          <w:numId w:val="573"/>
        </w:numPr>
        <w:spacing w:after="120"/>
      </w:pPr>
      <w:r w:rsidRPr="000C4646">
        <w:t xml:space="preserve">Adequate on-site storage of liquid fuels would increase generation reliability at dual-fuel power plants. </w:t>
      </w:r>
    </w:p>
    <w:p w:rsidR="000C4646" w:rsidRPr="000C4646" w:rsidRDefault="000C4646" w:rsidP="000C4646">
      <w:pPr>
        <w:numPr>
          <w:ilvl w:val="0"/>
          <w:numId w:val="573"/>
        </w:numPr>
        <w:spacing w:after="120"/>
      </w:pPr>
      <w:r w:rsidRPr="000C4646">
        <w:t xml:space="preserve">Compressed natural gas </w:t>
      </w:r>
      <w:r w:rsidR="005D3CA9">
        <w:t>an</w:t>
      </w:r>
      <w:r w:rsidR="00D35F3F">
        <w:t>d</w:t>
      </w:r>
      <w:r w:rsidR="005D3CA9">
        <w:t xml:space="preserve"> LNG </w:t>
      </w:r>
      <w:r w:rsidRPr="000C4646">
        <w:t>offer option</w:t>
      </w:r>
      <w:r w:rsidR="005D3CA9">
        <w:t>s</w:t>
      </w:r>
      <w:r w:rsidRPr="000C4646">
        <w:t xml:space="preserve"> for storing natural gas near peaking generating units. </w:t>
      </w:r>
    </w:p>
    <w:p w:rsidR="000C4646" w:rsidRPr="000C4646" w:rsidRDefault="000C4646" w:rsidP="000C4646">
      <w:pPr>
        <w:numPr>
          <w:ilvl w:val="0"/>
          <w:numId w:val="573"/>
        </w:numPr>
      </w:pPr>
      <w:r w:rsidRPr="000C4646">
        <w:t>Increased efficient use of natural gas and electricity would allow greater use of available pipeline capacity by generators.</w:t>
      </w:r>
    </w:p>
    <w:p w:rsidR="00A75620" w:rsidRDefault="000C4646" w:rsidP="00A75620">
      <w:r w:rsidRPr="000C4646">
        <w:t>The ISO’s 2017 fuel-security study should enhance understanding about the 2025 anticipated generating resource fuel-mix combinations and the impact to reliable winter operations of the power system</w:t>
      </w:r>
      <w:bookmarkEnd w:id="669"/>
      <w:r w:rsidRPr="000C4646">
        <w:t>.</w:t>
      </w:r>
    </w:p>
    <w:p w:rsidR="00A75620" w:rsidRPr="00A75620" w:rsidRDefault="00A75620" w:rsidP="00A75620">
      <w:pPr>
        <w:pStyle w:val="Heading1"/>
      </w:pPr>
      <w:bookmarkStart w:id="738" w:name="_Ref388962881"/>
      <w:bookmarkStart w:id="739" w:name="_Ref390423179"/>
      <w:bookmarkStart w:id="740" w:name="_Ref390424093"/>
      <w:bookmarkStart w:id="741" w:name="_Toc396807662"/>
      <w:bookmarkStart w:id="742" w:name="_Ref388713428"/>
      <w:r w:rsidRPr="00A75620">
        <w:lastRenderedPageBreak/>
        <w:br/>
      </w:r>
      <w:bookmarkStart w:id="743" w:name="_Ref418883784"/>
      <w:bookmarkStart w:id="744" w:name="_Toc429063451"/>
      <w:bookmarkStart w:id="745" w:name="_Toc490323082"/>
      <w:r w:rsidRPr="00A75620">
        <w:t>Impacts of Environmental Regulations and Siting Requirements on Generators and the Power System</w:t>
      </w:r>
      <w:bookmarkEnd w:id="738"/>
      <w:bookmarkEnd w:id="739"/>
      <w:bookmarkEnd w:id="740"/>
      <w:bookmarkEnd w:id="741"/>
      <w:bookmarkEnd w:id="742"/>
      <w:bookmarkEnd w:id="743"/>
      <w:bookmarkEnd w:id="744"/>
      <w:bookmarkEnd w:id="745"/>
    </w:p>
    <w:p w:rsidR="00A75620" w:rsidRPr="00A75620" w:rsidRDefault="00A75620" w:rsidP="00A75620">
      <w:r w:rsidRPr="00A75620">
        <w:t>Various elements of the power system are subject to federal, regional, and state environmental laws and regulations controlling pollution, emissions, or discharges</w:t>
      </w:r>
      <w:r w:rsidR="00241D96">
        <w:t xml:space="preserve">. </w:t>
      </w:r>
      <w:r w:rsidRPr="00A75620">
        <w:t>Siting and environmental permitting requirements for new or  existing transmission and generation are often complex and may involve multiple federal and state regulatory entities, all of which can delay or jeopardize the planning, development, or the implementation of proposed transmission and generation improvements. Compliance with environmental requirements may involve major capital investments for new projects, remediation measures, or changes in generator operations.</w:t>
      </w:r>
    </w:p>
    <w:p w:rsidR="00A75620" w:rsidRPr="00A75620" w:rsidRDefault="00A75620" w:rsidP="00A75620">
      <w:r w:rsidRPr="00A75620">
        <w:t>This section summarizes environmental regulations affecting generators and relicensing timelines for hydroelectric generators and nuclear units. The section also summarizes regional emissions for 2015, the latest available data.</w:t>
      </w:r>
    </w:p>
    <w:p w:rsidR="00A75620" w:rsidRPr="00AD30BF" w:rsidRDefault="00A75620" w:rsidP="00AD30BF">
      <w:pPr>
        <w:pStyle w:val="Heading2"/>
        <w:rPr>
          <w:rFonts w:eastAsia="Times New Roman"/>
        </w:rPr>
      </w:pPr>
      <w:bookmarkStart w:id="746" w:name="_Ref419108817"/>
      <w:bookmarkStart w:id="747" w:name="_Toc429063452"/>
      <w:bookmarkStart w:id="748" w:name="_Toc490323083"/>
      <w:r w:rsidRPr="00A75620">
        <w:rPr>
          <w:rFonts w:eastAsia="Times New Roman"/>
        </w:rPr>
        <w:t>Federal, Regional, and State Environmental Regulations Affecting Generators</w:t>
      </w:r>
      <w:bookmarkEnd w:id="746"/>
      <w:bookmarkEnd w:id="747"/>
      <w:bookmarkEnd w:id="748"/>
    </w:p>
    <w:p w:rsidR="00A75620" w:rsidRPr="00A75620" w:rsidRDefault="00A75620" w:rsidP="00A75620">
      <w:r w:rsidRPr="00A75620">
        <w:t xml:space="preserve">Compliance obligations for generators from existing and pending federal, state, and regional environmental requirements differ by resource age, economics, location, </w:t>
      </w:r>
      <w:r w:rsidR="00EA0264">
        <w:t xml:space="preserve">fuel type, </w:t>
      </w:r>
      <w:r w:rsidRPr="00A75620">
        <w:t>and readiness of commercially available control technologies. As generator retirements have progressed and the median age of larger generation units has fallen to 28 years in 2017, existing and new fossil generators generally have operated more advanced pollution control technologies that reduce emissions and discharges. Federal air, water, endangered species, and carbon dioxide (CO</w:t>
      </w:r>
      <w:r w:rsidRPr="00A75620">
        <w:rPr>
          <w:vertAlign w:val="subscript"/>
        </w:rPr>
        <w:t>2</w:t>
      </w:r>
      <w:r w:rsidRPr="00A75620">
        <w:t xml:space="preserve">) standards, however, could affect the economic performance of nuclear and fossil-fired generators by imposing operational constraints </w:t>
      </w:r>
      <w:r w:rsidR="005D3CA9">
        <w:t xml:space="preserve">or </w:t>
      </w:r>
      <w:r w:rsidR="00A61127" w:rsidRPr="00EE2F53">
        <w:t xml:space="preserve">lead to </w:t>
      </w:r>
      <w:r w:rsidRPr="00EE2F53">
        <w:t>capital</w:t>
      </w:r>
      <w:r w:rsidRPr="00A75620">
        <w:t xml:space="preserve"> costs for </w:t>
      </w:r>
      <w:r w:rsidR="005D3CA9">
        <w:t>installing environmental remediation measures</w:t>
      </w:r>
      <w:r w:rsidRPr="00A75620">
        <w:t>.</w:t>
      </w:r>
    </w:p>
    <w:p w:rsidR="00A75620" w:rsidRPr="00A75620" w:rsidRDefault="003102D2" w:rsidP="00A75620">
      <w:r>
        <w:t>C</w:t>
      </w:r>
      <w:r w:rsidR="00A61127">
        <w:t xml:space="preserve">ertain </w:t>
      </w:r>
      <w:r w:rsidR="00A75620" w:rsidRPr="00A75620">
        <w:t xml:space="preserve">federal environmental </w:t>
      </w:r>
      <w:r w:rsidR="00A61127">
        <w:t>requirements</w:t>
      </w:r>
      <w:r w:rsidR="00A75620" w:rsidRPr="00A75620">
        <w:t xml:space="preserve"> are highly uncertain at present. Significant programmatic or budgetary changes at the US Environmental Protection Agency (EPA) and US Fish and Wildlife Service (FWS) are under consideration or implementation. A number of major environmental </w:t>
      </w:r>
      <w:r w:rsidR="00A61127">
        <w:t xml:space="preserve">regulations </w:t>
      </w:r>
      <w:r w:rsidR="00A75620" w:rsidRPr="00A75620">
        <w:t xml:space="preserve">are </w:t>
      </w:r>
      <w:r w:rsidR="00A61127">
        <w:t xml:space="preserve">being </w:t>
      </w:r>
      <w:r w:rsidR="00A75620" w:rsidRPr="00A75620">
        <w:t>challenge</w:t>
      </w:r>
      <w:r w:rsidR="00A61127">
        <w:t>d in court</w:t>
      </w:r>
      <w:r>
        <w:t xml:space="preserve">, and the level of uncertainty may </w:t>
      </w:r>
      <w:r w:rsidR="00A75620" w:rsidRPr="00A75620">
        <w:t>complicat</w:t>
      </w:r>
      <w:r>
        <w:t>e</w:t>
      </w:r>
      <w:r w:rsidR="00A75620" w:rsidRPr="00A75620">
        <w:t xml:space="preserve"> permitting for new and existing generators and transmission facilities.</w:t>
      </w:r>
    </w:p>
    <w:p w:rsidR="00A75620" w:rsidRPr="00A75620" w:rsidRDefault="00A75620" w:rsidP="00A75620">
      <w:r w:rsidRPr="00A75620">
        <w:t>Pursuant to various executive orders and legislation, EPA is reconsidering several major air and water quality rules in the following areas that affect various classes of existing and new generators:</w:t>
      </w:r>
      <w:r w:rsidRPr="00A75620">
        <w:rPr>
          <w:rFonts w:eastAsia="Times New Roman"/>
          <w:vertAlign w:val="superscript"/>
        </w:rPr>
        <w:footnoteReference w:id="203"/>
      </w:r>
    </w:p>
    <w:p w:rsidR="00A75620" w:rsidRPr="00A75620" w:rsidRDefault="00A75620" w:rsidP="003D70FB">
      <w:pPr>
        <w:numPr>
          <w:ilvl w:val="0"/>
          <w:numId w:val="49"/>
        </w:numPr>
        <w:spacing w:after="120"/>
        <w:rPr>
          <w:rFonts w:eastAsia="Times New Roman"/>
        </w:rPr>
      </w:pPr>
      <w:r w:rsidRPr="00A75620">
        <w:rPr>
          <w:rFonts w:eastAsia="Times New Roman"/>
        </w:rPr>
        <w:t>Surface water withdrawals (for cooling water use and consumption)</w:t>
      </w:r>
    </w:p>
    <w:p w:rsidR="00A75620" w:rsidRPr="00A75620" w:rsidRDefault="00A75620" w:rsidP="003D70FB">
      <w:pPr>
        <w:numPr>
          <w:ilvl w:val="0"/>
          <w:numId w:val="49"/>
        </w:numPr>
        <w:spacing w:after="120"/>
        <w:rPr>
          <w:rFonts w:eastAsia="Times New Roman"/>
        </w:rPr>
      </w:pPr>
      <w:r w:rsidRPr="00A75620">
        <w:rPr>
          <w:rFonts w:eastAsia="Times New Roman"/>
        </w:rPr>
        <w:t>Wastewater discharges into surface water</w:t>
      </w:r>
    </w:p>
    <w:p w:rsidR="00A75620" w:rsidRPr="00A75620" w:rsidRDefault="00A75620" w:rsidP="003D70FB">
      <w:pPr>
        <w:numPr>
          <w:ilvl w:val="0"/>
          <w:numId w:val="49"/>
        </w:numPr>
        <w:spacing w:after="120"/>
        <w:rPr>
          <w:rFonts w:eastAsia="Times New Roman"/>
        </w:rPr>
      </w:pPr>
      <w:r w:rsidRPr="00A75620">
        <w:rPr>
          <w:rFonts w:eastAsia="Times New Roman"/>
        </w:rPr>
        <w:t>Mercury, acid gas, and other toxic air emissions</w:t>
      </w:r>
    </w:p>
    <w:p w:rsidR="00A75620" w:rsidRPr="00A75620" w:rsidRDefault="00A75620" w:rsidP="003D70FB">
      <w:pPr>
        <w:numPr>
          <w:ilvl w:val="0"/>
          <w:numId w:val="49"/>
        </w:numPr>
        <w:spacing w:after="120"/>
        <w:rPr>
          <w:rFonts w:eastAsia="Times New Roman"/>
        </w:rPr>
      </w:pPr>
      <w:r w:rsidRPr="00A75620">
        <w:rPr>
          <w:rFonts w:eastAsia="Times New Roman"/>
        </w:rPr>
        <w:t>Ozone (O</w:t>
      </w:r>
      <w:r w:rsidRPr="00A75620">
        <w:rPr>
          <w:rFonts w:eastAsia="Times New Roman"/>
          <w:vertAlign w:val="subscript"/>
        </w:rPr>
        <w:t>3</w:t>
      </w:r>
      <w:r w:rsidRPr="00A75620">
        <w:rPr>
          <w:rFonts w:eastAsia="Times New Roman"/>
        </w:rPr>
        <w:t>) transport and fine particulate matter (PM</w:t>
      </w:r>
      <w:r w:rsidRPr="00A75620">
        <w:rPr>
          <w:rFonts w:eastAsia="Times New Roman"/>
          <w:vertAlign w:val="subscript"/>
        </w:rPr>
        <w:t>2.5</w:t>
      </w:r>
      <w:r w:rsidRPr="00A75620">
        <w:rPr>
          <w:rFonts w:eastAsia="Times New Roman"/>
        </w:rPr>
        <w:t>) and sulfur dioxide (SO</w:t>
      </w:r>
      <w:r w:rsidRPr="00A75620">
        <w:rPr>
          <w:rFonts w:eastAsia="Times New Roman"/>
          <w:vertAlign w:val="subscript"/>
        </w:rPr>
        <w:t>2</w:t>
      </w:r>
      <w:r w:rsidRPr="00A75620">
        <w:rPr>
          <w:rFonts w:eastAsia="Times New Roman"/>
        </w:rPr>
        <w:t xml:space="preserve">) emissions </w:t>
      </w:r>
    </w:p>
    <w:p w:rsidR="00A75620" w:rsidRPr="00A75620" w:rsidRDefault="00A75620" w:rsidP="003D70FB">
      <w:pPr>
        <w:numPr>
          <w:ilvl w:val="0"/>
          <w:numId w:val="49"/>
        </w:numPr>
        <w:rPr>
          <w:rFonts w:eastAsia="Times New Roman"/>
        </w:rPr>
      </w:pPr>
      <w:r w:rsidRPr="00A75620">
        <w:rPr>
          <w:rFonts w:eastAsia="Times New Roman"/>
        </w:rPr>
        <w:t>Greenhouse gases (GHGs)/CO</w:t>
      </w:r>
      <w:r w:rsidRPr="00A75620">
        <w:rPr>
          <w:rFonts w:eastAsia="Times New Roman"/>
          <w:vertAlign w:val="subscript"/>
        </w:rPr>
        <w:t>2</w:t>
      </w:r>
      <w:r w:rsidRPr="00A75620">
        <w:rPr>
          <w:rFonts w:eastAsia="Times New Roman"/>
        </w:rPr>
        <w:t xml:space="preserve"> emissions</w:t>
      </w:r>
    </w:p>
    <w:p w:rsidR="00A75620" w:rsidRPr="00A75620" w:rsidRDefault="00A75620" w:rsidP="00A75620">
      <w:r w:rsidRPr="00A75620">
        <w:lastRenderedPageBreak/>
        <w:t xml:space="preserve">System reliability could suffer if the aggregate impact and timing of all these requirements limit generator energy production, reduce capacity output, or contribute to unit retirements. However, EPA has provided compliance options in several major recent rules, recognizing the reliability value that low-capacity fossil steam generators provide in maintaining system fuel diversity. </w:t>
      </w:r>
      <w:r w:rsidR="001E29E4">
        <w:t>R</w:t>
      </w:r>
      <w:r w:rsidR="001E29E4" w:rsidRPr="00A75620">
        <w:t xml:space="preserve">ecent </w:t>
      </w:r>
      <w:r w:rsidRPr="00A75620">
        <w:t>EPA and US Department of Energy (DOE) Energy Information Administration modeling</w:t>
      </w:r>
      <w:r w:rsidR="001E29E4">
        <w:t xml:space="preserve"> </w:t>
      </w:r>
      <w:r w:rsidRPr="00A75620">
        <w:t xml:space="preserve">indicate that several major regulations have declining importance on national (and by implication regional) grid reliability </w:t>
      </w:r>
      <w:r w:rsidRPr="009F714D">
        <w:t xml:space="preserve">(see Section </w:t>
      </w:r>
      <w:r w:rsidR="009F714D" w:rsidRPr="009F714D">
        <w:fldChar w:fldCharType="begin"/>
      </w:r>
      <w:r w:rsidR="009F714D" w:rsidRPr="009F714D">
        <w:instrText xml:space="preserve"> REF _Ref487012007 \r \h </w:instrText>
      </w:r>
      <w:r w:rsidR="009F714D">
        <w:instrText xml:space="preserve"> \* MERGEFORMAT </w:instrText>
      </w:r>
      <w:r w:rsidR="009F714D" w:rsidRPr="009F714D">
        <w:fldChar w:fldCharType="separate"/>
      </w:r>
      <w:r w:rsidR="00314781">
        <w:t>7.3</w:t>
      </w:r>
      <w:r w:rsidR="009F714D" w:rsidRPr="009F714D">
        <w:fldChar w:fldCharType="end"/>
      </w:r>
      <w:r w:rsidRPr="009F714D">
        <w:t>). Compliance deadlines for many of these requirements began in 2015 and continue</w:t>
      </w:r>
      <w:r w:rsidRPr="00A75620">
        <w:t xml:space="preserve"> through 2022.</w:t>
      </w:r>
    </w:p>
    <w:p w:rsidR="00A75620" w:rsidRPr="00A75620" w:rsidRDefault="00A75620" w:rsidP="00A75620">
      <w:r w:rsidRPr="00EE2F53">
        <w:t xml:space="preserve">State and regional air, water, and carbon dioxide standards could emerge as more stringent compliance requirements for generators. New England states are developing and implementing state air and water quality requirements for generators. This includes </w:t>
      </w:r>
      <w:r w:rsidR="00521A20" w:rsidRPr="00EE2F53">
        <w:t xml:space="preserve">the </w:t>
      </w:r>
      <w:r w:rsidRPr="00EE2F53">
        <w:t>continu</w:t>
      </w:r>
      <w:r w:rsidR="00521A20" w:rsidRPr="00EE2F53">
        <w:t>ed drive for regulated entities (i.e., local distribution companies</w:t>
      </w:r>
      <w:r w:rsidR="00521A20" w:rsidRPr="00D35F3F">
        <w:t>; LDCs</w:t>
      </w:r>
      <w:r w:rsidR="00521A20" w:rsidRPr="00EE2F53">
        <w:t xml:space="preserve">) </w:t>
      </w:r>
      <w:r w:rsidRPr="00EE2F53">
        <w:t xml:space="preserve">to </w:t>
      </w:r>
      <w:r w:rsidR="00521A20" w:rsidRPr="00EE2F53">
        <w:t xml:space="preserve">attain </w:t>
      </w:r>
      <w:r w:rsidRPr="00EE2F53">
        <w:t>greenhouse</w:t>
      </w:r>
      <w:r w:rsidRPr="00521A20">
        <w:t xml:space="preserve"> gas reduction targets</w:t>
      </w:r>
      <w:r w:rsidRPr="00A75620">
        <w:t xml:space="preserve"> under the Regional Greenhouse Gas </w:t>
      </w:r>
      <w:r w:rsidRPr="00252D36">
        <w:t xml:space="preserve">Initiative (RGGI) (see Section </w:t>
      </w:r>
      <w:r w:rsidR="001F279E" w:rsidRPr="00252D36">
        <w:fldChar w:fldCharType="begin"/>
      </w:r>
      <w:r w:rsidR="001F279E" w:rsidRPr="00252D36">
        <w:instrText xml:space="preserve"> REF _Ref485720823 \r \h  \* MERGEFORMAT </w:instrText>
      </w:r>
      <w:r w:rsidR="001F279E" w:rsidRPr="00252D36">
        <w:fldChar w:fldCharType="separate"/>
      </w:r>
      <w:r w:rsidR="00314781">
        <w:t>8.1.2.5</w:t>
      </w:r>
      <w:r w:rsidR="001F279E" w:rsidRPr="00252D36">
        <w:fldChar w:fldCharType="end"/>
      </w:r>
      <w:r w:rsidRPr="00252D36">
        <w:t>)</w:t>
      </w:r>
      <w:r w:rsidR="008F39AD" w:rsidRPr="00252D36">
        <w:t xml:space="preserve"> </w:t>
      </w:r>
      <w:r w:rsidRPr="00252D36">
        <w:t xml:space="preserve">or </w:t>
      </w:r>
      <w:r w:rsidR="00521A20">
        <w:t xml:space="preserve">the </w:t>
      </w:r>
      <w:r w:rsidRPr="00252D36">
        <w:t>implement</w:t>
      </w:r>
      <w:r w:rsidR="00521A20">
        <w:t>ation of</w:t>
      </w:r>
      <w:r w:rsidRPr="00252D36">
        <w:t xml:space="preserve"> </w:t>
      </w:r>
      <w:r w:rsidR="007C285F" w:rsidRPr="00252D36">
        <w:t xml:space="preserve">other </w:t>
      </w:r>
      <w:r w:rsidRPr="00252D36">
        <w:t>state-specific generator emissions caps</w:t>
      </w:r>
      <w:r w:rsidR="00252D36" w:rsidRPr="00252D36">
        <w:t>.</w:t>
      </w:r>
      <w:r w:rsidRPr="00252D36">
        <w:rPr>
          <w:vertAlign w:val="superscript"/>
        </w:rPr>
        <w:footnoteReference w:id="204"/>
      </w:r>
    </w:p>
    <w:p w:rsidR="00A75620" w:rsidRPr="001E29E4" w:rsidRDefault="00A75620" w:rsidP="001E29E4">
      <w:pPr>
        <w:pStyle w:val="Heading3"/>
        <w:rPr>
          <w:b w:val="0"/>
          <w:bCs w:val="0"/>
        </w:rPr>
      </w:pPr>
      <w:bookmarkStart w:id="749" w:name="_Toc396807663"/>
      <w:bookmarkStart w:id="750" w:name="_Toc429063453"/>
      <w:bookmarkStart w:id="751" w:name="_Toc490323084"/>
      <w:r w:rsidRPr="001E29E4">
        <w:t>Emerging Impacts of Clean Water Act Regulations on the Region’s Generators</w:t>
      </w:r>
      <w:bookmarkEnd w:id="749"/>
      <w:bookmarkEnd w:id="750"/>
      <w:bookmarkEnd w:id="751"/>
    </w:p>
    <w:p w:rsidR="0074326B" w:rsidRDefault="00A75620" w:rsidP="00A75620">
      <w:pPr>
        <w:widowControl w:val="0"/>
        <w:autoSpaceDE w:val="0"/>
        <w:autoSpaceDN w:val="0"/>
        <w:adjustRightInd w:val="0"/>
        <w:spacing w:after="200" w:line="276" w:lineRule="auto"/>
        <w:rPr>
          <w:rFonts w:cs="Arial"/>
          <w:color w:val="000000"/>
          <w:spacing w:val="-1"/>
        </w:rPr>
      </w:pPr>
      <w:r w:rsidRPr="00A75620">
        <w:rPr>
          <w:rFonts w:cs="Arial"/>
          <w:color w:val="000000"/>
          <w:spacing w:val="-1"/>
        </w:rPr>
        <w:t xml:space="preserve">EPA and state regulators are implementing several </w:t>
      </w:r>
      <w:r w:rsidRPr="00A75620">
        <w:rPr>
          <w:rFonts w:cs="Arial"/>
          <w:i/>
          <w:color w:val="000000"/>
          <w:spacing w:val="-1"/>
        </w:rPr>
        <w:t>Clean Water Act</w:t>
      </w:r>
      <w:r w:rsidRPr="00A75620">
        <w:rPr>
          <w:rFonts w:cs="Arial"/>
          <w:color w:val="000000"/>
          <w:spacing w:val="-1"/>
        </w:rPr>
        <w:t xml:space="preserve"> (CWA) regulations affecting electric power generators, including the final § 316(b) Cooling Water Intake Structures </w:t>
      </w:r>
      <w:r w:rsidRPr="00A9034E">
        <w:rPr>
          <w:rFonts w:cs="Arial"/>
          <w:color w:val="000000"/>
          <w:spacing w:val="-1"/>
        </w:rPr>
        <w:t>(CWIS) Rule and the proposed § 304 Effluent Limitation Guidelines (ELG</w:t>
      </w:r>
      <w:r w:rsidRPr="00895597">
        <w:rPr>
          <w:rFonts w:cs="Arial"/>
          <w:color w:val="000000"/>
          <w:spacing w:val="-1"/>
        </w:rPr>
        <w:t>s)</w:t>
      </w:r>
      <w:r w:rsidR="00895597">
        <w:rPr>
          <w:rFonts w:cs="Arial"/>
          <w:color w:val="000000"/>
          <w:spacing w:val="-1"/>
        </w:rPr>
        <w:t>.</w:t>
      </w:r>
      <w:r w:rsidR="00895597" w:rsidRPr="00895597">
        <w:rPr>
          <w:color w:val="000000"/>
          <w:spacing w:val="-1"/>
          <w:vertAlign w:val="superscript"/>
        </w:rPr>
        <w:footnoteReference w:id="205"/>
      </w:r>
      <w:r w:rsidR="0074326B" w:rsidRPr="00895597">
        <w:rPr>
          <w:rFonts w:cs="Arial"/>
          <w:color w:val="000000"/>
          <w:spacing w:val="-1"/>
        </w:rPr>
        <w:t xml:space="preserve"> </w:t>
      </w:r>
      <w:r w:rsidR="0074326B">
        <w:rPr>
          <w:rFonts w:cs="Arial"/>
          <w:color w:val="000000"/>
          <w:spacing w:val="-1"/>
        </w:rPr>
        <w:t>Both t</w:t>
      </w:r>
      <w:r w:rsidR="0074326B" w:rsidRPr="0074326B">
        <w:rPr>
          <w:rFonts w:eastAsia="Times New Roman"/>
        </w:rPr>
        <w:t xml:space="preserve">he </w:t>
      </w:r>
      <w:r w:rsidR="0074326B" w:rsidRPr="0074326B">
        <w:rPr>
          <w:rFonts w:cs="Arial"/>
          <w:color w:val="000000"/>
          <w:spacing w:val="-1"/>
        </w:rPr>
        <w:t>CWIS</w:t>
      </w:r>
      <w:r w:rsidR="0074326B" w:rsidRPr="0074326B">
        <w:rPr>
          <w:rFonts w:eastAsia="Times New Roman" w:cs="Arial"/>
        </w:rPr>
        <w:t xml:space="preserve"> Rule </w:t>
      </w:r>
      <w:r w:rsidR="0074326B">
        <w:rPr>
          <w:rFonts w:eastAsia="Times New Roman" w:cs="Arial"/>
        </w:rPr>
        <w:t xml:space="preserve">and the ELG requirements are </w:t>
      </w:r>
      <w:r w:rsidR="00D372AF">
        <w:rPr>
          <w:rFonts w:eastAsia="Times New Roman" w:cs="Arial"/>
        </w:rPr>
        <w:t xml:space="preserve">currently being challenged in court, which may lead to </w:t>
      </w:r>
      <w:r w:rsidR="00D372AF">
        <w:rPr>
          <w:rFonts w:cs="Arial"/>
          <w:color w:val="000000"/>
          <w:spacing w:val="-1"/>
        </w:rPr>
        <w:t xml:space="preserve">changes or </w:t>
      </w:r>
      <w:r w:rsidR="0074326B" w:rsidRPr="0074326B">
        <w:rPr>
          <w:rFonts w:cs="Arial"/>
          <w:color w:val="000000"/>
          <w:spacing w:val="-1"/>
        </w:rPr>
        <w:t>or delay</w:t>
      </w:r>
      <w:r w:rsidR="00D372AF">
        <w:rPr>
          <w:rFonts w:cs="Arial"/>
          <w:color w:val="000000"/>
          <w:spacing w:val="-1"/>
        </w:rPr>
        <w:t>s in</w:t>
      </w:r>
      <w:r w:rsidR="0074326B" w:rsidRPr="0074326B">
        <w:rPr>
          <w:rFonts w:cs="Arial"/>
          <w:color w:val="000000"/>
          <w:spacing w:val="-1"/>
        </w:rPr>
        <w:t xml:space="preserve"> compliance obligations for generators.</w:t>
      </w:r>
      <w:r w:rsidR="0074326B" w:rsidRPr="0074326B">
        <w:rPr>
          <w:color w:val="000000"/>
          <w:spacing w:val="-1"/>
          <w:vertAlign w:val="superscript"/>
        </w:rPr>
        <w:footnoteReference w:id="206"/>
      </w:r>
    </w:p>
    <w:p w:rsidR="00A75620" w:rsidRPr="00A75620" w:rsidRDefault="00A75620" w:rsidP="00A75620">
      <w:pPr>
        <w:widowControl w:val="0"/>
        <w:autoSpaceDE w:val="0"/>
        <w:autoSpaceDN w:val="0"/>
        <w:adjustRightInd w:val="0"/>
        <w:spacing w:after="200" w:line="276" w:lineRule="auto"/>
        <w:rPr>
          <w:rFonts w:cs="Arial"/>
          <w:color w:val="000000"/>
          <w:spacing w:val="-1"/>
        </w:rPr>
      </w:pPr>
      <w:r w:rsidRPr="00A75620">
        <w:rPr>
          <w:rFonts w:cs="Arial"/>
          <w:color w:val="000000"/>
          <w:spacing w:val="-1"/>
        </w:rPr>
        <w:t>In New England, 6.85 GW of existing fossil thermal electric capacity rel</w:t>
      </w:r>
      <w:r w:rsidR="001E29E4">
        <w:rPr>
          <w:rFonts w:cs="Arial"/>
          <w:color w:val="000000"/>
          <w:spacing w:val="-1"/>
        </w:rPr>
        <w:t>y</w:t>
      </w:r>
      <w:r w:rsidRPr="00A75620">
        <w:rPr>
          <w:rFonts w:cs="Arial"/>
          <w:color w:val="000000"/>
          <w:spacing w:val="-1"/>
        </w:rPr>
        <w:t xml:space="preserve"> on larger once-through cooling systems subject to the CWIS Rule and could incur additional compliance costs (operational changes or retrofits) during periodic water permit reviews. Another 4.40 GW of existing capacity ha</w:t>
      </w:r>
      <w:r w:rsidR="001E29E4">
        <w:rPr>
          <w:rFonts w:cs="Arial"/>
          <w:color w:val="000000"/>
          <w:spacing w:val="-1"/>
        </w:rPr>
        <w:t>ve</w:t>
      </w:r>
      <w:r w:rsidRPr="00A75620">
        <w:rPr>
          <w:rFonts w:cs="Arial"/>
          <w:color w:val="000000"/>
          <w:spacing w:val="-1"/>
        </w:rPr>
        <w:t xml:space="preserve"> partially compliant cooling systems, and 2.92 GW of existing capacity (mainly newer facilities with combined-cycle units) have already-compliant recirculating cooling systems. These rules also require new thermal electric energy capacity to install dry, hybrid, or closed-cycle cooling systems and control or eliminate certain wastewater discharges under new discharge requirements. </w:t>
      </w:r>
    </w:p>
    <w:p w:rsidR="00A75620" w:rsidRDefault="00A75620" w:rsidP="00A75620">
      <w:pPr>
        <w:rPr>
          <w:rFonts w:cs="Arial"/>
          <w:color w:val="000000"/>
          <w:spacing w:val="-1"/>
        </w:rPr>
      </w:pPr>
      <w:r w:rsidRPr="00A75620">
        <w:rPr>
          <w:rFonts w:eastAsia="Times New Roman"/>
        </w:rPr>
        <w:t xml:space="preserve">EPA and New England states are implementing the final </w:t>
      </w:r>
      <w:r w:rsidRPr="00A75620">
        <w:rPr>
          <w:rFonts w:eastAsia="Times New Roman" w:cs="Arial"/>
        </w:rPr>
        <w:t>CWA CWIS Rule</w:t>
      </w:r>
      <w:r w:rsidRPr="00A75620">
        <w:rPr>
          <w:rFonts w:eastAsia="Times New Roman"/>
        </w:rPr>
        <w:t xml:space="preserve"> requirements to mitigate the adverse impacts to aquatic life of once-through cooling systems </w:t>
      </w:r>
      <w:r w:rsidRPr="00A75620">
        <w:rPr>
          <w:rFonts w:eastAsia="Times New Roman" w:cs="Arial"/>
        </w:rPr>
        <w:t xml:space="preserve">with a design intake flow of at least </w:t>
      </w:r>
      <w:r w:rsidR="00A00E1E" w:rsidRPr="00A75620">
        <w:rPr>
          <w:rFonts w:eastAsia="Times New Roman" w:cs="Arial"/>
        </w:rPr>
        <w:t>2</w:t>
      </w:r>
      <w:r w:rsidR="00A00E1E">
        <w:rPr>
          <w:rFonts w:eastAsia="Times New Roman" w:cs="Arial"/>
        </w:rPr>
        <w:t> </w:t>
      </w:r>
      <w:r w:rsidRPr="00A75620">
        <w:rPr>
          <w:rFonts w:eastAsia="Times New Roman" w:cs="Arial"/>
        </w:rPr>
        <w:t xml:space="preserve">million gallons per day (MGD). </w:t>
      </w:r>
      <w:r w:rsidRPr="00A75620">
        <w:rPr>
          <w:rFonts w:eastAsia="Times New Roman"/>
        </w:rPr>
        <w:t xml:space="preserve">According to US Geological Survey (USGS) data summarized in </w:t>
      </w:r>
      <w:r w:rsidR="00D35F3F" w:rsidRPr="00D35F3F">
        <w:rPr>
          <w:rFonts w:eastAsia="Times New Roman"/>
        </w:rPr>
        <w:fldChar w:fldCharType="begin"/>
      </w:r>
      <w:r w:rsidR="00D35F3F" w:rsidRPr="00D35F3F">
        <w:rPr>
          <w:rFonts w:eastAsia="Times New Roman"/>
        </w:rPr>
        <w:instrText xml:space="preserve"> REF _Ref491189445 \h  \* MERGEFORMAT </w:instrText>
      </w:r>
      <w:r w:rsidR="00D35F3F" w:rsidRPr="00D35F3F">
        <w:rPr>
          <w:rFonts w:eastAsia="Times New Roman"/>
        </w:rPr>
      </w:r>
      <w:r w:rsidR="00D35F3F" w:rsidRPr="00D35F3F">
        <w:rPr>
          <w:rFonts w:eastAsia="Times New Roman"/>
        </w:rPr>
        <w:fldChar w:fldCharType="separate"/>
      </w:r>
      <w:r w:rsidR="00D35F3F" w:rsidRPr="00D35F3F">
        <w:rPr>
          <w:bCs/>
          <w:szCs w:val="18"/>
        </w:rPr>
        <w:t xml:space="preserve">Figure </w:t>
      </w:r>
      <w:r w:rsidR="00D35F3F" w:rsidRPr="00D35F3F">
        <w:rPr>
          <w:bCs/>
          <w:noProof/>
          <w:szCs w:val="18"/>
        </w:rPr>
        <w:t>8</w:t>
      </w:r>
      <w:r w:rsidR="00D35F3F" w:rsidRPr="00D35F3F">
        <w:rPr>
          <w:bCs/>
          <w:szCs w:val="18"/>
        </w:rPr>
        <w:noBreakHyphen/>
      </w:r>
      <w:r w:rsidR="00D35F3F" w:rsidRPr="00D35F3F">
        <w:rPr>
          <w:bCs/>
          <w:noProof/>
          <w:szCs w:val="18"/>
        </w:rPr>
        <w:t>1</w:t>
      </w:r>
      <w:r w:rsidR="00D35F3F" w:rsidRPr="00D35F3F">
        <w:rPr>
          <w:rFonts w:eastAsia="Times New Roman"/>
        </w:rPr>
        <w:fldChar w:fldCharType="end"/>
      </w:r>
      <w:r w:rsidRPr="00D35F3F">
        <w:rPr>
          <w:rFonts w:eastAsia="Times New Roman"/>
        </w:rPr>
        <w:t>, 12.9 GW of existing</w:t>
      </w:r>
      <w:r w:rsidRPr="00D35F3F">
        <w:rPr>
          <w:rFonts w:eastAsia="Times New Roman" w:cs="Arial"/>
        </w:rPr>
        <w:t xml:space="preserve"> steam electric generators (nuclear, coal, oil, natural gas, and</w:t>
      </w:r>
      <w:r w:rsidRPr="00A75620">
        <w:rPr>
          <w:rFonts w:eastAsia="Times New Roman" w:cs="Arial"/>
        </w:rPr>
        <w:t xml:space="preserve"> bio/refuse) in New England withdraw cooling water using once-through systems engineered with a design intake flow of 2 </w:t>
      </w:r>
      <w:r w:rsidRPr="00A75620">
        <w:rPr>
          <w:rFonts w:eastAsia="Times New Roman" w:cs="Arial"/>
        </w:rPr>
        <w:lastRenderedPageBreak/>
        <w:t>MGD or greater.</w:t>
      </w:r>
      <w:r w:rsidRPr="00A75620">
        <w:rPr>
          <w:rFonts w:eastAsia="Times New Roman"/>
          <w:vertAlign w:val="superscript"/>
        </w:rPr>
        <w:footnoteReference w:id="207"/>
      </w:r>
      <w:r w:rsidRPr="00A75620">
        <w:rPr>
          <w:rFonts w:eastAsia="Times New Roman" w:cs="Arial"/>
        </w:rPr>
        <w:t xml:space="preserve"> Electric generators equipped with such once-through cooling water systems are required to </w:t>
      </w:r>
      <w:r w:rsidR="00D372AF">
        <w:rPr>
          <w:rFonts w:eastAsia="Times New Roman" w:cs="Arial"/>
        </w:rPr>
        <w:t xml:space="preserve">use the best technology available to </w:t>
      </w:r>
      <w:r w:rsidRPr="00A75620">
        <w:rPr>
          <w:rFonts w:eastAsia="Times New Roman" w:cs="Arial"/>
        </w:rPr>
        <w:t xml:space="preserve">reduce fish </w:t>
      </w:r>
      <w:r w:rsidRPr="00A75620">
        <w:rPr>
          <w:rFonts w:eastAsia="Times New Roman" w:cs="Arial"/>
          <w:i/>
        </w:rPr>
        <w:t>impingement</w:t>
      </w:r>
      <w:r w:rsidRPr="00A75620">
        <w:rPr>
          <w:rFonts w:eastAsia="Times New Roman" w:cs="Arial"/>
        </w:rPr>
        <w:t xml:space="preserve"> </w:t>
      </w:r>
      <w:r w:rsidRPr="00A75620">
        <w:rPr>
          <w:rFonts w:eastAsia="Times New Roman"/>
        </w:rPr>
        <w:t>(i.e., when fish or wildlife are trapped against the intake structure due to the velocity of a facility’s water withdrawals</w:t>
      </w:r>
      <w:r w:rsidRPr="00A75620">
        <w:rPr>
          <w:rFonts w:eastAsia="Times New Roman" w:cs="Arial"/>
        </w:rPr>
        <w:t>)</w:t>
      </w:r>
      <w:r w:rsidR="00CF0701">
        <w:rPr>
          <w:rFonts w:eastAsia="Times New Roman" w:cs="Arial"/>
        </w:rPr>
        <w:t xml:space="preserve"> and entrainment (i.e., when very small organisms, such as fish eggs and larvae, are drawn through a facility’s intake screens with the cooling water)</w:t>
      </w:r>
      <w:r w:rsidRPr="00A75620">
        <w:rPr>
          <w:rFonts w:eastAsia="Times New Roman"/>
        </w:rPr>
        <w:t>.</w:t>
      </w:r>
      <w:r w:rsidR="00CF0701">
        <w:rPr>
          <w:rStyle w:val="FootnoteReference"/>
          <w:rFonts w:eastAsia="Times New Roman"/>
        </w:rPr>
        <w:footnoteReference w:id="208"/>
      </w:r>
      <w:r w:rsidRPr="00A75620">
        <w:rPr>
          <w:rFonts w:eastAsia="Times New Roman"/>
        </w:rPr>
        <w:t xml:space="preserve"> While EPA anticipated most retrofits occurring between 2018 and 2022, regional delays with several existing water permit reviews </w:t>
      </w:r>
      <w:r w:rsidR="0099528C">
        <w:rPr>
          <w:rFonts w:eastAsia="Times New Roman"/>
        </w:rPr>
        <w:t xml:space="preserve">could </w:t>
      </w:r>
      <w:r w:rsidRPr="00A75620">
        <w:rPr>
          <w:rFonts w:eastAsia="Times New Roman"/>
        </w:rPr>
        <w:t xml:space="preserve">push this schedule beyond 2022. </w:t>
      </w:r>
    </w:p>
    <w:p w:rsidR="001F2ACA" w:rsidRDefault="001F2ACA" w:rsidP="001F2ACA">
      <w:pPr>
        <w:spacing w:after="0" w:line="240" w:lineRule="auto"/>
        <w:jc w:val="center"/>
        <w:rPr>
          <w:rFonts w:asciiTheme="majorHAnsi" w:eastAsia="Times New Roman" w:hAnsiTheme="majorHAnsi" w:cs="Arial"/>
        </w:rPr>
      </w:pPr>
      <w:r w:rsidRPr="001F2ACA">
        <w:rPr>
          <w:noProof/>
        </w:rPr>
        <w:drawing>
          <wp:inline distT="0" distB="0" distL="0" distR="0" wp14:anchorId="5BB8ACCE" wp14:editId="56CA3473">
            <wp:extent cx="5268835" cy="2090057"/>
            <wp:effectExtent l="19050" t="19050" r="27305" b="2476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279598" cy="2094326"/>
                    </a:xfrm>
                    <a:prstGeom prst="rect">
                      <a:avLst/>
                    </a:prstGeom>
                    <a:noFill/>
                    <a:ln w="3175">
                      <a:solidFill>
                        <a:srgbClr val="000000"/>
                      </a:solidFill>
                    </a:ln>
                  </pic:spPr>
                </pic:pic>
              </a:graphicData>
            </a:graphic>
          </wp:inline>
        </w:drawing>
      </w:r>
    </w:p>
    <w:p w:rsidR="005123BD" w:rsidRPr="005123BD" w:rsidRDefault="005123BD" w:rsidP="00B16B0B">
      <w:pPr>
        <w:keepNext/>
        <w:spacing w:before="120" w:after="80" w:line="240" w:lineRule="auto"/>
        <w:ind w:left="360" w:right="270"/>
        <w:rPr>
          <w:rFonts w:asciiTheme="majorHAnsi" w:hAnsiTheme="majorHAnsi"/>
          <w:b/>
          <w:bCs/>
        </w:rPr>
      </w:pPr>
      <w:bookmarkStart w:id="752" w:name="_Ref491189445"/>
      <w:bookmarkStart w:id="753" w:name="_Toc486233219"/>
      <w:r w:rsidRPr="001F2ACA">
        <w:rPr>
          <w:rFonts w:ascii="Calibri" w:hAnsi="Calibri"/>
          <w:b/>
          <w:bCs/>
          <w:szCs w:val="18"/>
        </w:rPr>
        <w:t xml:space="preserve">Figure </w:t>
      </w:r>
      <w:r w:rsidRPr="001F2ACA">
        <w:rPr>
          <w:rFonts w:ascii="Calibri" w:hAnsi="Calibri"/>
          <w:b/>
          <w:bCs/>
          <w:szCs w:val="18"/>
        </w:rPr>
        <w:fldChar w:fldCharType="begin"/>
      </w:r>
      <w:r w:rsidRPr="001F2ACA">
        <w:rPr>
          <w:rFonts w:ascii="Calibri" w:hAnsi="Calibri"/>
          <w:b/>
          <w:bCs/>
          <w:szCs w:val="18"/>
        </w:rPr>
        <w:instrText xml:space="preserve"> STYLEREF 1 \s </w:instrText>
      </w:r>
      <w:r w:rsidRPr="001F2ACA">
        <w:rPr>
          <w:rFonts w:ascii="Calibri" w:hAnsi="Calibri"/>
          <w:b/>
          <w:bCs/>
          <w:szCs w:val="18"/>
        </w:rPr>
        <w:fldChar w:fldCharType="separate"/>
      </w:r>
      <w:r w:rsidR="00314781">
        <w:rPr>
          <w:rFonts w:ascii="Calibri" w:hAnsi="Calibri"/>
          <w:b/>
          <w:bCs/>
          <w:noProof/>
          <w:szCs w:val="18"/>
        </w:rPr>
        <w:t>8</w:t>
      </w:r>
      <w:r w:rsidRPr="001F2ACA">
        <w:rPr>
          <w:rFonts w:ascii="Calibri" w:hAnsi="Calibri"/>
          <w:b/>
          <w:bCs/>
          <w:szCs w:val="18"/>
        </w:rPr>
        <w:fldChar w:fldCharType="end"/>
      </w:r>
      <w:r w:rsidRPr="001F2ACA">
        <w:rPr>
          <w:rFonts w:ascii="Calibri" w:hAnsi="Calibri"/>
          <w:b/>
          <w:bCs/>
          <w:szCs w:val="18"/>
        </w:rPr>
        <w:noBreakHyphen/>
      </w:r>
      <w:r w:rsidRPr="001F2ACA">
        <w:rPr>
          <w:rFonts w:ascii="Calibri" w:hAnsi="Calibri"/>
          <w:b/>
          <w:bCs/>
          <w:szCs w:val="18"/>
        </w:rPr>
        <w:fldChar w:fldCharType="begin"/>
      </w:r>
      <w:r w:rsidRPr="001F2ACA">
        <w:rPr>
          <w:rFonts w:ascii="Calibri" w:hAnsi="Calibri"/>
          <w:b/>
          <w:bCs/>
          <w:szCs w:val="18"/>
        </w:rPr>
        <w:instrText xml:space="preserve"> SEQ Figure \* ARABIC \s 1 </w:instrText>
      </w:r>
      <w:r w:rsidRPr="001F2ACA">
        <w:rPr>
          <w:rFonts w:ascii="Calibri" w:hAnsi="Calibri"/>
          <w:b/>
          <w:bCs/>
          <w:szCs w:val="18"/>
        </w:rPr>
        <w:fldChar w:fldCharType="separate"/>
      </w:r>
      <w:r w:rsidR="00314781">
        <w:rPr>
          <w:rFonts w:ascii="Calibri" w:hAnsi="Calibri"/>
          <w:b/>
          <w:bCs/>
          <w:noProof/>
          <w:szCs w:val="18"/>
        </w:rPr>
        <w:t>1</w:t>
      </w:r>
      <w:r w:rsidRPr="001F2ACA">
        <w:rPr>
          <w:rFonts w:ascii="Calibri" w:hAnsi="Calibri"/>
          <w:b/>
          <w:bCs/>
          <w:szCs w:val="18"/>
        </w:rPr>
        <w:fldChar w:fldCharType="end"/>
      </w:r>
      <w:bookmarkEnd w:id="752"/>
      <w:r w:rsidRPr="001F2ACA">
        <w:rPr>
          <w:rFonts w:ascii="Calibri" w:hAnsi="Calibri"/>
          <w:b/>
          <w:bCs/>
          <w:szCs w:val="18"/>
        </w:rPr>
        <w:t>:</w:t>
      </w:r>
      <w:r w:rsidRPr="001F2ACA">
        <w:rPr>
          <w:rFonts w:asciiTheme="majorHAnsi" w:hAnsiTheme="majorHAnsi"/>
          <w:b/>
          <w:bCs/>
        </w:rPr>
        <w:t xml:space="preserve"> Summer claimed capability and cooling technology type in New England, 2017 (MW).</w:t>
      </w:r>
      <w:bookmarkEnd w:id="753"/>
    </w:p>
    <w:p w:rsidR="005123BD" w:rsidRPr="005123BD" w:rsidRDefault="005123BD" w:rsidP="00B16B0B">
      <w:pPr>
        <w:keepNext/>
        <w:spacing w:after="80" w:line="240" w:lineRule="auto"/>
        <w:ind w:left="360" w:right="270"/>
        <w:rPr>
          <w:rFonts w:asciiTheme="minorHAnsi" w:hAnsiTheme="minorHAnsi"/>
          <w:sz w:val="16"/>
          <w:szCs w:val="16"/>
        </w:rPr>
      </w:pPr>
      <w:r w:rsidRPr="005123BD">
        <w:rPr>
          <w:rFonts w:asciiTheme="minorHAnsi" w:hAnsiTheme="minorHAnsi"/>
          <w:b/>
          <w:bCs/>
          <w:sz w:val="16"/>
          <w:szCs w:val="16"/>
        </w:rPr>
        <w:t>Note</w:t>
      </w:r>
      <w:r w:rsidRPr="005123BD">
        <w:rPr>
          <w:rFonts w:asciiTheme="minorHAnsi" w:hAnsiTheme="minorHAnsi"/>
          <w:sz w:val="16"/>
          <w:szCs w:val="16"/>
        </w:rPr>
        <w:t xml:space="preserve">: Thermal cooling system data </w:t>
      </w:r>
      <w:r w:rsidR="00B16B0B">
        <w:rPr>
          <w:rFonts w:asciiTheme="minorHAnsi" w:hAnsiTheme="minorHAnsi"/>
          <w:sz w:val="16"/>
          <w:szCs w:val="16"/>
        </w:rPr>
        <w:t>are</w:t>
      </w:r>
      <w:r w:rsidRPr="005123BD">
        <w:rPr>
          <w:rFonts w:asciiTheme="minorHAnsi" w:hAnsiTheme="minorHAnsi"/>
          <w:sz w:val="16"/>
          <w:szCs w:val="16"/>
        </w:rPr>
        <w:t xml:space="preserve"> available for 24.3 GW of existing system capacity in New England (excluding hydro, wind and photovoltaic). 10.5 GW use open on</w:t>
      </w:r>
      <w:r w:rsidR="00B16B0B">
        <w:rPr>
          <w:rFonts w:asciiTheme="minorHAnsi" w:hAnsiTheme="minorHAnsi"/>
          <w:sz w:val="16"/>
          <w:szCs w:val="16"/>
        </w:rPr>
        <w:t>c</w:t>
      </w:r>
      <w:r w:rsidRPr="005123BD">
        <w:rPr>
          <w:rFonts w:asciiTheme="minorHAnsi" w:hAnsiTheme="minorHAnsi"/>
          <w:sz w:val="16"/>
          <w:szCs w:val="16"/>
        </w:rPr>
        <w:t>e-through thermal cooling systems, 7.4 GW use recirculating (induced draft) cooling systems, 5.0 GW use dry/hybrid cooling systems, and 1.4 GW report no cooling water systems. Cooling system data w</w:t>
      </w:r>
      <w:r w:rsidR="00B16B0B">
        <w:rPr>
          <w:rFonts w:asciiTheme="minorHAnsi" w:hAnsiTheme="minorHAnsi"/>
          <w:sz w:val="16"/>
          <w:szCs w:val="16"/>
        </w:rPr>
        <w:t>ere</w:t>
      </w:r>
      <w:r w:rsidRPr="005123BD">
        <w:rPr>
          <w:rFonts w:asciiTheme="minorHAnsi" w:hAnsiTheme="minorHAnsi"/>
          <w:sz w:val="16"/>
          <w:szCs w:val="16"/>
        </w:rPr>
        <w:t xml:space="preserve"> unavailable for 1.2 GW. Resources &lt;25 MW </w:t>
      </w:r>
      <w:r w:rsidR="0093453D">
        <w:rPr>
          <w:rFonts w:asciiTheme="minorHAnsi" w:hAnsiTheme="minorHAnsi"/>
          <w:sz w:val="16"/>
          <w:szCs w:val="16"/>
        </w:rPr>
        <w:t>and resources</w:t>
      </w:r>
      <w:r w:rsidRPr="005123BD">
        <w:rPr>
          <w:rFonts w:asciiTheme="minorHAnsi" w:hAnsiTheme="minorHAnsi"/>
          <w:sz w:val="16"/>
          <w:szCs w:val="16"/>
        </w:rPr>
        <w:t xml:space="preserve"> retired in 2017 (such as Brayton Point)</w:t>
      </w:r>
      <w:r w:rsidR="00B16B0B">
        <w:rPr>
          <w:rFonts w:asciiTheme="minorHAnsi" w:hAnsiTheme="minorHAnsi"/>
          <w:sz w:val="16"/>
          <w:szCs w:val="16"/>
        </w:rPr>
        <w:t>,</w:t>
      </w:r>
      <w:r w:rsidRPr="005123BD">
        <w:rPr>
          <w:rFonts w:asciiTheme="minorHAnsi" w:hAnsiTheme="minorHAnsi"/>
          <w:sz w:val="16"/>
          <w:szCs w:val="16"/>
        </w:rPr>
        <w:t xml:space="preserve"> are excluded.</w:t>
      </w:r>
    </w:p>
    <w:p w:rsidR="005123BD" w:rsidRPr="005123BD" w:rsidRDefault="005123BD" w:rsidP="00B16B0B">
      <w:pPr>
        <w:spacing w:line="240" w:lineRule="auto"/>
        <w:ind w:left="360" w:right="270"/>
        <w:rPr>
          <w:rFonts w:asciiTheme="minorHAnsi" w:hAnsiTheme="minorHAnsi"/>
          <w:sz w:val="16"/>
          <w:szCs w:val="16"/>
        </w:rPr>
      </w:pPr>
      <w:r w:rsidRPr="00895597">
        <w:rPr>
          <w:rFonts w:asciiTheme="minorHAnsi" w:hAnsiTheme="minorHAnsi"/>
          <w:b/>
          <w:bCs/>
          <w:sz w:val="16"/>
          <w:szCs w:val="16"/>
        </w:rPr>
        <w:t xml:space="preserve">Sources: </w:t>
      </w:r>
      <w:r w:rsidRPr="00895597">
        <w:rPr>
          <w:rFonts w:asciiTheme="minorHAnsi" w:hAnsiTheme="minorHAnsi"/>
          <w:sz w:val="16"/>
          <w:szCs w:val="16"/>
        </w:rPr>
        <w:t xml:space="preserve">Energy Information Administration, 2015 </w:t>
      </w:r>
      <w:r w:rsidRPr="00895597">
        <w:rPr>
          <w:rFonts w:asciiTheme="minorHAnsi" w:hAnsiTheme="minorHAnsi"/>
          <w:color w:val="000000"/>
          <w:sz w:val="16"/>
          <w:szCs w:val="16"/>
        </w:rPr>
        <w:t xml:space="preserve">Thermoelectric cooling water data, webpage (accessed March 2017), </w:t>
      </w:r>
      <w:hyperlink r:id="rId74" w:history="1">
        <w:r w:rsidRPr="00895597">
          <w:rPr>
            <w:rFonts w:asciiTheme="minorHAnsi" w:hAnsiTheme="minorHAnsi"/>
            <w:color w:val="000000"/>
            <w:sz w:val="16"/>
            <w:szCs w:val="16"/>
          </w:rPr>
          <w:t>https://www.eia.gov/electricity/data/water/</w:t>
        </w:r>
      </w:hyperlink>
      <w:r w:rsidRPr="00895597">
        <w:rPr>
          <w:rFonts w:asciiTheme="minorHAnsi" w:hAnsiTheme="minorHAnsi"/>
          <w:sz w:val="16"/>
          <w:szCs w:val="16"/>
        </w:rPr>
        <w:t>; ISO-NE 2017</w:t>
      </w:r>
      <w:r w:rsidR="00895597" w:rsidRPr="00895597">
        <w:rPr>
          <w:rFonts w:asciiTheme="minorHAnsi" w:hAnsiTheme="minorHAnsi"/>
          <w:sz w:val="16"/>
          <w:szCs w:val="16"/>
        </w:rPr>
        <w:t>.</w:t>
      </w:r>
      <w:r w:rsidRPr="00895597">
        <w:rPr>
          <w:rFonts w:asciiTheme="minorHAnsi" w:hAnsiTheme="minorHAnsi"/>
          <w:sz w:val="16"/>
          <w:szCs w:val="16"/>
        </w:rPr>
        <w:t xml:space="preserve"> CELT Report) (May 1, 2017), </w:t>
      </w:r>
      <w:hyperlink r:id="rId75" w:history="1">
        <w:r w:rsidRPr="00895597">
          <w:rPr>
            <w:rFonts w:asciiTheme="minorHAnsi" w:hAnsiTheme="minorHAnsi"/>
            <w:color w:val="000000"/>
            <w:sz w:val="16"/>
            <w:szCs w:val="16"/>
          </w:rPr>
          <w:t>http://www.iso-ne.com/system-planning/system-plans-studies/celt#</w:t>
        </w:r>
      </w:hyperlink>
      <w:r w:rsidR="001F2ACA">
        <w:rPr>
          <w:rFonts w:asciiTheme="minorHAnsi" w:hAnsiTheme="minorHAnsi"/>
          <w:color w:val="000000"/>
          <w:sz w:val="16"/>
          <w:szCs w:val="16"/>
        </w:rPr>
        <w:t>.</w:t>
      </w:r>
    </w:p>
    <w:p w:rsidR="00A75620" w:rsidRPr="00E443BD" w:rsidRDefault="00A75620" w:rsidP="002805FF">
      <w:pPr>
        <w:pStyle w:val="Heading3"/>
      </w:pPr>
      <w:bookmarkStart w:id="754" w:name="_Toc396807664"/>
      <w:bookmarkStart w:id="755" w:name="_Ref418950758"/>
      <w:bookmarkStart w:id="756" w:name="_Toc429063454"/>
      <w:bookmarkStart w:id="757" w:name="_Ref485734800"/>
      <w:bookmarkStart w:id="758" w:name="_Toc490323085"/>
      <w:r w:rsidRPr="002805FF">
        <w:t>Clean Air Act</w:t>
      </w:r>
      <w:r w:rsidRPr="00A75620">
        <w:t xml:space="preserve"> Requirements and Regional and Federal Greenhouse Gas Regulations</w:t>
      </w:r>
      <w:bookmarkEnd w:id="754"/>
      <w:bookmarkEnd w:id="755"/>
      <w:bookmarkEnd w:id="756"/>
      <w:bookmarkEnd w:id="757"/>
      <w:bookmarkEnd w:id="758"/>
    </w:p>
    <w:p w:rsidR="00A75620" w:rsidRPr="00A75620" w:rsidRDefault="00A75620" w:rsidP="00A75620">
      <w:pPr>
        <w:rPr>
          <w:rFonts w:eastAsiaTheme="majorEastAsia" w:cstheme="majorBidi"/>
          <w:bCs/>
          <w:iCs/>
        </w:rPr>
      </w:pPr>
      <w:r w:rsidRPr="00A75620">
        <w:t xml:space="preserve">Many </w:t>
      </w:r>
      <w:r w:rsidRPr="00A75620">
        <w:rPr>
          <w:i/>
        </w:rPr>
        <w:t xml:space="preserve">Clean Air Act </w:t>
      </w:r>
      <w:r w:rsidRPr="00A75620">
        <w:t>(CAA) actions affect New England’s fossil-fuel power generators and the region’s air emissions.</w:t>
      </w:r>
      <w:bookmarkStart w:id="759" w:name="_Ref430078880"/>
      <w:r w:rsidRPr="00A75620">
        <w:rPr>
          <w:vertAlign w:val="superscript"/>
        </w:rPr>
        <w:footnoteReference w:id="209"/>
      </w:r>
      <w:bookmarkEnd w:id="759"/>
      <w:r w:rsidRPr="00A75620">
        <w:t xml:space="preserve"> As </w:t>
      </w:r>
      <w:r w:rsidRPr="00A75620">
        <w:rPr>
          <w:rFonts w:eastAsiaTheme="majorEastAsia" w:cstheme="majorBidi"/>
          <w:bCs/>
          <w:iCs/>
        </w:rPr>
        <w:t>air-quality rules have been implemented across the region, their impact is reflected in decreasing power generation emission trends. Regional and federal greenhouse gas regulations also present a range of environmental and economic implications.</w:t>
      </w:r>
    </w:p>
    <w:p w:rsidR="00A75620" w:rsidRPr="00A75620" w:rsidRDefault="00A75620" w:rsidP="00A75620">
      <w:pPr>
        <w:rPr>
          <w:rFonts w:eastAsiaTheme="majorEastAsia" w:cstheme="majorBidi"/>
          <w:bCs/>
          <w:i/>
          <w:iCs/>
        </w:rPr>
      </w:pPr>
      <w:r w:rsidRPr="00A75620">
        <w:t>EPA finalized a more stringent ozone standard in October 2015, which may require operational changes and potential pollution control retrofits for larger fossil fuel generators’ capacity across southern New England once implemented after 2017.</w:t>
      </w:r>
      <w:r w:rsidRPr="00A75620">
        <w:rPr>
          <w:vertAlign w:val="superscript"/>
        </w:rPr>
        <w:footnoteReference w:id="210"/>
      </w:r>
      <w:r w:rsidRPr="00A75620">
        <w:t xml:space="preserve"> The 2015 ozone standard would trigger more stringent </w:t>
      </w:r>
      <w:r w:rsidRPr="00A75620">
        <w:lastRenderedPageBreak/>
        <w:t>technology-based performance standards for new or modified fossil fuel generators.</w:t>
      </w:r>
      <w:r w:rsidRPr="00A75620">
        <w:rPr>
          <w:vertAlign w:val="superscript"/>
        </w:rPr>
        <w:footnoteReference w:id="211"/>
      </w:r>
      <w:r w:rsidRPr="00A75620">
        <w:t xml:space="preserve"> In April 2017, the D.C. Circuit Court of Appeals granted EPA’s motion to continue oral argument</w:t>
      </w:r>
      <w:r w:rsidR="00B6469A">
        <w:t>s</w:t>
      </w:r>
      <w:r w:rsidRPr="00A75620">
        <w:t xml:space="preserve"> and indefinitely delay any decisions on challenges to the 2015 ozone standard.</w:t>
      </w:r>
      <w:r w:rsidRPr="00A75620">
        <w:rPr>
          <w:vertAlign w:val="superscript"/>
        </w:rPr>
        <w:footnoteReference w:id="212"/>
      </w:r>
    </w:p>
    <w:p w:rsidR="00A75620" w:rsidRPr="000D06F5" w:rsidRDefault="00A75620" w:rsidP="000D06F5">
      <w:pPr>
        <w:pStyle w:val="Heading4"/>
      </w:pPr>
      <w:r w:rsidRPr="00A75620">
        <w:t xml:space="preserve">Implementation of Mercury and Air Toxics Standards </w:t>
      </w:r>
    </w:p>
    <w:p w:rsidR="00A75620" w:rsidRPr="00A75620" w:rsidRDefault="00A75620" w:rsidP="00A75620">
      <w:r w:rsidRPr="00A75620">
        <w:t xml:space="preserve">Of the 5.6 GW of remaining coal- and oil-fired steam thermal electric generators subject to the Mercury and Air Toxics Standards (MATS), 72% are residual oil-fired and </w:t>
      </w:r>
      <w:r w:rsidR="0088128C">
        <w:t>qualify as limited-use units, as defined by the standard</w:t>
      </w:r>
      <w:r w:rsidRPr="00A75620">
        <w:t xml:space="preserve">. </w:t>
      </w:r>
      <w:r w:rsidR="0088128C">
        <w:t xml:space="preserve">This subcategory of units has less-stringent compliance obligations than non-limited-use units. </w:t>
      </w:r>
      <w:r w:rsidRPr="00A75620">
        <w:t>In April 2017, the D.C. Circuit Court of Appeals granted EPA’s motion to continue oral arguments in litigation involving the MATS supplemental finding, but affected generators must continue complying with MATS.</w:t>
      </w:r>
      <w:r w:rsidRPr="00A75620">
        <w:rPr>
          <w:vertAlign w:val="superscript"/>
        </w:rPr>
        <w:footnoteReference w:id="213"/>
      </w:r>
      <w:r w:rsidRPr="00A75620">
        <w:t xml:space="preserve"> In addition, many state air toxics regulations remain in force, however, and air toxics controls will continue to operate for most units in New England. </w:t>
      </w:r>
    </w:p>
    <w:p w:rsidR="00A75620" w:rsidRPr="00A75620" w:rsidRDefault="00A75620" w:rsidP="00A75620">
      <w:r w:rsidRPr="00A75620">
        <w:t>Mercury emissions from coal-fired steam generators declined 75% from</w:t>
      </w:r>
      <w:r w:rsidR="000D06F5">
        <w:t xml:space="preserve"> </w:t>
      </w:r>
      <w:r w:rsidRPr="00A75620">
        <w:t>2005 to 2015 due to the cobenefits of controlling other air pollutants (SO</w:t>
      </w:r>
      <w:r w:rsidRPr="00A75620">
        <w:rPr>
          <w:vertAlign w:val="subscript"/>
        </w:rPr>
        <w:t>2</w:t>
      </w:r>
      <w:r w:rsidRPr="00A75620">
        <w:t xml:space="preserve"> and nitrogen oxides; NO</w:t>
      </w:r>
      <w:r w:rsidRPr="00A75620">
        <w:rPr>
          <w:vertAlign w:val="subscript"/>
        </w:rPr>
        <w:t>X</w:t>
      </w:r>
      <w:r w:rsidRPr="00A75620">
        <w:t>) and the increased use of mercury-specific pollution-control technologies.</w:t>
      </w:r>
      <w:r w:rsidRPr="00A75620">
        <w:rPr>
          <w:vertAlign w:val="superscript"/>
        </w:rPr>
        <w:footnoteReference w:id="214"/>
      </w:r>
      <w:r w:rsidRPr="00A75620">
        <w:t xml:space="preserve"> Most of the region’s coal- and residual oil-fired steam generators greater than 25 MW in capacity are already complying with the standard’s emissions limits for acid gases, toxic metals, and mercury based on maximum achievable control technologies (MACTs). Or, they are </w:t>
      </w:r>
      <w:r w:rsidR="0088128C">
        <w:t xml:space="preserve">subject to the less-stringent requirements for limited-use units </w:t>
      </w:r>
      <w:r w:rsidRPr="00FB558F">
        <w:t>based on</w:t>
      </w:r>
      <w:r w:rsidRPr="00A75620">
        <w:t xml:space="preserve"> low individual unit capacity factors.</w:t>
      </w:r>
      <w:r w:rsidRPr="00A75620">
        <w:rPr>
          <w:vertAlign w:val="superscript"/>
        </w:rPr>
        <w:footnoteReference w:id="215"/>
      </w:r>
      <w:r w:rsidRPr="00A75620">
        <w:t xml:space="preserve"> With several coal-fired generator retirements, residual oil-fired steam generation in New England has the most remaining generating capacity affected by MATS. The capacity factor exceptions </w:t>
      </w:r>
      <w:r w:rsidR="0088128C">
        <w:t xml:space="preserve">threshold for limited-use units </w:t>
      </w:r>
      <w:r w:rsidRPr="00A75620">
        <w:t xml:space="preserve">will likely become more important to system reliability </w:t>
      </w:r>
      <w:r w:rsidRPr="00FB558F">
        <w:t>in future years</w:t>
      </w:r>
      <w:r w:rsidRPr="00A75620">
        <w:t xml:space="preserve"> because the affected generators could limit their energy production during critical periods.</w:t>
      </w:r>
    </w:p>
    <w:p w:rsidR="00A75620" w:rsidRPr="000D06F5" w:rsidRDefault="00A75620" w:rsidP="000D06F5">
      <w:pPr>
        <w:pStyle w:val="Heading4"/>
      </w:pPr>
      <w:r w:rsidRPr="00A75620">
        <w:t>Clean Air Act Regional Air Pollution Reduction</w:t>
      </w:r>
    </w:p>
    <w:p w:rsidR="00A75620" w:rsidRPr="00A75620" w:rsidRDefault="00A75620" w:rsidP="00A75620">
      <w:pPr>
        <w:rPr>
          <w:rFonts w:eastAsia="Times New Roman"/>
        </w:rPr>
      </w:pPr>
      <w:r w:rsidRPr="00A75620">
        <w:rPr>
          <w:rFonts w:eastAsia="Times New Roman"/>
        </w:rPr>
        <w:t>State and federal air regulators are expected to address deteriorating air quality trends across southern New England (particularly due to ozone and fine particulate matter), possibly resulting in more stringent emissions limits for fossil generators. Ozone and fine particulate matter generated far upwind of New England has hampered considerable regulatory efforts to improve local air quality.</w:t>
      </w:r>
    </w:p>
    <w:p w:rsidR="00A75620" w:rsidRPr="000D06F5" w:rsidRDefault="00A75620" w:rsidP="000D06F5">
      <w:pPr>
        <w:pStyle w:val="Heading4"/>
      </w:pPr>
      <w:r w:rsidRPr="00A75620">
        <w:lastRenderedPageBreak/>
        <w:t xml:space="preserve">Regional Emissions Trends </w:t>
      </w:r>
    </w:p>
    <w:p w:rsidR="00A75620" w:rsidRPr="00A75620" w:rsidRDefault="00A75620" w:rsidP="00A75620">
      <w:pPr>
        <w:spacing w:after="200" w:line="276" w:lineRule="auto"/>
        <w:rPr>
          <w:szCs w:val="36"/>
        </w:rPr>
      </w:pPr>
      <w:r w:rsidRPr="00A75620">
        <w:rPr>
          <w:szCs w:val="36"/>
        </w:rPr>
        <w:t>The ISO tracks the system emissions, rates, and trends for NO</w:t>
      </w:r>
      <w:r w:rsidRPr="00A75620">
        <w:rPr>
          <w:szCs w:val="36"/>
          <w:vertAlign w:val="subscript"/>
        </w:rPr>
        <w:t>X</w:t>
      </w:r>
      <w:r w:rsidRPr="00A75620">
        <w:rPr>
          <w:szCs w:val="36"/>
        </w:rPr>
        <w:t>, SO</w:t>
      </w:r>
      <w:r w:rsidRPr="00A75620">
        <w:rPr>
          <w:szCs w:val="36"/>
          <w:vertAlign w:val="subscript"/>
        </w:rPr>
        <w:t>X</w:t>
      </w:r>
      <w:r w:rsidRPr="00A75620">
        <w:rPr>
          <w:szCs w:val="36"/>
        </w:rPr>
        <w:t>, and CO</w:t>
      </w:r>
      <w:r w:rsidRPr="00A75620">
        <w:rPr>
          <w:szCs w:val="36"/>
          <w:vertAlign w:val="subscript"/>
        </w:rPr>
        <w:t>2</w:t>
      </w:r>
      <w:r w:rsidRPr="00A75620">
        <w:rPr>
          <w:szCs w:val="36"/>
        </w:rPr>
        <w:t xml:space="preserve"> to help gauge the potential effects of future environmental regulations on the system and in response to historical requests from the states for emissions data. The ISO’s most recent air emissions report, the </w:t>
      </w:r>
      <w:r w:rsidRPr="00A75620">
        <w:rPr>
          <w:i/>
          <w:szCs w:val="36"/>
        </w:rPr>
        <w:t>2015 ISO New England Electric Generator Air Emissions Report</w:t>
      </w:r>
      <w:r w:rsidRPr="00A75620">
        <w:rPr>
          <w:szCs w:val="36"/>
        </w:rPr>
        <w:t>, provides detailed historical trends and emissions rate data using methodologies developed with input from stakeholders.</w:t>
      </w:r>
      <w:r w:rsidRPr="00A75620">
        <w:rPr>
          <w:szCs w:val="36"/>
          <w:vertAlign w:val="superscript"/>
        </w:rPr>
        <w:footnoteReference w:id="216"/>
      </w:r>
      <w:r w:rsidRPr="00A75620">
        <w:rPr>
          <w:szCs w:val="36"/>
        </w:rPr>
        <w:t xml:space="preserve"> </w:t>
      </w:r>
    </w:p>
    <w:p w:rsidR="00A75620" w:rsidRPr="00A75620" w:rsidRDefault="00A75620" w:rsidP="00A75620">
      <w:pPr>
        <w:spacing w:after="200" w:line="276" w:lineRule="auto"/>
        <w:rPr>
          <w:szCs w:val="36"/>
        </w:rPr>
      </w:pPr>
      <w:r w:rsidRPr="00A75620">
        <w:t>A shift in the fuel mix powering the region directly contributes to the changing regional emissions. Since 2006, the annual total NO</w:t>
      </w:r>
      <w:r w:rsidRPr="00A75620">
        <w:rPr>
          <w:vertAlign w:val="subscript"/>
        </w:rPr>
        <w:t>X</w:t>
      </w:r>
      <w:r w:rsidRPr="00A75620">
        <w:t xml:space="preserve"> emissions have decreased by 56%; SO</w:t>
      </w:r>
      <w:r w:rsidRPr="00A75620">
        <w:rPr>
          <w:vertAlign w:val="subscript"/>
        </w:rPr>
        <w:t>2</w:t>
      </w:r>
      <w:r w:rsidRPr="00A75620">
        <w:t>, by 91%; and CO</w:t>
      </w:r>
      <w:r w:rsidRPr="00A75620">
        <w:rPr>
          <w:vertAlign w:val="subscript"/>
        </w:rPr>
        <w:t>2</w:t>
      </w:r>
      <w:r w:rsidRPr="00A75620">
        <w:t>, by 22%. The reductions in emissions resulted primarily from the regional shift away from electrical energy production by older oil- and coal-fired generation to efficient natural</w:t>
      </w:r>
      <w:r w:rsidR="00701205">
        <w:t>-</w:t>
      </w:r>
      <w:r w:rsidRPr="00A75620">
        <w:t xml:space="preserve">gas-fired generation and increasing reliance on </w:t>
      </w:r>
      <w:r w:rsidRPr="008F39AD">
        <w:t xml:space="preserve">imports (see </w:t>
      </w:r>
      <w:r w:rsidR="008E09EC" w:rsidRPr="008F39AD">
        <w:t>Section</w:t>
      </w:r>
      <w:r w:rsidR="008F39AD" w:rsidRPr="008F39AD">
        <w:t xml:space="preserve"> </w:t>
      </w:r>
      <w:r w:rsidR="008F39AD" w:rsidRPr="008F39AD">
        <w:fldChar w:fldCharType="begin"/>
      </w:r>
      <w:r w:rsidR="008F39AD" w:rsidRPr="008F39AD">
        <w:instrText xml:space="preserve"> REF _Ref390423940 \r \h </w:instrText>
      </w:r>
      <w:r w:rsidR="008F39AD">
        <w:instrText xml:space="preserve"> \* MERGEFORMAT </w:instrText>
      </w:r>
      <w:r w:rsidR="008F39AD" w:rsidRPr="008F39AD">
        <w:fldChar w:fldCharType="separate"/>
      </w:r>
      <w:r w:rsidR="00314781">
        <w:t>7.1</w:t>
      </w:r>
      <w:r w:rsidR="008F39AD" w:rsidRPr="008F39AD">
        <w:fldChar w:fldCharType="end"/>
      </w:r>
      <w:r w:rsidRPr="008F39AD">
        <w:t>). Other factors that lowered emissions include the high capacity</w:t>
      </w:r>
      <w:r w:rsidRPr="00A75620">
        <w:t xml:space="preserve"> factors achieved by nuclear generators; the growth of both energy efficiency and renewable resources with low or zero emissions; the addition of environmental controls to generators, which reduce the production of pollutants; and transmission improvements, which decrease the dispatch and commitment of high-polluting generators. </w:t>
      </w:r>
      <w:r w:rsidRPr="00A75620">
        <w:fldChar w:fldCharType="begin"/>
      </w:r>
      <w:r w:rsidRPr="00A75620">
        <w:instrText xml:space="preserve"> REF _Ref388530100 \h  \* MERGEFORMAT </w:instrText>
      </w:r>
      <w:r w:rsidRPr="00A75620">
        <w:fldChar w:fldCharType="separate"/>
      </w:r>
      <w:r w:rsidR="00314781" w:rsidRPr="000162C8">
        <w:rPr>
          <w:bCs/>
        </w:rPr>
        <w:t xml:space="preserve">Figure </w:t>
      </w:r>
      <w:r w:rsidR="00314781" w:rsidRPr="000162C8">
        <w:rPr>
          <w:bCs/>
          <w:noProof/>
        </w:rPr>
        <w:t>8</w:t>
      </w:r>
      <w:r w:rsidR="00314781" w:rsidRPr="000162C8">
        <w:rPr>
          <w:bCs/>
          <w:noProof/>
        </w:rPr>
        <w:noBreakHyphen/>
        <w:t>2</w:t>
      </w:r>
      <w:r w:rsidRPr="00A75620">
        <w:fldChar w:fldCharType="end"/>
      </w:r>
      <w:r w:rsidRPr="00A75620">
        <w:t xml:space="preserve"> shows the regional annual emissions for New England.</w:t>
      </w:r>
    </w:p>
    <w:p w:rsidR="000C1105" w:rsidRPr="00A75620" w:rsidRDefault="000C1105" w:rsidP="00A75620">
      <w:pPr>
        <w:spacing w:after="0" w:line="240" w:lineRule="auto"/>
        <w:jc w:val="center"/>
        <w:rPr>
          <w:szCs w:val="36"/>
        </w:rPr>
      </w:pPr>
      <w:r w:rsidRPr="000C1105">
        <w:rPr>
          <w:noProof/>
        </w:rPr>
        <w:drawing>
          <wp:inline distT="0" distB="0" distL="0" distR="0" wp14:anchorId="264B02E9" wp14:editId="26BB6409">
            <wp:extent cx="5715000" cy="2633119"/>
            <wp:effectExtent l="19050" t="19050" r="19050" b="152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715000" cy="2633119"/>
                    </a:xfrm>
                    <a:prstGeom prst="rect">
                      <a:avLst/>
                    </a:prstGeom>
                    <a:noFill/>
                    <a:ln w="3175">
                      <a:solidFill>
                        <a:srgbClr val="000000"/>
                      </a:solidFill>
                    </a:ln>
                  </pic:spPr>
                </pic:pic>
              </a:graphicData>
            </a:graphic>
          </wp:inline>
        </w:drawing>
      </w:r>
    </w:p>
    <w:p w:rsidR="00A75620" w:rsidRPr="00A75620" w:rsidRDefault="00A75620" w:rsidP="00A75620">
      <w:pPr>
        <w:keepNext/>
        <w:keepLines/>
        <w:spacing w:before="120" w:after="80" w:line="240" w:lineRule="auto"/>
        <w:ind w:left="90"/>
        <w:rPr>
          <w:rFonts w:ascii="Calibri" w:hAnsi="Calibri"/>
          <w:b/>
          <w:bCs/>
          <w:szCs w:val="18"/>
        </w:rPr>
      </w:pPr>
      <w:bookmarkStart w:id="760" w:name="_Ref388530100"/>
      <w:bookmarkStart w:id="761" w:name="_Toc391985589"/>
      <w:bookmarkStart w:id="762" w:name="_Toc429063539"/>
      <w:bookmarkStart w:id="763" w:name="_Toc486233220"/>
      <w:r w:rsidRPr="000C1105">
        <w:rPr>
          <w:rFonts w:ascii="Calibri" w:hAnsi="Calibri"/>
          <w:b/>
          <w:bCs/>
          <w:szCs w:val="18"/>
        </w:rPr>
        <w:t xml:space="preserve">Figure </w:t>
      </w:r>
      <w:r w:rsidRPr="000C1105">
        <w:rPr>
          <w:rFonts w:ascii="Calibri" w:hAnsi="Calibri"/>
          <w:b/>
          <w:bCs/>
          <w:szCs w:val="18"/>
        </w:rPr>
        <w:fldChar w:fldCharType="begin"/>
      </w:r>
      <w:r w:rsidRPr="000C1105">
        <w:rPr>
          <w:rFonts w:ascii="Calibri" w:hAnsi="Calibri"/>
          <w:b/>
          <w:bCs/>
          <w:szCs w:val="18"/>
        </w:rPr>
        <w:instrText xml:space="preserve"> STYLEREF 1 \s </w:instrText>
      </w:r>
      <w:r w:rsidRPr="000C1105">
        <w:rPr>
          <w:rFonts w:ascii="Calibri" w:hAnsi="Calibri"/>
          <w:b/>
          <w:bCs/>
          <w:szCs w:val="18"/>
        </w:rPr>
        <w:fldChar w:fldCharType="separate"/>
      </w:r>
      <w:r w:rsidR="00314781">
        <w:rPr>
          <w:rFonts w:ascii="Calibri" w:hAnsi="Calibri"/>
          <w:b/>
          <w:bCs/>
          <w:noProof/>
          <w:szCs w:val="18"/>
        </w:rPr>
        <w:t>8</w:t>
      </w:r>
      <w:r w:rsidRPr="000C1105">
        <w:rPr>
          <w:rFonts w:ascii="Calibri" w:hAnsi="Calibri"/>
          <w:b/>
          <w:bCs/>
          <w:szCs w:val="18"/>
        </w:rPr>
        <w:fldChar w:fldCharType="end"/>
      </w:r>
      <w:r w:rsidRPr="000C1105">
        <w:rPr>
          <w:rFonts w:ascii="Calibri" w:hAnsi="Calibri"/>
          <w:b/>
          <w:bCs/>
          <w:szCs w:val="18"/>
        </w:rPr>
        <w:noBreakHyphen/>
      </w:r>
      <w:r w:rsidRPr="000C1105">
        <w:rPr>
          <w:rFonts w:ascii="Calibri" w:hAnsi="Calibri"/>
          <w:b/>
          <w:bCs/>
          <w:szCs w:val="18"/>
        </w:rPr>
        <w:fldChar w:fldCharType="begin"/>
      </w:r>
      <w:r w:rsidRPr="000C1105">
        <w:rPr>
          <w:rFonts w:ascii="Calibri" w:hAnsi="Calibri"/>
          <w:b/>
          <w:bCs/>
          <w:szCs w:val="18"/>
        </w:rPr>
        <w:instrText xml:space="preserve"> SEQ Figure \* ARABIC \s 1 </w:instrText>
      </w:r>
      <w:r w:rsidRPr="000C1105">
        <w:rPr>
          <w:rFonts w:ascii="Calibri" w:hAnsi="Calibri"/>
          <w:b/>
          <w:bCs/>
          <w:szCs w:val="18"/>
        </w:rPr>
        <w:fldChar w:fldCharType="separate"/>
      </w:r>
      <w:r w:rsidR="00314781">
        <w:rPr>
          <w:rFonts w:ascii="Calibri" w:hAnsi="Calibri"/>
          <w:b/>
          <w:bCs/>
          <w:noProof/>
          <w:szCs w:val="18"/>
        </w:rPr>
        <w:t>2</w:t>
      </w:r>
      <w:r w:rsidRPr="000C1105">
        <w:rPr>
          <w:rFonts w:ascii="Calibri" w:hAnsi="Calibri"/>
          <w:b/>
          <w:bCs/>
          <w:szCs w:val="18"/>
        </w:rPr>
        <w:fldChar w:fldCharType="end"/>
      </w:r>
      <w:bookmarkEnd w:id="760"/>
      <w:bookmarkEnd w:id="761"/>
      <w:r w:rsidRPr="000C1105">
        <w:rPr>
          <w:rFonts w:ascii="Calibri" w:hAnsi="Calibri"/>
          <w:b/>
          <w:bCs/>
          <w:szCs w:val="18"/>
        </w:rPr>
        <w:t>: New England system annual emissions of NO</w:t>
      </w:r>
      <w:r w:rsidRPr="000C1105">
        <w:rPr>
          <w:rFonts w:ascii="Calibri" w:hAnsi="Calibri"/>
          <w:b/>
          <w:bCs/>
          <w:szCs w:val="18"/>
          <w:vertAlign w:val="subscript"/>
        </w:rPr>
        <w:t>X</w:t>
      </w:r>
      <w:r w:rsidRPr="000C1105">
        <w:rPr>
          <w:rFonts w:ascii="Calibri" w:hAnsi="Calibri"/>
          <w:b/>
          <w:bCs/>
          <w:szCs w:val="18"/>
        </w:rPr>
        <w:t>, SO</w:t>
      </w:r>
      <w:r w:rsidRPr="000C1105">
        <w:rPr>
          <w:rFonts w:ascii="Calibri" w:hAnsi="Calibri"/>
          <w:b/>
          <w:bCs/>
          <w:szCs w:val="18"/>
          <w:vertAlign w:val="subscript"/>
        </w:rPr>
        <w:t>2</w:t>
      </w:r>
      <w:r w:rsidRPr="000C1105">
        <w:rPr>
          <w:rFonts w:ascii="Calibri" w:hAnsi="Calibri"/>
          <w:b/>
          <w:bCs/>
          <w:szCs w:val="18"/>
        </w:rPr>
        <w:t>, and CO</w:t>
      </w:r>
      <w:r w:rsidRPr="000C1105">
        <w:rPr>
          <w:rFonts w:ascii="Calibri" w:hAnsi="Calibri"/>
          <w:b/>
          <w:bCs/>
          <w:szCs w:val="18"/>
          <w:vertAlign w:val="subscript"/>
        </w:rPr>
        <w:t>2</w:t>
      </w:r>
      <w:r w:rsidRPr="000C1105">
        <w:rPr>
          <w:rFonts w:ascii="Calibri" w:hAnsi="Calibri"/>
          <w:b/>
          <w:bCs/>
          <w:szCs w:val="18"/>
        </w:rPr>
        <w:t>, 2006 to 2015 (ktons).</w:t>
      </w:r>
      <w:bookmarkEnd w:id="762"/>
      <w:bookmarkEnd w:id="763"/>
    </w:p>
    <w:p w:rsidR="00A75620" w:rsidRPr="00A75620" w:rsidRDefault="00A75620" w:rsidP="00A75620">
      <w:pPr>
        <w:spacing w:line="240" w:lineRule="auto"/>
        <w:ind w:left="90" w:right="720"/>
        <w:rPr>
          <w:rFonts w:asciiTheme="minorHAnsi" w:hAnsiTheme="minorHAnsi"/>
          <w:sz w:val="16"/>
          <w:szCs w:val="16"/>
        </w:rPr>
      </w:pPr>
      <w:r w:rsidRPr="00A75620">
        <w:rPr>
          <w:rFonts w:asciiTheme="minorHAnsi" w:hAnsiTheme="minorHAnsi"/>
          <w:b/>
          <w:sz w:val="16"/>
          <w:szCs w:val="16"/>
        </w:rPr>
        <w:t>Source:</w:t>
      </w:r>
      <w:r w:rsidRPr="00A75620">
        <w:rPr>
          <w:rFonts w:asciiTheme="minorHAnsi" w:hAnsiTheme="minorHAnsi"/>
          <w:sz w:val="16"/>
          <w:szCs w:val="16"/>
        </w:rPr>
        <w:t xml:space="preserve"> </w:t>
      </w:r>
      <w:r w:rsidRPr="00A75620">
        <w:rPr>
          <w:rFonts w:asciiTheme="minorHAnsi" w:hAnsiTheme="minorHAnsi"/>
          <w:i/>
          <w:sz w:val="16"/>
          <w:szCs w:val="16"/>
        </w:rPr>
        <w:t xml:space="preserve">2015 ISO New England Electric Generator Air Emissions Report </w:t>
      </w:r>
      <w:r w:rsidRPr="00A75620">
        <w:rPr>
          <w:rFonts w:asciiTheme="minorHAnsi" w:hAnsiTheme="minorHAnsi"/>
          <w:sz w:val="16"/>
          <w:szCs w:val="16"/>
        </w:rPr>
        <w:t xml:space="preserve">(January 2017), </w:t>
      </w:r>
      <w:hyperlink r:id="rId77" w:history="1">
        <w:r w:rsidRPr="00A75620">
          <w:rPr>
            <w:rFonts w:asciiTheme="minorHAnsi" w:hAnsiTheme="minorHAnsi"/>
            <w:color w:val="000000"/>
            <w:sz w:val="16"/>
            <w:szCs w:val="16"/>
          </w:rPr>
          <w:t>https://www.iso-ne.com/static-assets/documents/2017/01/2015_emissions_report.pdf</w:t>
        </w:r>
      </w:hyperlink>
      <w:r w:rsidRPr="00A75620">
        <w:rPr>
          <w:rFonts w:asciiTheme="minorHAnsi" w:hAnsiTheme="minorHAnsi"/>
          <w:sz w:val="16"/>
          <w:szCs w:val="16"/>
        </w:rPr>
        <w:t>.</w:t>
      </w:r>
    </w:p>
    <w:p w:rsidR="00A75620" w:rsidRPr="00A75620" w:rsidRDefault="00A75620" w:rsidP="00A75620">
      <w:pPr>
        <w:autoSpaceDE w:val="0"/>
        <w:autoSpaceDN w:val="0"/>
        <w:adjustRightInd w:val="0"/>
      </w:pPr>
      <w:r w:rsidRPr="00A75620">
        <w:t>From 2014 to 2015, total NO</w:t>
      </w:r>
      <w:r w:rsidRPr="00A75620">
        <w:rPr>
          <w:vertAlign w:val="subscript"/>
        </w:rPr>
        <w:t>X</w:t>
      </w:r>
      <w:r w:rsidRPr="00A75620">
        <w:t xml:space="preserve"> system emissions decreased by 8% and SO</w:t>
      </w:r>
      <w:r w:rsidRPr="00A75620">
        <w:rPr>
          <w:vertAlign w:val="subscript"/>
        </w:rPr>
        <w:t>2</w:t>
      </w:r>
      <w:r w:rsidRPr="00A75620">
        <w:t xml:space="preserve"> system emissions decreased 22%, while CO</w:t>
      </w:r>
      <w:r w:rsidRPr="00A75620">
        <w:rPr>
          <w:vertAlign w:val="subscript"/>
        </w:rPr>
        <w:t>2</w:t>
      </w:r>
      <w:r w:rsidRPr="00A75620">
        <w:t xml:space="preserve"> system emissions increased 3%. One of the key factors contributing to the changes between 2014 and 2015 was the ongoing retirement of coal-fired resources. Coal-fired generation fell by about 23% in 2015. In addition, the production from nonemitting generators in 2015 decreased 15% due to the retirement of Vermont Yankee Nuclear Power Station in December 2014. Emitting generators, largely those fueled by natural gas, filled the resulting energy gap, which increased production by 12%. Oil-fired generation increased 10% in 2015, and SO</w:t>
      </w:r>
      <w:r w:rsidRPr="00A75620">
        <w:rPr>
          <w:vertAlign w:val="subscript"/>
        </w:rPr>
        <w:t>2</w:t>
      </w:r>
      <w:r w:rsidRPr="00A75620">
        <w:t xml:space="preserve"> system emissions are highly concentrated among the 10 remaining residual oil-fired resources lacking any SO</w:t>
      </w:r>
      <w:r w:rsidRPr="00A75620">
        <w:rPr>
          <w:vertAlign w:val="subscript"/>
        </w:rPr>
        <w:t>2</w:t>
      </w:r>
      <w:r w:rsidRPr="00A75620">
        <w:t xml:space="preserve"> pollution controls. A significant increase in </w:t>
      </w:r>
      <w:r w:rsidRPr="00A75620">
        <w:lastRenderedPageBreak/>
        <w:t>the use of such uncontrolled residual oil-fired resources could conflict with SO</w:t>
      </w:r>
      <w:r w:rsidRPr="00A75620">
        <w:rPr>
          <w:vertAlign w:val="subscript"/>
        </w:rPr>
        <w:t>2</w:t>
      </w:r>
      <w:r w:rsidRPr="00A75620">
        <w:t xml:space="preserve"> air quality standards in the future.</w:t>
      </w:r>
      <w:r w:rsidRPr="00A75620">
        <w:rPr>
          <w:vertAlign w:val="superscript"/>
        </w:rPr>
        <w:footnoteReference w:id="217"/>
      </w:r>
      <w:r w:rsidRPr="00A75620">
        <w:t xml:space="preserve"> </w:t>
      </w:r>
    </w:p>
    <w:p w:rsidR="00A75620" w:rsidRPr="000D06F5" w:rsidRDefault="00A75620" w:rsidP="000D06F5">
      <w:pPr>
        <w:pStyle w:val="Heading4"/>
      </w:pPr>
      <w:bookmarkStart w:id="764" w:name="_Ref486012243"/>
      <w:bookmarkStart w:id="765" w:name="_Ref388774308"/>
      <w:r w:rsidRPr="00A75620">
        <w:t>Clean Power Plan and CO</w:t>
      </w:r>
      <w:r w:rsidRPr="0074311D">
        <w:rPr>
          <w:vertAlign w:val="subscript"/>
        </w:rPr>
        <w:t>2</w:t>
      </w:r>
      <w:r w:rsidRPr="00A75620">
        <w:t xml:space="preserve"> Emissions</w:t>
      </w:r>
      <w:bookmarkEnd w:id="764"/>
    </w:p>
    <w:p w:rsidR="00A75620" w:rsidRPr="00A75620" w:rsidRDefault="00A75620" w:rsidP="00A75620">
      <w:r w:rsidRPr="00A75620">
        <w:t xml:space="preserve">Federal greenhouse gas policy and regulation are in a state of flux, and at the time of publication, the outcomes for generators of pending regulatory actions and litigation remain unclear. </w:t>
      </w:r>
    </w:p>
    <w:p w:rsidR="00A75620" w:rsidRPr="00A75620" w:rsidRDefault="00A75620" w:rsidP="00A75620">
      <w:r w:rsidRPr="00A75620">
        <w:t xml:space="preserve">In August 2015, EPA finalized the Clean Power Plan (CPP), for existing fossil-fuel-fired power plants under Section 111(d) of the </w:t>
      </w:r>
      <w:r w:rsidRPr="00A75620">
        <w:rPr>
          <w:i/>
        </w:rPr>
        <w:t>Clean Air Act</w:t>
      </w:r>
      <w:r w:rsidRPr="00A75620">
        <w:t>. The final CPP requires affected fossil power plants to reduce CO</w:t>
      </w:r>
      <w:r w:rsidRPr="00A75620">
        <w:rPr>
          <w:vertAlign w:val="subscript"/>
        </w:rPr>
        <w:t>2</w:t>
      </w:r>
      <w:r w:rsidRPr="00A75620">
        <w:t xml:space="preserve"> emissions 32% nationwide by 2030 from a 2005 baseline, with the initial reductions due by an interim 2022 deadline and additional milestones before the final 2030 deadline. On February 9, 2016, the US Supreme Court stayed the implementation of the CPP, pending completion of litigation, which was held in abeyance in April 2017 by the D.C. Circuit Court of Appeals. In March 2017, an executive order directed EPA to review the CPP and 111(b) Standards of Performance for Greenhouse Gas Emissions for Power Plants and suspend, revise, or rescind the final rules and associated guidance and memoranda, subject to all applicable legal requirements.</w:t>
      </w:r>
      <w:r w:rsidRPr="00A75620">
        <w:rPr>
          <w:vertAlign w:val="superscript"/>
        </w:rPr>
        <w:footnoteReference w:id="218"/>
      </w:r>
    </w:p>
    <w:p w:rsidR="00A75620" w:rsidRPr="00A75620" w:rsidRDefault="00A75620" w:rsidP="00A75620">
      <w:r w:rsidRPr="00A75620">
        <w:t>Regardless of the outcome of the CPP litigation and any subsequent EPA actions on greenhouse gas emissions, the New England states are expected to proceed with various initiatives affecting fossil generators to reduce CO</w:t>
      </w:r>
      <w:r w:rsidRPr="00A75620">
        <w:rPr>
          <w:vertAlign w:val="subscript"/>
        </w:rPr>
        <w:t>2</w:t>
      </w:r>
      <w:r w:rsidRPr="00A75620">
        <w:t xml:space="preserve"> emissions. The New England states’ CO</w:t>
      </w:r>
      <w:r w:rsidRPr="00A75620">
        <w:rPr>
          <w:vertAlign w:val="subscript"/>
        </w:rPr>
        <w:t>2</w:t>
      </w:r>
      <w:r w:rsidRPr="00A75620">
        <w:t xml:space="preserve"> emissions in 2016 (26.7 million short tons) are already below all the aggregate regional 2022–2030 CPP caps. The greater use of lower-emitting fuels, energy efficiency, wind and photovoltaic resources, and imports from neighboring systems and added environmental controls could decrease regional emissions further.</w:t>
      </w:r>
    </w:p>
    <w:p w:rsidR="00A75620" w:rsidRPr="000D06F5" w:rsidRDefault="00A75620" w:rsidP="000D06F5">
      <w:pPr>
        <w:pStyle w:val="Heading4"/>
      </w:pPr>
      <w:bookmarkStart w:id="766" w:name="_Ref485720823"/>
      <w:r w:rsidRPr="00A75620">
        <w:t>Implications of Regional Greenhouse Gas Regulations</w:t>
      </w:r>
      <w:bookmarkEnd w:id="765"/>
      <w:bookmarkEnd w:id="766"/>
      <w:r w:rsidRPr="00A75620">
        <w:t xml:space="preserve"> </w:t>
      </w:r>
    </w:p>
    <w:p w:rsidR="00A75620" w:rsidRPr="00A75620" w:rsidRDefault="00A75620" w:rsidP="00A75620">
      <w:r w:rsidRPr="00A75620">
        <w:t>The New England states have various greenhouse gas reduction targets that generally require reductions between 75% to 95% below 1990 baseline levels by 2050. To help achieve these targets, fossil fuel generators in New England larger than 25 MW have been subject to a CO</w:t>
      </w:r>
      <w:r w:rsidRPr="00A75620">
        <w:rPr>
          <w:vertAlign w:val="subscript"/>
        </w:rPr>
        <w:t>2</w:t>
      </w:r>
      <w:r w:rsidRPr="00A75620">
        <w:t xml:space="preserve"> cap under the Regional Greenhouse Gas Initiative since 2009.</w:t>
      </w:r>
      <w:r w:rsidRPr="00A75620">
        <w:rPr>
          <w:vertAlign w:val="superscript"/>
        </w:rPr>
        <w:footnoteReference w:id="219"/>
      </w:r>
      <w:r w:rsidRPr="00A75620">
        <w:t xml:space="preserve"> </w:t>
      </w:r>
    </w:p>
    <w:p w:rsidR="00A75620" w:rsidRPr="00A75620" w:rsidRDefault="00A75620" w:rsidP="002805FF">
      <w:r w:rsidRPr="00A75620">
        <w:t>CO</w:t>
      </w:r>
      <w:r w:rsidRPr="00A75620">
        <w:rPr>
          <w:vertAlign w:val="subscript"/>
        </w:rPr>
        <w:t>2</w:t>
      </w:r>
      <w:r w:rsidRPr="00A75620">
        <w:t xml:space="preserve"> emissions from RGGI-affected generators in the entire nine-state RGGI program have declined since 2009, with 2016 RGGI emissions (79.2 million short tons) 8.4 % below the 2016 emissions cap </w:t>
      </w:r>
      <w:r w:rsidRPr="00A75620">
        <w:lastRenderedPageBreak/>
        <w:t>(86.</w:t>
      </w:r>
      <w:r w:rsidR="00CF2137" w:rsidRPr="00A75620">
        <w:t>5</w:t>
      </w:r>
      <w:r w:rsidR="00CF2137">
        <w:t> </w:t>
      </w:r>
      <w:r w:rsidRPr="00A75620">
        <w:t>million short tons).</w:t>
      </w:r>
      <w:r w:rsidRPr="00A75620">
        <w:rPr>
          <w:vertAlign w:val="superscript"/>
        </w:rPr>
        <w:footnoteReference w:id="220"/>
      </w:r>
      <w:r w:rsidRPr="00A75620">
        <w:t xml:space="preserve"> The RGGI states are conducting a comprehensive program review that may include </w:t>
      </w:r>
      <w:r w:rsidRPr="00FE2485">
        <w:t>the adoption of a more stringent, post-2020 emissions cap</w:t>
      </w:r>
      <w:r w:rsidR="005E2E2E" w:rsidRPr="00FE2485">
        <w:t xml:space="preserve"> (see </w:t>
      </w:r>
      <w:r w:rsidR="00FE2485" w:rsidRPr="00FE2485">
        <w:t xml:space="preserve">Section </w:t>
      </w:r>
      <w:r w:rsidR="00FE2485" w:rsidRPr="00FE2485">
        <w:fldChar w:fldCharType="begin"/>
      </w:r>
      <w:r w:rsidR="00FE2485" w:rsidRPr="00FE2485">
        <w:instrText xml:space="preserve"> REF _Ref485737588 \r \h </w:instrText>
      </w:r>
      <w:r w:rsidR="00FE2485">
        <w:instrText xml:space="preserve"> \* MERGEFORMAT </w:instrText>
      </w:r>
      <w:r w:rsidR="00FE2485" w:rsidRPr="00FE2485">
        <w:fldChar w:fldCharType="separate"/>
      </w:r>
      <w:r w:rsidR="00314781">
        <w:t>9.4</w:t>
      </w:r>
      <w:r w:rsidR="00FE2485" w:rsidRPr="00FE2485">
        <w:fldChar w:fldCharType="end"/>
      </w:r>
      <w:r w:rsidR="005E2E2E" w:rsidRPr="00FE2485">
        <w:t>)</w:t>
      </w:r>
      <w:r w:rsidRPr="00FE2485">
        <w:t>.</w:t>
      </w:r>
      <w:r w:rsidRPr="00FE2485">
        <w:rPr>
          <w:vertAlign w:val="superscript"/>
        </w:rPr>
        <w:footnoteReference w:id="221"/>
      </w:r>
      <w:r w:rsidRPr="00FE2485">
        <w:t xml:space="preserve"> </w:t>
      </w:r>
      <w:r w:rsidR="002805FF" w:rsidRPr="002805FF">
        <w:fldChar w:fldCharType="begin"/>
      </w:r>
      <w:r w:rsidR="002805FF" w:rsidRPr="002805FF">
        <w:instrText xml:space="preserve"> REF _Ref485806152 \h  \* MERGEFORMAT </w:instrText>
      </w:r>
      <w:r w:rsidR="002805FF" w:rsidRPr="002805FF">
        <w:fldChar w:fldCharType="separate"/>
      </w:r>
      <w:r w:rsidR="00314781" w:rsidRPr="000162C8">
        <w:rPr>
          <w:bCs/>
          <w:szCs w:val="18"/>
        </w:rPr>
        <w:t xml:space="preserve">Figure </w:t>
      </w:r>
      <w:r w:rsidR="00314781" w:rsidRPr="000162C8">
        <w:rPr>
          <w:bCs/>
          <w:noProof/>
          <w:szCs w:val="18"/>
        </w:rPr>
        <w:t>8</w:t>
      </w:r>
      <w:r w:rsidR="00314781" w:rsidRPr="000162C8">
        <w:rPr>
          <w:bCs/>
          <w:noProof/>
          <w:szCs w:val="18"/>
        </w:rPr>
        <w:noBreakHyphen/>
        <w:t>3</w:t>
      </w:r>
      <w:r w:rsidR="002805FF" w:rsidRPr="002805FF">
        <w:fldChar w:fldCharType="end"/>
      </w:r>
      <w:r w:rsidR="002805FF">
        <w:t xml:space="preserve"> </w:t>
      </w:r>
      <w:r w:rsidRPr="002805FF">
        <w:t>shows the total New England allowances for each of the auctions and the total CO</w:t>
      </w:r>
      <w:r w:rsidRPr="002805FF">
        <w:rPr>
          <w:vertAlign w:val="subscript"/>
        </w:rPr>
        <w:t>2</w:t>
      </w:r>
      <w:r w:rsidRPr="00FE2485">
        <w:t xml:space="preserve"> emissions from the New England sources.</w:t>
      </w:r>
    </w:p>
    <w:p w:rsidR="00C42EB6" w:rsidRDefault="00C42EB6" w:rsidP="00246691">
      <w:pPr>
        <w:keepNext/>
        <w:keepLines/>
        <w:spacing w:after="0" w:line="240" w:lineRule="auto"/>
        <w:ind w:left="86" w:right="-274"/>
        <w:rPr>
          <w:rFonts w:ascii="Calibri" w:hAnsi="Calibri"/>
          <w:b/>
          <w:bCs/>
          <w:szCs w:val="18"/>
        </w:rPr>
      </w:pPr>
      <w:bookmarkStart w:id="767" w:name="_Ref417732350"/>
      <w:bookmarkStart w:id="768" w:name="_Toc429063540"/>
      <w:r w:rsidRPr="00C42EB6">
        <w:rPr>
          <w:noProof/>
        </w:rPr>
        <w:drawing>
          <wp:inline distT="0" distB="0" distL="0" distR="0" wp14:anchorId="7DF97A5E" wp14:editId="66D864D4">
            <wp:extent cx="5715000" cy="3254408"/>
            <wp:effectExtent l="19050" t="19050" r="19050" b="222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715000" cy="3254408"/>
                    </a:xfrm>
                    <a:prstGeom prst="rect">
                      <a:avLst/>
                    </a:prstGeom>
                    <a:noFill/>
                    <a:ln w="3175">
                      <a:solidFill>
                        <a:srgbClr val="000000"/>
                      </a:solidFill>
                    </a:ln>
                  </pic:spPr>
                </pic:pic>
              </a:graphicData>
            </a:graphic>
          </wp:inline>
        </w:drawing>
      </w:r>
    </w:p>
    <w:p w:rsidR="00A75620" w:rsidRPr="00A75620" w:rsidRDefault="00A75620" w:rsidP="00246691">
      <w:pPr>
        <w:keepNext/>
        <w:keepLines/>
        <w:spacing w:before="120" w:after="80" w:line="240" w:lineRule="auto"/>
        <w:ind w:left="86" w:right="-274"/>
        <w:rPr>
          <w:rFonts w:ascii="Calibri" w:hAnsi="Calibri"/>
          <w:b/>
          <w:bCs/>
          <w:szCs w:val="18"/>
        </w:rPr>
      </w:pPr>
      <w:bookmarkStart w:id="769" w:name="_Ref485806152"/>
      <w:bookmarkStart w:id="770" w:name="_Toc486233221"/>
      <w:r w:rsidRPr="00A75620">
        <w:rPr>
          <w:rFonts w:ascii="Calibri" w:hAnsi="Calibri"/>
          <w:b/>
          <w:bCs/>
          <w:szCs w:val="18"/>
        </w:rPr>
        <w:t xml:space="preserve">Figure </w:t>
      </w:r>
      <w:r w:rsidRPr="00A75620">
        <w:rPr>
          <w:rFonts w:ascii="Calibri" w:hAnsi="Calibri"/>
          <w:b/>
          <w:bCs/>
          <w:szCs w:val="18"/>
        </w:rPr>
        <w:fldChar w:fldCharType="begin"/>
      </w:r>
      <w:r w:rsidRPr="00A75620">
        <w:rPr>
          <w:rFonts w:ascii="Calibri" w:hAnsi="Calibri"/>
          <w:b/>
          <w:bCs/>
          <w:szCs w:val="18"/>
        </w:rPr>
        <w:instrText xml:space="preserve"> STYLEREF 1 \s </w:instrText>
      </w:r>
      <w:r w:rsidRPr="00A75620">
        <w:rPr>
          <w:rFonts w:ascii="Calibri" w:hAnsi="Calibri"/>
          <w:b/>
          <w:bCs/>
          <w:szCs w:val="18"/>
        </w:rPr>
        <w:fldChar w:fldCharType="separate"/>
      </w:r>
      <w:r w:rsidR="00314781">
        <w:rPr>
          <w:rFonts w:ascii="Calibri" w:hAnsi="Calibri"/>
          <w:b/>
          <w:bCs/>
          <w:noProof/>
          <w:szCs w:val="18"/>
        </w:rPr>
        <w:t>8</w:t>
      </w:r>
      <w:r w:rsidRPr="00A75620">
        <w:rPr>
          <w:rFonts w:ascii="Calibri" w:hAnsi="Calibri"/>
          <w:b/>
          <w:bCs/>
          <w:szCs w:val="18"/>
        </w:rPr>
        <w:fldChar w:fldCharType="end"/>
      </w:r>
      <w:r w:rsidRPr="00A75620">
        <w:rPr>
          <w:rFonts w:ascii="Calibri" w:hAnsi="Calibri"/>
          <w:b/>
          <w:bCs/>
          <w:szCs w:val="18"/>
        </w:rPr>
        <w:noBreakHyphen/>
      </w:r>
      <w:r w:rsidRPr="00A75620">
        <w:rPr>
          <w:rFonts w:ascii="Calibri" w:hAnsi="Calibri"/>
          <w:b/>
          <w:bCs/>
          <w:szCs w:val="18"/>
        </w:rPr>
        <w:fldChar w:fldCharType="begin"/>
      </w:r>
      <w:r w:rsidRPr="00A75620">
        <w:rPr>
          <w:rFonts w:ascii="Calibri" w:hAnsi="Calibri"/>
          <w:b/>
          <w:bCs/>
          <w:szCs w:val="18"/>
        </w:rPr>
        <w:instrText xml:space="preserve"> SEQ Figure \* ARABIC \s 1 </w:instrText>
      </w:r>
      <w:r w:rsidRPr="00A75620">
        <w:rPr>
          <w:rFonts w:ascii="Calibri" w:hAnsi="Calibri"/>
          <w:b/>
          <w:bCs/>
          <w:szCs w:val="18"/>
        </w:rPr>
        <w:fldChar w:fldCharType="separate"/>
      </w:r>
      <w:r w:rsidR="00314781">
        <w:rPr>
          <w:rFonts w:ascii="Calibri" w:hAnsi="Calibri"/>
          <w:b/>
          <w:bCs/>
          <w:noProof/>
          <w:szCs w:val="18"/>
        </w:rPr>
        <w:t>3</w:t>
      </w:r>
      <w:r w:rsidRPr="00A75620">
        <w:rPr>
          <w:rFonts w:ascii="Calibri" w:hAnsi="Calibri"/>
          <w:b/>
          <w:bCs/>
          <w:szCs w:val="18"/>
        </w:rPr>
        <w:fldChar w:fldCharType="end"/>
      </w:r>
      <w:bookmarkEnd w:id="767"/>
      <w:bookmarkEnd w:id="769"/>
      <w:r w:rsidRPr="00A75620">
        <w:rPr>
          <w:rFonts w:ascii="Calibri" w:hAnsi="Calibri"/>
          <w:b/>
          <w:bCs/>
          <w:szCs w:val="18"/>
        </w:rPr>
        <w:t>: New England RGGI states’ quarterly CO</w:t>
      </w:r>
      <w:r w:rsidRPr="00A75620">
        <w:rPr>
          <w:rFonts w:ascii="Calibri" w:hAnsi="Calibri"/>
          <w:b/>
          <w:bCs/>
          <w:szCs w:val="18"/>
          <w:vertAlign w:val="subscript"/>
        </w:rPr>
        <w:t>2</w:t>
      </w:r>
      <w:r w:rsidRPr="00A75620">
        <w:rPr>
          <w:rFonts w:ascii="Calibri" w:hAnsi="Calibri"/>
          <w:b/>
          <w:bCs/>
          <w:szCs w:val="18"/>
        </w:rPr>
        <w:t xml:space="preserve"> emissions and allowance auctions, 2008 to 2016 (mtons, millions).</w:t>
      </w:r>
      <w:bookmarkEnd w:id="768"/>
      <w:bookmarkEnd w:id="770"/>
    </w:p>
    <w:p w:rsidR="00A75620" w:rsidRPr="00A75620" w:rsidRDefault="00A75620" w:rsidP="00A75620">
      <w:pPr>
        <w:spacing w:line="240" w:lineRule="auto"/>
        <w:ind w:left="90"/>
        <w:rPr>
          <w:rFonts w:asciiTheme="minorHAnsi" w:hAnsiTheme="minorHAnsi"/>
          <w:b/>
          <w:bCs/>
          <w:sz w:val="16"/>
          <w:szCs w:val="16"/>
        </w:rPr>
      </w:pPr>
      <w:r w:rsidRPr="00A75620">
        <w:rPr>
          <w:rFonts w:asciiTheme="minorHAnsi" w:hAnsiTheme="minorHAnsi"/>
          <w:b/>
          <w:bCs/>
          <w:sz w:val="16"/>
          <w:szCs w:val="16"/>
        </w:rPr>
        <w:t xml:space="preserve">Source: </w:t>
      </w:r>
      <w:r w:rsidRPr="00A75620">
        <w:rPr>
          <w:rFonts w:asciiTheme="minorHAnsi" w:hAnsiTheme="minorHAnsi"/>
          <w:bCs/>
          <w:sz w:val="16"/>
          <w:szCs w:val="16"/>
        </w:rPr>
        <w:t>RGGI</w:t>
      </w:r>
      <w:r w:rsidRPr="00A75620">
        <w:rPr>
          <w:rFonts w:asciiTheme="minorHAnsi" w:hAnsiTheme="minorHAnsi"/>
          <w:bCs/>
          <w:i/>
          <w:sz w:val="16"/>
          <w:szCs w:val="16"/>
        </w:rPr>
        <w:t xml:space="preserve"> </w:t>
      </w:r>
      <w:r w:rsidRPr="00A75620">
        <w:rPr>
          <w:rFonts w:asciiTheme="minorHAnsi" w:hAnsiTheme="minorHAnsi"/>
          <w:bCs/>
          <w:sz w:val="16"/>
          <w:szCs w:val="16"/>
        </w:rPr>
        <w:t>(May 11, 2017),</w:t>
      </w:r>
      <w:r w:rsidRPr="00A75620">
        <w:t xml:space="preserve"> </w:t>
      </w:r>
      <w:hyperlink r:id="rId79" w:history="1">
        <w:r w:rsidRPr="00A75620">
          <w:rPr>
            <w:rFonts w:asciiTheme="minorHAnsi" w:hAnsiTheme="minorHAnsi"/>
            <w:bCs/>
            <w:color w:val="000000"/>
            <w:sz w:val="16"/>
            <w:szCs w:val="16"/>
          </w:rPr>
          <w:t>http://www.rggi.org/rggi</w:t>
        </w:r>
      </w:hyperlink>
      <w:r w:rsidRPr="00A75620">
        <w:rPr>
          <w:rFonts w:asciiTheme="minorHAnsi" w:hAnsiTheme="minorHAnsi"/>
          <w:bCs/>
          <w:sz w:val="16"/>
          <w:szCs w:val="16"/>
        </w:rPr>
        <w:t>.</w:t>
      </w:r>
    </w:p>
    <w:p w:rsidR="00A75620" w:rsidRPr="00A75620" w:rsidRDefault="00A75620" w:rsidP="00A75620">
      <w:r w:rsidRPr="00A75620">
        <w:t xml:space="preserve">As </w:t>
      </w:r>
      <w:r w:rsidRPr="00A75620">
        <w:fldChar w:fldCharType="begin"/>
      </w:r>
      <w:r w:rsidRPr="00A75620">
        <w:instrText xml:space="preserve"> REF _Ref417733637 \h  \* MERGEFORMAT </w:instrText>
      </w:r>
      <w:r w:rsidRPr="00A75620">
        <w:fldChar w:fldCharType="separate"/>
      </w:r>
      <w:r w:rsidR="00314781" w:rsidRPr="000162C8">
        <w:t xml:space="preserve">Figure </w:t>
      </w:r>
      <w:r w:rsidR="00314781" w:rsidRPr="000162C8">
        <w:rPr>
          <w:noProof/>
        </w:rPr>
        <w:t>8</w:t>
      </w:r>
      <w:r w:rsidR="00314781" w:rsidRPr="000162C8">
        <w:rPr>
          <w:noProof/>
        </w:rPr>
        <w:noBreakHyphen/>
        <w:t>4</w:t>
      </w:r>
      <w:r w:rsidRPr="00A75620">
        <w:fldChar w:fldCharType="end"/>
      </w:r>
      <w:r w:rsidRPr="00A75620">
        <w:t xml:space="preserve"> shows, auction prices increased from 2014 through 2015 before </w:t>
      </w:r>
      <w:r w:rsidR="0099528C">
        <w:t xml:space="preserve">they </w:t>
      </w:r>
      <w:r w:rsidRPr="00A75620">
        <w:t xml:space="preserve">declined in 2016 </w:t>
      </w:r>
      <w:r w:rsidRPr="00A9034E">
        <w:t>with the US Supreme Court’s February 2016 stay of CPP implementation</w:t>
      </w:r>
      <w:r w:rsidR="00A9034E" w:rsidRPr="00A9034E">
        <w:t>, as mentioned above</w:t>
      </w:r>
      <w:r w:rsidRPr="00A9034E">
        <w:t>. Auction reports indicate that affected generators remain active participants, acquiring most of</w:t>
      </w:r>
      <w:r w:rsidRPr="00A75620">
        <w:t xml:space="preserve"> the allowances offered during the current control period.</w:t>
      </w:r>
      <w:r w:rsidRPr="00A75620">
        <w:rPr>
          <w:vertAlign w:val="superscript"/>
        </w:rPr>
        <w:footnoteReference w:id="222"/>
      </w:r>
    </w:p>
    <w:p w:rsidR="00C42EB6" w:rsidRPr="00A75620" w:rsidRDefault="00C42EB6" w:rsidP="00A75620">
      <w:pPr>
        <w:spacing w:after="0" w:line="240" w:lineRule="auto"/>
        <w:jc w:val="center"/>
        <w:rPr>
          <w:szCs w:val="36"/>
        </w:rPr>
      </w:pPr>
      <w:r w:rsidRPr="00C42EB6">
        <w:rPr>
          <w:noProof/>
        </w:rPr>
        <w:lastRenderedPageBreak/>
        <w:drawing>
          <wp:inline distT="0" distB="0" distL="0" distR="0" wp14:anchorId="16A0FC73" wp14:editId="39017CAD">
            <wp:extent cx="5565370" cy="3302000"/>
            <wp:effectExtent l="19050" t="19050" r="16510" b="1270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563510" cy="3300897"/>
                    </a:xfrm>
                    <a:prstGeom prst="rect">
                      <a:avLst/>
                    </a:prstGeom>
                    <a:noFill/>
                    <a:ln w="3175">
                      <a:solidFill>
                        <a:srgbClr val="000000"/>
                      </a:solidFill>
                    </a:ln>
                  </pic:spPr>
                </pic:pic>
              </a:graphicData>
            </a:graphic>
          </wp:inline>
        </w:drawing>
      </w:r>
    </w:p>
    <w:p w:rsidR="00A75620" w:rsidRPr="00A75620" w:rsidRDefault="00A75620" w:rsidP="00A75620">
      <w:pPr>
        <w:keepNext/>
        <w:keepLines/>
        <w:spacing w:before="120" w:after="80" w:line="240" w:lineRule="auto"/>
        <w:ind w:left="90"/>
        <w:rPr>
          <w:rFonts w:ascii="Calibri" w:hAnsi="Calibri"/>
          <w:b/>
          <w:bCs/>
          <w:szCs w:val="18"/>
        </w:rPr>
      </w:pPr>
      <w:bookmarkStart w:id="771" w:name="_Ref417733637"/>
      <w:bookmarkStart w:id="772" w:name="_Toc429063541"/>
      <w:bookmarkStart w:id="773" w:name="_Toc486233222"/>
      <w:r w:rsidRPr="00A75620">
        <w:rPr>
          <w:rFonts w:ascii="Calibri" w:hAnsi="Calibri"/>
          <w:b/>
          <w:bCs/>
          <w:szCs w:val="18"/>
        </w:rPr>
        <w:t xml:space="preserve">Figure </w:t>
      </w:r>
      <w:r w:rsidRPr="00A75620">
        <w:rPr>
          <w:rFonts w:ascii="Calibri" w:hAnsi="Calibri"/>
          <w:b/>
          <w:bCs/>
          <w:szCs w:val="18"/>
        </w:rPr>
        <w:fldChar w:fldCharType="begin"/>
      </w:r>
      <w:r w:rsidRPr="00A75620">
        <w:rPr>
          <w:rFonts w:ascii="Calibri" w:hAnsi="Calibri"/>
          <w:b/>
          <w:bCs/>
          <w:szCs w:val="18"/>
        </w:rPr>
        <w:instrText xml:space="preserve"> STYLEREF 1 \s </w:instrText>
      </w:r>
      <w:r w:rsidRPr="00A75620">
        <w:rPr>
          <w:rFonts w:ascii="Calibri" w:hAnsi="Calibri"/>
          <w:b/>
          <w:bCs/>
          <w:szCs w:val="18"/>
        </w:rPr>
        <w:fldChar w:fldCharType="separate"/>
      </w:r>
      <w:r w:rsidR="00314781">
        <w:rPr>
          <w:rFonts w:ascii="Calibri" w:hAnsi="Calibri"/>
          <w:b/>
          <w:bCs/>
          <w:noProof/>
          <w:szCs w:val="18"/>
        </w:rPr>
        <w:t>8</w:t>
      </w:r>
      <w:r w:rsidRPr="00A75620">
        <w:rPr>
          <w:rFonts w:ascii="Calibri" w:hAnsi="Calibri"/>
          <w:b/>
          <w:bCs/>
          <w:szCs w:val="18"/>
        </w:rPr>
        <w:fldChar w:fldCharType="end"/>
      </w:r>
      <w:r w:rsidRPr="00A75620">
        <w:rPr>
          <w:rFonts w:ascii="Calibri" w:hAnsi="Calibri"/>
          <w:b/>
          <w:bCs/>
          <w:szCs w:val="18"/>
        </w:rPr>
        <w:noBreakHyphen/>
      </w:r>
      <w:r w:rsidRPr="00A75620">
        <w:rPr>
          <w:rFonts w:ascii="Calibri" w:hAnsi="Calibri"/>
          <w:b/>
          <w:bCs/>
          <w:szCs w:val="18"/>
        </w:rPr>
        <w:fldChar w:fldCharType="begin"/>
      </w:r>
      <w:r w:rsidRPr="00A75620">
        <w:rPr>
          <w:rFonts w:ascii="Calibri" w:hAnsi="Calibri"/>
          <w:b/>
          <w:bCs/>
          <w:szCs w:val="18"/>
        </w:rPr>
        <w:instrText xml:space="preserve"> SEQ Figure \* ARABIC \s 1 </w:instrText>
      </w:r>
      <w:r w:rsidRPr="00A75620">
        <w:rPr>
          <w:rFonts w:ascii="Calibri" w:hAnsi="Calibri"/>
          <w:b/>
          <w:bCs/>
          <w:szCs w:val="18"/>
        </w:rPr>
        <w:fldChar w:fldCharType="separate"/>
      </w:r>
      <w:r w:rsidR="00314781">
        <w:rPr>
          <w:rFonts w:ascii="Calibri" w:hAnsi="Calibri"/>
          <w:b/>
          <w:bCs/>
          <w:noProof/>
          <w:szCs w:val="18"/>
        </w:rPr>
        <w:t>4</w:t>
      </w:r>
      <w:r w:rsidRPr="00A75620">
        <w:rPr>
          <w:rFonts w:ascii="Calibri" w:hAnsi="Calibri"/>
          <w:b/>
          <w:bCs/>
          <w:szCs w:val="18"/>
        </w:rPr>
        <w:fldChar w:fldCharType="end"/>
      </w:r>
      <w:bookmarkEnd w:id="771"/>
      <w:r w:rsidRPr="00A75620">
        <w:rPr>
          <w:rFonts w:ascii="Calibri" w:hAnsi="Calibri"/>
          <w:b/>
          <w:bCs/>
          <w:szCs w:val="18"/>
        </w:rPr>
        <w:t>: New England RGGI states’ quarterly CO</w:t>
      </w:r>
      <w:r w:rsidRPr="00A75620">
        <w:rPr>
          <w:rFonts w:ascii="Calibri" w:hAnsi="Calibri"/>
          <w:b/>
          <w:bCs/>
          <w:szCs w:val="18"/>
          <w:vertAlign w:val="subscript"/>
        </w:rPr>
        <w:t>2</w:t>
      </w:r>
      <w:r w:rsidRPr="00A75620">
        <w:rPr>
          <w:rFonts w:ascii="Calibri" w:hAnsi="Calibri"/>
          <w:b/>
          <w:bCs/>
          <w:szCs w:val="18"/>
        </w:rPr>
        <w:t xml:space="preserve"> allowance auction proceeds and clearing price, 2008 to 2016 (million $ and $)</w:t>
      </w:r>
      <w:bookmarkEnd w:id="772"/>
      <w:r w:rsidRPr="00A75620">
        <w:rPr>
          <w:rFonts w:ascii="Calibri" w:hAnsi="Calibri"/>
          <w:b/>
          <w:bCs/>
          <w:szCs w:val="18"/>
        </w:rPr>
        <w:t>.</w:t>
      </w:r>
      <w:bookmarkEnd w:id="773"/>
    </w:p>
    <w:p w:rsidR="00A75620" w:rsidRPr="00A75620" w:rsidRDefault="00A75620" w:rsidP="00A75620">
      <w:pPr>
        <w:spacing w:after="200" w:line="276" w:lineRule="auto"/>
        <w:ind w:left="90"/>
        <w:rPr>
          <w:szCs w:val="36"/>
        </w:rPr>
      </w:pPr>
      <w:r w:rsidRPr="00A75620">
        <w:rPr>
          <w:rFonts w:asciiTheme="minorHAnsi" w:hAnsiTheme="minorHAnsi"/>
          <w:b/>
          <w:sz w:val="16"/>
          <w:szCs w:val="16"/>
        </w:rPr>
        <w:t>Source:</w:t>
      </w:r>
      <w:r w:rsidRPr="00A75620">
        <w:rPr>
          <w:rFonts w:asciiTheme="minorHAnsi" w:hAnsiTheme="minorHAnsi"/>
          <w:sz w:val="16"/>
          <w:szCs w:val="16"/>
        </w:rPr>
        <w:t xml:space="preserve"> RGGI</w:t>
      </w:r>
      <w:r w:rsidRPr="00A75620">
        <w:rPr>
          <w:rFonts w:asciiTheme="minorHAnsi" w:hAnsiTheme="minorHAnsi"/>
          <w:i/>
          <w:sz w:val="16"/>
          <w:szCs w:val="16"/>
        </w:rPr>
        <w:t xml:space="preserve">, </w:t>
      </w:r>
      <w:r w:rsidRPr="00A75620">
        <w:rPr>
          <w:rFonts w:asciiTheme="minorHAnsi" w:hAnsiTheme="minorHAnsi"/>
          <w:sz w:val="16"/>
          <w:szCs w:val="16"/>
        </w:rPr>
        <w:t>(March 11, 2016),</w:t>
      </w:r>
      <w:r w:rsidRPr="00A75620">
        <w:t xml:space="preserve"> </w:t>
      </w:r>
      <w:hyperlink r:id="rId81" w:history="1">
        <w:r w:rsidRPr="00A75620">
          <w:rPr>
            <w:rFonts w:asciiTheme="minorHAnsi" w:hAnsiTheme="minorHAnsi"/>
            <w:color w:val="000000"/>
            <w:sz w:val="16"/>
            <w:szCs w:val="16"/>
          </w:rPr>
          <w:t>http://www.rggi.org/rggi</w:t>
        </w:r>
      </w:hyperlink>
      <w:r w:rsidRPr="00A75620">
        <w:rPr>
          <w:rFonts w:asciiTheme="minorHAnsi" w:hAnsiTheme="minorHAnsi"/>
          <w:color w:val="000000"/>
          <w:sz w:val="16"/>
          <w:szCs w:val="16"/>
        </w:rPr>
        <w:t>.</w:t>
      </w:r>
    </w:p>
    <w:p w:rsidR="00A75620" w:rsidRPr="00A75620" w:rsidRDefault="00A75620" w:rsidP="00A75620">
      <w:r w:rsidRPr="00A75620">
        <w:t>The 2016 RGGI program review was designed in part to evaluate adjustments needed to permit participating RGGI states to meet future CPP requirements by developing a joint state plan, leveraging expected post-2020 emissions (assuming the RGGI cap continued declining at 2.5% from 2015 to 2020).</w:t>
      </w:r>
      <w:r w:rsidRPr="00A75620">
        <w:rPr>
          <w:vertAlign w:val="superscript"/>
        </w:rPr>
        <w:footnoteReference w:id="223"/>
      </w:r>
      <w:r w:rsidRPr="00A75620">
        <w:t xml:space="preserve"> After the CPP was suspended in February 2016, the RGGI states considered other program design details during the 2016–2017 program review:</w:t>
      </w:r>
      <w:r w:rsidRPr="00A75620">
        <w:rPr>
          <w:vertAlign w:val="superscript"/>
        </w:rPr>
        <w:footnoteReference w:id="224"/>
      </w:r>
    </w:p>
    <w:p w:rsidR="00A75620" w:rsidRPr="00A75620" w:rsidRDefault="00A75620" w:rsidP="003D70FB">
      <w:pPr>
        <w:numPr>
          <w:ilvl w:val="0"/>
          <w:numId w:val="67"/>
        </w:numPr>
        <w:spacing w:after="120"/>
        <w:rPr>
          <w:rFonts w:eastAsia="Times New Roman"/>
          <w:szCs w:val="24"/>
        </w:rPr>
      </w:pPr>
      <w:r w:rsidRPr="00A75620">
        <w:rPr>
          <w:rFonts w:eastAsia="Times New Roman"/>
          <w:szCs w:val="24"/>
        </w:rPr>
        <w:t>Timing of policy implementation (whether to adopt post-2020 reduction targets out to 2030)</w:t>
      </w:r>
    </w:p>
    <w:p w:rsidR="00A75620" w:rsidRPr="00A75620" w:rsidRDefault="00A75620" w:rsidP="003D70FB">
      <w:pPr>
        <w:numPr>
          <w:ilvl w:val="0"/>
          <w:numId w:val="67"/>
        </w:numPr>
        <w:spacing w:after="120"/>
        <w:rPr>
          <w:rFonts w:eastAsia="Times New Roman"/>
          <w:szCs w:val="24"/>
        </w:rPr>
      </w:pPr>
      <w:r w:rsidRPr="00A75620">
        <w:rPr>
          <w:rFonts w:eastAsia="Times New Roman"/>
          <w:szCs w:val="24"/>
        </w:rPr>
        <w:t>Adjustment of banked allowances (account for banked allowances accrued from 2014 to 2020)</w:t>
      </w:r>
    </w:p>
    <w:p w:rsidR="00A75620" w:rsidRPr="00A75620" w:rsidRDefault="00A75620" w:rsidP="003D70FB">
      <w:pPr>
        <w:numPr>
          <w:ilvl w:val="0"/>
          <w:numId w:val="67"/>
        </w:numPr>
        <w:spacing w:after="120"/>
        <w:rPr>
          <w:rFonts w:eastAsia="Times New Roman"/>
          <w:szCs w:val="24"/>
        </w:rPr>
      </w:pPr>
      <w:r w:rsidRPr="00A75620">
        <w:rPr>
          <w:rFonts w:eastAsia="Times New Roman"/>
          <w:szCs w:val="24"/>
        </w:rPr>
        <w:t>Reserve price (modify the floor auction price)</w:t>
      </w:r>
    </w:p>
    <w:p w:rsidR="00A75620" w:rsidRPr="00A75620" w:rsidRDefault="00A75620" w:rsidP="003D70FB">
      <w:pPr>
        <w:numPr>
          <w:ilvl w:val="0"/>
          <w:numId w:val="67"/>
        </w:numPr>
        <w:spacing w:after="120"/>
        <w:rPr>
          <w:rFonts w:eastAsia="Times New Roman"/>
          <w:szCs w:val="24"/>
        </w:rPr>
      </w:pPr>
      <w:r w:rsidRPr="00A75620">
        <w:rPr>
          <w:rFonts w:eastAsia="Times New Roman"/>
          <w:szCs w:val="24"/>
        </w:rPr>
        <w:t>Emissions containment reserve (ECR) (withdraw allowance from auction at set price)</w:t>
      </w:r>
    </w:p>
    <w:p w:rsidR="00A75620" w:rsidRPr="00A75620" w:rsidRDefault="00A75620" w:rsidP="003D70FB">
      <w:pPr>
        <w:numPr>
          <w:ilvl w:val="0"/>
          <w:numId w:val="67"/>
        </w:numPr>
        <w:spacing w:after="120"/>
        <w:rPr>
          <w:rFonts w:eastAsia="Times New Roman"/>
          <w:szCs w:val="24"/>
        </w:rPr>
      </w:pPr>
      <w:r w:rsidRPr="00A75620">
        <w:rPr>
          <w:rFonts w:eastAsia="Times New Roman"/>
          <w:szCs w:val="24"/>
        </w:rPr>
        <w:t>Cost</w:t>
      </w:r>
      <w:r w:rsidR="0099528C">
        <w:rPr>
          <w:rFonts w:eastAsia="Times New Roman"/>
          <w:szCs w:val="24"/>
        </w:rPr>
        <w:t>-c</w:t>
      </w:r>
      <w:r w:rsidRPr="00A75620">
        <w:rPr>
          <w:rFonts w:eastAsia="Times New Roman"/>
          <w:szCs w:val="24"/>
        </w:rPr>
        <w:t xml:space="preserve">ontainment </w:t>
      </w:r>
      <w:r w:rsidR="0099528C">
        <w:rPr>
          <w:rFonts w:eastAsia="Times New Roman"/>
          <w:szCs w:val="24"/>
        </w:rPr>
        <w:t>r</w:t>
      </w:r>
      <w:r w:rsidRPr="00A75620">
        <w:rPr>
          <w:rFonts w:eastAsia="Times New Roman"/>
          <w:szCs w:val="24"/>
        </w:rPr>
        <w:t>eserve (CCR) (modify trigger price and change size of the reserve)</w:t>
      </w:r>
    </w:p>
    <w:p w:rsidR="00A75620" w:rsidRPr="00A75620" w:rsidRDefault="00A75620" w:rsidP="003D70FB">
      <w:pPr>
        <w:numPr>
          <w:ilvl w:val="0"/>
          <w:numId w:val="67"/>
        </w:numPr>
        <w:spacing w:after="120"/>
        <w:rPr>
          <w:rFonts w:eastAsia="Times New Roman"/>
          <w:szCs w:val="24"/>
        </w:rPr>
      </w:pPr>
      <w:r w:rsidRPr="00A75620">
        <w:rPr>
          <w:rFonts w:eastAsia="Times New Roman"/>
          <w:szCs w:val="24"/>
        </w:rPr>
        <w:t>Offsets (modify eligible projects on individual state basis)</w:t>
      </w:r>
    </w:p>
    <w:p w:rsidR="00A75620" w:rsidRPr="00A75620" w:rsidRDefault="00A75620" w:rsidP="00A75620">
      <w:r w:rsidRPr="00A75620">
        <w:lastRenderedPageBreak/>
        <w:t>The 2016 program review as of this writing has not yet finalized changes to the RGGI model rule, but the schedule announced by the RGGI states calls for adopting any rule changes before the 2018–2020 control period.</w:t>
      </w:r>
    </w:p>
    <w:p w:rsidR="00A75620" w:rsidRPr="00120BB6" w:rsidRDefault="00A75620" w:rsidP="00120BB6">
      <w:pPr>
        <w:pStyle w:val="Heading3"/>
      </w:pPr>
      <w:bookmarkStart w:id="774" w:name="_Toc429063455"/>
      <w:bookmarkStart w:id="775" w:name="_Toc490323086"/>
      <w:bookmarkStart w:id="776" w:name="_Toc396807665"/>
      <w:r w:rsidRPr="00A75620">
        <w:t>Cost of Compliance with Environmental Regulations</w:t>
      </w:r>
      <w:bookmarkEnd w:id="774"/>
      <w:bookmarkEnd w:id="775"/>
    </w:p>
    <w:p w:rsidR="00232855" w:rsidRPr="00A75620" w:rsidRDefault="00A75620" w:rsidP="00A75620">
      <w:r w:rsidRPr="00A75620">
        <w:t>Compliance costs for generating units differ by age, economics, location, and readiness of commercially available control technologies. As the median age of the fossil generation fleet declines, existing generating units, particularly those employing combined-cycle technologies—both oil- or natural</w:t>
      </w:r>
      <w:r w:rsidR="00701205">
        <w:t>-</w:t>
      </w:r>
      <w:r w:rsidRPr="00A75620">
        <w:t>gas-fired—operate best-available pollution control technologies for air emissions and water discharges.</w:t>
      </w:r>
      <w:r w:rsidRPr="00A75620">
        <w:rPr>
          <w:vertAlign w:val="superscript"/>
        </w:rPr>
        <w:footnoteReference w:id="225"/>
      </w:r>
      <w:r w:rsidRPr="00A75620">
        <w:t xml:space="preserve"> The key driver of emission costs for New England generators is the RGGI marketplace for CO</w:t>
      </w:r>
      <w:r w:rsidRPr="00A75620">
        <w:rPr>
          <w:vertAlign w:val="subscript"/>
        </w:rPr>
        <w:t>2</w:t>
      </w:r>
      <w:r w:rsidRPr="00A75620">
        <w:t xml:space="preserve"> credits. In 2016, CO</w:t>
      </w:r>
      <w:r w:rsidRPr="00A75620">
        <w:rPr>
          <w:vertAlign w:val="subscript"/>
        </w:rPr>
        <w:t>2</w:t>
      </w:r>
      <w:r w:rsidRPr="00A75620">
        <w:t xml:space="preserve"> prices declined by 13%, which according to the EIA, coincided with the suspension of the Clean Power Plan in February 2016.</w:t>
      </w:r>
      <w:r w:rsidRPr="00A75620">
        <w:rPr>
          <w:vertAlign w:val="superscript"/>
        </w:rPr>
        <w:footnoteReference w:id="226"/>
      </w:r>
      <w:r w:rsidRPr="00A75620">
        <w:t xml:space="preserve"> </w:t>
      </w:r>
      <w:r w:rsidRPr="00401D51">
        <w:t>In 2016, CO</w:t>
      </w:r>
      <w:r w:rsidRPr="00401D51">
        <w:rPr>
          <w:vertAlign w:val="subscript"/>
        </w:rPr>
        <w:t>2</w:t>
      </w:r>
      <w:r w:rsidRPr="00401D51">
        <w:t xml:space="preserve"> </w:t>
      </w:r>
      <w:r w:rsidR="00232855" w:rsidRPr="00D35F3F">
        <w:t xml:space="preserve">allowance compliance </w:t>
      </w:r>
      <w:r w:rsidRPr="00401D51">
        <w:t xml:space="preserve">costs </w:t>
      </w:r>
      <w:r w:rsidR="00232855" w:rsidRPr="00D35F3F">
        <w:t xml:space="preserve">for RGGI were the major environmental </w:t>
      </w:r>
      <w:r w:rsidRPr="00401D51">
        <w:t>variable cost</w:t>
      </w:r>
      <w:r w:rsidR="00232855" w:rsidRPr="00D35F3F">
        <w:t xml:space="preserve"> </w:t>
      </w:r>
      <w:r w:rsidRPr="00401D51">
        <w:t xml:space="preserve">of generation for </w:t>
      </w:r>
      <w:r w:rsidR="00232855" w:rsidRPr="00D35F3F">
        <w:t xml:space="preserve">natural </w:t>
      </w:r>
      <w:r w:rsidRPr="00401D51">
        <w:t>gas, coal, and No.</w:t>
      </w:r>
      <w:r w:rsidR="00FC2C85" w:rsidRPr="00401D51">
        <w:t xml:space="preserve"> </w:t>
      </w:r>
      <w:r w:rsidRPr="00401D51">
        <w:t xml:space="preserve">6 oil </w:t>
      </w:r>
      <w:r w:rsidR="00A9034E" w:rsidRPr="00401D51">
        <w:t xml:space="preserve">(i.e., residual fuel oil used to produce electric power) </w:t>
      </w:r>
      <w:r w:rsidR="00232855" w:rsidRPr="00D35F3F">
        <w:t>at</w:t>
      </w:r>
      <w:r w:rsidRPr="00401D51">
        <w:t xml:space="preserve"> $2.36, $5.33, and $4.73/MWh, respectively.</w:t>
      </w:r>
      <w:r w:rsidRPr="00401D51">
        <w:rPr>
          <w:vertAlign w:val="superscript"/>
        </w:rPr>
        <w:footnoteReference w:id="227"/>
      </w:r>
      <w:r w:rsidRPr="00A75620">
        <w:t xml:space="preserve"> </w:t>
      </w:r>
      <w:r w:rsidRPr="00A75620">
        <w:fldChar w:fldCharType="begin"/>
      </w:r>
      <w:r w:rsidRPr="00A75620">
        <w:instrText xml:space="preserve"> REF _Ref484679018 \h  \* MERGEFORMAT </w:instrText>
      </w:r>
      <w:r w:rsidRPr="00A75620">
        <w:fldChar w:fldCharType="separate"/>
      </w:r>
      <w:r w:rsidR="00314781" w:rsidRPr="000162C8">
        <w:t xml:space="preserve">Figure </w:t>
      </w:r>
      <w:r w:rsidR="00314781" w:rsidRPr="000162C8">
        <w:rPr>
          <w:noProof/>
        </w:rPr>
        <w:t>8</w:t>
      </w:r>
      <w:r w:rsidR="00314781" w:rsidRPr="000162C8">
        <w:rPr>
          <w:noProof/>
        </w:rPr>
        <w:noBreakHyphen/>
        <w:t>5</w:t>
      </w:r>
      <w:r w:rsidRPr="00A75620">
        <w:fldChar w:fldCharType="end"/>
      </w:r>
      <w:r w:rsidRPr="00A75620">
        <w:t xml:space="preserve"> highlights that CO</w:t>
      </w:r>
      <w:r w:rsidRPr="00A75620">
        <w:rPr>
          <w:vertAlign w:val="subscript"/>
        </w:rPr>
        <w:t>2</w:t>
      </w:r>
      <w:r w:rsidRPr="00A75620">
        <w:t xml:space="preserve"> allowance costs have a relatively small impact on generation production costs and consequently do not have a noticeable impact on the economic merit order of generation.</w:t>
      </w:r>
      <w:r w:rsidR="00232855" w:rsidRPr="00D627AF">
        <w:rPr>
          <w:rFonts w:ascii="Calibri" w:hAnsi="Calibri"/>
          <w:bCs/>
          <w:sz w:val="16"/>
          <w:szCs w:val="16"/>
          <w:highlight w:val="green"/>
        </w:rPr>
        <w:t xml:space="preserve"> </w:t>
      </w:r>
    </w:p>
    <w:p w:rsidR="00A75620" w:rsidRPr="00A75620" w:rsidRDefault="00A75620" w:rsidP="00A42B16">
      <w:pPr>
        <w:keepNext/>
        <w:keepLines/>
        <w:spacing w:after="0" w:line="240" w:lineRule="auto"/>
        <w:jc w:val="center"/>
        <w:rPr>
          <w:rFonts w:ascii="Calibri" w:hAnsi="Calibri"/>
          <w:b/>
          <w:bCs/>
          <w:szCs w:val="18"/>
        </w:rPr>
      </w:pPr>
      <w:r w:rsidRPr="00A75620">
        <w:rPr>
          <w:rFonts w:ascii="Calibri" w:hAnsi="Calibri"/>
          <w:b/>
          <w:bCs/>
          <w:noProof/>
          <w:szCs w:val="18"/>
        </w:rPr>
        <w:drawing>
          <wp:inline distT="0" distB="0" distL="0" distR="0" wp14:anchorId="0918DBD5" wp14:editId="19B62BD6">
            <wp:extent cx="4960204" cy="2873648"/>
            <wp:effectExtent l="19050" t="19050" r="12065" b="222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951611" cy="2868670"/>
                    </a:xfrm>
                    <a:prstGeom prst="rect">
                      <a:avLst/>
                    </a:prstGeom>
                    <a:noFill/>
                    <a:ln w="3175">
                      <a:solidFill>
                        <a:srgbClr val="000000"/>
                      </a:solidFill>
                    </a:ln>
                  </pic:spPr>
                </pic:pic>
              </a:graphicData>
            </a:graphic>
          </wp:inline>
        </w:drawing>
      </w:r>
    </w:p>
    <w:p w:rsidR="00A75620" w:rsidRPr="005D4EDF" w:rsidRDefault="00A75620" w:rsidP="0068282D">
      <w:pPr>
        <w:keepNext/>
        <w:keepLines/>
        <w:tabs>
          <w:tab w:val="left" w:pos="8460"/>
        </w:tabs>
        <w:spacing w:before="120" w:after="80" w:line="240" w:lineRule="auto"/>
        <w:ind w:left="540" w:right="180"/>
        <w:rPr>
          <w:rFonts w:ascii="Calibri" w:hAnsi="Calibri"/>
          <w:b/>
          <w:bCs/>
          <w:szCs w:val="18"/>
        </w:rPr>
      </w:pPr>
      <w:bookmarkStart w:id="777" w:name="_Ref484679018"/>
      <w:bookmarkStart w:id="778" w:name="_Toc486233223"/>
      <w:r w:rsidRPr="00B062CD">
        <w:rPr>
          <w:rFonts w:ascii="Calibri" w:hAnsi="Calibri"/>
          <w:b/>
          <w:bCs/>
          <w:szCs w:val="18"/>
        </w:rPr>
        <w:t xml:space="preserve">Figure </w:t>
      </w:r>
      <w:r w:rsidRPr="00B062CD">
        <w:rPr>
          <w:rFonts w:ascii="Calibri" w:hAnsi="Calibri"/>
          <w:b/>
          <w:bCs/>
          <w:szCs w:val="18"/>
        </w:rPr>
        <w:fldChar w:fldCharType="begin"/>
      </w:r>
      <w:r w:rsidRPr="00B062CD">
        <w:rPr>
          <w:rFonts w:ascii="Calibri" w:hAnsi="Calibri"/>
          <w:b/>
          <w:bCs/>
          <w:szCs w:val="18"/>
        </w:rPr>
        <w:instrText xml:space="preserve"> STYLEREF 1 \s </w:instrText>
      </w:r>
      <w:r w:rsidRPr="00B062CD">
        <w:rPr>
          <w:rFonts w:ascii="Calibri" w:hAnsi="Calibri"/>
          <w:b/>
          <w:bCs/>
          <w:szCs w:val="18"/>
        </w:rPr>
        <w:fldChar w:fldCharType="separate"/>
      </w:r>
      <w:r w:rsidR="00314781" w:rsidRPr="00B062CD">
        <w:rPr>
          <w:rFonts w:ascii="Calibri" w:hAnsi="Calibri"/>
          <w:b/>
          <w:bCs/>
          <w:noProof/>
          <w:szCs w:val="18"/>
        </w:rPr>
        <w:t>8</w:t>
      </w:r>
      <w:r w:rsidRPr="00B062CD">
        <w:rPr>
          <w:rFonts w:ascii="Calibri" w:hAnsi="Calibri"/>
          <w:b/>
          <w:bCs/>
          <w:noProof/>
          <w:szCs w:val="18"/>
        </w:rPr>
        <w:fldChar w:fldCharType="end"/>
      </w:r>
      <w:r w:rsidRPr="00B062CD">
        <w:rPr>
          <w:rFonts w:ascii="Calibri" w:hAnsi="Calibri"/>
          <w:b/>
          <w:bCs/>
          <w:szCs w:val="18"/>
        </w:rPr>
        <w:noBreakHyphen/>
      </w:r>
      <w:r w:rsidRPr="00B062CD">
        <w:rPr>
          <w:rFonts w:ascii="Calibri" w:hAnsi="Calibri"/>
          <w:b/>
          <w:bCs/>
          <w:szCs w:val="18"/>
        </w:rPr>
        <w:fldChar w:fldCharType="begin"/>
      </w:r>
      <w:r w:rsidRPr="00B062CD">
        <w:rPr>
          <w:rFonts w:ascii="Calibri" w:hAnsi="Calibri"/>
          <w:b/>
          <w:bCs/>
          <w:szCs w:val="18"/>
        </w:rPr>
        <w:instrText xml:space="preserve"> SEQ Figure \* ARABIC \s 1 </w:instrText>
      </w:r>
      <w:r w:rsidRPr="00B062CD">
        <w:rPr>
          <w:rFonts w:ascii="Calibri" w:hAnsi="Calibri"/>
          <w:b/>
          <w:bCs/>
          <w:szCs w:val="18"/>
        </w:rPr>
        <w:fldChar w:fldCharType="separate"/>
      </w:r>
      <w:r w:rsidR="00314781" w:rsidRPr="00B062CD">
        <w:rPr>
          <w:rFonts w:ascii="Calibri" w:hAnsi="Calibri"/>
          <w:b/>
          <w:bCs/>
          <w:noProof/>
          <w:szCs w:val="18"/>
        </w:rPr>
        <w:t>5</w:t>
      </w:r>
      <w:r w:rsidRPr="00B062CD">
        <w:rPr>
          <w:rFonts w:ascii="Calibri" w:hAnsi="Calibri"/>
          <w:b/>
          <w:bCs/>
          <w:noProof/>
          <w:szCs w:val="18"/>
        </w:rPr>
        <w:fldChar w:fldCharType="end"/>
      </w:r>
      <w:bookmarkEnd w:id="777"/>
      <w:r w:rsidRPr="00B062CD">
        <w:rPr>
          <w:rFonts w:ascii="Calibri" w:hAnsi="Calibri"/>
          <w:b/>
          <w:szCs w:val="18"/>
        </w:rPr>
        <w:t xml:space="preserve">: </w:t>
      </w:r>
      <w:r w:rsidR="009F1095" w:rsidRPr="00B062CD">
        <w:rPr>
          <w:rFonts w:ascii="Calibri" w:hAnsi="Calibri"/>
          <w:b/>
          <w:szCs w:val="18"/>
        </w:rPr>
        <w:t xml:space="preserve">Contribution of </w:t>
      </w:r>
      <w:r w:rsidR="00232855" w:rsidRPr="00B062CD">
        <w:rPr>
          <w:rFonts w:ascii="Calibri" w:hAnsi="Calibri"/>
          <w:b/>
          <w:szCs w:val="18"/>
        </w:rPr>
        <w:t>CO</w:t>
      </w:r>
      <w:r w:rsidR="00232855" w:rsidRPr="00B062CD">
        <w:rPr>
          <w:rFonts w:ascii="Calibri" w:hAnsi="Calibri"/>
          <w:b/>
          <w:szCs w:val="18"/>
          <w:vertAlign w:val="subscript"/>
        </w:rPr>
        <w:t>2</w:t>
      </w:r>
      <w:r w:rsidR="00232855" w:rsidRPr="00B062CD">
        <w:rPr>
          <w:rFonts w:ascii="Calibri" w:hAnsi="Calibri"/>
          <w:b/>
          <w:szCs w:val="18"/>
        </w:rPr>
        <w:t xml:space="preserve"> allowance </w:t>
      </w:r>
      <w:r w:rsidRPr="00B062CD">
        <w:rPr>
          <w:rFonts w:ascii="Calibri" w:hAnsi="Calibri"/>
          <w:b/>
          <w:szCs w:val="18"/>
        </w:rPr>
        <w:t>costs to energy</w:t>
      </w:r>
      <w:r w:rsidRPr="005D4EDF">
        <w:rPr>
          <w:rFonts w:ascii="Calibri" w:hAnsi="Calibri"/>
          <w:b/>
          <w:szCs w:val="18"/>
        </w:rPr>
        <w:t xml:space="preserve"> production costs</w:t>
      </w:r>
      <w:r w:rsidR="00401D51">
        <w:rPr>
          <w:rFonts w:ascii="Calibri" w:hAnsi="Calibri"/>
          <w:b/>
          <w:szCs w:val="18"/>
        </w:rPr>
        <w:t xml:space="preserve">, </w:t>
      </w:r>
      <w:r w:rsidRPr="005D4EDF">
        <w:rPr>
          <w:rFonts w:ascii="Calibri" w:hAnsi="Calibri"/>
          <w:b/>
          <w:szCs w:val="18"/>
        </w:rPr>
        <w:t>2012 to 2017</w:t>
      </w:r>
      <w:r w:rsidR="00401D51">
        <w:rPr>
          <w:rFonts w:ascii="Calibri" w:hAnsi="Calibri"/>
          <w:b/>
          <w:szCs w:val="18"/>
        </w:rPr>
        <w:t xml:space="preserve"> ($/MWh</w:t>
      </w:r>
      <w:r w:rsidRPr="005D4EDF">
        <w:rPr>
          <w:rFonts w:ascii="Calibri" w:hAnsi="Calibri"/>
          <w:b/>
          <w:szCs w:val="18"/>
        </w:rPr>
        <w:t>).</w:t>
      </w:r>
      <w:bookmarkEnd w:id="778"/>
    </w:p>
    <w:p w:rsidR="00A75620" w:rsidRDefault="00A75620" w:rsidP="0068282D">
      <w:pPr>
        <w:keepNext/>
        <w:keepLines/>
        <w:tabs>
          <w:tab w:val="left" w:pos="8460"/>
        </w:tabs>
        <w:spacing w:after="80" w:line="240" w:lineRule="auto"/>
        <w:ind w:left="540" w:right="360"/>
        <w:rPr>
          <w:rFonts w:asciiTheme="minorHAnsi" w:hAnsiTheme="minorHAnsi"/>
          <w:bCs/>
          <w:sz w:val="16"/>
          <w:szCs w:val="16"/>
        </w:rPr>
      </w:pPr>
      <w:r w:rsidRPr="00A75620">
        <w:rPr>
          <w:rFonts w:asciiTheme="minorHAnsi" w:hAnsiTheme="minorHAnsi"/>
          <w:b/>
          <w:bCs/>
          <w:sz w:val="16"/>
          <w:szCs w:val="16"/>
        </w:rPr>
        <w:t xml:space="preserve">Notes: </w:t>
      </w:r>
      <w:r w:rsidRPr="00A75620">
        <w:rPr>
          <w:rFonts w:asciiTheme="minorHAnsi" w:hAnsiTheme="minorHAnsi"/>
          <w:bCs/>
          <w:sz w:val="16"/>
          <w:szCs w:val="16"/>
        </w:rPr>
        <w:t>The line series for each fuel category illustrates the quarterly estimated production cost using the average heat rate for generators of a representative technology type. The height of the shaded band above each line series represents the average additional energy production costs attributable to CO</w:t>
      </w:r>
      <w:r w:rsidRPr="00A75620">
        <w:rPr>
          <w:rFonts w:asciiTheme="minorHAnsi" w:hAnsiTheme="minorHAnsi"/>
          <w:bCs/>
          <w:sz w:val="16"/>
          <w:szCs w:val="16"/>
          <w:vertAlign w:val="subscript"/>
        </w:rPr>
        <w:t>2</w:t>
      </w:r>
      <w:r w:rsidRPr="00A75620">
        <w:rPr>
          <w:rFonts w:asciiTheme="minorHAnsi" w:hAnsiTheme="minorHAnsi"/>
          <w:bCs/>
          <w:sz w:val="16"/>
          <w:szCs w:val="16"/>
        </w:rPr>
        <w:t xml:space="preserve"> emissions costs in </w:t>
      </w:r>
      <w:r w:rsidRPr="00FE2485">
        <w:rPr>
          <w:rFonts w:asciiTheme="minorHAnsi" w:hAnsiTheme="minorHAnsi"/>
          <w:bCs/>
          <w:sz w:val="16"/>
          <w:szCs w:val="16"/>
        </w:rPr>
        <w:t>each category</w:t>
      </w:r>
      <w:r w:rsidR="00B062CD">
        <w:rPr>
          <w:rFonts w:asciiTheme="minorHAnsi" w:hAnsiTheme="minorHAnsi"/>
          <w:bCs/>
          <w:sz w:val="16"/>
          <w:szCs w:val="16"/>
        </w:rPr>
        <w:t>.</w:t>
      </w:r>
    </w:p>
    <w:p w:rsidR="00A75620" w:rsidRPr="00A75620" w:rsidRDefault="00A75620" w:rsidP="0068282D">
      <w:pPr>
        <w:tabs>
          <w:tab w:val="left" w:pos="8460"/>
        </w:tabs>
        <w:spacing w:line="240" w:lineRule="auto"/>
        <w:ind w:left="540" w:right="547"/>
      </w:pPr>
      <w:r w:rsidRPr="00A75620">
        <w:rPr>
          <w:rFonts w:asciiTheme="minorHAnsi" w:hAnsiTheme="minorHAnsi"/>
          <w:b/>
          <w:bCs/>
          <w:sz w:val="16"/>
          <w:szCs w:val="16"/>
        </w:rPr>
        <w:t xml:space="preserve">Source: </w:t>
      </w:r>
      <w:r w:rsidRPr="00A75620">
        <w:rPr>
          <w:rFonts w:asciiTheme="minorHAnsi" w:hAnsiTheme="minorHAnsi"/>
          <w:bCs/>
          <w:sz w:val="16"/>
          <w:szCs w:val="16"/>
        </w:rPr>
        <w:t xml:space="preserve">ISO New England Internal Market Monitor, </w:t>
      </w:r>
      <w:r w:rsidRPr="00A75620">
        <w:rPr>
          <w:rFonts w:asciiTheme="minorHAnsi" w:hAnsiTheme="minorHAnsi"/>
          <w:bCs/>
          <w:i/>
          <w:sz w:val="16"/>
          <w:szCs w:val="16"/>
        </w:rPr>
        <w:t>2016 Annual Markets Report</w:t>
      </w:r>
      <w:r w:rsidRPr="00A75620">
        <w:rPr>
          <w:rFonts w:asciiTheme="minorHAnsi" w:hAnsiTheme="minorHAnsi"/>
          <w:bCs/>
          <w:sz w:val="16"/>
          <w:szCs w:val="16"/>
        </w:rPr>
        <w:t xml:space="preserve">, </w:t>
      </w:r>
      <w:hyperlink r:id="rId83" w:history="1">
        <w:r w:rsidRPr="00A75620">
          <w:rPr>
            <w:rFonts w:asciiTheme="minorHAnsi" w:hAnsiTheme="minorHAnsi"/>
            <w:bCs/>
            <w:color w:val="000000"/>
            <w:sz w:val="16"/>
            <w:szCs w:val="16"/>
          </w:rPr>
          <w:t>https://www.iso-ne.com/static-assets/documents/2017/05/annual_markets_report_2016.pdf</w:t>
        </w:r>
      </w:hyperlink>
      <w:r w:rsidRPr="00A75620">
        <w:rPr>
          <w:rFonts w:asciiTheme="minorHAnsi" w:hAnsiTheme="minorHAnsi"/>
          <w:bCs/>
          <w:sz w:val="16"/>
          <w:szCs w:val="16"/>
        </w:rPr>
        <w:t>, p.42.</w:t>
      </w:r>
    </w:p>
    <w:p w:rsidR="00A75620" w:rsidRPr="000D06F5" w:rsidRDefault="00A75620" w:rsidP="00F25300">
      <w:pPr>
        <w:pStyle w:val="Heading2"/>
        <w:keepNext w:val="0"/>
        <w:keepLines w:val="0"/>
        <w:rPr>
          <w:rFonts w:eastAsia="Times New Roman"/>
        </w:rPr>
      </w:pPr>
      <w:bookmarkStart w:id="779" w:name="_Ref388713432"/>
      <w:bookmarkStart w:id="780" w:name="_Toc396807666"/>
      <w:bookmarkStart w:id="781" w:name="_Toc429063456"/>
      <w:bookmarkStart w:id="782" w:name="_Toc490323087"/>
      <w:bookmarkEnd w:id="776"/>
      <w:r w:rsidRPr="00A75620">
        <w:rPr>
          <w:rFonts w:eastAsia="Times New Roman"/>
        </w:rPr>
        <w:lastRenderedPageBreak/>
        <w:t>Update of Regional Nuclear Generation Licensing Renewals</w:t>
      </w:r>
      <w:bookmarkEnd w:id="779"/>
      <w:bookmarkEnd w:id="780"/>
      <w:bookmarkEnd w:id="781"/>
      <w:bookmarkEnd w:id="782"/>
      <w:r w:rsidRPr="00A75620">
        <w:rPr>
          <w:rFonts w:eastAsia="Times New Roman"/>
        </w:rPr>
        <w:t xml:space="preserve"> </w:t>
      </w:r>
    </w:p>
    <w:p w:rsidR="00A75620" w:rsidRPr="00A75620" w:rsidRDefault="00A75620" w:rsidP="00A42B16">
      <w:r w:rsidRPr="00A75620">
        <w:t xml:space="preserve">New England currently has four nuclear generating generators: two in Waterford, Connecticut (Millstone), and one each in Seabrook, New Hampshire, and Plymouth, Massachusetts (Pilgrim). Pilgrim has announced its retirement effective May 2019. All remaining nuclear generators require an operating license, which is subject to renewals or extensions, as summarized in </w:t>
      </w:r>
      <w:r w:rsidRPr="00A75620">
        <w:fldChar w:fldCharType="begin"/>
      </w:r>
      <w:r w:rsidRPr="00A75620">
        <w:instrText xml:space="preserve"> REF _Ref417734229 \h  \* MERGEFORMAT </w:instrText>
      </w:r>
      <w:r w:rsidRPr="00A75620">
        <w:fldChar w:fldCharType="separate"/>
      </w:r>
      <w:r w:rsidR="00314781" w:rsidRPr="000162C8">
        <w:rPr>
          <w:bCs/>
          <w:szCs w:val="18"/>
        </w:rPr>
        <w:t xml:space="preserve">Table </w:t>
      </w:r>
      <w:r w:rsidR="00314781" w:rsidRPr="000162C8">
        <w:rPr>
          <w:bCs/>
          <w:noProof/>
          <w:szCs w:val="18"/>
        </w:rPr>
        <w:t>8</w:t>
      </w:r>
      <w:r w:rsidR="00314781" w:rsidRPr="000162C8">
        <w:rPr>
          <w:bCs/>
          <w:noProof/>
          <w:szCs w:val="18"/>
        </w:rPr>
        <w:noBreakHyphen/>
        <w:t>1</w:t>
      </w:r>
      <w:r w:rsidRPr="00A75620">
        <w:fldChar w:fldCharType="end"/>
      </w:r>
      <w:r w:rsidRPr="00A75620">
        <w:t xml:space="preserve">. </w:t>
      </w:r>
    </w:p>
    <w:p w:rsidR="00A75620" w:rsidRPr="00A75620" w:rsidRDefault="00A75620" w:rsidP="00A75620">
      <w:pPr>
        <w:keepNext/>
        <w:keepLines/>
        <w:spacing w:after="120" w:line="240" w:lineRule="auto"/>
        <w:ind w:left="547" w:right="547"/>
        <w:jc w:val="center"/>
        <w:rPr>
          <w:rFonts w:ascii="Calibri" w:hAnsi="Calibri"/>
          <w:b/>
          <w:bCs/>
          <w:szCs w:val="18"/>
        </w:rPr>
      </w:pPr>
      <w:bookmarkStart w:id="783" w:name="_Ref417734229"/>
      <w:bookmarkStart w:id="784" w:name="_Toc429063581"/>
      <w:bookmarkStart w:id="785" w:name="_Toc491244021"/>
      <w:r w:rsidRPr="00A75620">
        <w:rPr>
          <w:rFonts w:ascii="Calibri" w:hAnsi="Calibri"/>
          <w:b/>
          <w:bCs/>
          <w:szCs w:val="18"/>
        </w:rPr>
        <w:t xml:space="preserve">Table </w:t>
      </w:r>
      <w:r w:rsidR="00D95957">
        <w:rPr>
          <w:rFonts w:ascii="Calibri" w:hAnsi="Calibri"/>
          <w:b/>
          <w:bCs/>
          <w:szCs w:val="18"/>
        </w:rPr>
        <w:fldChar w:fldCharType="begin"/>
      </w:r>
      <w:r w:rsidR="00D95957">
        <w:rPr>
          <w:rFonts w:ascii="Calibri" w:hAnsi="Calibri"/>
          <w:b/>
          <w:bCs/>
          <w:szCs w:val="18"/>
        </w:rPr>
        <w:instrText xml:space="preserve"> STYLEREF 1 \s </w:instrText>
      </w:r>
      <w:r w:rsidR="00D95957">
        <w:rPr>
          <w:rFonts w:ascii="Calibri" w:hAnsi="Calibri"/>
          <w:b/>
          <w:bCs/>
          <w:szCs w:val="18"/>
        </w:rPr>
        <w:fldChar w:fldCharType="separate"/>
      </w:r>
      <w:r w:rsidR="00D95957">
        <w:rPr>
          <w:rFonts w:ascii="Calibri" w:hAnsi="Calibri"/>
          <w:b/>
          <w:bCs/>
          <w:noProof/>
          <w:szCs w:val="18"/>
        </w:rPr>
        <w:t>8</w:t>
      </w:r>
      <w:r w:rsidR="00D95957">
        <w:rPr>
          <w:rFonts w:ascii="Calibri" w:hAnsi="Calibri"/>
          <w:b/>
          <w:bCs/>
          <w:szCs w:val="18"/>
        </w:rPr>
        <w:fldChar w:fldCharType="end"/>
      </w:r>
      <w:r w:rsidR="00D95957">
        <w:rPr>
          <w:rFonts w:ascii="Calibri" w:hAnsi="Calibri"/>
          <w:b/>
          <w:bCs/>
          <w:szCs w:val="18"/>
        </w:rPr>
        <w:noBreakHyphen/>
      </w:r>
      <w:r w:rsidR="00D95957">
        <w:rPr>
          <w:rFonts w:ascii="Calibri" w:hAnsi="Calibri"/>
          <w:b/>
          <w:bCs/>
          <w:szCs w:val="18"/>
        </w:rPr>
        <w:fldChar w:fldCharType="begin"/>
      </w:r>
      <w:r w:rsidR="00D95957">
        <w:rPr>
          <w:rFonts w:ascii="Calibri" w:hAnsi="Calibri"/>
          <w:b/>
          <w:bCs/>
          <w:szCs w:val="18"/>
        </w:rPr>
        <w:instrText xml:space="preserve"> SEQ Table \* ARABIC \s 1 </w:instrText>
      </w:r>
      <w:r w:rsidR="00D95957">
        <w:rPr>
          <w:rFonts w:ascii="Calibri" w:hAnsi="Calibri"/>
          <w:b/>
          <w:bCs/>
          <w:szCs w:val="18"/>
        </w:rPr>
        <w:fldChar w:fldCharType="separate"/>
      </w:r>
      <w:r w:rsidR="00D95957">
        <w:rPr>
          <w:rFonts w:ascii="Calibri" w:hAnsi="Calibri"/>
          <w:b/>
          <w:bCs/>
          <w:noProof/>
          <w:szCs w:val="18"/>
        </w:rPr>
        <w:t>1</w:t>
      </w:r>
      <w:r w:rsidR="00D95957">
        <w:rPr>
          <w:rFonts w:ascii="Calibri" w:hAnsi="Calibri"/>
          <w:b/>
          <w:bCs/>
          <w:szCs w:val="18"/>
        </w:rPr>
        <w:fldChar w:fldCharType="end"/>
      </w:r>
      <w:bookmarkEnd w:id="783"/>
      <w:r w:rsidRPr="00A75620">
        <w:rPr>
          <w:rFonts w:ascii="Calibri" w:hAnsi="Calibri"/>
          <w:b/>
          <w:bCs/>
          <w:szCs w:val="18"/>
        </w:rPr>
        <w:br/>
        <w:t>New England Operating Nuclear Power Plants</w:t>
      </w:r>
      <w:bookmarkEnd w:id="784"/>
      <w:bookmarkEnd w:id="785"/>
    </w:p>
    <w:tbl>
      <w:tblPr>
        <w:tblW w:w="0" w:type="auto"/>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0" w:type="dxa"/>
          <w:right w:w="0" w:type="dxa"/>
        </w:tblCellMar>
        <w:tblLook w:val="04A0" w:firstRow="1" w:lastRow="0" w:firstColumn="1" w:lastColumn="0" w:noHBand="0" w:noVBand="1"/>
      </w:tblPr>
      <w:tblGrid>
        <w:gridCol w:w="1460"/>
        <w:gridCol w:w="2250"/>
        <w:gridCol w:w="1350"/>
        <w:gridCol w:w="1154"/>
        <w:gridCol w:w="1228"/>
        <w:gridCol w:w="1456"/>
      </w:tblGrid>
      <w:tr w:rsidR="00A75620" w:rsidRPr="00A75620" w:rsidTr="003D70FB">
        <w:trPr>
          <w:jc w:val="center"/>
        </w:trPr>
        <w:tc>
          <w:tcPr>
            <w:tcW w:w="1460" w:type="dxa"/>
            <w:shd w:val="clear" w:color="auto" w:fill="1795D2" w:themeFill="accent1"/>
            <w:tcMar>
              <w:top w:w="29" w:type="dxa"/>
              <w:left w:w="115" w:type="dxa"/>
              <w:bottom w:w="29" w:type="dxa"/>
              <w:right w:w="115" w:type="dxa"/>
            </w:tcMar>
            <w:vAlign w:val="center"/>
            <w:hideMark/>
          </w:tcPr>
          <w:p w:rsidR="00A75620" w:rsidRPr="00A75620" w:rsidRDefault="00A75620" w:rsidP="00A75620">
            <w:pPr>
              <w:keepNext/>
              <w:keepLines/>
              <w:spacing w:after="0" w:line="240" w:lineRule="auto"/>
              <w:jc w:val="center"/>
              <w:rPr>
                <w:rFonts w:asciiTheme="minorHAnsi" w:hAnsiTheme="minorHAnsi"/>
                <w:b/>
                <w:bCs/>
                <w:color w:val="FFFFFF"/>
                <w:sz w:val="18"/>
                <w:szCs w:val="18"/>
              </w:rPr>
            </w:pPr>
            <w:r w:rsidRPr="00A75620">
              <w:rPr>
                <w:rFonts w:asciiTheme="minorHAnsi" w:hAnsiTheme="minorHAnsi"/>
                <w:b/>
                <w:bCs/>
                <w:color w:val="FFFFFF"/>
                <w:sz w:val="18"/>
                <w:szCs w:val="18"/>
              </w:rPr>
              <w:t>Unit Name</w:t>
            </w:r>
          </w:p>
        </w:tc>
        <w:tc>
          <w:tcPr>
            <w:tcW w:w="2250" w:type="dxa"/>
            <w:shd w:val="clear" w:color="auto" w:fill="1795D2" w:themeFill="accent1"/>
            <w:tcMar>
              <w:top w:w="29" w:type="dxa"/>
              <w:left w:w="115" w:type="dxa"/>
              <w:bottom w:w="29" w:type="dxa"/>
              <w:right w:w="115" w:type="dxa"/>
            </w:tcMar>
            <w:vAlign w:val="center"/>
            <w:hideMark/>
          </w:tcPr>
          <w:p w:rsidR="00A75620" w:rsidRPr="00A75620" w:rsidRDefault="00A75620" w:rsidP="00A75620">
            <w:pPr>
              <w:keepNext/>
              <w:keepLines/>
              <w:spacing w:after="0" w:line="240" w:lineRule="auto"/>
              <w:jc w:val="center"/>
              <w:rPr>
                <w:rFonts w:asciiTheme="minorHAnsi" w:hAnsiTheme="minorHAnsi"/>
                <w:b/>
                <w:bCs/>
                <w:color w:val="FFFFFF"/>
                <w:sz w:val="18"/>
                <w:szCs w:val="18"/>
              </w:rPr>
            </w:pPr>
            <w:r w:rsidRPr="00A75620">
              <w:rPr>
                <w:rFonts w:asciiTheme="minorHAnsi" w:hAnsiTheme="minorHAnsi"/>
                <w:b/>
                <w:bCs/>
                <w:color w:val="FFFFFF"/>
                <w:sz w:val="18"/>
                <w:szCs w:val="18"/>
              </w:rPr>
              <w:t>Operating (OP)/</w:t>
            </w:r>
            <w:r w:rsidRPr="00A75620">
              <w:rPr>
                <w:rFonts w:asciiTheme="minorHAnsi" w:hAnsiTheme="minorHAnsi"/>
                <w:b/>
                <w:bCs/>
                <w:color w:val="FFFFFF"/>
                <w:sz w:val="18"/>
                <w:szCs w:val="18"/>
              </w:rPr>
              <w:br/>
              <w:t>Renewed License Dates</w:t>
            </w:r>
          </w:p>
        </w:tc>
        <w:tc>
          <w:tcPr>
            <w:tcW w:w="1350" w:type="dxa"/>
            <w:shd w:val="clear" w:color="auto" w:fill="1795D2" w:themeFill="accent1"/>
            <w:tcMar>
              <w:top w:w="29" w:type="dxa"/>
              <w:left w:w="115" w:type="dxa"/>
              <w:bottom w:w="29" w:type="dxa"/>
              <w:right w:w="115" w:type="dxa"/>
            </w:tcMar>
            <w:vAlign w:val="center"/>
            <w:hideMark/>
          </w:tcPr>
          <w:p w:rsidR="00A75620" w:rsidRPr="00A75620" w:rsidRDefault="00A75620" w:rsidP="00A75620">
            <w:pPr>
              <w:keepNext/>
              <w:keepLines/>
              <w:spacing w:after="0" w:line="240" w:lineRule="auto"/>
              <w:jc w:val="center"/>
              <w:rPr>
                <w:rFonts w:asciiTheme="minorHAnsi" w:hAnsiTheme="minorHAnsi"/>
                <w:b/>
                <w:bCs/>
                <w:color w:val="FFFFFF"/>
                <w:sz w:val="18"/>
                <w:szCs w:val="18"/>
              </w:rPr>
            </w:pPr>
            <w:r w:rsidRPr="00A75620">
              <w:rPr>
                <w:rFonts w:asciiTheme="minorHAnsi" w:hAnsiTheme="minorHAnsi"/>
                <w:b/>
                <w:bCs/>
                <w:color w:val="FFFFFF"/>
                <w:sz w:val="18"/>
                <w:szCs w:val="18"/>
              </w:rPr>
              <w:t>License Expiration Date</w:t>
            </w:r>
          </w:p>
        </w:tc>
        <w:tc>
          <w:tcPr>
            <w:tcW w:w="1154" w:type="dxa"/>
            <w:shd w:val="clear" w:color="auto" w:fill="1795D2" w:themeFill="accent1"/>
            <w:tcMar>
              <w:top w:w="29" w:type="dxa"/>
              <w:left w:w="115" w:type="dxa"/>
              <w:bottom w:w="29" w:type="dxa"/>
              <w:right w:w="115" w:type="dxa"/>
            </w:tcMar>
            <w:vAlign w:val="center"/>
            <w:hideMark/>
          </w:tcPr>
          <w:p w:rsidR="00A75620" w:rsidRPr="00A75620" w:rsidRDefault="00A75620" w:rsidP="00A75620">
            <w:pPr>
              <w:keepNext/>
              <w:keepLines/>
              <w:spacing w:after="0" w:line="240" w:lineRule="auto"/>
              <w:jc w:val="center"/>
              <w:rPr>
                <w:rFonts w:asciiTheme="minorHAnsi" w:hAnsiTheme="minorHAnsi"/>
                <w:b/>
                <w:bCs/>
                <w:color w:val="FFFFFF"/>
                <w:sz w:val="18"/>
                <w:szCs w:val="18"/>
              </w:rPr>
            </w:pPr>
            <w:r w:rsidRPr="00A75620">
              <w:rPr>
                <w:rFonts w:asciiTheme="minorHAnsi" w:hAnsiTheme="minorHAnsi"/>
                <w:b/>
                <w:bCs/>
                <w:color w:val="FFFFFF"/>
                <w:sz w:val="18"/>
                <w:szCs w:val="18"/>
              </w:rPr>
              <w:t>Reactor Type</w:t>
            </w:r>
          </w:p>
        </w:tc>
        <w:tc>
          <w:tcPr>
            <w:tcW w:w="1228" w:type="dxa"/>
            <w:shd w:val="clear" w:color="auto" w:fill="1795D2" w:themeFill="accent1"/>
            <w:tcMar>
              <w:top w:w="29" w:type="dxa"/>
              <w:left w:w="115" w:type="dxa"/>
              <w:bottom w:w="29" w:type="dxa"/>
              <w:right w:w="115" w:type="dxa"/>
            </w:tcMar>
            <w:vAlign w:val="center"/>
            <w:hideMark/>
          </w:tcPr>
          <w:p w:rsidR="00A75620" w:rsidRPr="00A75620" w:rsidRDefault="00A75620" w:rsidP="00A75620">
            <w:pPr>
              <w:keepNext/>
              <w:keepLines/>
              <w:spacing w:after="0" w:line="240" w:lineRule="auto"/>
              <w:jc w:val="center"/>
              <w:rPr>
                <w:rFonts w:asciiTheme="minorHAnsi" w:hAnsiTheme="minorHAnsi"/>
                <w:b/>
                <w:bCs/>
                <w:color w:val="FFFFFF"/>
                <w:sz w:val="18"/>
                <w:szCs w:val="18"/>
              </w:rPr>
            </w:pPr>
            <w:r w:rsidRPr="00A75620">
              <w:rPr>
                <w:rFonts w:asciiTheme="minorHAnsi" w:hAnsiTheme="minorHAnsi"/>
                <w:b/>
                <w:bCs/>
                <w:color w:val="FFFFFF"/>
                <w:sz w:val="18"/>
                <w:szCs w:val="18"/>
              </w:rPr>
              <w:t>Electrical Output (MWe)</w:t>
            </w:r>
            <w:r w:rsidRPr="00A75620">
              <w:rPr>
                <w:rFonts w:asciiTheme="minorHAnsi" w:hAnsiTheme="minorHAnsi"/>
                <w:b/>
                <w:bCs/>
                <w:color w:val="FFFFFF"/>
                <w:sz w:val="18"/>
                <w:szCs w:val="18"/>
                <w:vertAlign w:val="superscript"/>
              </w:rPr>
              <w:t>(a)</w:t>
            </w:r>
          </w:p>
        </w:tc>
        <w:tc>
          <w:tcPr>
            <w:tcW w:w="1456" w:type="dxa"/>
            <w:shd w:val="clear" w:color="auto" w:fill="1795D2" w:themeFill="accent1"/>
            <w:tcMar>
              <w:top w:w="29" w:type="dxa"/>
              <w:left w:w="115" w:type="dxa"/>
              <w:bottom w:w="29" w:type="dxa"/>
              <w:right w:w="115" w:type="dxa"/>
            </w:tcMar>
            <w:vAlign w:val="center"/>
            <w:hideMark/>
          </w:tcPr>
          <w:p w:rsidR="00A75620" w:rsidRPr="00A75620" w:rsidRDefault="00A75620" w:rsidP="00A75620">
            <w:pPr>
              <w:keepNext/>
              <w:keepLines/>
              <w:spacing w:after="0" w:line="240" w:lineRule="auto"/>
              <w:jc w:val="center"/>
              <w:rPr>
                <w:rFonts w:asciiTheme="minorHAnsi" w:hAnsiTheme="minorHAnsi"/>
                <w:b/>
                <w:bCs/>
                <w:color w:val="FFFFFF"/>
                <w:sz w:val="18"/>
                <w:szCs w:val="18"/>
              </w:rPr>
            </w:pPr>
            <w:r w:rsidRPr="00A75620">
              <w:rPr>
                <w:rFonts w:asciiTheme="minorHAnsi" w:hAnsiTheme="minorHAnsi"/>
                <w:b/>
                <w:bCs/>
                <w:color w:val="FFFFFF"/>
                <w:sz w:val="18"/>
                <w:szCs w:val="18"/>
              </w:rPr>
              <w:t>Reactor Vendor/Type</w:t>
            </w:r>
          </w:p>
        </w:tc>
      </w:tr>
      <w:tr w:rsidR="00A75620" w:rsidRPr="00A75620" w:rsidTr="003D70FB">
        <w:trPr>
          <w:jc w:val="center"/>
        </w:trPr>
        <w:tc>
          <w:tcPr>
            <w:tcW w:w="1460" w:type="dxa"/>
            <w:tcMar>
              <w:top w:w="29" w:type="dxa"/>
              <w:left w:w="115" w:type="dxa"/>
              <w:bottom w:w="29" w:type="dxa"/>
              <w:right w:w="115" w:type="dxa"/>
            </w:tcMar>
            <w:vAlign w:val="center"/>
            <w:hideMark/>
          </w:tcPr>
          <w:p w:rsidR="00A75620" w:rsidRPr="00A75620" w:rsidRDefault="00A75620" w:rsidP="00A75620">
            <w:pPr>
              <w:keepNext/>
              <w:keepLines/>
              <w:spacing w:after="0" w:line="240" w:lineRule="auto"/>
              <w:rPr>
                <w:rFonts w:asciiTheme="minorHAnsi" w:hAnsiTheme="minorHAnsi"/>
                <w:b/>
                <w:bCs/>
                <w:color w:val="0070C0"/>
                <w:sz w:val="18"/>
                <w:szCs w:val="18"/>
              </w:rPr>
            </w:pPr>
            <w:r w:rsidRPr="00A75620">
              <w:rPr>
                <w:rFonts w:asciiTheme="minorHAnsi" w:hAnsiTheme="minorHAnsi"/>
                <w:b/>
                <w:bCs/>
                <w:sz w:val="18"/>
                <w:szCs w:val="18"/>
              </w:rPr>
              <w:t>Millstone 2</w:t>
            </w:r>
          </w:p>
        </w:tc>
        <w:tc>
          <w:tcPr>
            <w:tcW w:w="2250" w:type="dxa"/>
            <w:tcMar>
              <w:top w:w="29" w:type="dxa"/>
              <w:left w:w="115" w:type="dxa"/>
              <w:bottom w:w="29" w:type="dxa"/>
              <w:right w:w="115" w:type="dxa"/>
            </w:tcMar>
            <w:vAlign w:val="center"/>
            <w:hideMark/>
          </w:tcPr>
          <w:p w:rsidR="00A75620" w:rsidRPr="00A75620" w:rsidRDefault="00A75620" w:rsidP="00A75620">
            <w:pPr>
              <w:keepNext/>
              <w:keepLines/>
              <w:spacing w:after="0" w:line="240" w:lineRule="auto"/>
              <w:rPr>
                <w:rFonts w:asciiTheme="minorHAnsi" w:hAnsiTheme="minorHAnsi"/>
                <w:b/>
                <w:bCs/>
                <w:color w:val="0070C0"/>
                <w:sz w:val="18"/>
                <w:szCs w:val="18"/>
              </w:rPr>
            </w:pPr>
            <w:r w:rsidRPr="00A75620">
              <w:rPr>
                <w:rFonts w:asciiTheme="minorHAnsi" w:hAnsiTheme="minorHAnsi"/>
                <w:sz w:val="18"/>
                <w:szCs w:val="18"/>
              </w:rPr>
              <w:t>September 26, 1975/</w:t>
            </w:r>
            <w:r w:rsidRPr="00A75620">
              <w:rPr>
                <w:rFonts w:asciiTheme="minorHAnsi" w:hAnsiTheme="minorHAnsi"/>
                <w:sz w:val="18"/>
                <w:szCs w:val="18"/>
              </w:rPr>
              <w:br/>
              <w:t>November 28, 2005</w:t>
            </w:r>
          </w:p>
        </w:tc>
        <w:tc>
          <w:tcPr>
            <w:tcW w:w="1350" w:type="dxa"/>
            <w:tcMar>
              <w:top w:w="29" w:type="dxa"/>
              <w:left w:w="115" w:type="dxa"/>
              <w:bottom w:w="29" w:type="dxa"/>
              <w:right w:w="115" w:type="dxa"/>
            </w:tcMar>
            <w:vAlign w:val="center"/>
            <w:hideMark/>
          </w:tcPr>
          <w:p w:rsidR="00A75620" w:rsidRPr="00A75620" w:rsidRDefault="00A75620" w:rsidP="00A75620">
            <w:pPr>
              <w:keepNext/>
              <w:keepLines/>
              <w:spacing w:after="0" w:line="240" w:lineRule="auto"/>
              <w:rPr>
                <w:rFonts w:asciiTheme="minorHAnsi" w:hAnsiTheme="minorHAnsi"/>
                <w:b/>
                <w:bCs/>
                <w:color w:val="0070C0"/>
                <w:sz w:val="18"/>
                <w:szCs w:val="18"/>
              </w:rPr>
            </w:pPr>
            <w:r w:rsidRPr="00A75620">
              <w:rPr>
                <w:rFonts w:asciiTheme="minorHAnsi" w:hAnsiTheme="minorHAnsi"/>
                <w:sz w:val="18"/>
                <w:szCs w:val="18"/>
              </w:rPr>
              <w:t>July 31, 2035</w:t>
            </w:r>
          </w:p>
        </w:tc>
        <w:tc>
          <w:tcPr>
            <w:tcW w:w="1154" w:type="dxa"/>
            <w:tcMar>
              <w:top w:w="29" w:type="dxa"/>
              <w:left w:w="115" w:type="dxa"/>
              <w:bottom w:w="29" w:type="dxa"/>
              <w:right w:w="115" w:type="dxa"/>
            </w:tcMar>
            <w:vAlign w:val="center"/>
            <w:hideMark/>
          </w:tcPr>
          <w:p w:rsidR="00A75620" w:rsidRPr="00A75620" w:rsidRDefault="00A75620" w:rsidP="00A75620">
            <w:pPr>
              <w:keepNext/>
              <w:keepLines/>
              <w:spacing w:after="0" w:line="240" w:lineRule="auto"/>
              <w:rPr>
                <w:rFonts w:asciiTheme="minorHAnsi" w:hAnsiTheme="minorHAnsi"/>
                <w:b/>
                <w:bCs/>
                <w:color w:val="0070C0"/>
                <w:sz w:val="18"/>
                <w:szCs w:val="18"/>
              </w:rPr>
            </w:pPr>
            <w:r w:rsidRPr="00A75620">
              <w:rPr>
                <w:rFonts w:asciiTheme="minorHAnsi" w:hAnsiTheme="minorHAnsi"/>
                <w:sz w:val="18"/>
                <w:szCs w:val="18"/>
              </w:rPr>
              <w:t>Pressurized water</w:t>
            </w:r>
          </w:p>
        </w:tc>
        <w:tc>
          <w:tcPr>
            <w:tcW w:w="1228" w:type="dxa"/>
            <w:tcMar>
              <w:top w:w="29" w:type="dxa"/>
              <w:left w:w="115" w:type="dxa"/>
              <w:bottom w:w="29" w:type="dxa"/>
              <w:right w:w="115" w:type="dxa"/>
            </w:tcMar>
            <w:vAlign w:val="center"/>
            <w:hideMark/>
          </w:tcPr>
          <w:p w:rsidR="00A75620" w:rsidRPr="00A75620" w:rsidRDefault="00A75620" w:rsidP="00A75620">
            <w:pPr>
              <w:keepNext/>
              <w:keepLines/>
              <w:spacing w:after="0" w:line="240" w:lineRule="auto"/>
              <w:jc w:val="center"/>
              <w:rPr>
                <w:rFonts w:asciiTheme="minorHAnsi" w:eastAsiaTheme="majorEastAsia" w:hAnsiTheme="minorHAnsi" w:cstheme="majorBidi"/>
                <w:b/>
                <w:bCs/>
                <w:color w:val="0070C0"/>
                <w:sz w:val="18"/>
                <w:szCs w:val="18"/>
              </w:rPr>
            </w:pPr>
            <w:r w:rsidRPr="00A75620">
              <w:rPr>
                <w:rFonts w:asciiTheme="minorHAnsi" w:hAnsiTheme="minorHAnsi"/>
                <w:sz w:val="18"/>
                <w:szCs w:val="18"/>
              </w:rPr>
              <w:t>884</w:t>
            </w:r>
          </w:p>
        </w:tc>
        <w:tc>
          <w:tcPr>
            <w:tcW w:w="1456" w:type="dxa"/>
            <w:tcMar>
              <w:top w:w="29" w:type="dxa"/>
              <w:left w:w="115" w:type="dxa"/>
              <w:bottom w:w="29" w:type="dxa"/>
              <w:right w:w="115" w:type="dxa"/>
            </w:tcMar>
            <w:vAlign w:val="center"/>
            <w:hideMark/>
          </w:tcPr>
          <w:p w:rsidR="00A75620" w:rsidRPr="00A75620" w:rsidRDefault="00A75620" w:rsidP="00A75620">
            <w:pPr>
              <w:keepNext/>
              <w:keepLines/>
              <w:spacing w:after="0" w:line="240" w:lineRule="auto"/>
              <w:rPr>
                <w:rFonts w:asciiTheme="minorHAnsi" w:hAnsiTheme="minorHAnsi"/>
                <w:b/>
                <w:bCs/>
                <w:color w:val="0070C0"/>
                <w:sz w:val="18"/>
                <w:szCs w:val="18"/>
              </w:rPr>
            </w:pPr>
            <w:r w:rsidRPr="00A75620">
              <w:rPr>
                <w:rFonts w:asciiTheme="minorHAnsi" w:hAnsiTheme="minorHAnsi"/>
                <w:sz w:val="18"/>
                <w:szCs w:val="18"/>
              </w:rPr>
              <w:t>Combustion Engineering (vendor)</w:t>
            </w:r>
          </w:p>
        </w:tc>
      </w:tr>
      <w:tr w:rsidR="00A75620" w:rsidRPr="00A75620" w:rsidTr="003D70FB">
        <w:trPr>
          <w:jc w:val="center"/>
        </w:trPr>
        <w:tc>
          <w:tcPr>
            <w:tcW w:w="1460" w:type="dxa"/>
            <w:shd w:val="clear" w:color="auto" w:fill="CCEAF9" w:themeFill="accent1" w:themeFillTint="33"/>
            <w:tcMar>
              <w:top w:w="29" w:type="dxa"/>
              <w:left w:w="115" w:type="dxa"/>
              <w:bottom w:w="29" w:type="dxa"/>
              <w:right w:w="115" w:type="dxa"/>
            </w:tcMar>
            <w:vAlign w:val="center"/>
            <w:hideMark/>
          </w:tcPr>
          <w:p w:rsidR="00A75620" w:rsidRPr="00A75620" w:rsidRDefault="00A75620" w:rsidP="00A75620">
            <w:pPr>
              <w:keepNext/>
              <w:keepLines/>
              <w:spacing w:after="0" w:line="240" w:lineRule="auto"/>
              <w:rPr>
                <w:rFonts w:asciiTheme="minorHAnsi" w:hAnsiTheme="minorHAnsi"/>
                <w:b/>
                <w:bCs/>
                <w:color w:val="0070C0"/>
                <w:sz w:val="18"/>
                <w:szCs w:val="18"/>
              </w:rPr>
            </w:pPr>
            <w:r w:rsidRPr="00A75620">
              <w:rPr>
                <w:rFonts w:asciiTheme="minorHAnsi" w:hAnsiTheme="minorHAnsi"/>
                <w:b/>
                <w:bCs/>
                <w:sz w:val="18"/>
                <w:szCs w:val="18"/>
              </w:rPr>
              <w:t>Millstone 3</w:t>
            </w:r>
          </w:p>
        </w:tc>
        <w:tc>
          <w:tcPr>
            <w:tcW w:w="2250" w:type="dxa"/>
            <w:shd w:val="clear" w:color="auto" w:fill="CCEAF9" w:themeFill="accent1" w:themeFillTint="33"/>
            <w:tcMar>
              <w:top w:w="29" w:type="dxa"/>
              <w:left w:w="115" w:type="dxa"/>
              <w:bottom w:w="29" w:type="dxa"/>
              <w:right w:w="115" w:type="dxa"/>
            </w:tcMar>
            <w:vAlign w:val="center"/>
            <w:hideMark/>
          </w:tcPr>
          <w:p w:rsidR="00A75620" w:rsidRPr="00A75620" w:rsidRDefault="00A75620" w:rsidP="00A75620">
            <w:pPr>
              <w:keepNext/>
              <w:keepLines/>
              <w:spacing w:after="0" w:line="240" w:lineRule="auto"/>
              <w:rPr>
                <w:rFonts w:asciiTheme="minorHAnsi" w:hAnsiTheme="minorHAnsi"/>
                <w:b/>
                <w:bCs/>
                <w:color w:val="0070C0"/>
                <w:sz w:val="18"/>
                <w:szCs w:val="18"/>
              </w:rPr>
            </w:pPr>
            <w:r w:rsidRPr="00A75620">
              <w:rPr>
                <w:rFonts w:asciiTheme="minorHAnsi" w:hAnsiTheme="minorHAnsi"/>
                <w:sz w:val="18"/>
                <w:szCs w:val="18"/>
              </w:rPr>
              <w:t>January 31, 1986/</w:t>
            </w:r>
          </w:p>
          <w:p w:rsidR="00A75620" w:rsidRPr="00A75620" w:rsidRDefault="00A75620" w:rsidP="00A75620">
            <w:pPr>
              <w:keepNext/>
              <w:keepLines/>
              <w:spacing w:after="0" w:line="240" w:lineRule="auto"/>
              <w:rPr>
                <w:rFonts w:asciiTheme="minorHAnsi" w:hAnsiTheme="minorHAnsi"/>
                <w:b/>
                <w:bCs/>
                <w:color w:val="0070C0"/>
                <w:sz w:val="18"/>
                <w:szCs w:val="18"/>
              </w:rPr>
            </w:pPr>
            <w:r w:rsidRPr="00A75620">
              <w:rPr>
                <w:rFonts w:asciiTheme="minorHAnsi" w:hAnsiTheme="minorHAnsi"/>
                <w:sz w:val="18"/>
                <w:szCs w:val="18"/>
              </w:rPr>
              <w:t>November 28, 2005</w:t>
            </w:r>
          </w:p>
        </w:tc>
        <w:tc>
          <w:tcPr>
            <w:tcW w:w="1350" w:type="dxa"/>
            <w:shd w:val="clear" w:color="auto" w:fill="CCEAF9" w:themeFill="accent1" w:themeFillTint="33"/>
            <w:tcMar>
              <w:top w:w="29" w:type="dxa"/>
              <w:left w:w="115" w:type="dxa"/>
              <w:bottom w:w="29" w:type="dxa"/>
              <w:right w:w="115" w:type="dxa"/>
            </w:tcMar>
            <w:vAlign w:val="center"/>
            <w:hideMark/>
          </w:tcPr>
          <w:p w:rsidR="00A75620" w:rsidRPr="00A75620" w:rsidRDefault="00A75620" w:rsidP="00A75620">
            <w:pPr>
              <w:keepNext/>
              <w:keepLines/>
              <w:spacing w:after="0" w:line="240" w:lineRule="auto"/>
              <w:rPr>
                <w:rFonts w:asciiTheme="minorHAnsi" w:hAnsiTheme="minorHAnsi"/>
                <w:b/>
                <w:bCs/>
                <w:color w:val="0070C0"/>
                <w:sz w:val="18"/>
                <w:szCs w:val="18"/>
              </w:rPr>
            </w:pPr>
            <w:r w:rsidRPr="00A75620">
              <w:rPr>
                <w:rFonts w:asciiTheme="minorHAnsi" w:hAnsiTheme="minorHAnsi"/>
                <w:sz w:val="18"/>
                <w:szCs w:val="18"/>
              </w:rPr>
              <w:t>November 25, 2045</w:t>
            </w:r>
          </w:p>
        </w:tc>
        <w:tc>
          <w:tcPr>
            <w:tcW w:w="1154" w:type="dxa"/>
            <w:shd w:val="clear" w:color="auto" w:fill="CCEAF9" w:themeFill="accent1" w:themeFillTint="33"/>
            <w:tcMar>
              <w:top w:w="29" w:type="dxa"/>
              <w:left w:w="115" w:type="dxa"/>
              <w:bottom w:w="29" w:type="dxa"/>
              <w:right w:w="115" w:type="dxa"/>
            </w:tcMar>
            <w:vAlign w:val="center"/>
            <w:hideMark/>
          </w:tcPr>
          <w:p w:rsidR="00A75620" w:rsidRPr="00A75620" w:rsidRDefault="00A75620" w:rsidP="00A75620">
            <w:pPr>
              <w:keepNext/>
              <w:keepLines/>
              <w:spacing w:after="0" w:line="240" w:lineRule="auto"/>
              <w:rPr>
                <w:rFonts w:asciiTheme="minorHAnsi" w:hAnsiTheme="minorHAnsi"/>
                <w:b/>
                <w:bCs/>
                <w:color w:val="0070C0"/>
                <w:sz w:val="18"/>
                <w:szCs w:val="18"/>
              </w:rPr>
            </w:pPr>
            <w:r w:rsidRPr="00A75620">
              <w:rPr>
                <w:rFonts w:asciiTheme="minorHAnsi" w:hAnsiTheme="minorHAnsi"/>
                <w:sz w:val="18"/>
                <w:szCs w:val="18"/>
              </w:rPr>
              <w:t>Pressurized water</w:t>
            </w:r>
          </w:p>
        </w:tc>
        <w:tc>
          <w:tcPr>
            <w:tcW w:w="1228" w:type="dxa"/>
            <w:shd w:val="clear" w:color="auto" w:fill="CCEAF9" w:themeFill="accent1" w:themeFillTint="33"/>
            <w:tcMar>
              <w:top w:w="29" w:type="dxa"/>
              <w:left w:w="115" w:type="dxa"/>
              <w:bottom w:w="29" w:type="dxa"/>
              <w:right w:w="115" w:type="dxa"/>
            </w:tcMar>
            <w:vAlign w:val="center"/>
            <w:hideMark/>
          </w:tcPr>
          <w:p w:rsidR="00A75620" w:rsidRPr="00A75620" w:rsidRDefault="00A75620" w:rsidP="00A75620">
            <w:pPr>
              <w:keepNext/>
              <w:keepLines/>
              <w:spacing w:after="0" w:line="240" w:lineRule="auto"/>
              <w:jc w:val="center"/>
              <w:rPr>
                <w:rFonts w:asciiTheme="minorHAnsi" w:eastAsiaTheme="majorEastAsia" w:hAnsiTheme="minorHAnsi" w:cstheme="majorBidi"/>
                <w:b/>
                <w:bCs/>
                <w:color w:val="0070C0"/>
                <w:sz w:val="18"/>
                <w:szCs w:val="18"/>
              </w:rPr>
            </w:pPr>
            <w:r w:rsidRPr="00A75620">
              <w:rPr>
                <w:rFonts w:asciiTheme="minorHAnsi" w:hAnsiTheme="minorHAnsi"/>
                <w:sz w:val="18"/>
                <w:szCs w:val="18"/>
              </w:rPr>
              <w:t>1,227</w:t>
            </w:r>
          </w:p>
        </w:tc>
        <w:tc>
          <w:tcPr>
            <w:tcW w:w="1456" w:type="dxa"/>
            <w:shd w:val="clear" w:color="auto" w:fill="CCEAF9" w:themeFill="accent1" w:themeFillTint="33"/>
            <w:tcMar>
              <w:top w:w="29" w:type="dxa"/>
              <w:left w:w="115" w:type="dxa"/>
              <w:bottom w:w="29" w:type="dxa"/>
              <w:right w:w="115" w:type="dxa"/>
            </w:tcMar>
            <w:vAlign w:val="center"/>
            <w:hideMark/>
          </w:tcPr>
          <w:p w:rsidR="00A75620" w:rsidRPr="00A75620" w:rsidRDefault="00A75620" w:rsidP="00A75620">
            <w:pPr>
              <w:keepNext/>
              <w:keepLines/>
              <w:spacing w:after="0" w:line="240" w:lineRule="auto"/>
              <w:rPr>
                <w:rFonts w:asciiTheme="minorHAnsi" w:hAnsiTheme="minorHAnsi"/>
                <w:b/>
                <w:bCs/>
                <w:color w:val="0070C0"/>
                <w:sz w:val="18"/>
                <w:szCs w:val="18"/>
              </w:rPr>
            </w:pPr>
            <w:r w:rsidRPr="00A75620">
              <w:rPr>
                <w:rFonts w:asciiTheme="minorHAnsi" w:hAnsiTheme="minorHAnsi"/>
                <w:sz w:val="18"/>
                <w:szCs w:val="18"/>
              </w:rPr>
              <w:t>Westinghouse/ four-loop</w:t>
            </w:r>
          </w:p>
        </w:tc>
      </w:tr>
      <w:tr w:rsidR="00A75620" w:rsidRPr="00A75620" w:rsidTr="003D70FB">
        <w:trPr>
          <w:jc w:val="center"/>
        </w:trPr>
        <w:tc>
          <w:tcPr>
            <w:tcW w:w="1460" w:type="dxa"/>
            <w:shd w:val="clear" w:color="auto" w:fill="auto"/>
            <w:tcMar>
              <w:top w:w="29" w:type="dxa"/>
              <w:left w:w="115" w:type="dxa"/>
              <w:bottom w:w="29" w:type="dxa"/>
              <w:right w:w="115" w:type="dxa"/>
            </w:tcMar>
            <w:vAlign w:val="center"/>
            <w:hideMark/>
          </w:tcPr>
          <w:p w:rsidR="00A75620" w:rsidRPr="00A75620" w:rsidRDefault="00A75620" w:rsidP="00A75620">
            <w:pPr>
              <w:keepNext/>
              <w:keepLines/>
              <w:spacing w:after="0" w:line="240" w:lineRule="auto"/>
              <w:rPr>
                <w:rFonts w:asciiTheme="minorHAnsi" w:hAnsiTheme="minorHAnsi"/>
                <w:b/>
                <w:bCs/>
                <w:color w:val="0070C0"/>
                <w:sz w:val="18"/>
                <w:szCs w:val="18"/>
              </w:rPr>
            </w:pPr>
            <w:r w:rsidRPr="00A75620">
              <w:rPr>
                <w:rFonts w:asciiTheme="minorHAnsi" w:hAnsiTheme="minorHAnsi"/>
                <w:b/>
                <w:bCs/>
                <w:sz w:val="18"/>
                <w:szCs w:val="18"/>
              </w:rPr>
              <w:t>Seabrook</w:t>
            </w:r>
          </w:p>
        </w:tc>
        <w:tc>
          <w:tcPr>
            <w:tcW w:w="2250" w:type="dxa"/>
            <w:shd w:val="clear" w:color="auto" w:fill="auto"/>
            <w:tcMar>
              <w:top w:w="29" w:type="dxa"/>
              <w:left w:w="115" w:type="dxa"/>
              <w:bottom w:w="29" w:type="dxa"/>
              <w:right w:w="115" w:type="dxa"/>
            </w:tcMar>
            <w:vAlign w:val="center"/>
            <w:hideMark/>
          </w:tcPr>
          <w:p w:rsidR="00A75620" w:rsidRPr="00A75620" w:rsidRDefault="00A75620" w:rsidP="00A75620">
            <w:pPr>
              <w:keepNext/>
              <w:keepLines/>
              <w:spacing w:after="0" w:line="240" w:lineRule="auto"/>
              <w:rPr>
                <w:rFonts w:asciiTheme="minorHAnsi" w:hAnsiTheme="minorHAnsi"/>
                <w:b/>
                <w:bCs/>
                <w:color w:val="0070C0"/>
                <w:sz w:val="18"/>
                <w:szCs w:val="18"/>
              </w:rPr>
            </w:pPr>
            <w:r w:rsidRPr="00A75620">
              <w:rPr>
                <w:rFonts w:asciiTheme="minorHAnsi" w:hAnsiTheme="minorHAnsi"/>
                <w:sz w:val="18"/>
                <w:szCs w:val="18"/>
              </w:rPr>
              <w:t>OP: March 15, 1990</w:t>
            </w:r>
          </w:p>
        </w:tc>
        <w:tc>
          <w:tcPr>
            <w:tcW w:w="1350" w:type="dxa"/>
            <w:shd w:val="clear" w:color="auto" w:fill="auto"/>
            <w:tcMar>
              <w:top w:w="29" w:type="dxa"/>
              <w:left w:w="115" w:type="dxa"/>
              <w:bottom w:w="29" w:type="dxa"/>
              <w:right w:w="115" w:type="dxa"/>
            </w:tcMar>
            <w:vAlign w:val="center"/>
            <w:hideMark/>
          </w:tcPr>
          <w:p w:rsidR="00A75620" w:rsidRPr="00A75620" w:rsidRDefault="00A75620" w:rsidP="00A75620">
            <w:pPr>
              <w:keepNext/>
              <w:keepLines/>
              <w:spacing w:after="0" w:line="240" w:lineRule="auto"/>
              <w:rPr>
                <w:rFonts w:asciiTheme="minorHAnsi" w:hAnsiTheme="minorHAnsi"/>
                <w:b/>
                <w:bCs/>
                <w:color w:val="0070C0"/>
                <w:sz w:val="18"/>
                <w:szCs w:val="18"/>
              </w:rPr>
            </w:pPr>
            <w:r w:rsidRPr="00A75620">
              <w:rPr>
                <w:rFonts w:asciiTheme="minorHAnsi" w:hAnsiTheme="minorHAnsi"/>
                <w:sz w:val="18"/>
                <w:szCs w:val="18"/>
              </w:rPr>
              <w:t>March 15, 2030</w:t>
            </w:r>
          </w:p>
        </w:tc>
        <w:tc>
          <w:tcPr>
            <w:tcW w:w="1154" w:type="dxa"/>
            <w:shd w:val="clear" w:color="auto" w:fill="auto"/>
            <w:tcMar>
              <w:top w:w="29" w:type="dxa"/>
              <w:left w:w="115" w:type="dxa"/>
              <w:bottom w:w="29" w:type="dxa"/>
              <w:right w:w="115" w:type="dxa"/>
            </w:tcMar>
            <w:vAlign w:val="center"/>
            <w:hideMark/>
          </w:tcPr>
          <w:p w:rsidR="00A75620" w:rsidRPr="00A75620" w:rsidRDefault="00A75620" w:rsidP="00A75620">
            <w:pPr>
              <w:keepNext/>
              <w:keepLines/>
              <w:spacing w:after="0" w:line="240" w:lineRule="auto"/>
              <w:rPr>
                <w:rFonts w:asciiTheme="minorHAnsi" w:hAnsiTheme="minorHAnsi"/>
                <w:b/>
                <w:bCs/>
                <w:color w:val="0070C0"/>
                <w:sz w:val="18"/>
                <w:szCs w:val="18"/>
              </w:rPr>
            </w:pPr>
            <w:r w:rsidRPr="00A75620">
              <w:rPr>
                <w:rFonts w:asciiTheme="minorHAnsi" w:hAnsiTheme="minorHAnsi"/>
                <w:sz w:val="18"/>
                <w:szCs w:val="18"/>
              </w:rPr>
              <w:t>Pressurized water</w:t>
            </w:r>
          </w:p>
        </w:tc>
        <w:tc>
          <w:tcPr>
            <w:tcW w:w="1228" w:type="dxa"/>
            <w:shd w:val="clear" w:color="auto" w:fill="auto"/>
            <w:tcMar>
              <w:top w:w="29" w:type="dxa"/>
              <w:left w:w="115" w:type="dxa"/>
              <w:bottom w:w="29" w:type="dxa"/>
              <w:right w:w="115" w:type="dxa"/>
            </w:tcMar>
            <w:vAlign w:val="center"/>
            <w:hideMark/>
          </w:tcPr>
          <w:p w:rsidR="00A75620" w:rsidRPr="00A75620" w:rsidRDefault="00A75620" w:rsidP="00A75620">
            <w:pPr>
              <w:keepNext/>
              <w:keepLines/>
              <w:spacing w:after="0" w:line="240" w:lineRule="auto"/>
              <w:jc w:val="center"/>
              <w:rPr>
                <w:rFonts w:asciiTheme="minorHAnsi" w:eastAsiaTheme="majorEastAsia" w:hAnsiTheme="minorHAnsi" w:cstheme="majorBidi"/>
                <w:b/>
                <w:bCs/>
                <w:color w:val="0070C0"/>
                <w:sz w:val="18"/>
                <w:szCs w:val="18"/>
              </w:rPr>
            </w:pPr>
            <w:r w:rsidRPr="00A75620">
              <w:rPr>
                <w:rFonts w:asciiTheme="minorHAnsi" w:hAnsiTheme="minorHAnsi"/>
                <w:sz w:val="18"/>
                <w:szCs w:val="18"/>
              </w:rPr>
              <w:t>1,295</w:t>
            </w:r>
          </w:p>
        </w:tc>
        <w:tc>
          <w:tcPr>
            <w:tcW w:w="1456" w:type="dxa"/>
            <w:shd w:val="clear" w:color="auto" w:fill="auto"/>
            <w:tcMar>
              <w:top w:w="29" w:type="dxa"/>
              <w:left w:w="115" w:type="dxa"/>
              <w:bottom w:w="29" w:type="dxa"/>
              <w:right w:w="115" w:type="dxa"/>
            </w:tcMar>
            <w:vAlign w:val="center"/>
            <w:hideMark/>
          </w:tcPr>
          <w:p w:rsidR="00A75620" w:rsidRPr="00A75620" w:rsidRDefault="00A75620" w:rsidP="00A75620">
            <w:pPr>
              <w:keepNext/>
              <w:keepLines/>
              <w:spacing w:after="0" w:line="240" w:lineRule="auto"/>
              <w:rPr>
                <w:rFonts w:asciiTheme="minorHAnsi" w:hAnsiTheme="minorHAnsi"/>
                <w:b/>
                <w:bCs/>
                <w:color w:val="0070C0"/>
                <w:sz w:val="18"/>
                <w:szCs w:val="18"/>
              </w:rPr>
            </w:pPr>
            <w:r w:rsidRPr="00A75620">
              <w:rPr>
                <w:rFonts w:asciiTheme="minorHAnsi" w:hAnsiTheme="minorHAnsi"/>
                <w:sz w:val="18"/>
                <w:szCs w:val="18"/>
              </w:rPr>
              <w:t>Westinghouse/ four-loop</w:t>
            </w:r>
          </w:p>
        </w:tc>
      </w:tr>
    </w:tbl>
    <w:p w:rsidR="00A75620" w:rsidRPr="00A75620" w:rsidRDefault="00A75620" w:rsidP="00D66864">
      <w:pPr>
        <w:keepNext/>
        <w:keepLines/>
        <w:numPr>
          <w:ilvl w:val="4"/>
          <w:numId w:val="48"/>
        </w:numPr>
        <w:spacing w:before="120" w:line="240" w:lineRule="auto"/>
        <w:ind w:left="360" w:hanging="274"/>
        <w:rPr>
          <w:rFonts w:asciiTheme="minorHAnsi" w:hAnsiTheme="minorHAnsi"/>
          <w:sz w:val="16"/>
          <w:szCs w:val="16"/>
        </w:rPr>
      </w:pPr>
      <w:r w:rsidRPr="00A75620">
        <w:rPr>
          <w:rFonts w:asciiTheme="minorHAnsi" w:hAnsiTheme="minorHAnsi"/>
          <w:sz w:val="16"/>
          <w:szCs w:val="16"/>
        </w:rPr>
        <w:t xml:space="preserve">“MWe” stands for electrical megawatts. Nameplate electrical output from the Nuclear Regulatory Commission’s (NRC) website, </w:t>
      </w:r>
      <w:hyperlink r:id="rId84" w:history="1">
        <w:r w:rsidRPr="00A75620">
          <w:rPr>
            <w:rFonts w:asciiTheme="minorHAnsi" w:hAnsiTheme="minorHAnsi"/>
            <w:sz w:val="16"/>
            <w:szCs w:val="16"/>
          </w:rPr>
          <w:t>http://www.nrc.gov/info-finder/reactor/</w:t>
        </w:r>
      </w:hyperlink>
      <w:r w:rsidRPr="00A75620">
        <w:rPr>
          <w:rFonts w:asciiTheme="minorHAnsi" w:hAnsiTheme="minorHAnsi"/>
          <w:sz w:val="16"/>
          <w:szCs w:val="16"/>
        </w:rPr>
        <w:t>.</w:t>
      </w:r>
    </w:p>
    <w:p w:rsidR="00A75620" w:rsidRPr="00A75620" w:rsidRDefault="00A75620" w:rsidP="00A75620">
      <w:pPr>
        <w:spacing w:before="120"/>
      </w:pPr>
      <w:r w:rsidRPr="00A75620">
        <w:t>The Nuclear Regulatory Commission finalized a replacement rulemaking, the Continued Storage Rule, in November 2014, revising the general environmental impacts of spent nuclear fuel storage operations at closed reactors sites nationwide, including 11 sites in New England.</w:t>
      </w:r>
      <w:r w:rsidRPr="00A75620">
        <w:rPr>
          <w:vertAlign w:val="superscript"/>
        </w:rPr>
        <w:footnoteReference w:id="228"/>
      </w:r>
      <w:r w:rsidRPr="00A75620">
        <w:t xml:space="preserve"> </w:t>
      </w:r>
    </w:p>
    <w:p w:rsidR="00A75620" w:rsidRPr="000D06F5" w:rsidRDefault="00A75620" w:rsidP="000D06F5">
      <w:pPr>
        <w:pStyle w:val="Heading2"/>
        <w:rPr>
          <w:rFonts w:eastAsia="Times New Roman"/>
        </w:rPr>
      </w:pPr>
      <w:bookmarkStart w:id="786" w:name="_Toc396807667"/>
      <w:bookmarkStart w:id="787" w:name="_Toc429063457"/>
      <w:bookmarkStart w:id="788" w:name="_Toc490323088"/>
      <w:r w:rsidRPr="00A75620">
        <w:rPr>
          <w:rFonts w:eastAsia="Times New Roman"/>
        </w:rPr>
        <w:t>Update on Hydroelectric Generation Relicensing</w:t>
      </w:r>
      <w:bookmarkEnd w:id="786"/>
      <w:bookmarkEnd w:id="787"/>
      <w:bookmarkEnd w:id="788"/>
    </w:p>
    <w:p w:rsidR="00A75620" w:rsidRPr="00A75620" w:rsidRDefault="00A75620" w:rsidP="00A75620">
      <w:pPr>
        <w:rPr>
          <w:color w:val="000000"/>
        </w:rPr>
      </w:pPr>
      <w:r w:rsidRPr="00A75620">
        <w:t>Conventional hydroelectric generators are among the oldest generators on the system, which include 1,4</w:t>
      </w:r>
      <w:r w:rsidR="00E41333">
        <w:t>18</w:t>
      </w:r>
      <w:r w:rsidRPr="00A75620">
        <w:t xml:space="preserve"> MW, or </w:t>
      </w:r>
      <w:r w:rsidR="00E41333">
        <w:t>4</w:t>
      </w:r>
      <w:r w:rsidR="0099528C">
        <w:t>.</w:t>
      </w:r>
      <w:r w:rsidR="00E41333">
        <w:t>6</w:t>
      </w:r>
      <w:r w:rsidRPr="00A75620">
        <w:t xml:space="preserve">%, of the regional summer claimed capability and represent </w:t>
      </w:r>
      <w:r w:rsidR="00E41333">
        <w:t>6,010</w:t>
      </w:r>
      <w:r w:rsidRPr="00A75620">
        <w:t xml:space="preserve"> GWh, or </w:t>
      </w:r>
      <w:r w:rsidR="00E41333">
        <w:t>6.7</w:t>
      </w:r>
      <w:r w:rsidRPr="00A75620">
        <w:t>%, of all generation in 2016.</w:t>
      </w:r>
      <w:r w:rsidRPr="00A75620">
        <w:rPr>
          <w:vertAlign w:val="superscript"/>
        </w:rPr>
        <w:footnoteReference w:id="229"/>
      </w:r>
      <w:r w:rsidRPr="00A75620">
        <w:t xml:space="preserve"> In addition to providing capacity and electric energy, hydroelectric units traditionally have been well suited to provide regulation and reserves, but they may lose</w:t>
      </w:r>
      <w:r w:rsidRPr="00A75620">
        <w:rPr>
          <w:color w:val="000000"/>
        </w:rPr>
        <w:t xml:space="preserve"> some of their ability to operate flexibly as part of their relicensing requirements.</w:t>
      </w:r>
    </w:p>
    <w:p w:rsidR="00A80EA1" w:rsidRPr="00AE4143" w:rsidRDefault="00A75620" w:rsidP="00A75620">
      <w:r w:rsidRPr="00A75620">
        <w:rPr>
          <w:rFonts w:eastAsia="Times New Roman"/>
        </w:rPr>
        <w:t xml:space="preserve">The licenses for </w:t>
      </w:r>
      <w:r w:rsidRPr="00B60309">
        <w:rPr>
          <w:rFonts w:eastAsia="Times New Roman"/>
        </w:rPr>
        <w:t>approximately 1</w:t>
      </w:r>
      <w:r w:rsidR="0099528C">
        <w:rPr>
          <w:rFonts w:eastAsia="Times New Roman"/>
        </w:rPr>
        <w:t>,</w:t>
      </w:r>
      <w:r w:rsidRPr="00B60309">
        <w:rPr>
          <w:rFonts w:eastAsia="Times New Roman"/>
        </w:rPr>
        <w:t>291 MW of existing</w:t>
      </w:r>
      <w:r w:rsidRPr="00A75620">
        <w:rPr>
          <w:rFonts w:eastAsia="Times New Roman"/>
        </w:rPr>
        <w:t xml:space="preserve"> hydroelectric generators, including 1,172 MW of </w:t>
      </w:r>
      <w:r w:rsidRPr="008F39AD">
        <w:rPr>
          <w:rFonts w:eastAsia="Times New Roman"/>
        </w:rPr>
        <w:t>pumped-storage capacity, will expire between 2014 and 2022</w:t>
      </w:r>
      <w:r w:rsidRPr="00D7381E">
        <w:rPr>
          <w:rFonts w:eastAsia="Times New Roman"/>
        </w:rPr>
        <w:t>.</w:t>
      </w:r>
      <w:r w:rsidRPr="00D7381E">
        <w:rPr>
          <w:rFonts w:eastAsia="Times New Roman"/>
          <w:sz w:val="22"/>
          <w:szCs w:val="22"/>
          <w:vertAlign w:val="superscript"/>
        </w:rPr>
        <w:footnoteReference w:id="230"/>
      </w:r>
      <w:r w:rsidRPr="00D7381E">
        <w:rPr>
          <w:rFonts w:eastAsia="Times New Roman"/>
        </w:rPr>
        <w:t xml:space="preserve"> FERC is pursuing an integrated relicensing review for several hydroelectric projects located on the Connecticut River, which is </w:t>
      </w:r>
      <w:r w:rsidRPr="00D7381E">
        <w:rPr>
          <w:rFonts w:eastAsia="Times New Roman"/>
        </w:rPr>
        <w:lastRenderedPageBreak/>
        <w:t>ongoing.</w:t>
      </w:r>
      <w:r w:rsidRPr="00D7381E">
        <w:rPr>
          <w:rFonts w:eastAsia="Times New Roman"/>
          <w:sz w:val="22"/>
          <w:szCs w:val="22"/>
          <w:vertAlign w:val="superscript"/>
        </w:rPr>
        <w:footnoteReference w:id="231"/>
      </w:r>
      <w:r w:rsidRPr="00D7381E">
        <w:rPr>
          <w:rFonts w:eastAsia="Times New Roman"/>
        </w:rPr>
        <w:t xml:space="preserve"> Relicensing must take into consideration the requirements for adequately and equitably protecting and mitigating damage to fish and wildlife (and their habitats) and the recommendations of state and federal fish and wildlife agencies. The ISO is monitoring such proceedings to assess the impacts of operational restrictions, including the maintenance of minimum </w:t>
      </w:r>
      <w:r w:rsidRPr="00B062CD">
        <w:rPr>
          <w:rFonts w:eastAsia="Times New Roman"/>
        </w:rPr>
        <w:t>flows</w:t>
      </w:r>
      <w:r w:rsidR="00A80EA1" w:rsidRPr="00B062CD">
        <w:rPr>
          <w:rFonts w:eastAsia="Times New Roman"/>
        </w:rPr>
        <w:t xml:space="preserve"> without bypass turbines or spillage </w:t>
      </w:r>
      <w:r w:rsidR="00A80EA1" w:rsidRPr="00B062CD">
        <w:t>(i.e., water allowed to pass through the dam without generating electricity)</w:t>
      </w:r>
      <w:r w:rsidRPr="00B062CD">
        <w:rPr>
          <w:rFonts w:eastAsia="Times New Roman"/>
        </w:rPr>
        <w:t>,</w:t>
      </w:r>
      <w:r w:rsidRPr="00D7381E">
        <w:rPr>
          <w:rFonts w:eastAsia="Times New Roman"/>
        </w:rPr>
        <w:t xml:space="preserve"> on the ability of hydroelectric generators to offer regulation and reserve services.</w:t>
      </w:r>
      <w:r w:rsidRPr="00A75620">
        <w:t xml:space="preserve"> </w:t>
      </w:r>
    </w:p>
    <w:p w:rsidR="00A75620" w:rsidRPr="00120BB6" w:rsidRDefault="00A75620" w:rsidP="00120BB6">
      <w:pPr>
        <w:pStyle w:val="Heading2"/>
        <w:rPr>
          <w:rFonts w:eastAsia="Times New Roman"/>
        </w:rPr>
      </w:pPr>
      <w:bookmarkStart w:id="789" w:name="_Toc429063458"/>
      <w:bookmarkStart w:id="790" w:name="_Toc490323089"/>
      <w:r w:rsidRPr="00A75620">
        <w:rPr>
          <w:rFonts w:eastAsia="Times New Roman"/>
        </w:rPr>
        <w:t>Conclusions</w:t>
      </w:r>
      <w:bookmarkEnd w:id="789"/>
      <w:bookmarkEnd w:id="790"/>
    </w:p>
    <w:p w:rsidR="00A75620" w:rsidRPr="00A75620" w:rsidRDefault="00A75620" w:rsidP="00A75620">
      <w:r w:rsidRPr="00BD707F">
        <w:t>Existing and pending federal</w:t>
      </w:r>
      <w:r w:rsidR="004E45D7" w:rsidRPr="00BD707F">
        <w:t>,</w:t>
      </w:r>
      <w:r w:rsidRPr="00BD707F">
        <w:t xml:space="preserve"> regional, and state </w:t>
      </w:r>
      <w:r w:rsidR="007641FD" w:rsidRPr="00BD707F">
        <w:t xml:space="preserve">environmental </w:t>
      </w:r>
      <w:r w:rsidRPr="00BD707F">
        <w:t xml:space="preserve">regulations </w:t>
      </w:r>
      <w:r w:rsidR="00811DDE">
        <w:t>may</w:t>
      </w:r>
      <w:r w:rsidRPr="00BD707F">
        <w:t xml:space="preserve"> require</w:t>
      </w:r>
      <w:r w:rsidRPr="00A75620">
        <w:t xml:space="preserve"> many generators to consider adding air-pollution control devices; modifying or reducing water use and wastewater discharges; and, in some cases, limiting operations. The actual compliance timelines and costs will depend on the timing and substance of the final regulations and site-specific circumstances of the electric generating facilities. Some generators </w:t>
      </w:r>
      <w:r w:rsidR="00811DDE">
        <w:t xml:space="preserve">may decide they are uneconomical and retire before </w:t>
      </w:r>
      <w:r w:rsidRPr="00A75620">
        <w:t>mak</w:t>
      </w:r>
      <w:r w:rsidR="00811DDE">
        <w:t xml:space="preserve">ing </w:t>
      </w:r>
      <w:r w:rsidRPr="00A75620">
        <w:t xml:space="preserve">major investments in environmental compliance measures, but others can recover their capital investment by locking into FCM prices for up to seven years. </w:t>
      </w:r>
    </w:p>
    <w:p w:rsidR="00A75620" w:rsidRPr="00A75620" w:rsidRDefault="00A75620" w:rsidP="00A75620">
      <w:r w:rsidRPr="00A75620">
        <w:t xml:space="preserve">Regional generator air emissions remain relatively low compared with historical levels, resulting from the greater use of natural gas generation. Higher emissions, however, occur during the winter months </w:t>
      </w:r>
      <w:r w:rsidRPr="00F84668">
        <w:t>because of the burning of oil by generators</w:t>
      </w:r>
      <w:r w:rsidR="007641FD" w:rsidRPr="00F84668">
        <w:t xml:space="preserve"> when natural gas is more expensive or in limited supply</w:t>
      </w:r>
      <w:r w:rsidRPr="00F84668">
        <w:t>. A</w:t>
      </w:r>
      <w:r w:rsidRPr="00A75620">
        <w:t xml:space="preserve"> combination of retirements of larger thermal generators and the decreased use of most remaining thermal capacity has lowered water use and consumption for power generation compared with historical levels</w:t>
      </w:r>
      <w:r w:rsidR="007641FD">
        <w:t>.</w:t>
      </w:r>
    </w:p>
    <w:p w:rsidR="00A75620" w:rsidRPr="00A75620" w:rsidRDefault="00A75620" w:rsidP="00A75620">
      <w:pPr>
        <w:pStyle w:val="Heading1"/>
      </w:pPr>
      <w:bookmarkStart w:id="791" w:name="_Ref388709721"/>
      <w:bookmarkStart w:id="792" w:name="_Ref388714679"/>
      <w:bookmarkStart w:id="793" w:name="_Ref388776132"/>
      <w:bookmarkStart w:id="794" w:name="_Ref388800922"/>
      <w:bookmarkStart w:id="795" w:name="_Ref388890795"/>
      <w:bookmarkStart w:id="796" w:name="_Toc396807668"/>
      <w:r w:rsidRPr="00A75620">
        <w:lastRenderedPageBreak/>
        <w:br/>
      </w:r>
      <w:bookmarkStart w:id="797" w:name="_Ref418883814"/>
      <w:bookmarkStart w:id="798" w:name="_Toc429063459"/>
      <w:bookmarkStart w:id="799" w:name="_Toc490323090"/>
      <w:r w:rsidRPr="00A75620">
        <w:t>Integration of Variable Energy Resources</w:t>
      </w:r>
      <w:bookmarkEnd w:id="797"/>
      <w:bookmarkEnd w:id="798"/>
      <w:bookmarkEnd w:id="799"/>
    </w:p>
    <w:bookmarkEnd w:id="791"/>
    <w:bookmarkEnd w:id="792"/>
    <w:bookmarkEnd w:id="793"/>
    <w:bookmarkEnd w:id="794"/>
    <w:bookmarkEnd w:id="795"/>
    <w:bookmarkEnd w:id="796"/>
    <w:p w:rsidR="00A75620" w:rsidRPr="00A75620" w:rsidRDefault="00A75620" w:rsidP="00A75620">
      <w:r w:rsidRPr="00A75620">
        <w:t xml:space="preserve">The integration of large amounts of variable energy resources (VERs), including wind, photovoltaics, and </w:t>
      </w:r>
      <w:r w:rsidR="007C285F">
        <w:t xml:space="preserve">energy </w:t>
      </w:r>
      <w:r w:rsidRPr="00A75620">
        <w:t>storage poses new challenges to the electric power system. To address these challenges, the ISO has been conducting a number of studies, gathering operational data and observations, and participating in other projects assessing the development and integration of VERs.</w:t>
      </w:r>
    </w:p>
    <w:p w:rsidR="00A75620" w:rsidRPr="000144E4" w:rsidRDefault="00A75620" w:rsidP="000D06F5">
      <w:pPr>
        <w:pStyle w:val="Heading2"/>
        <w:rPr>
          <w:rFonts w:eastAsia="Times New Roman"/>
        </w:rPr>
      </w:pPr>
      <w:bookmarkStart w:id="800" w:name="_Toc429063460"/>
      <w:bookmarkStart w:id="801" w:name="_Ref485831188"/>
      <w:bookmarkStart w:id="802" w:name="_Ref485980240"/>
      <w:bookmarkStart w:id="803" w:name="_Ref485981352"/>
      <w:bookmarkStart w:id="804" w:name="_Toc490323091"/>
      <w:bookmarkStart w:id="805" w:name="_Ref491271342"/>
      <w:bookmarkStart w:id="806" w:name="_Toc396807669"/>
      <w:r w:rsidRPr="000144E4">
        <w:rPr>
          <w:rFonts w:eastAsia="Times New Roman"/>
        </w:rPr>
        <w:t xml:space="preserve">Industry </w:t>
      </w:r>
      <w:r w:rsidR="000144E4" w:rsidRPr="000144E4">
        <w:rPr>
          <w:rFonts w:eastAsia="Times New Roman"/>
        </w:rPr>
        <w:t xml:space="preserve">Recommendations for Facilitating </w:t>
      </w:r>
      <w:r w:rsidRPr="000144E4">
        <w:rPr>
          <w:rFonts w:eastAsia="Times New Roman"/>
        </w:rPr>
        <w:t xml:space="preserve">the </w:t>
      </w:r>
      <w:r w:rsidR="000144E4" w:rsidRPr="000144E4">
        <w:rPr>
          <w:rFonts w:eastAsia="Times New Roman"/>
        </w:rPr>
        <w:t xml:space="preserve">Integration of </w:t>
      </w:r>
      <w:r w:rsidR="008E21A4" w:rsidRPr="000144E4">
        <w:rPr>
          <w:rFonts w:eastAsia="Times New Roman"/>
        </w:rPr>
        <w:t xml:space="preserve">Wind and Solar </w:t>
      </w:r>
      <w:r w:rsidR="000144E4" w:rsidRPr="000144E4">
        <w:rPr>
          <w:rFonts w:eastAsia="Times New Roman"/>
        </w:rPr>
        <w:t>Resources</w:t>
      </w:r>
      <w:bookmarkEnd w:id="800"/>
      <w:bookmarkEnd w:id="801"/>
      <w:bookmarkEnd w:id="802"/>
      <w:bookmarkEnd w:id="803"/>
      <w:bookmarkEnd w:id="804"/>
      <w:bookmarkEnd w:id="805"/>
      <w:r w:rsidRPr="000144E4">
        <w:rPr>
          <w:rFonts w:eastAsia="Times New Roman"/>
        </w:rPr>
        <w:t xml:space="preserve"> </w:t>
      </w:r>
      <w:bookmarkEnd w:id="806"/>
    </w:p>
    <w:p w:rsidR="00A75620" w:rsidRPr="00A75620" w:rsidRDefault="00A75620" w:rsidP="00A75620">
      <w:r w:rsidRPr="00A75620">
        <w:t>The research activities of the US Department of Energy's National Renewable Energy Laboratory (NREL) include the development of data and tools for analyzing wind and PV resources and studies that identify key integration issues</w:t>
      </w:r>
      <w:r w:rsidR="00A00E1E">
        <w:t>.</w:t>
      </w:r>
      <w:r w:rsidRPr="00A75620">
        <w:rPr>
          <w:vertAlign w:val="superscript"/>
        </w:rPr>
        <w:footnoteReference w:id="232"/>
      </w:r>
      <w:r w:rsidRPr="00A75620">
        <w:t xml:space="preserve"> The ISO uses NREL-developed data sets critical for modeling hypothetical wind and PV resources in planning studies. NREL studies found that to accommodate higher amounts of wind and solar power on the electric power grid, utilities will need to ramp up and ramp down conventional generators more frequently than with less wind and solar on the grid. Studies also show the need for transmission development required to integrate remote wind resources. The ISO will continue to track industry research and monitor the effects that increased amounts of </w:t>
      </w:r>
      <w:r w:rsidR="003B0E8A">
        <w:t>VERs</w:t>
      </w:r>
      <w:r w:rsidRPr="00A75620">
        <w:t xml:space="preserve"> have on system performance, including ramping.</w:t>
      </w:r>
    </w:p>
    <w:p w:rsidR="00A75620" w:rsidRPr="00A75620" w:rsidRDefault="00A75620" w:rsidP="00A75620">
      <w:r w:rsidRPr="00A75620">
        <w:t xml:space="preserve">IEEE Standard 1547 is the </w:t>
      </w:r>
      <w:r w:rsidRPr="00A75620">
        <w:rPr>
          <w:i/>
        </w:rPr>
        <w:t xml:space="preserve">Standard for Interconnection and Interoperability of Distributed Energy Resources with Associated Electric Power Systems </w:t>
      </w:r>
      <w:r w:rsidRPr="009538A2">
        <w:rPr>
          <w:i/>
        </w:rPr>
        <w:t>Interfaces</w:t>
      </w:r>
      <w:r w:rsidRPr="009538A2">
        <w:t>.</w:t>
      </w:r>
      <w:r w:rsidRPr="00BD707F">
        <w:rPr>
          <w:vertAlign w:val="superscript"/>
        </w:rPr>
        <w:footnoteReference w:id="233"/>
      </w:r>
      <w:r w:rsidRPr="009538A2">
        <w:t xml:space="preserve"> Its requirements</w:t>
      </w:r>
      <w:r w:rsidRPr="00A75620">
        <w:t xml:space="preserve"> apply to interconnection </w:t>
      </w:r>
      <w:r w:rsidRPr="002C30CB">
        <w:t xml:space="preserve">of </w:t>
      </w:r>
      <w:r w:rsidRPr="00BD707F">
        <w:t>DER</w:t>
      </w:r>
      <w:r w:rsidRPr="002C30CB">
        <w:t xml:space="preserve">s, including synchronous machines, induction machines, and </w:t>
      </w:r>
      <w:r w:rsidRPr="00BD707F">
        <w:t>power inverters/converters</w:t>
      </w:r>
      <w:r w:rsidRPr="00F84668">
        <w:t xml:space="preserve">. The criteria and requirements are applicable to all DER </w:t>
      </w:r>
      <w:r w:rsidRPr="00BD707F">
        <w:t>technologies interconnected to electric power systems at typical primary and secondary distribution voltages.</w:t>
      </w:r>
      <w:r w:rsidR="006F03E9" w:rsidRPr="00BD707F">
        <w:t xml:space="preserve"> These standards were </w:t>
      </w:r>
      <w:r w:rsidR="00C439BC" w:rsidRPr="00BD707F">
        <w:t xml:space="preserve">originally </w:t>
      </w:r>
      <w:r w:rsidR="006F03E9" w:rsidRPr="00BD707F">
        <w:t>designed for relatively small penetrations of DERs and do not require resources</w:t>
      </w:r>
      <w:r w:rsidR="00C439BC" w:rsidRPr="00BD707F">
        <w:t>, such as distributed PV,</w:t>
      </w:r>
      <w:r w:rsidR="006F03E9" w:rsidRPr="00BD707F">
        <w:t xml:space="preserve"> to be able to “ride through” a fault on the transmission system</w:t>
      </w:r>
      <w:r w:rsidR="00FD0F8F" w:rsidRPr="00BD707F">
        <w:t>.</w:t>
      </w:r>
      <w:r w:rsidR="00C439BC" w:rsidRPr="00BD707F">
        <w:t xml:space="preserve"> This </w:t>
      </w:r>
      <w:r w:rsidR="00BD707F" w:rsidRPr="00BD707F">
        <w:t xml:space="preserve">is </w:t>
      </w:r>
      <w:r w:rsidR="00C439BC" w:rsidRPr="00BD707F">
        <w:t>because the original standard was written to meet distribution system requirements</w:t>
      </w:r>
      <w:r w:rsidR="00BD707F" w:rsidRPr="00BD707F">
        <w:t>,</w:t>
      </w:r>
      <w:r w:rsidR="00C439BC" w:rsidRPr="00BD707F">
        <w:t xml:space="preserve"> and the lack of ride through capabilities did not have a material effect on transmission system performance for small penetrations of DERs.</w:t>
      </w:r>
      <w:r w:rsidR="00FD0F8F" w:rsidRPr="00BD707F">
        <w:t xml:space="preserve"> </w:t>
      </w:r>
    </w:p>
    <w:p w:rsidR="00BD707F" w:rsidRDefault="00A75620" w:rsidP="00A75620">
      <w:r w:rsidRPr="00A75620">
        <w:t xml:space="preserve">IEEE Standard 1547, originally approved in 2003, was amended in 2014. Another proposed revision should become effective by the end of 2017. This upcoming revision </w:t>
      </w:r>
      <w:r w:rsidR="00336E1E" w:rsidRPr="00BD707F">
        <w:t xml:space="preserve">will reflect performance requirements appropriate for large penetrations of distributed generation and </w:t>
      </w:r>
      <w:r w:rsidRPr="00BD707F">
        <w:t>represents</w:t>
      </w:r>
      <w:r w:rsidRPr="00A75620">
        <w:t xml:space="preserve"> a very important step forward for the industry’s definition of performance requirements and expectations for DERs. The revised standard will identify required performance capabilities for voltage and frequency </w:t>
      </w:r>
      <w:r w:rsidRPr="00F84668">
        <w:t>response and voltage and frequency ride-through.</w:t>
      </w:r>
      <w:r w:rsidR="00B60309">
        <w:rPr>
          <w:rStyle w:val="FootnoteReference"/>
        </w:rPr>
        <w:footnoteReference w:id="234"/>
      </w:r>
      <w:r w:rsidRPr="00F84668">
        <w:t xml:space="preserve"> Power quality, islanding performance, and</w:t>
      </w:r>
      <w:r w:rsidRPr="00A75620">
        <w:t xml:space="preserve"> </w:t>
      </w:r>
      <w:r w:rsidRPr="00B062CD">
        <w:t>interoperability on distribution networks will also be covered</w:t>
      </w:r>
      <w:r w:rsidR="00605D6E" w:rsidRPr="00B062CD">
        <w:t xml:space="preserve">. </w:t>
      </w:r>
      <w:r w:rsidR="00B60309" w:rsidRPr="00B062CD">
        <w:t xml:space="preserve">In addition, the standard </w:t>
      </w:r>
      <w:r w:rsidR="00B062CD" w:rsidRPr="00B062CD">
        <w:t xml:space="preserve">will </w:t>
      </w:r>
      <w:r w:rsidR="00B60309" w:rsidRPr="00B062CD">
        <w:t xml:space="preserve">recognize </w:t>
      </w:r>
      <w:r w:rsidR="00B60309" w:rsidRPr="00605D6E">
        <w:t xml:space="preserve">applications of “smart inverters” that would allow distributed resources to provide ancillary services, </w:t>
      </w:r>
      <w:r w:rsidR="00B60309" w:rsidRPr="00605D6E">
        <w:lastRenderedPageBreak/>
        <w:t>such as voltage support. Adoption of the new features in IEEE Standard 1547 will improve transmission and distribution reliability and facilitate the successful integration and operation of additional DERs that could not otherwise be physically allowed to interconnect to the system.</w:t>
      </w:r>
    </w:p>
    <w:p w:rsidR="00BD707F" w:rsidRDefault="00A75620" w:rsidP="00A75620">
      <w:r w:rsidRPr="00A75620">
        <w:t xml:space="preserve">In February 2017, the </w:t>
      </w:r>
      <w:r w:rsidRPr="00611013">
        <w:t xml:space="preserve">NERC Essential Reliability Services Working Group issued the </w:t>
      </w:r>
      <w:r w:rsidRPr="00611013">
        <w:rPr>
          <w:i/>
        </w:rPr>
        <w:t>Distributed Energy Resources</w:t>
      </w:r>
      <w:r w:rsidRPr="00BD707F">
        <w:rPr>
          <w:i/>
        </w:rPr>
        <w:t xml:space="preserve"> Report on Connection Modeling and Reliability </w:t>
      </w:r>
      <w:r w:rsidRPr="00B062CD">
        <w:rPr>
          <w:i/>
        </w:rPr>
        <w:t>Considerations</w:t>
      </w:r>
      <w:r w:rsidR="00BD707F" w:rsidRPr="00B062CD">
        <w:rPr>
          <w:i/>
        </w:rPr>
        <w:t xml:space="preserve"> </w:t>
      </w:r>
      <w:r w:rsidR="00BD707F" w:rsidRPr="00B062CD">
        <w:t xml:space="preserve">(see Section </w:t>
      </w:r>
      <w:r w:rsidR="00DF22EE" w:rsidRPr="00B062CD">
        <w:fldChar w:fldCharType="begin"/>
      </w:r>
      <w:r w:rsidR="00DF22EE" w:rsidRPr="00B062CD">
        <w:instrText xml:space="preserve"> REF _Ref491183820 \r \h </w:instrText>
      </w:r>
      <w:r w:rsidR="00B062CD">
        <w:instrText xml:space="preserve"> \* MERGEFORMAT </w:instrText>
      </w:r>
      <w:r w:rsidR="00DF22EE" w:rsidRPr="00B062CD">
        <w:fldChar w:fldCharType="separate"/>
      </w:r>
      <w:r w:rsidR="00DF22EE" w:rsidRPr="00B062CD">
        <w:t>6.2</w:t>
      </w:r>
      <w:r w:rsidR="00DF22EE" w:rsidRPr="00B062CD">
        <w:fldChar w:fldCharType="end"/>
      </w:r>
      <w:r w:rsidR="00BD707F" w:rsidRPr="00B062CD">
        <w:t>).</w:t>
      </w:r>
      <w:r w:rsidRPr="00B062CD">
        <w:rPr>
          <w:vertAlign w:val="superscript"/>
        </w:rPr>
        <w:footnoteReference w:id="235"/>
      </w:r>
      <w:r w:rsidR="00E41333" w:rsidRPr="00B60309">
        <w:t xml:space="preserve"> </w:t>
      </w:r>
      <w:r w:rsidRPr="00B60309">
        <w:t xml:space="preserve">The report </w:t>
      </w:r>
      <w:r w:rsidR="000C692B" w:rsidRPr="00B60309">
        <w:t>e</w:t>
      </w:r>
      <w:r w:rsidR="00B60309" w:rsidRPr="00DF22EE">
        <w:t>xamined</w:t>
      </w:r>
      <w:r w:rsidR="000C692B" w:rsidRPr="00B60309">
        <w:t xml:space="preserve"> </w:t>
      </w:r>
      <w:r w:rsidRPr="00B60309">
        <w:t xml:space="preserve">the transformation of the North American electric power system to </w:t>
      </w:r>
      <w:r w:rsidR="000C692B" w:rsidRPr="00B60309">
        <w:t xml:space="preserve">one with </w:t>
      </w:r>
      <w:r w:rsidRPr="00B60309">
        <w:t xml:space="preserve">a resource mix that relies less on coal and nuclear </w:t>
      </w:r>
      <w:r w:rsidR="000C692B" w:rsidRPr="00B60309">
        <w:t xml:space="preserve">and </w:t>
      </w:r>
      <w:r w:rsidRPr="00B60309">
        <w:t xml:space="preserve"> more </w:t>
      </w:r>
      <w:r w:rsidR="000C692B" w:rsidRPr="00B60309">
        <w:t xml:space="preserve">on </w:t>
      </w:r>
      <w:r w:rsidRPr="00B60309">
        <w:t>natural gas, wi</w:t>
      </w:r>
      <w:r w:rsidRPr="00A75620">
        <w:t xml:space="preserve">nd, solar, distributed generation, and demand-response resources in the context of monitoring grid reliability and resiliency. The report discussed the potential reliability risks and mitigation approaches for increased levels of </w:t>
      </w:r>
      <w:r w:rsidR="00693BA5">
        <w:t xml:space="preserve">distributed </w:t>
      </w:r>
      <w:r w:rsidR="00693BA5" w:rsidRPr="00B062CD">
        <w:t xml:space="preserve">energy resources </w:t>
      </w:r>
      <w:r w:rsidRPr="00B062CD">
        <w:t>on the</w:t>
      </w:r>
      <w:r w:rsidR="00693BA5" w:rsidRPr="00B062CD">
        <w:t xml:space="preserve"> BPS</w:t>
      </w:r>
      <w:r w:rsidRPr="00B062CD">
        <w:t xml:space="preserve">. </w:t>
      </w:r>
      <w:r w:rsidR="000C692B" w:rsidRPr="00B062CD">
        <w:t>It also identified v</w:t>
      </w:r>
      <w:r w:rsidRPr="00B062CD">
        <w:t>oltage</w:t>
      </w:r>
      <w:r w:rsidR="00B062CD" w:rsidRPr="00B062CD">
        <w:t xml:space="preserve">- </w:t>
      </w:r>
      <w:r w:rsidRPr="00B062CD">
        <w:t>and frequency-response capability and voltage</w:t>
      </w:r>
      <w:r w:rsidR="00B062CD" w:rsidRPr="00B062CD">
        <w:t xml:space="preserve">- </w:t>
      </w:r>
      <w:r w:rsidRPr="00B062CD">
        <w:t>and frequency</w:t>
      </w:r>
      <w:r w:rsidR="00B062CD" w:rsidRPr="00B062CD">
        <w:t>-</w:t>
      </w:r>
      <w:r w:rsidRPr="00B062CD">
        <w:t>ride-through capability as important considerations for both distribution and BPS</w:t>
      </w:r>
      <w:r w:rsidRPr="00A75620">
        <w:t xml:space="preserve"> reliability. Transmission and distribution entities will need to coordinate efforts to determine the appropriate use </w:t>
      </w:r>
      <w:r w:rsidR="00B60309">
        <w:t xml:space="preserve">and modeling </w:t>
      </w:r>
      <w:r w:rsidRPr="00A75620">
        <w:t>of future DER capabilities.</w:t>
      </w:r>
    </w:p>
    <w:p w:rsidR="00A75620" w:rsidRPr="000D06F5" w:rsidRDefault="00A75620" w:rsidP="000D06F5">
      <w:pPr>
        <w:pStyle w:val="Heading2"/>
        <w:rPr>
          <w:rFonts w:eastAsia="Times New Roman"/>
        </w:rPr>
      </w:pPr>
      <w:bookmarkStart w:id="807" w:name="_Ref419722213"/>
      <w:bookmarkStart w:id="808" w:name="_Toc429063461"/>
      <w:bookmarkStart w:id="809" w:name="_Toc490323092"/>
      <w:r w:rsidRPr="00A75620">
        <w:rPr>
          <w:rFonts w:eastAsia="Times New Roman"/>
        </w:rPr>
        <w:t>Integration of Wind Resources</w:t>
      </w:r>
      <w:bookmarkEnd w:id="807"/>
      <w:bookmarkEnd w:id="808"/>
      <w:bookmarkEnd w:id="809"/>
    </w:p>
    <w:p w:rsidR="00A75620" w:rsidRPr="00A75620" w:rsidRDefault="00A75620" w:rsidP="00A75620">
      <w:r w:rsidRPr="00A75620">
        <w:t xml:space="preserve">New England has </w:t>
      </w:r>
      <w:r w:rsidR="0032181D">
        <w:t>significant</w:t>
      </w:r>
      <w:r w:rsidRPr="00A75620">
        <w:t xml:space="preserve"> potential for developing wind resources. The region has developed approximately 1,300 MW (nameplate), and almost 5,400 MW</w:t>
      </w:r>
      <w:r w:rsidR="0032181D">
        <w:t xml:space="preserve"> (nameplate)</w:t>
      </w:r>
      <w:r w:rsidRPr="00A75620">
        <w:t xml:space="preserve"> was in the interconnection queue as of April 1, 2017.</w:t>
      </w:r>
      <w:r w:rsidRPr="00A75620">
        <w:rPr>
          <w:vertAlign w:val="superscript"/>
        </w:rPr>
        <w:footnoteReference w:id="236"/>
      </w:r>
      <w:r w:rsidRPr="00A75620">
        <w:t xml:space="preserve"> As the amount of wind generation grows, operational forecasts of this variable energy resource take on increasing importance. </w:t>
      </w:r>
    </w:p>
    <w:p w:rsidR="00A75620" w:rsidRPr="00E443BD" w:rsidRDefault="00A75620" w:rsidP="00E87A21">
      <w:pPr>
        <w:pStyle w:val="Heading3"/>
      </w:pPr>
      <w:bookmarkStart w:id="810" w:name="_Ref388714958"/>
      <w:bookmarkStart w:id="811" w:name="_Toc396807670"/>
      <w:bookmarkStart w:id="812" w:name="_Toc429063462"/>
      <w:bookmarkStart w:id="813" w:name="_Toc490323093"/>
      <w:r w:rsidRPr="00A75620">
        <w:t>Wind Forecasting and Dispatch</w:t>
      </w:r>
      <w:bookmarkEnd w:id="810"/>
      <w:bookmarkEnd w:id="811"/>
      <w:bookmarkEnd w:id="812"/>
      <w:bookmarkEnd w:id="813"/>
      <w:r w:rsidRPr="00A75620">
        <w:t xml:space="preserve"> </w:t>
      </w:r>
    </w:p>
    <w:p w:rsidR="00A75620" w:rsidRPr="00A75620" w:rsidRDefault="00A75620" w:rsidP="00A75620">
      <w:r w:rsidRPr="00A75620">
        <w:t xml:space="preserve">On January 15, 2014, the ISO began incorporating wind forecasting into ISO processes, scheduling, and dispatch services. In addition to the ISO’s use of the wind forecast, wind-resource operators can download the forecast of expected output for their individual units, which can help them build a strategy for bidding in the Day-Ahead Energy Market. The ISO also created displays that improve operators’ situational awareness and is now maintaining historical wind data for future use by the forecast service and in auditing and other analyses. </w:t>
      </w:r>
    </w:p>
    <w:p w:rsidR="00A75620" w:rsidRPr="00A75620" w:rsidRDefault="00A75620" w:rsidP="00A75620">
      <w:r w:rsidRPr="00A75620">
        <w:t>In May 2016, the dispatch of wind resources was more closely coordinated with the short-term outage-scheduling process, and the ISO began publishing an aggregate week-ahead wind power forecast (similar to the publishing of the week-ahead load forecasts). This assists market participants in incorporating this information into their decision-making processes and market strategies.</w:t>
      </w:r>
    </w:p>
    <w:p w:rsidR="00A75620" w:rsidRPr="00A75620" w:rsidRDefault="00A75620" w:rsidP="00A75620">
      <w:r w:rsidRPr="00A75620">
        <w:t xml:space="preserve">Congestion management in New England was also enhanced in May 2016 when the ISO implemented “do-not-exceed” (DNE) dispatch changes to the market rules, subjecting wind and hydro </w:t>
      </w:r>
      <w:r w:rsidR="003B0E8A">
        <w:t>VERs</w:t>
      </w:r>
      <w:r w:rsidRPr="00A75620">
        <w:t xml:space="preserve"> that traditionally had been non-dispatchable to economic dispatch and participation in price formation in real time.</w:t>
      </w:r>
      <w:r w:rsidRPr="00A75620">
        <w:rPr>
          <w:vertAlign w:val="superscript"/>
        </w:rPr>
        <w:footnoteReference w:id="237"/>
      </w:r>
      <w:r w:rsidRPr="00A75620">
        <w:t xml:space="preserve"> Thus, when transmission limits start to bind, the dispatch can now reflect the energy supply offers of wind and hydro resources, which can be dispatched down and set the price when marginal. Compared with the manual curtailment of resources, which does not reflect the congestion price, DNE dispatch reflects the lower value of energy in an export-constrained area. The DNE dispatch changes </w:t>
      </w:r>
      <w:r w:rsidRPr="00A75620">
        <w:lastRenderedPageBreak/>
        <w:t>enhance reliable system operation by eliminating much of the need for the manual curtailment of these resources. These improved price signals will better inform future decisions about siting of resources.</w:t>
      </w:r>
    </w:p>
    <w:p w:rsidR="00A75620" w:rsidRPr="00A75620" w:rsidRDefault="00A75620" w:rsidP="00A75620">
      <w:r w:rsidRPr="00A75620">
        <w:t>Additional revisions to the market rules, referred to as the “resource dispatchability changes,” broaden the range of resources required to be subject to economic dispatch.</w:t>
      </w:r>
      <w:r w:rsidRPr="00A75620">
        <w:rPr>
          <w:vertAlign w:val="superscript"/>
        </w:rPr>
        <w:footnoteReference w:id="238"/>
      </w:r>
      <w:r w:rsidRPr="00A75620">
        <w:t xml:space="preserve"> The resource dispatchability changes further improve price formation, which will provide more accurate locational signals to developers when considering where to locate new resources.</w:t>
      </w:r>
    </w:p>
    <w:p w:rsidR="00A75620" w:rsidRPr="000D06F5" w:rsidRDefault="00A75620" w:rsidP="000D06F5">
      <w:pPr>
        <w:pStyle w:val="Heading3"/>
      </w:pPr>
      <w:bookmarkStart w:id="814" w:name="_Toc429063463"/>
      <w:bookmarkStart w:id="815" w:name="_Ref485738439"/>
      <w:bookmarkStart w:id="816" w:name="_Ref490045578"/>
      <w:bookmarkStart w:id="817" w:name="_Toc490323094"/>
      <w:bookmarkStart w:id="818" w:name="_Ref418965692"/>
      <w:r w:rsidRPr="00A75620">
        <w:t>Strategic Transmission Analysis—Wind Integration Study</w:t>
      </w:r>
      <w:bookmarkEnd w:id="814"/>
      <w:bookmarkEnd w:id="815"/>
      <w:bookmarkEnd w:id="816"/>
      <w:bookmarkEnd w:id="817"/>
      <w:r w:rsidRPr="00A75620">
        <w:t xml:space="preserve"> </w:t>
      </w:r>
      <w:bookmarkEnd w:id="818"/>
    </w:p>
    <w:p w:rsidR="00A75620" w:rsidRPr="00A75620" w:rsidRDefault="00A75620" w:rsidP="00A75620">
      <w:r w:rsidRPr="00A75620">
        <w:t xml:space="preserve">In 2014 and 2015, the ISO conducted Strategic Transmission Assessments of the integration of new wind resources in Maine and in Vermont. The study found that transmission system improvements are necessary to address a combination of local and regional transmission constraints and address BPS performance concerns. </w:t>
      </w:r>
      <w:r w:rsidR="00EE01B9">
        <w:t>Small amounts of a</w:t>
      </w:r>
      <w:r w:rsidRPr="00A75620">
        <w:t xml:space="preserve">dditional </w:t>
      </w:r>
      <w:r w:rsidR="00EE01B9">
        <w:t xml:space="preserve">115 kV-connected </w:t>
      </w:r>
      <w:r w:rsidRPr="00A75620">
        <w:t xml:space="preserve">wind resources planned </w:t>
      </w:r>
      <w:r w:rsidR="00F52E01">
        <w:t xml:space="preserve">in Maine </w:t>
      </w:r>
      <w:r w:rsidRPr="00A75620">
        <w:t xml:space="preserve">for the Wyman Hydro and Rumford regions could likely be accommodated without a major new transmission line to the local regions. However, the Keene Road and Bangor regions cannot support much additional wind capacity beyond the amount studied without major new transmission facilities. </w:t>
      </w:r>
      <w:r w:rsidR="00B062CD" w:rsidRPr="00B062CD">
        <w:t>Large wind generation projects proposed in western Maine would also require major new transmission additions.</w:t>
      </w:r>
    </w:p>
    <w:p w:rsidR="00A75620" w:rsidRPr="00A75620" w:rsidRDefault="00A75620" w:rsidP="00A75620">
      <w:r w:rsidRPr="00A75620">
        <w:t xml:space="preserve">Northern Vermont would require new reactive support to accommodate additional wind </w:t>
      </w:r>
      <w:r w:rsidR="005D7177">
        <w:t xml:space="preserve">resources </w:t>
      </w:r>
      <w:r w:rsidRPr="00A75620">
        <w:t>and would still be thermally constrained below the amount of wind studied but less so in the winter than in other seasons. Central Vermont showed no constraints to the amount of wind in the queue studied (</w:t>
      </w:r>
      <w:r w:rsidR="00A00E1E" w:rsidRPr="00A75620">
        <w:t>165</w:t>
      </w:r>
      <w:r w:rsidR="00A00E1E">
        <w:t> </w:t>
      </w:r>
      <w:r w:rsidRPr="00A75620">
        <w:t xml:space="preserve">MW), and the study determined that this area would be capable of integrating about 231 MW of wind. Southern Vermont showed only minor constraints. Some risk of curtailment remains at higher wind </w:t>
      </w:r>
      <w:r w:rsidR="005D7177">
        <w:t>production</w:t>
      </w:r>
      <w:r w:rsidRPr="00A75620">
        <w:t xml:space="preserve"> levels in the northern and southern regions if only </w:t>
      </w:r>
      <w:r w:rsidR="009D3EDA">
        <w:t>modest</w:t>
      </w:r>
      <w:r w:rsidRPr="00A75620">
        <w:t xml:space="preserve"> upgrades are applied. Major upgrades would be necessary to eliminate the maximum wind-condition restrictions; however, no curtailment would be required at typical wind levels.</w:t>
      </w:r>
    </w:p>
    <w:p w:rsidR="00A75620" w:rsidRPr="00A75620" w:rsidRDefault="00A75620" w:rsidP="00A75620">
      <w:r w:rsidRPr="00A75620">
        <w:t xml:space="preserve">As a general matter, the interconnection process is working well throughout the New England transmission system, with interconnection studies being completed within expected timeframes. This, however, has not been the case for studies associated with interconnection requests for resources seeking to interconnect in the northern and western Maine parts of the system where a significant backlog of interconnection requests of proposed new resources, mostly wind generation, persists. </w:t>
      </w:r>
    </w:p>
    <w:p w:rsidR="00A75620" w:rsidRPr="00A75620" w:rsidRDefault="00A75620" w:rsidP="00A75620">
      <w:r w:rsidRPr="00A75620">
        <w:t>The primary obstacle to interconnection for these resources is a physical one of limited transmission infrastructure. The northern and western Maine areas of the system are comprised of a transmission network built to serve low levels of area load, and a number of generators are already connected, leaving this part of the transmission system at its performance limit with no remaining margin. Interconnecting the quantity of proposed resources in northern and western Maine requires significant new transmission infrastructure. The backlog in this area of the system, however, would likely persist with the continued application of the serial queue study process. Each interconnection request involves lengthy and complex study work to identify the significant transmission infrastructure, and individual projects are not able or willing on an individual basis to make the scale of system upgrade investments warranted</w:t>
      </w:r>
      <w:r w:rsidR="005B146A">
        <w:t>.</w:t>
      </w:r>
    </w:p>
    <w:p w:rsidR="00A75620" w:rsidRPr="00A75620" w:rsidRDefault="00A75620" w:rsidP="00A75620">
      <w:r w:rsidRPr="00A75620">
        <w:lastRenderedPageBreak/>
        <w:t xml:space="preserve">The ISO has developed and </w:t>
      </w:r>
      <w:r w:rsidR="005D7177">
        <w:t xml:space="preserve">will </w:t>
      </w:r>
      <w:r w:rsidRPr="00A75620">
        <w:t xml:space="preserve">file with FERC a set of clustering revisions to the interconnection procedures for resolving the queue backlog in Maine and elsewhere on the New England transmission system should similar conditions </w:t>
      </w:r>
      <w:r w:rsidRPr="00DD6708">
        <w:t>arise</w:t>
      </w:r>
      <w:r w:rsidR="00FB1297" w:rsidRPr="00DD6708">
        <w:t xml:space="preserve"> (see Section </w:t>
      </w:r>
      <w:r w:rsidR="00DD6708" w:rsidRPr="00605D6E">
        <w:fldChar w:fldCharType="begin"/>
      </w:r>
      <w:r w:rsidR="00DD6708" w:rsidRPr="00605D6E">
        <w:instrText xml:space="preserve"> REF _Ref329080869 \r \h </w:instrText>
      </w:r>
      <w:r w:rsidR="00DD6708">
        <w:instrText xml:space="preserve"> \* MERGEFORMAT </w:instrText>
      </w:r>
      <w:r w:rsidR="00DD6708" w:rsidRPr="00605D6E">
        <w:fldChar w:fldCharType="separate"/>
      </w:r>
      <w:r w:rsidR="00314781">
        <w:t>4.5.4</w:t>
      </w:r>
      <w:r w:rsidR="00DD6708" w:rsidRPr="00605D6E">
        <w:fldChar w:fldCharType="end"/>
      </w:r>
      <w:r w:rsidR="00DD6708" w:rsidRPr="00605D6E">
        <w:t>)</w:t>
      </w:r>
      <w:r w:rsidRPr="00DD6708">
        <w:t xml:space="preserve">. </w:t>
      </w:r>
      <w:r w:rsidR="00D21F16">
        <w:t>The development of the proposed methodology was informed by extensive research, including a review</w:t>
      </w:r>
      <w:r w:rsidR="00D21F16" w:rsidRPr="00DD6708">
        <w:t xml:space="preserve"> </w:t>
      </w:r>
      <w:r w:rsidRPr="00D21F16">
        <w:t>of cluster study approaches that other ISO</w:t>
      </w:r>
      <w:r w:rsidRPr="00A75620">
        <w:t>s and RTOs in North America have implemented, including specific “targeted” study approaches for addressing situations similar to those observed in Maine, as well as stakeholders’ experiences with these processes. In parallel with this review, the ISO also initiated a strategic infrastructure study—the Maine Resource Integration Study—under the OATT Attachment K planning process to identify the transmission upgrades necessary for interconnecting proposed resources in Maine</w:t>
      </w:r>
      <w:r w:rsidRPr="00D21F16">
        <w:t xml:space="preserve">. This work informed the proposed clustering revisions </w:t>
      </w:r>
      <w:r w:rsidR="00DD6708" w:rsidRPr="00605D6E">
        <w:t xml:space="preserve">and </w:t>
      </w:r>
      <w:r w:rsidRPr="00D21F16">
        <w:t xml:space="preserve">will form the basis for the ISO’s first cluster </w:t>
      </w:r>
      <w:r w:rsidR="00D21F16" w:rsidRPr="00605D6E">
        <w:t xml:space="preserve">system impact </w:t>
      </w:r>
      <w:r w:rsidRPr="00D21F16">
        <w:t>study after the clustering revisions are approved.</w:t>
      </w:r>
    </w:p>
    <w:p w:rsidR="00A75620" w:rsidRPr="000D06F5" w:rsidRDefault="00A75620" w:rsidP="00722607">
      <w:pPr>
        <w:pStyle w:val="Heading2"/>
        <w:rPr>
          <w:rFonts w:eastAsia="Times New Roman"/>
        </w:rPr>
      </w:pPr>
      <w:bookmarkStart w:id="819" w:name="_Ref388715573"/>
      <w:bookmarkStart w:id="820" w:name="_Toc396807672"/>
      <w:bookmarkStart w:id="821" w:name="_Toc429063464"/>
      <w:bookmarkStart w:id="822" w:name="_Toc490323095"/>
      <w:r w:rsidRPr="000D06F5">
        <w:rPr>
          <w:rFonts w:eastAsia="Times New Roman"/>
        </w:rPr>
        <w:t>Large-Scale Adoption of Photovoltaic Resources and Other Distributed Generation Resources</w:t>
      </w:r>
      <w:bookmarkEnd w:id="819"/>
      <w:bookmarkEnd w:id="820"/>
      <w:bookmarkEnd w:id="821"/>
      <w:bookmarkEnd w:id="822"/>
    </w:p>
    <w:p w:rsidR="00A75620" w:rsidRPr="00A75620" w:rsidRDefault="00A75620" w:rsidP="00A75620">
      <w:r w:rsidRPr="00A75620">
        <w:t xml:space="preserve">New England has witnessed significant growth in the development of solar photovoltaic resources over </w:t>
      </w:r>
      <w:r w:rsidRPr="00D7120C">
        <w:t>the past few years, and continued growth of PV is anticipated (see</w:t>
      </w:r>
      <w:r w:rsidR="00D7120C" w:rsidRPr="00D7120C">
        <w:t xml:space="preserve"> Section</w:t>
      </w:r>
      <w:r w:rsidRPr="00D7120C">
        <w:t xml:space="preserve"> </w:t>
      </w:r>
      <w:r w:rsidR="00D7120C" w:rsidRPr="00D7120C">
        <w:fldChar w:fldCharType="begin"/>
      </w:r>
      <w:r w:rsidR="00D7120C" w:rsidRPr="00D7120C">
        <w:instrText xml:space="preserve"> REF _Ref485738114 \r \h </w:instrText>
      </w:r>
      <w:r w:rsidR="00D7120C">
        <w:instrText xml:space="preserve"> \* MERGEFORMAT </w:instrText>
      </w:r>
      <w:r w:rsidR="00D7120C" w:rsidRPr="00D7120C">
        <w:fldChar w:fldCharType="separate"/>
      </w:r>
      <w:r w:rsidR="00314781">
        <w:t>3.3</w:t>
      </w:r>
      <w:r w:rsidR="00D7120C" w:rsidRPr="00D7120C">
        <w:fldChar w:fldCharType="end"/>
      </w:r>
      <w:r w:rsidRPr="00D7120C">
        <w:t>). PV technology</w:t>
      </w:r>
      <w:r w:rsidRPr="00A75620">
        <w:t xml:space="preserve"> holds promise as a nonemitting source of electric energy that can be reliably and economically integrated into </w:t>
      </w:r>
      <w:r w:rsidRPr="00D21F16">
        <w:t xml:space="preserve">the </w:t>
      </w:r>
      <w:r w:rsidR="008E2532" w:rsidRPr="00D21F16">
        <w:t xml:space="preserve">electric power </w:t>
      </w:r>
      <w:r w:rsidRPr="00D21F16">
        <w:t>system</w:t>
      </w:r>
      <w:r w:rsidR="008E2532" w:rsidRPr="00D21F16">
        <w:t xml:space="preserve">, albeit with </w:t>
      </w:r>
      <w:r w:rsidRPr="00D21F16">
        <w:t>some challenges.</w:t>
      </w:r>
    </w:p>
    <w:p w:rsidR="00A75620" w:rsidRPr="00A75620" w:rsidRDefault="00A75620" w:rsidP="00A75620">
      <w:pPr>
        <w:rPr>
          <w:rFonts w:eastAsia="Times New Roman"/>
        </w:rPr>
      </w:pPr>
      <w:r w:rsidRPr="00A75620">
        <w:rPr>
          <w:rFonts w:eastAsia="Times New Roman"/>
        </w:rPr>
        <w:t>Regional PV installations are predominantly small (i.e., less than 10 MW) and state-jurisdictionally interconnected to the distribution system. State policies largely influence the spatial distribution of PV, such that states with more-supportive PV policies (e.g., Massachusetts) are experiencing the most growth of the resource. Existing amounts of PV have not caused noticeable effects on system operation, but impacts are anticipated as penetrations grow. The ISO has engaged in a number of initiatives to examine and prepare for the potential effects of large-scale PV development in the region.</w:t>
      </w:r>
    </w:p>
    <w:p w:rsidR="00A75620" w:rsidRPr="000D06F5" w:rsidRDefault="00A75620" w:rsidP="000D06F5">
      <w:pPr>
        <w:pStyle w:val="Heading3"/>
      </w:pPr>
      <w:bookmarkStart w:id="823" w:name="_Toc396807673"/>
      <w:bookmarkStart w:id="824" w:name="_Toc429063465"/>
      <w:bookmarkStart w:id="825" w:name="_Toc490323096"/>
      <w:r w:rsidRPr="00A75620">
        <w:t>Operational Solar Forecasting</w:t>
      </w:r>
      <w:bookmarkEnd w:id="823"/>
      <w:bookmarkEnd w:id="824"/>
      <w:bookmarkEnd w:id="825"/>
    </w:p>
    <w:p w:rsidR="00A75620" w:rsidRPr="00A75620" w:rsidRDefault="00A75620" w:rsidP="00A75620">
      <w:r w:rsidRPr="00A75620">
        <w:t xml:space="preserve">Because the ISO cannot observe or dispatch most PV in the region, these projects act as a modifier of system load that must be accurately forecasted in the short term to support the efficient administration of the day-ahead market and the reliable operation of the system. As PV penetrations continue to grow and displace energy production from other resources, PV power production is introducing increased variability and uncertainty to the system and eventually will </w:t>
      </w:r>
      <w:r w:rsidR="00E21BC1">
        <w:t xml:space="preserve">affect </w:t>
      </w:r>
      <w:r w:rsidRPr="00A75620">
        <w:t xml:space="preserve"> system operations (e.g., result in the need for increased reserve, regulation, and ramping). As such, new forecasting techniques are required to account for PV generation appropriately. The ISO has begun efforts to improve load forecasting to address these challenges.</w:t>
      </w:r>
      <w:r w:rsidRPr="00A75620">
        <w:rPr>
          <w:vertAlign w:val="superscript"/>
        </w:rPr>
        <w:footnoteReference w:id="239"/>
      </w:r>
    </w:p>
    <w:p w:rsidR="00A75620" w:rsidRPr="00A75620" w:rsidRDefault="00A75620" w:rsidP="00A75620">
      <w:r w:rsidRPr="00A75620">
        <w:t>To assist in its PV forecasting efforts for both system planning and system operations, the ISO is participating in a collaborative pilot study with the Vermont Electric Company (VELCO) as part of its Vermont Weather Analytics Center (VTWAC) project. This collaboration has allowed the ISO to leverage VELCO’s comprehensive information regarding historical PV production in Vermont to validate its method of estimating historical PV production using a more limited amount of data available across the region. Work completed thus far has demonstrated that the results of the ISO’s estimation technique applied in Vermont closely match that of the comprehensive data made available by VELCO.</w:t>
      </w:r>
    </w:p>
    <w:p w:rsidR="00A75620" w:rsidRPr="000D06F5" w:rsidRDefault="00A75620" w:rsidP="000D06F5">
      <w:pPr>
        <w:pStyle w:val="Heading3"/>
      </w:pPr>
      <w:bookmarkStart w:id="826" w:name="_Toc429063466"/>
      <w:bookmarkStart w:id="827" w:name="_Toc490323097"/>
      <w:r w:rsidRPr="00A75620">
        <w:lastRenderedPageBreak/>
        <w:t>Potential Reliability Impacts of PV</w:t>
      </w:r>
      <w:bookmarkEnd w:id="826"/>
      <w:bookmarkEnd w:id="827"/>
      <w:r w:rsidRPr="00A75620">
        <w:t xml:space="preserve"> </w:t>
      </w:r>
    </w:p>
    <w:p w:rsidR="00A75620" w:rsidRPr="00A75620" w:rsidRDefault="00A75620" w:rsidP="00A75620">
      <w:r w:rsidRPr="00A75620">
        <w:t xml:space="preserve">Because of the differences between the state-jurisdictional interconnection standards that apply to most PV facilities and the FERC-jurisdictional standards that apply to larger, conventional generators, PV exhibits different electrical characteristics during system conditions typical of grid disturbances (e.g., low-voltage conditions during an unexpected outage of a large generator or transmission facility). </w:t>
      </w:r>
      <w:r w:rsidR="00995555" w:rsidRPr="00BD707F">
        <w:t xml:space="preserve">The ISO asked the region’s utilities about their interconnection standards, and the responses indicated that most PV units meet the existing IEEE 1547 standards (see Section </w:t>
      </w:r>
      <w:r w:rsidR="00995555" w:rsidRPr="00BD707F">
        <w:fldChar w:fldCharType="begin"/>
      </w:r>
      <w:r w:rsidR="00995555" w:rsidRPr="00BD707F">
        <w:instrText xml:space="preserve"> REF _Ref485980240 \r \h  \* MERGEFORMAT </w:instrText>
      </w:r>
      <w:r w:rsidR="00995555" w:rsidRPr="00BD707F">
        <w:fldChar w:fldCharType="separate"/>
      </w:r>
      <w:r w:rsidR="00314781">
        <w:t>9.1</w:t>
      </w:r>
      <w:r w:rsidR="00995555" w:rsidRPr="00BD707F">
        <w:fldChar w:fldCharType="end"/>
      </w:r>
      <w:r w:rsidR="00995555" w:rsidRPr="00BD707F">
        <w:t>).</w:t>
      </w:r>
      <w:r w:rsidR="00995555">
        <w:t xml:space="preserve"> </w:t>
      </w:r>
      <w:r w:rsidRPr="00A75620">
        <w:t>The ISO participated in an Electric Power Research Institute (EPRI) evaluation of the potential reliability impacts of large amounts of distributed generation, such as PV.</w:t>
      </w:r>
      <w:r w:rsidRPr="00A75620">
        <w:rPr>
          <w:vertAlign w:val="superscript"/>
        </w:rPr>
        <w:footnoteReference w:id="240"/>
      </w:r>
      <w:r w:rsidRPr="00A75620">
        <w:t xml:space="preserve"> </w:t>
      </w:r>
    </w:p>
    <w:p w:rsidR="00A75620" w:rsidRPr="00A75620" w:rsidRDefault="00A75620" w:rsidP="00A75620">
      <w:r w:rsidRPr="00A75620">
        <w:t xml:space="preserve">A high-level screening conducted by the ISO showed the potential loss of PV resulting from faults on the transmission system. The following maps in </w:t>
      </w:r>
      <w:r w:rsidRPr="00A75620">
        <w:fldChar w:fldCharType="begin"/>
      </w:r>
      <w:r w:rsidRPr="00A75620">
        <w:instrText xml:space="preserve"> REF _Ref417806263 \h  \* MERGEFORMAT </w:instrText>
      </w:r>
      <w:r w:rsidRPr="00A75620">
        <w:fldChar w:fldCharType="separate"/>
      </w:r>
      <w:r w:rsidR="00314781" w:rsidRPr="008E2532">
        <w:rPr>
          <w:bCs/>
          <w:szCs w:val="18"/>
        </w:rPr>
        <w:t xml:space="preserve">Figure </w:t>
      </w:r>
      <w:r w:rsidR="00314781" w:rsidRPr="008E2532">
        <w:rPr>
          <w:bCs/>
          <w:noProof/>
          <w:szCs w:val="18"/>
        </w:rPr>
        <w:t>9</w:t>
      </w:r>
      <w:r w:rsidR="00314781" w:rsidRPr="008E2532">
        <w:rPr>
          <w:bCs/>
          <w:noProof/>
          <w:szCs w:val="18"/>
        </w:rPr>
        <w:noBreakHyphen/>
        <w:t>1</w:t>
      </w:r>
      <w:r w:rsidRPr="00A75620">
        <w:fldChar w:fldCharType="end"/>
      </w:r>
      <w:r w:rsidRPr="00A75620">
        <w:t xml:space="preserve">, of Connecticut and Massachusetts, show the areas where PV facilities are likely to trip off line because of low voltage in the event of a fault on the 345 kV transmission system. This could result in thermal or stability problems and could cause the need for additional transmission upgrades. As PV penetrations grow, the severity of this potential problem could </w:t>
      </w:r>
      <w:r w:rsidRPr="00995555">
        <w:t xml:space="preserve">also grow. </w:t>
      </w:r>
      <w:r w:rsidR="00F52E01" w:rsidRPr="00995555">
        <w:t>NERC is also studying these concerns at the national level</w:t>
      </w:r>
      <w:r w:rsidR="00995555" w:rsidRPr="00995555">
        <w:t xml:space="preserve"> </w:t>
      </w:r>
      <w:r w:rsidR="005D7177" w:rsidRPr="00995555">
        <w:t>(</w:t>
      </w:r>
      <w:r w:rsidR="00995555" w:rsidRPr="00995555">
        <w:t>s</w:t>
      </w:r>
      <w:r w:rsidR="005D7177" w:rsidRPr="00995555">
        <w:t xml:space="preserve">ee Section </w:t>
      </w:r>
      <w:r w:rsidR="00995555" w:rsidRPr="00995555">
        <w:fldChar w:fldCharType="begin"/>
      </w:r>
      <w:r w:rsidR="00995555" w:rsidRPr="00995555">
        <w:instrText xml:space="preserve"> REF _Ref487013631 \r \h </w:instrText>
      </w:r>
      <w:r w:rsidR="00995555">
        <w:instrText xml:space="preserve"> \* MERGEFORMAT </w:instrText>
      </w:r>
      <w:r w:rsidR="00995555" w:rsidRPr="00995555">
        <w:fldChar w:fldCharType="separate"/>
      </w:r>
      <w:r w:rsidR="00314781">
        <w:t>6.2</w:t>
      </w:r>
      <w:r w:rsidR="00995555" w:rsidRPr="00995555">
        <w:fldChar w:fldCharType="end"/>
      </w:r>
      <w:r w:rsidR="005D7177" w:rsidRPr="00995555">
        <w:t>)</w:t>
      </w:r>
      <w:r w:rsidR="00995555" w:rsidRPr="00995555">
        <w:t>.</w:t>
      </w:r>
      <w:r w:rsidR="005D7177">
        <w:t xml:space="preserve"> </w:t>
      </w:r>
    </w:p>
    <w:p w:rsidR="00A75620" w:rsidRPr="00A75620" w:rsidRDefault="00A75620" w:rsidP="00A75620">
      <w:pPr>
        <w:keepNext/>
        <w:keepLines/>
        <w:spacing w:after="0" w:line="240" w:lineRule="auto"/>
        <w:jc w:val="center"/>
        <w:rPr>
          <w:rFonts w:asciiTheme="majorHAnsi" w:hAnsiTheme="majorHAnsi"/>
        </w:rPr>
      </w:pPr>
      <w:r w:rsidRPr="00A75620">
        <w:rPr>
          <w:rFonts w:asciiTheme="majorHAnsi" w:hAnsiTheme="majorHAnsi"/>
          <w:noProof/>
        </w:rPr>
        <w:drawing>
          <wp:inline distT="0" distB="0" distL="0" distR="0" wp14:anchorId="7CBC5FB8" wp14:editId="61B111C6">
            <wp:extent cx="5715000" cy="2309895"/>
            <wp:effectExtent l="19050" t="19050" r="19050" b="14205"/>
            <wp:docPr id="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cstate="print"/>
                    <a:srcRect/>
                    <a:stretch>
                      <a:fillRect/>
                    </a:stretch>
                  </pic:blipFill>
                  <pic:spPr bwMode="auto">
                    <a:xfrm>
                      <a:off x="0" y="0"/>
                      <a:ext cx="5715000" cy="2309895"/>
                    </a:xfrm>
                    <a:prstGeom prst="rect">
                      <a:avLst/>
                    </a:prstGeom>
                    <a:noFill/>
                    <a:ln w="3175">
                      <a:solidFill>
                        <a:srgbClr val="000000"/>
                      </a:solidFill>
                      <a:miter lim="800000"/>
                      <a:headEnd/>
                      <a:tailEnd/>
                    </a:ln>
                  </pic:spPr>
                </pic:pic>
              </a:graphicData>
            </a:graphic>
          </wp:inline>
        </w:drawing>
      </w:r>
    </w:p>
    <w:p w:rsidR="00A75620" w:rsidRPr="00A75620" w:rsidRDefault="00A75620" w:rsidP="00A75620">
      <w:pPr>
        <w:spacing w:before="120" w:after="80" w:line="240" w:lineRule="auto"/>
        <w:ind w:left="90" w:right="-90"/>
        <w:rPr>
          <w:rFonts w:asciiTheme="minorHAnsi" w:eastAsia="Times New Roman" w:hAnsiTheme="minorHAnsi"/>
        </w:rPr>
      </w:pPr>
      <w:bookmarkStart w:id="828" w:name="_Ref417806263"/>
      <w:bookmarkStart w:id="829" w:name="_Toc429063543"/>
      <w:bookmarkStart w:id="830" w:name="_Toc486233224"/>
      <w:r w:rsidRPr="00A75620">
        <w:rPr>
          <w:rFonts w:ascii="Calibri" w:eastAsia="Times New Roman" w:hAnsi="Calibri"/>
          <w:b/>
          <w:bCs/>
          <w:szCs w:val="18"/>
        </w:rPr>
        <w:t xml:space="preserve">Figure </w:t>
      </w:r>
      <w:r w:rsidRPr="00A75620">
        <w:rPr>
          <w:rFonts w:ascii="Calibri" w:eastAsia="Times New Roman" w:hAnsi="Calibri"/>
          <w:b/>
          <w:bCs/>
          <w:szCs w:val="18"/>
        </w:rPr>
        <w:fldChar w:fldCharType="begin"/>
      </w:r>
      <w:r w:rsidRPr="00A75620">
        <w:rPr>
          <w:rFonts w:ascii="Calibri" w:eastAsia="Times New Roman" w:hAnsi="Calibri"/>
          <w:b/>
          <w:bCs/>
          <w:szCs w:val="18"/>
        </w:rPr>
        <w:instrText xml:space="preserve"> STYLEREF 1 \s </w:instrText>
      </w:r>
      <w:r w:rsidRPr="00A75620">
        <w:rPr>
          <w:rFonts w:ascii="Calibri" w:eastAsia="Times New Roman" w:hAnsi="Calibri"/>
          <w:b/>
          <w:bCs/>
          <w:szCs w:val="18"/>
        </w:rPr>
        <w:fldChar w:fldCharType="separate"/>
      </w:r>
      <w:r w:rsidR="00314781">
        <w:rPr>
          <w:rFonts w:ascii="Calibri" w:eastAsia="Times New Roman" w:hAnsi="Calibri"/>
          <w:b/>
          <w:bCs/>
          <w:noProof/>
          <w:szCs w:val="18"/>
        </w:rPr>
        <w:t>9</w:t>
      </w:r>
      <w:r w:rsidRPr="00A75620">
        <w:rPr>
          <w:rFonts w:ascii="Calibri" w:eastAsia="Times New Roman" w:hAnsi="Calibri"/>
          <w:b/>
          <w:bCs/>
          <w:szCs w:val="18"/>
        </w:rPr>
        <w:fldChar w:fldCharType="end"/>
      </w:r>
      <w:r w:rsidRPr="00A75620">
        <w:rPr>
          <w:rFonts w:ascii="Calibri" w:eastAsia="Times New Roman" w:hAnsi="Calibri"/>
          <w:b/>
          <w:bCs/>
          <w:szCs w:val="18"/>
        </w:rPr>
        <w:noBreakHyphen/>
      </w:r>
      <w:r w:rsidRPr="00A75620">
        <w:rPr>
          <w:rFonts w:ascii="Calibri" w:eastAsia="Times New Roman" w:hAnsi="Calibri"/>
          <w:b/>
          <w:bCs/>
          <w:szCs w:val="18"/>
        </w:rPr>
        <w:fldChar w:fldCharType="begin"/>
      </w:r>
      <w:r w:rsidRPr="00A75620">
        <w:rPr>
          <w:rFonts w:ascii="Calibri" w:eastAsia="Times New Roman" w:hAnsi="Calibri"/>
          <w:b/>
          <w:bCs/>
          <w:szCs w:val="18"/>
        </w:rPr>
        <w:instrText xml:space="preserve"> SEQ Figure \* ARABIC \s 1 </w:instrText>
      </w:r>
      <w:r w:rsidRPr="00A75620">
        <w:rPr>
          <w:rFonts w:ascii="Calibri" w:eastAsia="Times New Roman" w:hAnsi="Calibri"/>
          <w:b/>
          <w:bCs/>
          <w:szCs w:val="18"/>
        </w:rPr>
        <w:fldChar w:fldCharType="separate"/>
      </w:r>
      <w:r w:rsidR="00314781">
        <w:rPr>
          <w:rFonts w:ascii="Calibri" w:eastAsia="Times New Roman" w:hAnsi="Calibri"/>
          <w:b/>
          <w:bCs/>
          <w:noProof/>
          <w:szCs w:val="18"/>
        </w:rPr>
        <w:t>1</w:t>
      </w:r>
      <w:r w:rsidRPr="00A75620">
        <w:rPr>
          <w:rFonts w:ascii="Calibri" w:eastAsia="Times New Roman" w:hAnsi="Calibri"/>
          <w:b/>
          <w:bCs/>
          <w:szCs w:val="18"/>
        </w:rPr>
        <w:fldChar w:fldCharType="end"/>
      </w:r>
      <w:bookmarkEnd w:id="828"/>
      <w:r w:rsidRPr="00A75620">
        <w:rPr>
          <w:rFonts w:ascii="Calibri" w:eastAsia="Times New Roman" w:hAnsi="Calibri"/>
          <w:b/>
          <w:bCs/>
          <w:szCs w:val="18"/>
        </w:rPr>
        <w:t>: Areas (in blue), in Connecticut (left) and Massachusetts (right), where PV resources are likely to trip off line because of low voltage in the event of a fault on the 345 kV transmission system</w:t>
      </w:r>
      <w:r w:rsidRPr="00A75620">
        <w:rPr>
          <w:rFonts w:asciiTheme="minorHAnsi" w:eastAsia="Times New Roman" w:hAnsiTheme="minorHAnsi"/>
        </w:rPr>
        <w:t>.</w:t>
      </w:r>
      <w:bookmarkEnd w:id="829"/>
      <w:bookmarkEnd w:id="830"/>
    </w:p>
    <w:p w:rsidR="00A75620" w:rsidRPr="00A75620" w:rsidRDefault="00A75620" w:rsidP="00A75620">
      <w:pPr>
        <w:spacing w:line="240" w:lineRule="auto"/>
        <w:ind w:left="90" w:right="-90"/>
        <w:rPr>
          <w:rFonts w:eastAsia="Times New Roman"/>
          <w:b/>
          <w:sz w:val="16"/>
          <w:szCs w:val="16"/>
        </w:rPr>
      </w:pPr>
      <w:r w:rsidRPr="00A75620">
        <w:rPr>
          <w:rFonts w:ascii="Calibri" w:eastAsia="Times New Roman" w:hAnsi="Calibri"/>
          <w:b/>
          <w:bCs/>
          <w:sz w:val="16"/>
          <w:szCs w:val="16"/>
        </w:rPr>
        <w:t>Notes</w:t>
      </w:r>
      <w:r w:rsidRPr="00A75620">
        <w:rPr>
          <w:rFonts w:asciiTheme="minorHAnsi" w:eastAsia="Times New Roman" w:hAnsiTheme="minorHAnsi"/>
          <w:sz w:val="16"/>
          <w:szCs w:val="16"/>
        </w:rPr>
        <w:t xml:space="preserve">: The key refers to per-unit voltage. Also see </w:t>
      </w:r>
      <w:r w:rsidRPr="00A75620">
        <w:rPr>
          <w:rFonts w:asciiTheme="minorHAnsi" w:eastAsia="Times New Roman" w:hAnsiTheme="minorHAnsi"/>
          <w:i/>
          <w:sz w:val="16"/>
          <w:szCs w:val="16"/>
        </w:rPr>
        <w:t>Impacts of Transmission System Contingencies on Distributed Generation—Overview</w:t>
      </w:r>
      <w:r w:rsidRPr="00A75620">
        <w:rPr>
          <w:rFonts w:asciiTheme="minorHAnsi" w:eastAsia="Times New Roman" w:hAnsiTheme="minorHAnsi"/>
          <w:sz w:val="16"/>
          <w:szCs w:val="16"/>
        </w:rPr>
        <w:t xml:space="preserve">, PAC presentation (December 16, 2013), </w:t>
      </w:r>
      <w:hyperlink r:id="rId86" w:history="1">
        <w:r w:rsidRPr="00A75620">
          <w:rPr>
            <w:rFonts w:asciiTheme="minorHAnsi" w:eastAsia="Times New Roman" w:hAnsiTheme="minorHAnsi"/>
            <w:color w:val="000000"/>
            <w:sz w:val="16"/>
            <w:szCs w:val="16"/>
          </w:rPr>
          <w:t>http://www.iso-ne.com/static-assets/documents/committees/comm_wkgrps/othr/distributed_generation_frcst/2013mtrls/dec162013/dg_transmission_impacts.pdf</w:t>
        </w:r>
      </w:hyperlink>
      <w:r w:rsidRPr="00A75620">
        <w:rPr>
          <w:rFonts w:asciiTheme="minorHAnsi" w:eastAsia="Times New Roman" w:hAnsiTheme="minorHAnsi"/>
          <w:sz w:val="16"/>
          <w:szCs w:val="16"/>
        </w:rPr>
        <w:t>.</w:t>
      </w:r>
    </w:p>
    <w:p w:rsidR="00A75620" w:rsidRPr="00A75620" w:rsidRDefault="00A75620" w:rsidP="00A75620">
      <w:r w:rsidRPr="00A75620">
        <w:t xml:space="preserve">A sensitivity analysis also was conducted, which indicates that low voltage will be more widespread when local generation is not operating, for example, on a spring day with light load and high wind and </w:t>
      </w:r>
      <w:r w:rsidRPr="009209D4">
        <w:t>solar generation. The above example highlights the criticality of new DG meeting the voltage and</w:t>
      </w:r>
      <w:r w:rsidRPr="00A75620">
        <w:t xml:space="preserve"> frequency performance expectations of the pending revision of the IEEE 1547 standard.</w:t>
      </w:r>
    </w:p>
    <w:p w:rsidR="00A75620" w:rsidRPr="00A75620" w:rsidRDefault="00A75620" w:rsidP="00A75620">
      <w:r w:rsidRPr="00A75620">
        <w:t xml:space="preserve">The ISO is working with the New England states, distribution utilities, and IEEE and other international experts to ensure that the future interconnection standards for PV (and other inverter-interfaced DG </w:t>
      </w:r>
      <w:r w:rsidRPr="00A75620">
        <w:lastRenderedPageBreak/>
        <w:t>resources) better coordinate with broader system reliability requirements.</w:t>
      </w:r>
      <w:r w:rsidRPr="00A75620">
        <w:rPr>
          <w:vertAlign w:val="superscript"/>
        </w:rPr>
        <w:footnoteReference w:id="241"/>
      </w:r>
      <w:r w:rsidRPr="00A75620">
        <w:t xml:space="preserve"> The ISO has participated actively in revising the IEEE standards with the aim of </w:t>
      </w:r>
      <w:r w:rsidR="00D21F16">
        <w:t>c</w:t>
      </w:r>
      <w:r w:rsidR="00D21F16" w:rsidRPr="00A3524D">
        <w:t xml:space="preserve">learly identifying the performance requirements </w:t>
      </w:r>
      <w:r w:rsidR="00D21F16" w:rsidRPr="00D21F16">
        <w:t>for new DG and</w:t>
      </w:r>
      <w:r w:rsidR="00D21F16" w:rsidRPr="00605D6E">
        <w:t xml:space="preserve"> </w:t>
      </w:r>
      <w:r w:rsidRPr="00D21F16">
        <w:t xml:space="preserve">improving the coordination of distribution system needs and </w:t>
      </w:r>
      <w:r w:rsidR="00D21F16" w:rsidRPr="00605D6E">
        <w:t xml:space="preserve">meeting </w:t>
      </w:r>
      <w:r w:rsidR="009209D4" w:rsidRPr="00D21F16">
        <w:t xml:space="preserve">the performance requirements for the </w:t>
      </w:r>
      <w:r w:rsidRPr="00D21F16">
        <w:t>transmission system without imposing barriers to the</w:t>
      </w:r>
      <w:r w:rsidRPr="00A75620">
        <w:t xml:space="preserve"> development of distributed generation.</w:t>
      </w:r>
      <w:r w:rsidRPr="00A75620">
        <w:rPr>
          <w:vertAlign w:val="superscript"/>
        </w:rPr>
        <w:footnoteReference w:id="242"/>
      </w:r>
      <w:r w:rsidR="00C439BC">
        <w:t xml:space="preserve"> Allowance for smart inverter technologies </w:t>
      </w:r>
      <w:r w:rsidR="00005B2A">
        <w:t xml:space="preserve">in revisions to IEEE 1547 </w:t>
      </w:r>
      <w:r w:rsidR="00C439BC">
        <w:t xml:space="preserve">provides opportunities for additional </w:t>
      </w:r>
      <w:r w:rsidR="00005B2A">
        <w:t xml:space="preserve">DERs to </w:t>
      </w:r>
      <w:r w:rsidR="005D7177">
        <w:t xml:space="preserve">reliably </w:t>
      </w:r>
      <w:r w:rsidR="00005B2A">
        <w:t xml:space="preserve">interconnect to the distribution system. </w:t>
      </w:r>
    </w:p>
    <w:p w:rsidR="00A75620" w:rsidRDefault="00A75620" w:rsidP="00A75620">
      <w:r w:rsidRPr="00A75620">
        <w:t xml:space="preserve">The ISO also will continue to actively track the growth of PV in the region and evaluate its potential impacts on the efficient administration of the wholesale electricity markets and reliable operation and planning of the region’s electric power system. Because many other regions of North America also are witnessing the large-scale adoption of PV, the ISO also is engaging with other ISO/RTOs to share relevant </w:t>
      </w:r>
      <w:r w:rsidRPr="008E21A4">
        <w:t>methods and experience</w:t>
      </w:r>
      <w:r w:rsidR="00416AB1" w:rsidRPr="008E21A4">
        <w:t xml:space="preserve"> (see Section</w:t>
      </w:r>
      <w:r w:rsidR="008E21A4" w:rsidRPr="008E21A4">
        <w:t xml:space="preserve"> </w:t>
      </w:r>
      <w:r w:rsidR="008E21A4" w:rsidRPr="008E21A4">
        <w:fldChar w:fldCharType="begin"/>
      </w:r>
      <w:r w:rsidR="008E21A4" w:rsidRPr="008E21A4">
        <w:instrText xml:space="preserve"> REF _Ref491272657 \r \h </w:instrText>
      </w:r>
      <w:r w:rsidR="008E21A4">
        <w:instrText xml:space="preserve"> \* MERGEFORMAT </w:instrText>
      </w:r>
      <w:r w:rsidR="008E21A4" w:rsidRPr="008E21A4">
        <w:fldChar w:fldCharType="separate"/>
      </w:r>
      <w:r w:rsidR="008E21A4" w:rsidRPr="008E21A4">
        <w:t>6.3</w:t>
      </w:r>
      <w:r w:rsidR="008E21A4" w:rsidRPr="008E21A4">
        <w:fldChar w:fldCharType="end"/>
      </w:r>
      <w:r w:rsidR="00416AB1" w:rsidRPr="008E21A4">
        <w:t>)</w:t>
      </w:r>
      <w:r w:rsidRPr="008E21A4">
        <w:t>.</w:t>
      </w:r>
    </w:p>
    <w:p w:rsidR="0032336F" w:rsidRPr="00CC5997" w:rsidRDefault="0032336F" w:rsidP="0032336F">
      <w:pPr>
        <w:pStyle w:val="Heading3"/>
      </w:pPr>
      <w:bookmarkStart w:id="831" w:name="_Toc490323098"/>
      <w:r w:rsidRPr="00CC5997">
        <w:t xml:space="preserve">Modeling of Hourly Load Reduction of Behind-the-Meter Photovoltaics to Establish </w:t>
      </w:r>
      <w:r w:rsidR="003764F2">
        <w:t xml:space="preserve">the </w:t>
      </w:r>
      <w:r w:rsidRPr="00CC5997">
        <w:t>Net Installed Capacity Requirement</w:t>
      </w:r>
      <w:bookmarkEnd w:id="831"/>
      <w:r w:rsidRPr="00CC5997">
        <w:t xml:space="preserve"> </w:t>
      </w:r>
    </w:p>
    <w:p w:rsidR="00744E91" w:rsidRDefault="0032336F" w:rsidP="0032336F">
      <w:pPr>
        <w:spacing w:after="200" w:line="276" w:lineRule="auto"/>
      </w:pPr>
      <w:r w:rsidRPr="00CC5997">
        <w:t xml:space="preserve">Since 2015, calculations of the </w:t>
      </w:r>
      <w:r w:rsidR="008E2532">
        <w:t xml:space="preserve">net Installed Capacity Requirement (see Section </w:t>
      </w:r>
      <w:r w:rsidR="003764F2">
        <w:fldChar w:fldCharType="begin"/>
      </w:r>
      <w:r w:rsidR="003764F2">
        <w:instrText xml:space="preserve"> REF _Ref327866184 \r \h </w:instrText>
      </w:r>
      <w:r w:rsidR="003764F2">
        <w:fldChar w:fldCharType="separate"/>
      </w:r>
      <w:r w:rsidR="003764F2">
        <w:t>4.1</w:t>
      </w:r>
      <w:r w:rsidR="003764F2">
        <w:fldChar w:fldCharType="end"/>
      </w:r>
      <w:r w:rsidR="003764F2">
        <w:t>)</w:t>
      </w:r>
      <w:r w:rsidRPr="00CC5997">
        <w:t xml:space="preserve"> have reflected the effects of behind-the-meter PV on gross demand. The modeling of the BTM PV was based on the average </w:t>
      </w:r>
      <w:r w:rsidRPr="00744E91">
        <w:t>seasonal production for the peak reliability hours (</w:t>
      </w:r>
      <w:r w:rsidR="00744E91" w:rsidRPr="00B01314">
        <w:t xml:space="preserve">2:00 p.m. </w:t>
      </w:r>
      <w:r w:rsidRPr="00B01314">
        <w:t xml:space="preserve">to </w:t>
      </w:r>
      <w:r w:rsidR="00744E91" w:rsidRPr="00B01314">
        <w:t xml:space="preserve">6:00 p.m. </w:t>
      </w:r>
      <w:r w:rsidRPr="00B01314">
        <w:t>during the summer), which was</w:t>
      </w:r>
      <w:r w:rsidRPr="00CC5997">
        <w:t xml:space="preserve"> appropriate given the limited amount of data available to the ISO. </w:t>
      </w:r>
    </w:p>
    <w:p w:rsidR="0032336F" w:rsidRPr="00A75620" w:rsidRDefault="0032336F" w:rsidP="00B01314">
      <w:pPr>
        <w:spacing w:after="200" w:line="276" w:lineRule="auto"/>
      </w:pPr>
      <w:r w:rsidRPr="00CC5997">
        <w:t xml:space="preserve">BTM-PV load reductions can now be reflected on an hourly basis in NICR calculations as a result of improved data bases of BTM PV production. The new method could reduce the NICR for FCA #12 by approximately 335 MW. Stakeholder discussions are underway to provide input to the ISO before it submits the FERC filing of </w:t>
      </w:r>
      <w:r w:rsidR="00E72746">
        <w:t xml:space="preserve">the </w:t>
      </w:r>
      <w:r w:rsidRPr="00CC5997">
        <w:t>NICR for FCA</w:t>
      </w:r>
      <w:r w:rsidR="00E72746">
        <w:t xml:space="preserve"> </w:t>
      </w:r>
      <w:r w:rsidRPr="00CC5997">
        <w:t>#12, scheduled for November 2017.</w:t>
      </w:r>
    </w:p>
    <w:p w:rsidR="00A75620" w:rsidRPr="000D06F5" w:rsidRDefault="00A75620" w:rsidP="000D06F5">
      <w:pPr>
        <w:pStyle w:val="Heading3"/>
      </w:pPr>
      <w:bookmarkStart w:id="832" w:name="_Toc429063467"/>
      <w:bookmarkStart w:id="833" w:name="_Toc490323099"/>
      <w:r w:rsidRPr="00A75620">
        <w:t>Other Challenges of Integrating PV and Other Types of Distributed Energy Resources</w:t>
      </w:r>
      <w:bookmarkEnd w:id="832"/>
      <w:bookmarkEnd w:id="833"/>
    </w:p>
    <w:p w:rsidR="00A75620" w:rsidRPr="00A75620" w:rsidRDefault="00A75620" w:rsidP="00A75620">
      <w:pPr>
        <w:spacing w:after="200" w:line="276" w:lineRule="auto"/>
      </w:pPr>
      <w:r w:rsidRPr="00A75620">
        <w:t>The growth in PV presents some challenges for grid operators and planners. Challenges for the ISO include the following:</w:t>
      </w:r>
    </w:p>
    <w:p w:rsidR="00A75620" w:rsidRPr="00A75620" w:rsidRDefault="00A75620" w:rsidP="003D70FB">
      <w:pPr>
        <w:numPr>
          <w:ilvl w:val="0"/>
          <w:numId w:val="47"/>
        </w:numPr>
        <w:tabs>
          <w:tab w:val="num" w:pos="360"/>
        </w:tabs>
        <w:spacing w:after="120"/>
        <w:rPr>
          <w:color w:val="000000"/>
        </w:rPr>
      </w:pPr>
      <w:r w:rsidRPr="00A75620">
        <w:rPr>
          <w:color w:val="000000"/>
        </w:rPr>
        <w:t>Difficulty obtaining and managing the amount of data concerning PV resources, including their size, location, and operational characteristics</w:t>
      </w:r>
    </w:p>
    <w:p w:rsidR="00A75620" w:rsidRPr="00A75620" w:rsidRDefault="00A75620" w:rsidP="003D70FB">
      <w:pPr>
        <w:numPr>
          <w:ilvl w:val="0"/>
          <w:numId w:val="47"/>
        </w:numPr>
        <w:tabs>
          <w:tab w:val="num" w:pos="360"/>
        </w:tabs>
        <w:spacing w:after="120"/>
        <w:rPr>
          <w:color w:val="000000"/>
        </w:rPr>
      </w:pPr>
      <w:r w:rsidRPr="00A75620">
        <w:rPr>
          <w:color w:val="000000"/>
        </w:rPr>
        <w:t xml:space="preserve">A current inability to observe and control most PV resources in real time </w:t>
      </w:r>
    </w:p>
    <w:p w:rsidR="00A75620" w:rsidRPr="00A75620" w:rsidRDefault="00A75620" w:rsidP="003D70FB">
      <w:pPr>
        <w:numPr>
          <w:ilvl w:val="0"/>
          <w:numId w:val="47"/>
        </w:numPr>
        <w:tabs>
          <w:tab w:val="num" w:pos="360"/>
        </w:tabs>
        <w:rPr>
          <w:color w:val="000000"/>
        </w:rPr>
      </w:pPr>
      <w:r w:rsidRPr="00A75620">
        <w:rPr>
          <w:color w:val="000000"/>
        </w:rPr>
        <w:t>A need to better understand the impacts on system operations of the increasing amounts of PV, including ramping, reserve, and regulation requirements</w:t>
      </w:r>
    </w:p>
    <w:p w:rsidR="00A75620" w:rsidRPr="00A75620" w:rsidRDefault="00D21F16" w:rsidP="00A75620">
      <w:pPr>
        <w:spacing w:after="200" w:line="276" w:lineRule="auto"/>
      </w:pPr>
      <w:r>
        <w:t xml:space="preserve">At present, the ISO’s demand-forecast method considers demand history as an input, which </w:t>
      </w:r>
      <w:r w:rsidRPr="00533835">
        <w:t>captures</w:t>
      </w:r>
      <w:r>
        <w:t xml:space="preserve"> the growth and production non-PV </w:t>
      </w:r>
      <w:r w:rsidRPr="00533835">
        <w:t>DER</w:t>
      </w:r>
      <w:r>
        <w:t xml:space="preserve">s. </w:t>
      </w:r>
      <w:r w:rsidR="00A75620" w:rsidRPr="00A75620">
        <w:t>To date</w:t>
      </w:r>
      <w:r>
        <w:t>,</w:t>
      </w:r>
      <w:r w:rsidR="00A75620" w:rsidRPr="00A75620">
        <w:t xml:space="preserve"> the region has not witnessed the large-scale growth of other types of DERs, which would present challenges similar to PV. The ISO continues to monitor this </w:t>
      </w:r>
      <w:r w:rsidR="00A75620" w:rsidRPr="008E21A4">
        <w:t>situation</w:t>
      </w:r>
      <w:r w:rsidRPr="008E21A4">
        <w:t xml:space="preserve"> and actively examines its processes for improving its demand forecasts</w:t>
      </w:r>
      <w:r w:rsidR="005B146A" w:rsidRPr="008E21A4">
        <w:t>.</w:t>
      </w:r>
      <w:r w:rsidR="005B146A">
        <w:t xml:space="preserve"> </w:t>
      </w:r>
    </w:p>
    <w:p w:rsidR="00A75620" w:rsidRDefault="00A75620" w:rsidP="00A75620">
      <w:pPr>
        <w:spacing w:after="200" w:line="276" w:lineRule="auto"/>
      </w:pPr>
      <w:r w:rsidRPr="00A75620">
        <w:t>The ISO’s work with the regional stakeholders will help position the region to best integrate rapidly growing DER resources in a way that maintains reliability and allows the states to realize the public policy benefits they have identified as the basis for their DER programs.</w:t>
      </w:r>
    </w:p>
    <w:p w:rsidR="00A75620" w:rsidRPr="000D06F5" w:rsidRDefault="0032181D" w:rsidP="000D06F5">
      <w:pPr>
        <w:pStyle w:val="Heading3"/>
      </w:pPr>
      <w:bookmarkStart w:id="834" w:name="_Toc490323100"/>
      <w:r>
        <w:lastRenderedPageBreak/>
        <w:t>Energy</w:t>
      </w:r>
      <w:r w:rsidR="00273B73">
        <w:t>-</w:t>
      </w:r>
      <w:r w:rsidR="00A75620" w:rsidRPr="00A75620">
        <w:t>Storage Resources</w:t>
      </w:r>
      <w:bookmarkEnd w:id="834"/>
    </w:p>
    <w:p w:rsidR="00A75620" w:rsidRPr="00A75620" w:rsidRDefault="00A75620" w:rsidP="00A75620">
      <w:pPr>
        <w:spacing w:after="200" w:line="276" w:lineRule="auto"/>
      </w:pPr>
      <w:r w:rsidRPr="00A75620">
        <w:t xml:space="preserve">Recently, the ISO has received requests to interconnect new </w:t>
      </w:r>
      <w:r w:rsidR="0032181D">
        <w:t xml:space="preserve">energy </w:t>
      </w:r>
      <w:r w:rsidRPr="00A75620">
        <w:t xml:space="preserve">storage devices to the New England system. New England has a long history of allowing electric storage and </w:t>
      </w:r>
      <w:r w:rsidR="009538A2">
        <w:t>DERs</w:t>
      </w:r>
      <w:r w:rsidRPr="00A75620">
        <w:t xml:space="preserve"> to participate in its markets. A significant amount of pumped-storage hydroelectric facilities has participated in the New </w:t>
      </w:r>
      <w:r w:rsidRPr="00995555">
        <w:t xml:space="preserve">England markets </w:t>
      </w:r>
      <w:r w:rsidR="00F52E01" w:rsidRPr="00995555">
        <w:t xml:space="preserve">since the </w:t>
      </w:r>
      <w:r w:rsidR="009D3EDA">
        <w:t xml:space="preserve">inception of the wholesale </w:t>
      </w:r>
      <w:r w:rsidR="00F52E01" w:rsidRPr="00995555">
        <w:t xml:space="preserve">markets </w:t>
      </w:r>
      <w:r w:rsidR="009D3EDA">
        <w:t>in 1999</w:t>
      </w:r>
      <w:r w:rsidRPr="00995555">
        <w:t>, and the region has a long-standing</w:t>
      </w:r>
      <w:r w:rsidRPr="00A75620">
        <w:t xml:space="preserve"> model that allows DERs to participate in both the capacity market and as </w:t>
      </w:r>
      <w:r w:rsidRPr="00C66A22">
        <w:t>price takers in the Real-Time Energy Market (as settlement-only resources). The dispatchable asset-</w:t>
      </w:r>
      <w:r w:rsidRPr="00A75620">
        <w:t>related demand (DARD) model is also available in the region, which allows load and behind-the-meter DERs to participate in the wholesale electric energy and reserve markets.</w:t>
      </w:r>
      <w:r w:rsidR="00995555">
        <w:rPr>
          <w:rStyle w:val="FootnoteReference"/>
        </w:rPr>
        <w:footnoteReference w:id="243"/>
      </w:r>
      <w:r w:rsidRPr="00A75620">
        <w:t xml:space="preserve"> </w:t>
      </w:r>
      <w:r w:rsidRPr="00995555">
        <w:t>Additionally</w:t>
      </w:r>
      <w:r w:rsidRPr="00A75620">
        <w:t>, the system’s alternative-technology regulation resource (ATRR) construct enables energy</w:t>
      </w:r>
      <w:r w:rsidR="00273B73">
        <w:t>-</w:t>
      </w:r>
      <w:r w:rsidRPr="00A75620">
        <w:t xml:space="preserve">storage devices (and other DERs) to participate in the Regulation Market in a manner that acknowledges the physical capabilities of these potentially limited-energy devices. </w:t>
      </w:r>
    </w:p>
    <w:p w:rsidR="00A75620" w:rsidRPr="00A75620" w:rsidRDefault="00A75620" w:rsidP="00A75620">
      <w:pPr>
        <w:spacing w:after="200" w:line="276" w:lineRule="auto"/>
      </w:pPr>
      <w:r w:rsidRPr="00A75620">
        <w:t>The ISO has successfully processed interconnection requests for electric-storage resources using the existing interconnection procedures and agreements. Most new proposals for electric-storage resources make use of inverter-based technologies, and for the ISO to process the interconnection requests for these technologies efficiently, the requests must include appropriately robust equipment design. The power system models must perform well in the network study analysis and the equipment must meet established performance requirements, such as power</w:t>
      </w:r>
      <w:r w:rsidR="00416AB1">
        <w:t>-</w:t>
      </w:r>
      <w:r w:rsidRPr="00A75620">
        <w:t>factor, ride</w:t>
      </w:r>
      <w:r w:rsidR="00416AB1">
        <w:t>-</w:t>
      </w:r>
      <w:r w:rsidRPr="00A75620">
        <w:t>through</w:t>
      </w:r>
      <w:r w:rsidR="0074311D">
        <w:t>,</w:t>
      </w:r>
      <w:r w:rsidRPr="00A75620">
        <w:t xml:space="preserve"> and frequency requirements. </w:t>
      </w:r>
    </w:p>
    <w:p w:rsidR="00A75620" w:rsidRPr="00995555" w:rsidRDefault="00A75620" w:rsidP="00E443BD">
      <w:pPr>
        <w:pStyle w:val="Heading2"/>
        <w:rPr>
          <w:rFonts w:eastAsia="Times New Roman"/>
        </w:rPr>
      </w:pPr>
      <w:bookmarkStart w:id="835" w:name="_Ref485720690"/>
      <w:bookmarkStart w:id="836" w:name="_Ref485730547"/>
      <w:bookmarkStart w:id="837" w:name="_Ref485737588"/>
      <w:bookmarkStart w:id="838" w:name="_Ref388730879"/>
      <w:bookmarkStart w:id="839" w:name="_Toc396807676"/>
      <w:bookmarkStart w:id="840" w:name="_Toc429063469"/>
      <w:bookmarkStart w:id="841" w:name="_Toc490323101"/>
      <w:r w:rsidRPr="00995555">
        <w:rPr>
          <w:rFonts w:eastAsia="Times New Roman"/>
        </w:rPr>
        <w:t>Economic Performance of the System and Other Studies</w:t>
      </w:r>
      <w:bookmarkEnd w:id="835"/>
      <w:bookmarkEnd w:id="836"/>
      <w:bookmarkEnd w:id="837"/>
      <w:bookmarkEnd w:id="838"/>
      <w:bookmarkEnd w:id="839"/>
      <w:bookmarkEnd w:id="840"/>
      <w:bookmarkEnd w:id="841"/>
    </w:p>
    <w:p w:rsidR="00A75620" w:rsidRPr="00A75620" w:rsidRDefault="00A75620" w:rsidP="00A75620">
      <w:r w:rsidRPr="00A75620">
        <w:t xml:space="preserve">Economic studies provide metrics depicting various system-expansion scenarios and the pros and cons associated with selected possible future scenarios. These scenarios could assess system performance at a higher level, such as possible additional imports from Canada, resource retirements, and resource additions but do not assess scenarios and the performance of individual asset owners. The key metrics developed include estimates of production costs, transmission congestion, electric energy costs for New England consumers, and a number of others. These metrics suggest the most economical locations for resource development and the least economical locations for resource retirements. </w:t>
      </w:r>
    </w:p>
    <w:p w:rsidR="00A75620" w:rsidRPr="00E443BD" w:rsidRDefault="00A75620" w:rsidP="00E443BD">
      <w:pPr>
        <w:pStyle w:val="Heading3"/>
      </w:pPr>
      <w:bookmarkStart w:id="842" w:name="_Ref419808241"/>
      <w:bookmarkStart w:id="843" w:name="_Toc429063470"/>
      <w:bookmarkStart w:id="844" w:name="_Toc490323102"/>
      <w:r w:rsidRPr="00A75620">
        <w:t>2015 Economic Studies</w:t>
      </w:r>
      <w:bookmarkEnd w:id="842"/>
      <w:bookmarkEnd w:id="843"/>
      <w:bookmarkEnd w:id="844"/>
    </w:p>
    <w:p w:rsidR="00A75620" w:rsidRPr="00A75620" w:rsidRDefault="00A75620" w:rsidP="00A75620">
      <w:r w:rsidRPr="00A75620">
        <w:t>The ISO received three economic study requests in 2015 to assess the following topics:</w:t>
      </w:r>
      <w:r w:rsidRPr="00A75620">
        <w:rPr>
          <w:vertAlign w:val="superscript"/>
        </w:rPr>
        <w:footnoteReference w:id="244"/>
      </w:r>
    </w:p>
    <w:p w:rsidR="00A75620" w:rsidRPr="00A75620" w:rsidRDefault="00A75620" w:rsidP="003D70FB">
      <w:pPr>
        <w:numPr>
          <w:ilvl w:val="0"/>
          <w:numId w:val="56"/>
        </w:numPr>
        <w:spacing w:after="120"/>
        <w:rPr>
          <w:rFonts w:eastAsia="Calibri"/>
        </w:rPr>
      </w:pPr>
      <w:r w:rsidRPr="00A75620">
        <w:rPr>
          <w:rFonts w:eastAsia="Calibri"/>
        </w:rPr>
        <w:t>Onshore wind development in the Keene Road area of northern Maine and the effects of upgrading the Keene Road Interface.</w:t>
      </w:r>
    </w:p>
    <w:p w:rsidR="00A75620" w:rsidRPr="00A75620" w:rsidRDefault="00A75620" w:rsidP="003D70FB">
      <w:pPr>
        <w:numPr>
          <w:ilvl w:val="0"/>
          <w:numId w:val="56"/>
        </w:numPr>
        <w:spacing w:after="120"/>
        <w:rPr>
          <w:rFonts w:eastAsia="Calibri"/>
        </w:rPr>
      </w:pPr>
      <w:r w:rsidRPr="00A75620">
        <w:rPr>
          <w:rFonts w:eastAsia="Calibri"/>
        </w:rPr>
        <w:t xml:space="preserve">Onshore wind development in Maine and the effects of implementing the conceptual improvements identified in the </w:t>
      </w:r>
      <w:r w:rsidRPr="00A75620">
        <w:rPr>
          <w:rFonts w:eastAsia="Calibri"/>
          <w:i/>
        </w:rPr>
        <w:t>Strategic Transmission Analysis</w:t>
      </w:r>
      <w:r w:rsidRPr="00A75620">
        <w:rPr>
          <w:i/>
          <w:szCs w:val="18"/>
        </w:rPr>
        <w:t>: Wind Integration Study</w:t>
      </w:r>
      <w:r w:rsidRPr="00A75620">
        <w:rPr>
          <w:rFonts w:eastAsia="Calibri"/>
        </w:rPr>
        <w:t>.</w:t>
      </w:r>
    </w:p>
    <w:p w:rsidR="00A75620" w:rsidRPr="00A75620" w:rsidRDefault="00A75620" w:rsidP="003D70FB">
      <w:pPr>
        <w:numPr>
          <w:ilvl w:val="0"/>
          <w:numId w:val="56"/>
        </w:numPr>
        <w:rPr>
          <w:rFonts w:eastAsia="Calibri"/>
        </w:rPr>
      </w:pPr>
      <w:r w:rsidRPr="00A75620">
        <w:rPr>
          <w:rFonts w:eastAsia="Calibri"/>
        </w:rPr>
        <w:t>Offshore wind development and the effects of adding transmission improvements that relieve potential bottlenecks</w:t>
      </w:r>
    </w:p>
    <w:p w:rsidR="00A75620" w:rsidRPr="00A75620" w:rsidRDefault="00A75620" w:rsidP="00A75620">
      <w:r w:rsidRPr="00A75620">
        <w:lastRenderedPageBreak/>
        <w:t xml:space="preserve">Approximately 320 MW of wind resources were located in the Keene Road area, and over 90 MW of additional future development were proposed for interconnecting to the 115 kV system in the area. The first economic study developed metrics to quantify the effects of curtailments expected on the post </w:t>
      </w:r>
      <w:r w:rsidRPr="00D7120C">
        <w:t xml:space="preserve">MPRP system (see Section </w:t>
      </w:r>
      <w:r w:rsidR="00D7120C" w:rsidRPr="00D7120C">
        <w:fldChar w:fldCharType="begin"/>
      </w:r>
      <w:r w:rsidR="00D7120C" w:rsidRPr="00D7120C">
        <w:instrText xml:space="preserve"> REF _Ref485738258 \r \h </w:instrText>
      </w:r>
      <w:r w:rsidR="00D7120C">
        <w:instrText xml:space="preserve"> \* MERGEFORMAT </w:instrText>
      </w:r>
      <w:r w:rsidR="00D7120C" w:rsidRPr="00D7120C">
        <w:fldChar w:fldCharType="separate"/>
      </w:r>
      <w:r w:rsidR="00314781">
        <w:t>5.4</w:t>
      </w:r>
      <w:r w:rsidR="00D7120C" w:rsidRPr="00D7120C">
        <w:fldChar w:fldCharType="end"/>
      </w:r>
      <w:r w:rsidRPr="00D7120C">
        <w:t>). The effect of potential improvements in the Keene Road area were then</w:t>
      </w:r>
      <w:r w:rsidRPr="00A75620">
        <w:t xml:space="preserve"> evaluated to quantify the possible benefits associated with market-efficiency transmission upgrades (see </w:t>
      </w:r>
      <w:r w:rsidRPr="00D7120C">
        <w:t xml:space="preserve">Sections </w:t>
      </w:r>
      <w:r w:rsidR="00D7120C" w:rsidRPr="00D7120C">
        <w:fldChar w:fldCharType="begin"/>
      </w:r>
      <w:r w:rsidR="00D7120C" w:rsidRPr="00D7120C">
        <w:instrText xml:space="preserve"> REF _Ref418965112 \r \h </w:instrText>
      </w:r>
      <w:r w:rsidR="00D7120C">
        <w:instrText xml:space="preserve"> \* MERGEFORMAT </w:instrText>
      </w:r>
      <w:r w:rsidR="00D7120C" w:rsidRPr="00D7120C">
        <w:fldChar w:fldCharType="separate"/>
      </w:r>
      <w:r w:rsidR="00314781">
        <w:t>2.1.1.2</w:t>
      </w:r>
      <w:r w:rsidR="00D7120C" w:rsidRPr="00D7120C">
        <w:fldChar w:fldCharType="end"/>
      </w:r>
      <w:r w:rsidRPr="00D7120C">
        <w:t>) that could allow the wind resources to operate without the current level of</w:t>
      </w:r>
      <w:r w:rsidRPr="00A75620">
        <w:t xml:space="preserve"> constraints. A</w:t>
      </w:r>
      <w:r w:rsidRPr="00A75620">
        <w:rPr>
          <w:rFonts w:cs="Arial"/>
        </w:rPr>
        <w:t xml:space="preserve">dditional analysis beyond the economic study was then conducted, and the ISO determined </w:t>
      </w:r>
      <w:r w:rsidRPr="00D7120C">
        <w:rPr>
          <w:rFonts w:cs="Arial"/>
        </w:rPr>
        <w:t>that METUs were not justified (</w:t>
      </w:r>
      <w:r w:rsidR="005E2E2E" w:rsidRPr="00D7120C">
        <w:rPr>
          <w:rFonts w:cs="Arial"/>
        </w:rPr>
        <w:t>s</w:t>
      </w:r>
      <w:r w:rsidRPr="00D7120C">
        <w:rPr>
          <w:rFonts w:cs="Arial"/>
        </w:rPr>
        <w:t xml:space="preserve">ee Section </w:t>
      </w:r>
      <w:r w:rsidR="00D7120C" w:rsidRPr="00D7120C">
        <w:fldChar w:fldCharType="begin"/>
      </w:r>
      <w:r w:rsidR="00D7120C" w:rsidRPr="00D7120C">
        <w:instrText xml:space="preserve"> REF _Ref419207215 \r \h  \* MERGEFORMAT </w:instrText>
      </w:r>
      <w:r w:rsidR="00D7120C" w:rsidRPr="00D7120C">
        <w:fldChar w:fldCharType="separate"/>
      </w:r>
      <w:r w:rsidR="00314781">
        <w:t>5.9.2</w:t>
      </w:r>
      <w:r w:rsidR="00D7120C" w:rsidRPr="00D7120C">
        <w:fldChar w:fldCharType="end"/>
      </w:r>
      <w:r w:rsidRPr="00D7120C">
        <w:rPr>
          <w:rFonts w:cs="Arial"/>
        </w:rPr>
        <w:t>)</w:t>
      </w:r>
      <w:r w:rsidR="005E2E2E" w:rsidRPr="00D7120C">
        <w:rPr>
          <w:rFonts w:cs="Arial"/>
        </w:rPr>
        <w:t>.</w:t>
      </w:r>
    </w:p>
    <w:p w:rsidR="00A75620" w:rsidRPr="00A75620" w:rsidRDefault="00A75620" w:rsidP="00A75620">
      <w:r w:rsidRPr="00A75620">
        <w:t xml:space="preserve">The second economic study investigated scenarios of wind-resource development and showed the effect </w:t>
      </w:r>
      <w:r w:rsidRPr="00D7120C">
        <w:t xml:space="preserve">of the conceptual transmission system expansion in Maine. As discussed in Section </w:t>
      </w:r>
      <w:r w:rsidR="00D7120C" w:rsidRPr="00D7120C">
        <w:fldChar w:fldCharType="begin"/>
      </w:r>
      <w:r w:rsidR="00D7120C" w:rsidRPr="00D7120C">
        <w:instrText xml:space="preserve"> REF _Ref485738439 \r \h </w:instrText>
      </w:r>
      <w:r w:rsidR="00D7120C">
        <w:instrText xml:space="preserve"> \* MERGEFORMAT </w:instrText>
      </w:r>
      <w:r w:rsidR="00D7120C" w:rsidRPr="00D7120C">
        <w:fldChar w:fldCharType="separate"/>
      </w:r>
      <w:r w:rsidR="00314781">
        <w:t>9.2.2</w:t>
      </w:r>
      <w:r w:rsidR="00D7120C" w:rsidRPr="00D7120C">
        <w:fldChar w:fldCharType="end"/>
      </w:r>
      <w:r w:rsidRPr="00D7120C">
        <w:t xml:space="preserve">, </w:t>
      </w:r>
      <w:r w:rsidRPr="00D7120C">
        <w:rPr>
          <w:i/>
        </w:rPr>
        <w:t>the Strategic Transmission Analysis: Wind Integration Study</w:t>
      </w:r>
      <w:r w:rsidRPr="00D7120C">
        <w:t xml:space="preserve"> identified a number of conceptual transmission</w:t>
      </w:r>
      <w:r w:rsidRPr="00A75620">
        <w:t xml:space="preserve"> upgrades that could relieve constraints to existing and planned onshore wind development throughout Maine. This study may inform stakeholders on the cost and benefits of pursuing these transmission upgrades. </w:t>
      </w:r>
    </w:p>
    <w:p w:rsidR="00A75620" w:rsidRPr="00A75620" w:rsidRDefault="00A75620" w:rsidP="00A75620">
      <w:r w:rsidRPr="00A75620">
        <w:t>When less than 1,149 MW of wind are in Maine—with 334 MW located north of Orrington South</w:t>
      </w:r>
      <w:r w:rsidR="00F52E01">
        <w:t xml:space="preserve"> transmission interface</w:t>
      </w:r>
      <w:r w:rsidRPr="00A75620">
        <w:t>—an increase in transmission interface limits in Maine resulted in production cost savings of less than $5 million annually. With more than 2,084 MW of wind resources in Maine—and more than 1,185 MW north of Orrington South, the annual savings increased to the $38 to $75 million range. Increased imports from New Brunswick increased the production cost savings up to $78 million. As the Maine corridor was upgraded to accommodate higher levels of wind resources, the downstream North–South interface was constrained in more hours.</w:t>
      </w:r>
    </w:p>
    <w:p w:rsidR="00A75620" w:rsidRPr="00A75620" w:rsidRDefault="00A75620" w:rsidP="00A75620">
      <w:r w:rsidRPr="00A75620">
        <w:t xml:space="preserve">The third 2015 economic study examined offshore wind development near Rhode Island and Southeast Massachusetts. The analysis included the effects of imports from Canada over new interconnections and the development of onshore wind generation in northern New England. The study also considered the retirement of older nuclear, coal-fired, and oil-fired generating units. </w:t>
      </w:r>
    </w:p>
    <w:p w:rsidR="00A75620" w:rsidRPr="00A75620" w:rsidRDefault="00A75620" w:rsidP="00A75620">
      <w:r w:rsidRPr="00A75620">
        <w:t xml:space="preserve">The results of this study suggest that offshore wind deployment could bring sizable economic and environmental benefits to New England. The addition of offshore wind also caused two major interfaces, the North–South and SEMA/RI import interfaces, to be less constrained. This study also highlighted that Kent County, Brayton Point, and Barnstable appear to be favorable interconnection points for low production cost resources. However, interconnection studies consistent with the ISO‘s administration of the interconnection queue would need to be conducted before any final determination could be made for points of interconnection. </w:t>
      </w:r>
    </w:p>
    <w:p w:rsidR="00A75620" w:rsidRPr="00E443BD" w:rsidRDefault="00A75620" w:rsidP="00E443BD">
      <w:pPr>
        <w:pStyle w:val="Heading3"/>
      </w:pPr>
      <w:bookmarkStart w:id="845" w:name="_Toc490323103"/>
      <w:r w:rsidRPr="00A75620">
        <w:t>2016 Economic Study—Phase I</w:t>
      </w:r>
      <w:bookmarkEnd w:id="845"/>
    </w:p>
    <w:p w:rsidR="00A75620" w:rsidRPr="00A75620" w:rsidRDefault="00A75620" w:rsidP="00A75620">
      <w:r w:rsidRPr="00A75620">
        <w:t xml:space="preserve">Phase I of the 2016 ISO New England Economic Study was conducted at the request of the New England Power Pool. The study,  </w:t>
      </w:r>
      <w:r w:rsidRPr="00A75620">
        <w:rPr>
          <w:i/>
        </w:rPr>
        <w:t>2016 NEPOOL Scenario Analysis—Implications of Public Policy on ISO New England Market Design, System Reliability and Operability, Resource Costs and Revenues, and Emissions</w:t>
      </w:r>
      <w:r w:rsidRPr="00A75620">
        <w:t xml:space="preserve">, examines six resource-expansion scenarios of the regional power system and provides information about the potential effects of these different future changes on resource adequacy, operating and capital costs, </w:t>
      </w:r>
      <w:r w:rsidRPr="00B01314">
        <w:t>and options for meeting environmental policy goals.</w:t>
      </w:r>
      <w:r w:rsidR="00071369" w:rsidRPr="00B01314">
        <w:rPr>
          <w:rStyle w:val="FootnoteReference"/>
        </w:rPr>
        <w:footnoteReference w:id="245"/>
      </w:r>
      <w:r w:rsidRPr="00B01314">
        <w:t xml:space="preserve"> The study provides a common framework for</w:t>
      </w:r>
      <w:r w:rsidRPr="00A75620">
        <w:t xml:space="preserve"> NEPOOL </w:t>
      </w:r>
      <w:r w:rsidRPr="00A75620">
        <w:lastRenderedPageBreak/>
        <w:t>participants, regional electricity market stakeholders, policymakers, and consumers to identify and discuss these reliability, economic, and environmental concerns issues and to discuss possible solutions. The scope of work, assumptions, and draft results reflect input from the PAC during 12 meetings held from April 2016 through February 2017. Results, however, were presented such that stakeholders may make their own assumptions on capital costs for new resources and transmission development costs. Some of the major results and conclusions are as follows:</w:t>
      </w:r>
    </w:p>
    <w:p w:rsidR="00A75620" w:rsidRPr="00A75620" w:rsidRDefault="00A75620" w:rsidP="003D70FB">
      <w:pPr>
        <w:numPr>
          <w:ilvl w:val="0"/>
          <w:numId w:val="69"/>
        </w:numPr>
        <w:spacing w:after="120"/>
        <w:rPr>
          <w:rFonts w:eastAsia="Times New Roman"/>
          <w:szCs w:val="24"/>
        </w:rPr>
      </w:pPr>
      <w:r w:rsidRPr="00A75620">
        <w:rPr>
          <w:rFonts w:eastAsia="Times New Roman"/>
          <w:szCs w:val="24"/>
        </w:rPr>
        <w:t xml:space="preserve">Although increased renewable production reduces the use of natural gas, natural-gas-fired units remain on the margin most of the time and are a major source of fuel for electric power generation production. </w:t>
      </w:r>
    </w:p>
    <w:p w:rsidR="00A75620" w:rsidRPr="00A75620" w:rsidRDefault="00A75620" w:rsidP="003D70FB">
      <w:pPr>
        <w:numPr>
          <w:ilvl w:val="0"/>
          <w:numId w:val="69"/>
        </w:numPr>
        <w:spacing w:after="120"/>
        <w:rPr>
          <w:rFonts w:eastAsia="Times New Roman"/>
          <w:szCs w:val="24"/>
        </w:rPr>
      </w:pPr>
      <w:r w:rsidRPr="00A75620">
        <w:rPr>
          <w:rFonts w:eastAsia="Times New Roman"/>
          <w:szCs w:val="24"/>
        </w:rPr>
        <w:t xml:space="preserve">New resources will require sources of revenue in addition to the wholesale energy market to remain economically viable. Natural gas units show the greatest revenue shortfall compared with their annual carrying charges as a result of their production costs being higher than the $0/MWh costs of renewables, which decreases their net revenues from the wholesale energy market. Renewable resources, however, also show significant revenue shortfalls as compared with their annual fixed costs. </w:t>
      </w:r>
    </w:p>
    <w:p w:rsidR="00A75620" w:rsidRPr="00A75620" w:rsidRDefault="00A75620" w:rsidP="003D70FB">
      <w:pPr>
        <w:numPr>
          <w:ilvl w:val="0"/>
          <w:numId w:val="69"/>
        </w:numPr>
        <w:spacing w:after="120"/>
        <w:rPr>
          <w:rFonts w:eastAsia="Times New Roman"/>
          <w:szCs w:val="24"/>
        </w:rPr>
      </w:pPr>
      <w:r w:rsidRPr="00A75620">
        <w:rPr>
          <w:rFonts w:eastAsia="Times New Roman"/>
          <w:szCs w:val="24"/>
        </w:rPr>
        <w:t>Locating new resources with relatively low production costs near load centers in southern New England reduces systemwide congestion and the need for transmission expansion, which increases with the remote development of renewable resources in northern New England.</w:t>
      </w:r>
    </w:p>
    <w:p w:rsidR="00A75620" w:rsidRPr="00A75620" w:rsidRDefault="00A75620" w:rsidP="003D70FB">
      <w:pPr>
        <w:numPr>
          <w:ilvl w:val="1"/>
          <w:numId w:val="69"/>
        </w:numPr>
        <w:adjustRightInd w:val="0"/>
        <w:spacing w:after="120"/>
        <w:textAlignment w:val="baseline"/>
      </w:pPr>
      <w:r w:rsidRPr="00A75620">
        <w:t xml:space="preserve">Scenarios with the remote development of resources in northern New England result in the megawatt flow across transmission interfaces reaching their limit, which causes the LMP at the sending end being lower than at the receiving end in the constrained cases. </w:t>
      </w:r>
    </w:p>
    <w:p w:rsidR="00A75620" w:rsidRPr="00A75620" w:rsidRDefault="00A75620" w:rsidP="003D70FB">
      <w:pPr>
        <w:numPr>
          <w:ilvl w:val="1"/>
          <w:numId w:val="69"/>
        </w:numPr>
        <w:adjustRightInd w:val="0"/>
        <w:spacing w:after="120"/>
        <w:textAlignment w:val="baseline"/>
      </w:pPr>
      <w:r w:rsidRPr="00A75620">
        <w:t xml:space="preserve">The constrained cases show that renewable production by remote wind, hydro, and imports need to reduce </w:t>
      </w:r>
      <w:r w:rsidRPr="00A01253">
        <w:t>or “spill” output</w:t>
      </w:r>
      <w:r w:rsidRPr="00A75620">
        <w:t xml:space="preserve"> to respect transmission constraints, which increases the overall production cost, </w:t>
      </w:r>
      <w:r w:rsidR="002335BD">
        <w:t>load-serving entity (</w:t>
      </w:r>
      <w:r w:rsidRPr="00A75620">
        <w:t>LSE</w:t>
      </w:r>
      <w:r w:rsidR="002335BD">
        <w:t>)</w:t>
      </w:r>
      <w:r w:rsidRPr="00A75620">
        <w:t xml:space="preserve"> energy expenses, and system emissions. </w:t>
      </w:r>
    </w:p>
    <w:p w:rsidR="00A75620" w:rsidRPr="00A75620" w:rsidRDefault="00A75620" w:rsidP="003D70FB">
      <w:pPr>
        <w:numPr>
          <w:ilvl w:val="0"/>
          <w:numId w:val="69"/>
        </w:numPr>
        <w:spacing w:after="120"/>
        <w:rPr>
          <w:rFonts w:eastAsia="Times New Roman"/>
          <w:szCs w:val="24"/>
        </w:rPr>
      </w:pPr>
      <w:r w:rsidRPr="00A75620">
        <w:rPr>
          <w:rFonts w:eastAsia="Times New Roman"/>
          <w:szCs w:val="24"/>
        </w:rPr>
        <w:t>Meeting carbon emission targets may prove challenging for the New England region without the widespread development of renewable resources, EE, and interconnections with neighboring systems.</w:t>
      </w:r>
    </w:p>
    <w:p w:rsidR="00A75620" w:rsidRPr="00A75620" w:rsidRDefault="00A75620" w:rsidP="003D70FB">
      <w:pPr>
        <w:numPr>
          <w:ilvl w:val="0"/>
          <w:numId w:val="68"/>
        </w:numPr>
        <w:adjustRightInd w:val="0"/>
        <w:spacing w:after="120"/>
        <w:textAlignment w:val="baseline"/>
      </w:pPr>
      <w:r w:rsidRPr="00A75620">
        <w:t xml:space="preserve">Transitioning New England to a system with decreasing amounts of traditional resources (e.g., coal, oil, nuclear) and increasing amounts of renewable resources will prove physically and economically challenging. Observability, controllability, and interconnection performance are key technical issues that must be addressed for distributed resources and the large-scale development of wind generation resources. </w:t>
      </w:r>
    </w:p>
    <w:p w:rsidR="00A75620" w:rsidRPr="00A75620" w:rsidRDefault="00A75620" w:rsidP="003D70FB">
      <w:pPr>
        <w:numPr>
          <w:ilvl w:val="0"/>
          <w:numId w:val="68"/>
        </w:numPr>
        <w:adjustRightInd w:val="0"/>
        <w:textAlignment w:val="baseline"/>
      </w:pPr>
      <w:r w:rsidRPr="00A75620">
        <w:t xml:space="preserve">Efficient storage technologies, such as pumped storage and distributed storage, and changes in tie schedules can provide systemwide flexibility and facilitate the integration of variable resources. Proper types and placement of flexible resources show the potential for relieving congestion and reducing requirements for regulation, ramping, and reserves. Increasing the development of </w:t>
      </w:r>
      <w:r w:rsidR="0032181D">
        <w:t xml:space="preserve">energy </w:t>
      </w:r>
      <w:r w:rsidRPr="00A75620">
        <w:t>storage technologies used for energy price arbitrage makes them less economic because storage equalizes LMPs across all hours</w:t>
      </w:r>
      <w:r w:rsidR="00A43ABC">
        <w:t xml:space="preserve">. </w:t>
      </w:r>
    </w:p>
    <w:p w:rsidR="00A75620" w:rsidRPr="00A75620" w:rsidRDefault="00A75620" w:rsidP="00A75620">
      <w:pPr>
        <w:adjustRightInd w:val="0"/>
        <w:textAlignment w:val="baseline"/>
      </w:pPr>
      <w:r w:rsidRPr="00A75620">
        <w:lastRenderedPageBreak/>
        <w:t>As part of the 2016 Economic Study, the ISO met with the PAC to discuss many of the challenges of integrating renewable resources.</w:t>
      </w:r>
      <w:r w:rsidRPr="00A75620">
        <w:rPr>
          <w:vertAlign w:val="superscript"/>
        </w:rPr>
        <w:footnoteReference w:id="246"/>
      </w:r>
      <w:r w:rsidRPr="00A75620">
        <w:t xml:space="preserve"> Transitioning New England to a hybrid system with decreasing amounts of traditional resources (e.g., coal, oil, nuclear) and increasing amounts of renewable resources will require significant technical and structural changes, for example:</w:t>
      </w:r>
    </w:p>
    <w:p w:rsidR="00A75620" w:rsidRPr="00A75620" w:rsidRDefault="00A75620" w:rsidP="003D70FB">
      <w:pPr>
        <w:numPr>
          <w:ilvl w:val="0"/>
          <w:numId w:val="68"/>
        </w:numPr>
        <w:adjustRightInd w:val="0"/>
        <w:spacing w:after="120"/>
        <w:textAlignment w:val="baseline"/>
      </w:pPr>
      <w:r w:rsidRPr="00A75620">
        <w:t xml:space="preserve">The equipment must meet established performance requirements, such as power factor, voltage and frequency-response capability, and voltage and frequency ride-through capability. </w:t>
      </w:r>
    </w:p>
    <w:p w:rsidR="00A75620" w:rsidRPr="00B01314" w:rsidRDefault="00A75620" w:rsidP="008E21A4">
      <w:pPr>
        <w:numPr>
          <w:ilvl w:val="0"/>
          <w:numId w:val="68"/>
        </w:numPr>
        <w:adjustRightInd w:val="0"/>
        <w:spacing w:after="120"/>
        <w:textAlignment w:val="baseline"/>
      </w:pPr>
      <w:r w:rsidRPr="00E01204">
        <w:t xml:space="preserve">The large-scale development of asynchronous resources </w:t>
      </w:r>
      <w:r w:rsidR="00773B42" w:rsidRPr="00097CC7">
        <w:t xml:space="preserve">(such as </w:t>
      </w:r>
      <w:r w:rsidR="00097CC7" w:rsidRPr="00605D6E">
        <w:t>HVDC ties, photovoltaics, and wind</w:t>
      </w:r>
      <w:r w:rsidR="00773B42" w:rsidRPr="00097CC7">
        <w:t xml:space="preserve">) </w:t>
      </w:r>
      <w:r w:rsidRPr="00097CC7">
        <w:t>will require the</w:t>
      </w:r>
      <w:r w:rsidRPr="00E01204">
        <w:t xml:space="preserve"> addition of special controls on power system resources and</w:t>
      </w:r>
      <w:r w:rsidRPr="00A75620">
        <w:t xml:space="preserve"> new transmission equipment, especially to compensate for the loss of traditional resources that provide inertia and short-circuit availability</w:t>
      </w:r>
      <w:r w:rsidRPr="00B01314">
        <w:t xml:space="preserve">. </w:t>
      </w:r>
      <w:r w:rsidR="00097CC7" w:rsidRPr="00B01314">
        <w:t xml:space="preserve">The needs are exacerbated by the changing nature </w:t>
      </w:r>
      <w:r w:rsidR="00097CC7" w:rsidRPr="008E21A4">
        <w:t>of demand, especially the large-scale use of energy</w:t>
      </w:r>
      <w:r w:rsidR="00B01314" w:rsidRPr="008E21A4">
        <w:t>-</w:t>
      </w:r>
      <w:r w:rsidR="00097CC7" w:rsidRPr="008E21A4">
        <w:t>efficiency</w:t>
      </w:r>
      <w:r w:rsidR="00B01314" w:rsidRPr="008E21A4">
        <w:t xml:space="preserve"> measures</w:t>
      </w:r>
      <w:r w:rsidR="00097CC7" w:rsidRPr="008E21A4">
        <w:t xml:space="preserve">, which further </w:t>
      </w:r>
      <w:r w:rsidR="008E21A4" w:rsidRPr="008E21A4">
        <w:t>increases the complexity of operating and planning the system</w:t>
      </w:r>
      <w:r w:rsidR="0099528C">
        <w:t xml:space="preserve"> by increasing exposure to light load conditions</w:t>
      </w:r>
      <w:r w:rsidR="008E21A4">
        <w:t>.</w:t>
      </w:r>
      <w:r w:rsidR="0099528C">
        <w:rPr>
          <w:rStyle w:val="FootnoteReference"/>
        </w:rPr>
        <w:footnoteReference w:id="247"/>
      </w:r>
    </w:p>
    <w:p w:rsidR="00A75620" w:rsidRPr="00A75620" w:rsidRDefault="00A75620" w:rsidP="003D70FB">
      <w:pPr>
        <w:numPr>
          <w:ilvl w:val="0"/>
          <w:numId w:val="68"/>
        </w:numPr>
        <w:adjustRightInd w:val="0"/>
        <w:textAlignment w:val="baseline"/>
      </w:pPr>
      <w:r w:rsidRPr="00A75620">
        <w:t xml:space="preserve">Advanced software will facilitate future analysis of the system, especially to conduct probabilistic simulations that consider variable </w:t>
      </w:r>
      <w:r w:rsidR="003B0E8A">
        <w:t xml:space="preserve">energy </w:t>
      </w:r>
      <w:r w:rsidRPr="00A75620">
        <w:t>resource production.</w:t>
      </w:r>
    </w:p>
    <w:p w:rsidR="00A75620" w:rsidRPr="00E443BD" w:rsidRDefault="00A75620" w:rsidP="00E443BD">
      <w:pPr>
        <w:pStyle w:val="Heading3"/>
      </w:pPr>
      <w:bookmarkStart w:id="846" w:name="_Toc490323104"/>
      <w:r w:rsidRPr="00A75620">
        <w:t>2016 Economic Study—Phase II</w:t>
      </w:r>
      <w:bookmarkEnd w:id="846"/>
    </w:p>
    <w:p w:rsidR="00A75620" w:rsidRPr="00A75620" w:rsidRDefault="00A75620" w:rsidP="00A75620">
      <w:r w:rsidRPr="00A75620">
        <w:t xml:space="preserve">Supplemental studies of the Phase I NEPOOL Scenario Analysis assess several market and operational issues. For each of the Phase I scenarios, the Phase II Scenario Analysis examines the following: </w:t>
      </w:r>
    </w:p>
    <w:p w:rsidR="00A75620" w:rsidRPr="00A75620" w:rsidRDefault="00A75620" w:rsidP="003D70FB">
      <w:pPr>
        <w:numPr>
          <w:ilvl w:val="0"/>
          <w:numId w:val="71"/>
        </w:numPr>
        <w:spacing w:after="120"/>
        <w:rPr>
          <w:rFonts w:eastAsia="Times New Roman"/>
          <w:szCs w:val="24"/>
        </w:rPr>
      </w:pPr>
      <w:r w:rsidRPr="00A75620">
        <w:rPr>
          <w:rFonts w:eastAsia="Times New Roman"/>
          <w:szCs w:val="24"/>
        </w:rPr>
        <w:t>Representative Forward Capacity Auction clearing prices</w:t>
      </w:r>
    </w:p>
    <w:p w:rsidR="00A75620" w:rsidRPr="00A75620" w:rsidRDefault="00A75620" w:rsidP="003D70FB">
      <w:pPr>
        <w:numPr>
          <w:ilvl w:val="0"/>
          <w:numId w:val="71"/>
        </w:numPr>
        <w:spacing w:after="120"/>
        <w:rPr>
          <w:rFonts w:eastAsia="Times New Roman"/>
          <w:szCs w:val="24"/>
        </w:rPr>
      </w:pPr>
      <w:r w:rsidRPr="00A75620">
        <w:rPr>
          <w:rFonts w:eastAsia="Times New Roman"/>
          <w:szCs w:val="24"/>
        </w:rPr>
        <w:t>The ability of the natural gas system to supply fuel to generators</w:t>
      </w:r>
    </w:p>
    <w:p w:rsidR="00A75620" w:rsidRPr="00A75620" w:rsidRDefault="00A75620" w:rsidP="003D70FB">
      <w:pPr>
        <w:numPr>
          <w:ilvl w:val="0"/>
          <w:numId w:val="71"/>
        </w:numPr>
        <w:rPr>
          <w:rFonts w:eastAsia="Times New Roman"/>
          <w:szCs w:val="24"/>
        </w:rPr>
      </w:pPr>
      <w:r w:rsidRPr="00A75620">
        <w:rPr>
          <w:rFonts w:eastAsia="Times New Roman"/>
          <w:szCs w:val="24"/>
        </w:rPr>
        <w:t>Changes in the amounts of regulation, ramping, and reserves</w:t>
      </w:r>
    </w:p>
    <w:p w:rsidR="00A75620" w:rsidRPr="00A75620" w:rsidRDefault="00A75620" w:rsidP="00A75620">
      <w:r w:rsidRPr="00A75620">
        <w:t xml:space="preserve">The FCA analysis considered energy market revenues from the Phase I simulations and then determined FCA clearing prices and revenues consistent with market rules. Because resources could retire and develop in the intervening years, the FCA pricing results do not capture the effect of transitions in the resource mix. All resources in the scenarios were considered “existing resources,” and the results provide relative FCA clearing prices across scenarios rather than absolute FCA prices. Key results of the FCA </w:t>
      </w:r>
      <w:r w:rsidRPr="00653493">
        <w:t>analysis are as follows:</w:t>
      </w:r>
      <w:r w:rsidRPr="00653493">
        <w:rPr>
          <w:vertAlign w:val="superscript"/>
        </w:rPr>
        <w:footnoteReference w:id="248"/>
      </w:r>
    </w:p>
    <w:p w:rsidR="00A75620" w:rsidRPr="00A75620" w:rsidRDefault="00A75620" w:rsidP="003D70FB">
      <w:pPr>
        <w:numPr>
          <w:ilvl w:val="0"/>
          <w:numId w:val="70"/>
        </w:numPr>
        <w:spacing w:after="120"/>
        <w:rPr>
          <w:rFonts w:eastAsia="Times New Roman"/>
          <w:szCs w:val="24"/>
        </w:rPr>
      </w:pPr>
      <w:r w:rsidRPr="00A75620">
        <w:rPr>
          <w:rFonts w:eastAsia="Times New Roman"/>
          <w:szCs w:val="24"/>
        </w:rPr>
        <w:t xml:space="preserve">Scenarios with retirements and new entry approximately meeting net ICR result in the highest FCA prices, which are slightly above </w:t>
      </w:r>
      <w:r w:rsidR="00BE656E">
        <w:rPr>
          <w:rFonts w:eastAsia="Times New Roman"/>
          <w:szCs w:val="24"/>
        </w:rPr>
        <w:t xml:space="preserve">the </w:t>
      </w:r>
      <w:r w:rsidRPr="00A75620">
        <w:rPr>
          <w:rFonts w:eastAsia="Times New Roman"/>
          <w:szCs w:val="24"/>
        </w:rPr>
        <w:t xml:space="preserve">net </w:t>
      </w:r>
      <w:r w:rsidRPr="00E01204">
        <w:rPr>
          <w:rFonts w:eastAsia="Times New Roman"/>
          <w:szCs w:val="24"/>
        </w:rPr>
        <w:t>cost of new entry (CONE) (</w:t>
      </w:r>
      <w:r w:rsidR="00E14003" w:rsidRPr="00E01204">
        <w:rPr>
          <w:rFonts w:eastAsia="Times New Roman"/>
          <w:szCs w:val="24"/>
        </w:rPr>
        <w:t xml:space="preserve">i.e., the prices are the same as for </w:t>
      </w:r>
      <w:r w:rsidRPr="00E01204">
        <w:rPr>
          <w:rFonts w:eastAsia="Times New Roman"/>
          <w:szCs w:val="24"/>
        </w:rPr>
        <w:t>existing</w:t>
      </w:r>
      <w:r w:rsidR="00E14003" w:rsidRPr="00E01204">
        <w:rPr>
          <w:rFonts w:eastAsia="Times New Roman"/>
          <w:szCs w:val="24"/>
        </w:rPr>
        <w:t>-</w:t>
      </w:r>
      <w:r w:rsidRPr="00E01204">
        <w:rPr>
          <w:rFonts w:eastAsia="Times New Roman"/>
          <w:szCs w:val="24"/>
        </w:rPr>
        <w:t>resource offer</w:t>
      </w:r>
      <w:r w:rsidR="00E14003" w:rsidRPr="00E01204">
        <w:rPr>
          <w:rFonts w:eastAsia="Times New Roman"/>
          <w:szCs w:val="24"/>
        </w:rPr>
        <w:t>s</w:t>
      </w:r>
      <w:r w:rsidR="000A2E13" w:rsidRPr="00E01204">
        <w:rPr>
          <w:rFonts w:eastAsia="Times New Roman"/>
          <w:szCs w:val="24"/>
        </w:rPr>
        <w:t>.</w:t>
      </w:r>
      <w:r w:rsidRPr="00E01204">
        <w:rPr>
          <w:rFonts w:eastAsia="Times New Roman"/>
          <w:szCs w:val="24"/>
          <w:vertAlign w:val="superscript"/>
        </w:rPr>
        <w:footnoteReference w:id="249"/>
      </w:r>
    </w:p>
    <w:p w:rsidR="00A75620" w:rsidRPr="00A75620" w:rsidRDefault="00A75620" w:rsidP="003D70FB">
      <w:pPr>
        <w:numPr>
          <w:ilvl w:val="0"/>
          <w:numId w:val="70"/>
        </w:numPr>
        <w:spacing w:after="120"/>
        <w:rPr>
          <w:rFonts w:eastAsia="Times New Roman"/>
          <w:szCs w:val="24"/>
        </w:rPr>
      </w:pPr>
      <w:r w:rsidRPr="00A75620">
        <w:rPr>
          <w:rFonts w:eastAsia="Times New Roman"/>
          <w:szCs w:val="24"/>
        </w:rPr>
        <w:lastRenderedPageBreak/>
        <w:t xml:space="preserve">The scenario with no retirements and no major new resources beyond FCA #10 has lower FCA prices. </w:t>
      </w:r>
    </w:p>
    <w:p w:rsidR="00A75620" w:rsidRPr="00A75620" w:rsidRDefault="00A75620" w:rsidP="003D70FB">
      <w:pPr>
        <w:numPr>
          <w:ilvl w:val="0"/>
          <w:numId w:val="70"/>
        </w:numPr>
        <w:spacing w:after="120"/>
        <w:rPr>
          <w:rFonts w:eastAsia="Times New Roman"/>
          <w:szCs w:val="24"/>
        </w:rPr>
      </w:pPr>
      <w:r w:rsidRPr="00A75620">
        <w:rPr>
          <w:rFonts w:eastAsia="Times New Roman"/>
          <w:szCs w:val="24"/>
        </w:rPr>
        <w:t xml:space="preserve">The scenario with retirements with substantial new clean and distributed resources results in the lowest FCA prices because the scenario added large quantities of CSOs in excess of net ICR. </w:t>
      </w:r>
    </w:p>
    <w:p w:rsidR="00A75620" w:rsidRPr="00A75620" w:rsidRDefault="00A75620" w:rsidP="003D70FB">
      <w:pPr>
        <w:numPr>
          <w:ilvl w:val="0"/>
          <w:numId w:val="70"/>
        </w:numPr>
        <w:rPr>
          <w:rFonts w:eastAsia="Times New Roman"/>
          <w:szCs w:val="24"/>
        </w:rPr>
      </w:pPr>
      <w:r w:rsidRPr="00A75620">
        <w:rPr>
          <w:rFonts w:eastAsia="Times New Roman"/>
          <w:szCs w:val="24"/>
        </w:rPr>
        <w:t>All scenarios show the need for additional revenue streams outside the wholesale electricity markets for capacity and energy. Scenarios that added renewables resulted in the greatest revenue shortfalls for all resource types given the higher cost of new entry for renewables</w:t>
      </w:r>
      <w:r w:rsidR="006143D9" w:rsidRPr="006143D9">
        <w:rPr>
          <w:rFonts w:eastAsia="Times New Roman"/>
          <w:szCs w:val="24"/>
        </w:rPr>
        <w:t xml:space="preserve"> </w:t>
      </w:r>
      <w:r w:rsidR="006143D9">
        <w:rPr>
          <w:rFonts w:eastAsia="Times New Roman"/>
          <w:szCs w:val="24"/>
        </w:rPr>
        <w:t>and depressed energy market revenues</w:t>
      </w:r>
      <w:r w:rsidRPr="00A75620">
        <w:rPr>
          <w:rFonts w:eastAsia="Times New Roman"/>
          <w:szCs w:val="24"/>
        </w:rPr>
        <w:t>.</w:t>
      </w:r>
    </w:p>
    <w:p w:rsidR="00A75620" w:rsidRPr="00A75620" w:rsidRDefault="00A75620" w:rsidP="00A75620">
      <w:r w:rsidRPr="00A75620">
        <w:t xml:space="preserve">The second Phase II study examined natural gas system deliverability issues by considering six scenarios for natural gas supply to the region compared with the seasonal fuel requirements of natural-gas-fired </w:t>
      </w:r>
      <w:r w:rsidRPr="00727D9B">
        <w:t xml:space="preserve">generation, recognizing that the </w:t>
      </w:r>
      <w:r w:rsidRPr="00A20556">
        <w:t xml:space="preserve">local distribution company </w:t>
      </w:r>
      <w:r w:rsidRPr="00727D9B">
        <w:t>loads must be served first. The analysis</w:t>
      </w:r>
      <w:r w:rsidRPr="00A75620">
        <w:t xml:space="preserve"> examined the ability of the spare capacity of the natural gas system to serve the installed seasonal claimed capability of natural-gas-fired generation and the amount of gas-fired generation dispatched in the production simulations. But the study did not consider maintenance conditions or forced outages on the natural gas system, which would reduce its capability to serve gas-fired generation across scenarios.</w:t>
      </w:r>
    </w:p>
    <w:p w:rsidR="00A75620" w:rsidRPr="00A75620" w:rsidRDefault="00A75620" w:rsidP="00A75620">
      <w:r w:rsidRPr="00A75620">
        <w:t>Even for maximum assumed natural gas supply to the region, the results show insufficient spare natural gas system capacity to satisfy the installed capacity of all natural-gas-fired generating units across the six resource-expansion scenarios for the 2024/2025 and 2029/2030 winters.</w:t>
      </w:r>
      <w:r w:rsidRPr="00A75620">
        <w:rPr>
          <w:vertAlign w:val="superscript"/>
        </w:rPr>
        <w:footnoteReference w:id="250"/>
      </w:r>
      <w:r w:rsidRPr="00A75620">
        <w:t xml:space="preserve"> Although not all natural</w:t>
      </w:r>
      <w:r w:rsidR="00701205">
        <w:t>-</w:t>
      </w:r>
      <w:r w:rsidRPr="00A75620">
        <w:t>gas-fired generating units will necessarily run during the winter peak, the results show vulnerability to electric power system contingencies, such as reductions in non-natural</w:t>
      </w:r>
      <w:r w:rsidR="00701205">
        <w:t>-</w:t>
      </w:r>
      <w:r w:rsidRPr="00A75620">
        <w:t>gas-fired resources (e.g., nuclear units) and disruptions of electric energy imports, all of which could require the additional use of natural</w:t>
      </w:r>
      <w:r w:rsidR="00701205">
        <w:t>-</w:t>
      </w:r>
      <w:r w:rsidRPr="00A75620">
        <w:t xml:space="preserve">gas-fired units. The study also concludes the region will need to rely on the large-scale addition of energy efficiency and resources that use fuels other than natural gas, such as renewable resources, to supplement the natural gas supply to meet electric system energy needs during the winter operating season. </w:t>
      </w:r>
    </w:p>
    <w:p w:rsidR="00A75620" w:rsidRPr="00A75620" w:rsidRDefault="00A75620" w:rsidP="00A75620">
      <w:pPr>
        <w:rPr>
          <w:highlight w:val="yellow"/>
        </w:rPr>
      </w:pPr>
      <w:r w:rsidRPr="00A75620">
        <w:t>Phase II results also showed that, assuming its full capability, the existing pipeline capacity has sufficient spare natural gas system capacity to serve the natural-gas-fired generating units and their energy requirements for the six resource- expansion scenarios during the summers of 2025 and 2030.</w:t>
      </w:r>
      <w:r w:rsidRPr="00A75620">
        <w:rPr>
          <w:vertAlign w:val="superscript"/>
        </w:rPr>
        <w:footnoteReference w:id="251"/>
      </w:r>
      <w:r w:rsidRPr="00A75620">
        <w:t xml:space="preserve"> The analysis accounts for the reduction in LDC consumption during the summer operating period but did not consider pipeline maintenance conditions that typically occur during the summer</w:t>
      </w:r>
      <w:r w:rsidR="00A43ABC">
        <w:t xml:space="preserve">. </w:t>
      </w:r>
    </w:p>
    <w:p w:rsidR="00A75620" w:rsidRPr="00A75620" w:rsidRDefault="00A75620" w:rsidP="00A75620">
      <w:r w:rsidRPr="00A75620">
        <w:t xml:space="preserve">The third Phase II study is examining intrahour ramping, regulation, and reserve requirements of the system for the six scenarios. The requirements will be quantified through simulation results, which are expected by late 2017. </w:t>
      </w:r>
    </w:p>
    <w:p w:rsidR="00A75620" w:rsidRPr="00B62AF0" w:rsidRDefault="00A75620" w:rsidP="00B62AF0">
      <w:pPr>
        <w:pStyle w:val="Heading3"/>
      </w:pPr>
      <w:bookmarkStart w:id="847" w:name="_Toc490323105"/>
      <w:r w:rsidRPr="00A75620">
        <w:lastRenderedPageBreak/>
        <w:t>2017 Economic Study</w:t>
      </w:r>
      <w:bookmarkEnd w:id="847"/>
    </w:p>
    <w:p w:rsidR="00A75620" w:rsidRPr="00A75620" w:rsidRDefault="00A75620" w:rsidP="00A75620">
      <w:r w:rsidRPr="00097CC7">
        <w:t>The ISO received one request for an economic study in 2017.</w:t>
      </w:r>
      <w:r w:rsidR="00C722E5" w:rsidRPr="00097CC7">
        <w:rPr>
          <w:rStyle w:val="FootnoteReference"/>
        </w:rPr>
        <w:footnoteReference w:id="252"/>
      </w:r>
      <w:r w:rsidRPr="00097CC7">
        <w:t xml:space="preserve"> The study will examine</w:t>
      </w:r>
      <w:r w:rsidR="00C722E5" w:rsidRPr="00097CC7">
        <w:t xml:space="preserve"> </w:t>
      </w:r>
      <w:r w:rsidRPr="00097CC7">
        <w:t>three</w:t>
      </w:r>
      <w:r w:rsidRPr="00A75620">
        <w:t xml:space="preserve"> combinations of large-scale renewable wind, PV, and EE resources, as well as plug-in electric vehicles and distributed storage. The study will show several economic metrics typically provided in economic studies:</w:t>
      </w:r>
    </w:p>
    <w:p w:rsidR="00A75620" w:rsidRPr="00A75620" w:rsidRDefault="00A75620" w:rsidP="003D70FB">
      <w:pPr>
        <w:numPr>
          <w:ilvl w:val="0"/>
          <w:numId w:val="72"/>
        </w:numPr>
        <w:spacing w:after="120"/>
        <w:rPr>
          <w:rFonts w:eastAsia="Times New Roman"/>
          <w:szCs w:val="24"/>
        </w:rPr>
      </w:pPr>
      <w:r w:rsidRPr="00A75620">
        <w:rPr>
          <w:rFonts w:eastAsia="Times New Roman"/>
          <w:szCs w:val="24"/>
        </w:rPr>
        <w:t>Total energy production by resource/fuel type</w:t>
      </w:r>
    </w:p>
    <w:p w:rsidR="00A75620" w:rsidRPr="00A75620" w:rsidRDefault="00A75620" w:rsidP="003D70FB">
      <w:pPr>
        <w:numPr>
          <w:ilvl w:val="0"/>
          <w:numId w:val="72"/>
        </w:numPr>
        <w:spacing w:after="120"/>
        <w:rPr>
          <w:rFonts w:eastAsia="Times New Roman"/>
          <w:szCs w:val="24"/>
        </w:rPr>
      </w:pPr>
      <w:r w:rsidRPr="00A75620">
        <w:rPr>
          <w:rFonts w:eastAsia="Times New Roman"/>
          <w:szCs w:val="24"/>
        </w:rPr>
        <w:t>Systemwide production costs</w:t>
      </w:r>
    </w:p>
    <w:p w:rsidR="00A75620" w:rsidRPr="00A75620" w:rsidRDefault="00A75620" w:rsidP="003D70FB">
      <w:pPr>
        <w:numPr>
          <w:ilvl w:val="0"/>
          <w:numId w:val="72"/>
        </w:numPr>
        <w:spacing w:after="120"/>
        <w:rPr>
          <w:rFonts w:eastAsia="Times New Roman"/>
          <w:szCs w:val="24"/>
        </w:rPr>
      </w:pPr>
      <w:r w:rsidRPr="00A75620">
        <w:rPr>
          <w:rFonts w:eastAsia="Times New Roman"/>
          <w:szCs w:val="24"/>
        </w:rPr>
        <w:t>Average locational marginal prices</w:t>
      </w:r>
    </w:p>
    <w:p w:rsidR="00A75620" w:rsidRPr="00A75620" w:rsidRDefault="00A75620" w:rsidP="003D70FB">
      <w:pPr>
        <w:numPr>
          <w:ilvl w:val="0"/>
          <w:numId w:val="72"/>
        </w:numPr>
        <w:spacing w:after="120"/>
        <w:rPr>
          <w:rFonts w:eastAsia="Times New Roman"/>
          <w:szCs w:val="24"/>
        </w:rPr>
      </w:pPr>
      <w:r w:rsidRPr="00A75620">
        <w:rPr>
          <w:rFonts w:eastAsia="Times New Roman"/>
          <w:szCs w:val="24"/>
        </w:rPr>
        <w:t>Load-serving entity energy expenses and congestion</w:t>
      </w:r>
    </w:p>
    <w:p w:rsidR="00A75620" w:rsidRPr="00A75620" w:rsidRDefault="00A75620" w:rsidP="003D70FB">
      <w:pPr>
        <w:numPr>
          <w:ilvl w:val="0"/>
          <w:numId w:val="72"/>
        </w:numPr>
        <w:spacing w:after="120"/>
        <w:rPr>
          <w:rFonts w:eastAsia="Times New Roman"/>
          <w:szCs w:val="24"/>
        </w:rPr>
      </w:pPr>
      <w:r w:rsidRPr="00A75620">
        <w:rPr>
          <w:rFonts w:eastAsia="Times New Roman"/>
          <w:szCs w:val="24"/>
        </w:rPr>
        <w:t>High order-of-magnitude cost estimates for transmission development</w:t>
      </w:r>
    </w:p>
    <w:p w:rsidR="00A75620" w:rsidRPr="00A75620" w:rsidRDefault="00A75620" w:rsidP="003D70FB">
      <w:pPr>
        <w:numPr>
          <w:ilvl w:val="0"/>
          <w:numId w:val="72"/>
        </w:numPr>
        <w:spacing w:after="120"/>
        <w:rPr>
          <w:rFonts w:eastAsia="Times New Roman"/>
          <w:szCs w:val="24"/>
        </w:rPr>
      </w:pPr>
      <w:r w:rsidRPr="00A75620">
        <w:rPr>
          <w:rFonts w:eastAsia="Times New Roman"/>
          <w:szCs w:val="24"/>
        </w:rPr>
        <w:t>Relative annual resource costs for the addition of new resources</w:t>
      </w:r>
    </w:p>
    <w:p w:rsidR="00A75620" w:rsidRPr="00A75620" w:rsidRDefault="00A75620" w:rsidP="003D70FB">
      <w:pPr>
        <w:numPr>
          <w:ilvl w:val="0"/>
          <w:numId w:val="72"/>
        </w:numPr>
        <w:spacing w:after="120"/>
        <w:rPr>
          <w:rFonts w:eastAsia="Times New Roman"/>
          <w:szCs w:val="24"/>
        </w:rPr>
      </w:pPr>
      <w:r w:rsidRPr="00A75620">
        <w:rPr>
          <w:rFonts w:eastAsia="Times New Roman"/>
          <w:szCs w:val="24"/>
        </w:rPr>
        <w:t xml:space="preserve">Environmental emissions </w:t>
      </w:r>
    </w:p>
    <w:p w:rsidR="00A75620" w:rsidRPr="00A75620" w:rsidRDefault="00A75620" w:rsidP="00DA62A0">
      <w:pPr>
        <w:numPr>
          <w:ilvl w:val="0"/>
          <w:numId w:val="72"/>
        </w:numPr>
        <w:rPr>
          <w:rFonts w:eastAsia="Times New Roman"/>
          <w:szCs w:val="24"/>
        </w:rPr>
      </w:pPr>
      <w:r w:rsidRPr="00A01253">
        <w:rPr>
          <w:rFonts w:eastAsia="Times New Roman"/>
          <w:szCs w:val="24"/>
        </w:rPr>
        <w:t>“Spillage” of renewable</w:t>
      </w:r>
      <w:r w:rsidRPr="00A75620">
        <w:rPr>
          <w:rFonts w:eastAsia="Times New Roman"/>
          <w:szCs w:val="24"/>
        </w:rPr>
        <w:t xml:space="preserve"> resource energy production due excess production systemwide or  transmission constraints that bottle economical resources  </w:t>
      </w:r>
    </w:p>
    <w:p w:rsidR="00A75620" w:rsidRPr="00E443BD" w:rsidRDefault="00A75620" w:rsidP="00E443BD">
      <w:pPr>
        <w:pStyle w:val="Heading2"/>
        <w:rPr>
          <w:rFonts w:eastAsia="Times New Roman"/>
        </w:rPr>
      </w:pPr>
      <w:bookmarkStart w:id="848" w:name="_Toc396807681"/>
      <w:bookmarkStart w:id="849" w:name="_Toc429063472"/>
      <w:bookmarkStart w:id="850" w:name="_Toc490323106"/>
      <w:r w:rsidRPr="00A75620">
        <w:rPr>
          <w:rFonts w:eastAsia="Times New Roman"/>
        </w:rPr>
        <w:t>Summary</w:t>
      </w:r>
      <w:bookmarkEnd w:id="848"/>
      <w:bookmarkEnd w:id="849"/>
      <w:bookmarkEnd w:id="850"/>
      <w:r w:rsidRPr="00A75620">
        <w:rPr>
          <w:rFonts w:eastAsia="Times New Roman"/>
        </w:rPr>
        <w:t xml:space="preserve"> </w:t>
      </w:r>
    </w:p>
    <w:p w:rsidR="00A75620" w:rsidRPr="00A75620" w:rsidRDefault="00A75620" w:rsidP="00A75620">
      <w:r w:rsidRPr="00A75620">
        <w:t xml:space="preserve">The ISO continues to enable the reliable </w:t>
      </w:r>
      <w:r w:rsidRPr="008C763A">
        <w:t>integration</w:t>
      </w:r>
      <w:r w:rsidRPr="00A75620">
        <w:t xml:space="preserve"> of wind and distributed resources. The implementation of wind forecasting and dispatch have improved the operation of the system. </w:t>
      </w:r>
      <w:r w:rsidR="00097CC7" w:rsidRPr="00097CC7">
        <w:t xml:space="preserve">Additional work remains on incorporating the effects of PV in improved short-term load-forecasting tools for use by system operators and fully addressing the potential reliability risks </w:t>
      </w:r>
      <w:r w:rsidR="00097CC7" w:rsidRPr="00B01314">
        <w:t>and benefits</w:t>
      </w:r>
      <w:r w:rsidR="00097CC7" w:rsidRPr="00097CC7">
        <w:t xml:space="preserve"> posed by growing penetrations of PV.</w:t>
      </w:r>
    </w:p>
    <w:p w:rsidR="00A75620" w:rsidRPr="006E67FC" w:rsidRDefault="00A75620" w:rsidP="00A75620">
      <w:pPr>
        <w:rPr>
          <w:vanish/>
          <w:specVanish/>
        </w:rPr>
      </w:pPr>
      <w:r w:rsidRPr="00A75620">
        <w:t xml:space="preserve">The </w:t>
      </w:r>
      <w:r w:rsidRPr="00A75620">
        <w:rPr>
          <w:i/>
        </w:rPr>
        <w:t>Strategic Transmission Analys</w:t>
      </w:r>
      <w:r w:rsidRPr="00A75620">
        <w:t>i</w:t>
      </w:r>
      <w:r w:rsidRPr="00A75620">
        <w:rPr>
          <w:i/>
        </w:rPr>
        <w:t>s</w:t>
      </w:r>
      <w:r w:rsidRPr="00A75620">
        <w:rPr>
          <w:i/>
          <w:szCs w:val="18"/>
        </w:rPr>
        <w:t>: Wind Integration Study</w:t>
      </w:r>
      <w:r w:rsidRPr="00A75620">
        <w:t xml:space="preserve"> developed conceptual additions to the transmission system that would enable onshore wind resources to reliably serve load. Clustering the ISO’s interconnection queue facilitates the addition of wind resources. The equipment must meet established performance requirements, such as power factor, voltage and frequency-response capability, and voltage and frequency ride-through capability. Revisions to the interconnection standards for distributed resources will improve reliability and increase the amount of PV that can be interconnected to the system. The large-scale development of asynchronous resources will require the addition of special controls on power system resources and new transmission equipment.</w:t>
      </w:r>
    </w:p>
    <w:p w:rsidR="00A75620" w:rsidRPr="00A75620" w:rsidRDefault="00D7381E" w:rsidP="00A75620">
      <w:r>
        <w:t xml:space="preserve"> </w:t>
      </w:r>
      <w:r w:rsidR="00A75620" w:rsidRPr="00A75620">
        <w:t>Economic studies have examined various scenarios of changes in transfer capabilities, resource expansion, and retirement scenarios. The 2015 economic studies of the Keene Road area, onshore wind expansion, and offshore wind expansion provided information on the potential need for transmission upgrades that would facilitate the development of wind resources. The 2016 Economic Studies provide a common framework for future discussions on several issues facing the New England region and the need for physical infrastructure and improvements to the wholesale electric markets.</w:t>
      </w:r>
    </w:p>
    <w:p w:rsidR="00B2271F" w:rsidRPr="00A75620" w:rsidRDefault="00FA0E55" w:rsidP="00A75620">
      <w:r w:rsidRPr="00B01314">
        <w:lastRenderedPageBreak/>
        <w:t>PV and wind generation reduce energy prices</w:t>
      </w:r>
      <w:r w:rsidR="006E28D5">
        <w:t>,</w:t>
      </w:r>
      <w:r w:rsidRPr="00B01314">
        <w:t xml:space="preserve"> lower regional emissions, </w:t>
      </w:r>
      <w:r w:rsidR="006E28D5">
        <w:t xml:space="preserve">and </w:t>
      </w:r>
      <w:r w:rsidRPr="00B01314">
        <w:t xml:space="preserve">present several technical challenges. The ISO continues to work with stakeholders to address these </w:t>
      </w:r>
      <w:r w:rsidR="006E28D5">
        <w:t>effects</w:t>
      </w:r>
      <w:r w:rsidRPr="00B01314">
        <w:t xml:space="preserve">, including the need for any enhancements to the markets. </w:t>
      </w:r>
    </w:p>
    <w:p w:rsidR="003D70FB" w:rsidRPr="00E443BD" w:rsidRDefault="003D70FB" w:rsidP="00E443BD">
      <w:pPr>
        <w:pStyle w:val="Heading1"/>
      </w:pPr>
      <w:bookmarkStart w:id="851" w:name="_Ref418359320"/>
      <w:bookmarkStart w:id="852" w:name="_Ref418860448"/>
      <w:bookmarkStart w:id="853" w:name="_Ref418861997"/>
      <w:bookmarkStart w:id="854" w:name="_Ref418883909"/>
      <w:bookmarkStart w:id="855" w:name="_Ref418891206"/>
      <w:bookmarkStart w:id="856" w:name="_Toc429063473"/>
      <w:r w:rsidRPr="00E443BD">
        <w:lastRenderedPageBreak/>
        <w:br/>
      </w:r>
      <w:bookmarkStart w:id="857" w:name="_Toc485367335"/>
      <w:bookmarkStart w:id="858" w:name="_Ref485718449"/>
      <w:bookmarkStart w:id="859" w:name="_Ref485736810"/>
      <w:bookmarkStart w:id="860" w:name="_Toc490323107"/>
      <w:r w:rsidR="00066D33">
        <w:t>Multistate</w:t>
      </w:r>
      <w:r w:rsidRPr="00E443BD">
        <w:t>, ISO, and State Initiatives</w:t>
      </w:r>
      <w:bookmarkEnd w:id="857"/>
      <w:bookmarkEnd w:id="858"/>
      <w:bookmarkEnd w:id="859"/>
      <w:bookmarkEnd w:id="860"/>
    </w:p>
    <w:p w:rsidR="003D70FB" w:rsidRPr="003D70FB" w:rsidRDefault="003D70FB" w:rsidP="003D70FB">
      <w:r w:rsidRPr="00144231">
        <w:t>State</w:t>
      </w:r>
      <w:r w:rsidR="006E28D5">
        <w:t xml:space="preserve"> and multistate</w:t>
      </w:r>
      <w:r w:rsidRPr="00144231">
        <w:t xml:space="preserve"> initiatives and policies have a significant impact on the wholesale electricity markets and transmission developed to meet system needs, specifically influencing the timing, type, and location of resources and transmission infrastructure. Federal initiatives, by FERC, DOE, and the White House, address reliability and security issues. Initiatives and policies by each of the six New England</w:t>
      </w:r>
      <w:r w:rsidRPr="003D70FB">
        <w:t xml:space="preserve"> states address energy infrastructure, renewable energy, and environmental concerns. ISO initiatives focus on new technologies and enhancing operating and planning procedures.</w:t>
      </w:r>
    </w:p>
    <w:p w:rsidR="003D70FB" w:rsidRPr="00C343B5" w:rsidRDefault="002F2C34" w:rsidP="0008357B">
      <w:pPr>
        <w:pStyle w:val="Heading2"/>
        <w:rPr>
          <w:rFonts w:eastAsia="Times New Roman"/>
          <w:b w:val="0"/>
          <w:bCs w:val="0"/>
        </w:rPr>
      </w:pPr>
      <w:bookmarkStart w:id="861" w:name="_Ref360787033"/>
      <w:bookmarkStart w:id="862" w:name="_Toc365441062"/>
      <w:bookmarkStart w:id="863" w:name="_Toc396807696"/>
      <w:bookmarkStart w:id="864" w:name="_Toc485367337"/>
      <w:bookmarkStart w:id="865" w:name="_Toc490323109"/>
      <w:r w:rsidRPr="00B01314">
        <w:rPr>
          <w:rFonts w:eastAsia="Times New Roman"/>
        </w:rPr>
        <w:t xml:space="preserve">Multistate </w:t>
      </w:r>
      <w:r w:rsidR="003D70FB" w:rsidRPr="00C343B5">
        <w:rPr>
          <w:rFonts w:eastAsia="Times New Roman"/>
        </w:rPr>
        <w:t>Initiatives</w:t>
      </w:r>
      <w:bookmarkEnd w:id="861"/>
      <w:bookmarkEnd w:id="862"/>
      <w:bookmarkEnd w:id="863"/>
      <w:bookmarkEnd w:id="864"/>
      <w:bookmarkEnd w:id="865"/>
    </w:p>
    <w:p w:rsidR="003D70FB" w:rsidRDefault="003D70FB" w:rsidP="003D70FB">
      <w:r w:rsidRPr="002F2C34">
        <w:t xml:space="preserve">This section discusses activities at the </w:t>
      </w:r>
      <w:r w:rsidR="00FA4836" w:rsidRPr="002F2C34">
        <w:t>multistate</w:t>
      </w:r>
      <w:r w:rsidRPr="002F2C34">
        <w:t xml:space="preserve"> level that affect the </w:t>
      </w:r>
      <w:r w:rsidRPr="00CF6433">
        <w:t>regional power system.</w:t>
      </w:r>
      <w:r w:rsidRPr="002F2C34">
        <w:t xml:space="preserve"> </w:t>
      </w:r>
    </w:p>
    <w:p w:rsidR="00CF6433" w:rsidRPr="00B01314" w:rsidRDefault="00CF6433" w:rsidP="00CF6433">
      <w:pPr>
        <w:pStyle w:val="Heading3"/>
        <w:rPr>
          <w:rFonts w:eastAsia="Times New Roman"/>
        </w:rPr>
      </w:pPr>
      <w:bookmarkStart w:id="866" w:name="_Toc490323110"/>
      <w:r w:rsidRPr="00B01314">
        <w:t>Eastern Interconnection States Planning Council</w:t>
      </w:r>
      <w:bookmarkEnd w:id="866"/>
    </w:p>
    <w:p w:rsidR="00CF6433" w:rsidRPr="00B01314" w:rsidRDefault="00CF6433" w:rsidP="003D70FB">
      <w:pPr>
        <w:rPr>
          <w:b/>
          <w:bCs/>
          <w:iCs/>
          <w:vertAlign w:val="superscript"/>
        </w:rPr>
      </w:pPr>
      <w:r w:rsidRPr="003D70FB">
        <w:rPr>
          <w:iCs/>
        </w:rPr>
        <w:t>The New England states are active participants in the interconnection-wide planning for the Eastern Interconnection. The Eastern Interconnection States Planning Council (EISPC) is an organization of 39 states and eight Canadian provinces in the Eastern Interconnection electric transmission grid, including representatives from New England, responsible for participating with the planning authorities that are part of the EIPC.</w:t>
      </w:r>
      <w:r w:rsidR="00C16879">
        <w:rPr>
          <w:rStyle w:val="FootnoteReference"/>
          <w:iCs/>
        </w:rPr>
        <w:footnoteReference w:id="253"/>
      </w:r>
      <w:r w:rsidRPr="003D70FB">
        <w:rPr>
          <w:iCs/>
        </w:rPr>
        <w:t xml:space="preserve"> Initially funded by a DOE Funding Opportunity Announcement, the EISPC </w:t>
      </w:r>
      <w:r w:rsidRPr="00BE656E">
        <w:rPr>
          <w:iCs/>
        </w:rPr>
        <w:t xml:space="preserve">comprises public utilities commissions </w:t>
      </w:r>
      <w:r w:rsidRPr="00653493">
        <w:rPr>
          <w:iCs/>
        </w:rPr>
        <w:t>(PUCs),</w:t>
      </w:r>
      <w:r w:rsidRPr="00BE656E">
        <w:rPr>
          <w:iCs/>
        </w:rPr>
        <w:t xml:space="preserve"> governors' offices, energy offices, and other key</w:t>
      </w:r>
      <w:r w:rsidRPr="003D70FB">
        <w:rPr>
          <w:iCs/>
        </w:rPr>
        <w:t xml:space="preserve"> government representatives and provides input to the EIPC study effort. The EISPC has begun functioning as part of the National Council on Electricity Policy (NCEP), which has been recently reinvigorated by </w:t>
      </w:r>
      <w:r>
        <w:rPr>
          <w:iCs/>
        </w:rPr>
        <w:t>the National Association of Regulatory Utility Commissioners (</w:t>
      </w:r>
      <w:r w:rsidRPr="003D70FB">
        <w:rPr>
          <w:iCs/>
        </w:rPr>
        <w:t>NARUC</w:t>
      </w:r>
      <w:r>
        <w:rPr>
          <w:iCs/>
        </w:rPr>
        <w:t>)</w:t>
      </w:r>
      <w:r w:rsidRPr="003D70FB">
        <w:rPr>
          <w:iCs/>
        </w:rPr>
        <w:t>.</w:t>
      </w:r>
      <w:r w:rsidR="006A7952">
        <w:rPr>
          <w:rStyle w:val="FootnoteReference"/>
          <w:iCs/>
        </w:rPr>
        <w:footnoteReference w:id="254"/>
      </w:r>
      <w:r w:rsidRPr="003D70FB">
        <w:rPr>
          <w:iCs/>
        </w:rPr>
        <w:t xml:space="preserve"> As a planning authority, the ISO participates in EIPC and has provided support to the EISPC, as appropriate.</w:t>
      </w:r>
      <w:r w:rsidR="006A7952">
        <w:rPr>
          <w:iCs/>
        </w:rPr>
        <w:t xml:space="preserve"> </w:t>
      </w:r>
      <w:r w:rsidR="006A7952" w:rsidRPr="00B01314">
        <w:rPr>
          <w:iCs/>
        </w:rPr>
        <w:t xml:space="preserve">Section </w:t>
      </w:r>
      <w:r w:rsidR="006A7952">
        <w:rPr>
          <w:iCs/>
        </w:rPr>
        <w:fldChar w:fldCharType="begin"/>
      </w:r>
      <w:r w:rsidR="006A7952">
        <w:rPr>
          <w:iCs/>
        </w:rPr>
        <w:instrText xml:space="preserve"> REF _Ref490309072 \r \h </w:instrText>
      </w:r>
      <w:r w:rsidR="006A7952">
        <w:rPr>
          <w:iCs/>
        </w:rPr>
      </w:r>
      <w:r w:rsidR="006A7952">
        <w:rPr>
          <w:iCs/>
        </w:rPr>
        <w:fldChar w:fldCharType="separate"/>
      </w:r>
      <w:r w:rsidR="006A7952">
        <w:rPr>
          <w:iCs/>
        </w:rPr>
        <w:t>6.1</w:t>
      </w:r>
      <w:r w:rsidR="006A7952">
        <w:rPr>
          <w:iCs/>
        </w:rPr>
        <w:fldChar w:fldCharType="end"/>
      </w:r>
      <w:r w:rsidR="006A7952">
        <w:rPr>
          <w:iCs/>
        </w:rPr>
        <w:t xml:space="preserve"> discusses some EIPC studies.</w:t>
      </w:r>
    </w:p>
    <w:p w:rsidR="003D70FB" w:rsidRPr="002F2C34" w:rsidRDefault="003D70FB" w:rsidP="002F2C34">
      <w:pPr>
        <w:pStyle w:val="Heading3"/>
      </w:pPr>
      <w:bookmarkStart w:id="867" w:name="_Toc365441063"/>
      <w:bookmarkStart w:id="868" w:name="_Ref388278697"/>
      <w:bookmarkStart w:id="869" w:name="_Ref388711066"/>
      <w:bookmarkStart w:id="870" w:name="_Ref388962933"/>
      <w:bookmarkStart w:id="871" w:name="_Toc396807697"/>
      <w:bookmarkStart w:id="872" w:name="_Ref416425488"/>
      <w:bookmarkStart w:id="873" w:name="_Ref419639926"/>
      <w:bookmarkStart w:id="874" w:name="_Toc485367338"/>
      <w:bookmarkStart w:id="875" w:name="_Toc490323111"/>
      <w:r w:rsidRPr="002F2C34">
        <w:t>Coordination among the New England States</w:t>
      </w:r>
      <w:bookmarkEnd w:id="867"/>
      <w:bookmarkEnd w:id="868"/>
      <w:bookmarkEnd w:id="869"/>
      <w:bookmarkEnd w:id="870"/>
      <w:bookmarkEnd w:id="871"/>
      <w:bookmarkEnd w:id="872"/>
      <w:bookmarkEnd w:id="873"/>
      <w:bookmarkEnd w:id="874"/>
      <w:bookmarkEnd w:id="875"/>
      <w:r w:rsidRPr="002F2C34">
        <w:t xml:space="preserve"> </w:t>
      </w:r>
    </w:p>
    <w:p w:rsidR="00CF6433" w:rsidRDefault="003D70FB" w:rsidP="003D70FB">
      <w:bookmarkStart w:id="876" w:name="_Toc365441065"/>
      <w:bookmarkStart w:id="877" w:name="_Toc396807698"/>
      <w:r w:rsidRPr="003D70FB">
        <w:t>The New England states have worked together continually to identify, discuss, and address energy issues of common interest. Even with this history of cooperation, each state has a unique set of energy policy objectives and goals.</w:t>
      </w:r>
    </w:p>
    <w:p w:rsidR="003D70FB" w:rsidRPr="003D70FB" w:rsidRDefault="003D70FB" w:rsidP="003D70FB">
      <w:r w:rsidRPr="003D70FB">
        <w:t>Each of the New England states is actively involved in the ISO’s regional planning process, individually and through the New England States Committee on Electricity (NESCOE).</w:t>
      </w:r>
      <w:r w:rsidRPr="003D70FB">
        <w:rPr>
          <w:vertAlign w:val="superscript"/>
        </w:rPr>
        <w:footnoteReference w:id="255"/>
      </w:r>
      <w:r w:rsidRPr="003D70FB">
        <w:t xml:space="preserve"> NESCOE serves as one forum for representatives from the states to participate in the ISO's decision-making processes, including those dealing with resource adequacy and system planning and infrastructure expansion. </w:t>
      </w:r>
    </w:p>
    <w:p w:rsidR="003D70FB" w:rsidRDefault="003D70FB" w:rsidP="003D70FB">
      <w:pPr>
        <w:rPr>
          <w:rFonts w:eastAsia="Times New Roman"/>
        </w:rPr>
      </w:pPr>
      <w:r w:rsidRPr="003D70FB">
        <w:rPr>
          <w:rFonts w:eastAsia="Times New Roman"/>
        </w:rPr>
        <w:t xml:space="preserve">In addition to NESCOE, the ISO works collaboratively with the New England Conference of Public Utilities Commissioners (NECPUC), the New England governors’ offices, and the states’ consumer advocates. The </w:t>
      </w:r>
      <w:r w:rsidRPr="003D70FB">
        <w:rPr>
          <w:rFonts w:eastAsia="Times New Roman"/>
        </w:rPr>
        <w:lastRenderedPageBreak/>
        <w:t>ISO provides monthly updates to the states on regional stakeholder discussions regarding the regional planning process and the wholesale electricity markets.</w:t>
      </w:r>
      <w:r w:rsidRPr="003D70FB">
        <w:rPr>
          <w:rFonts w:eastAsia="Times New Roman"/>
          <w:vertAlign w:val="superscript"/>
        </w:rPr>
        <w:footnoteReference w:id="256"/>
      </w:r>
      <w:r w:rsidRPr="003D70FB">
        <w:rPr>
          <w:rFonts w:eastAsia="Times New Roman"/>
        </w:rPr>
        <w:t xml:space="preserve"> </w:t>
      </w:r>
    </w:p>
    <w:p w:rsidR="003D70FB" w:rsidRPr="00B62AF0" w:rsidRDefault="003D70FB" w:rsidP="00E443BD">
      <w:pPr>
        <w:pStyle w:val="Heading3"/>
      </w:pPr>
      <w:bookmarkStart w:id="878" w:name="_Toc485367339"/>
      <w:bookmarkStart w:id="879" w:name="_Toc490323112"/>
      <w:r w:rsidRPr="00B62AF0">
        <w:t>Consumer Liaison Group</w:t>
      </w:r>
      <w:bookmarkEnd w:id="876"/>
      <w:bookmarkEnd w:id="877"/>
      <w:bookmarkEnd w:id="878"/>
      <w:bookmarkEnd w:id="879"/>
    </w:p>
    <w:p w:rsidR="003D70FB" w:rsidRPr="003D70FB" w:rsidRDefault="003D70FB" w:rsidP="003D70FB">
      <w:bookmarkStart w:id="880" w:name="_Ref419278782"/>
      <w:r w:rsidRPr="003D70FB">
        <w:t>The ISO and regional electricity market stakeholders created the Consumer Liaison Group (CLG) in 2009 as an additional means to facilitate the consideration of consumer interests in determining the needs and solutions for the region’s power system.</w:t>
      </w:r>
      <w:r w:rsidRPr="003D70FB">
        <w:rPr>
          <w:vertAlign w:val="superscript"/>
        </w:rPr>
        <w:footnoteReference w:id="257"/>
      </w:r>
      <w:r w:rsidRPr="003D70FB">
        <w:t xml:space="preserve"> With representatives from state offices of consumer advocates and attorneys general, large industrial and commercial consumers, chambers of commerce, and others, the CLG meets quarterly to address various </w:t>
      </w:r>
      <w:r w:rsidR="00476ECC">
        <w:t>ele</w:t>
      </w:r>
      <w:r w:rsidR="00306D3C">
        <w:t>c</w:t>
      </w:r>
      <w:r w:rsidR="00476ECC">
        <w:t>tricity</w:t>
      </w:r>
      <w:r w:rsidRPr="003D70FB">
        <w:t xml:space="preserve"> issues</w:t>
      </w:r>
      <w:r w:rsidR="00476ECC">
        <w:t xml:space="preserve"> affecting consumers</w:t>
      </w:r>
      <w:r w:rsidRPr="003D70FB">
        <w:t>. With the input of CLG members, a Coordinating Committee guides CLG meeting agendas and ideas for special guest speakers and discussion topics.</w:t>
      </w:r>
    </w:p>
    <w:p w:rsidR="003D70FB" w:rsidRPr="003D70FB" w:rsidRDefault="003D70FB" w:rsidP="003D70FB">
      <w:r w:rsidRPr="003D70FB">
        <w:t xml:space="preserve">In 2016, the CLG’s discussions focused on issues relating to distributed energy resources, advanced technology and cybersecurity, energy infrastructure, and the New England states’ clean energy initiatives. On March 1, 2017, the CLG Coordinating Committee and the ISO issued the </w:t>
      </w:r>
      <w:r w:rsidRPr="003D70FB">
        <w:rPr>
          <w:i/>
        </w:rPr>
        <w:t>2016 Report of the Consumer Liaison Group</w:t>
      </w:r>
      <w:r w:rsidRPr="003D70FB">
        <w:t>, which summarizes the activities of the CLG in 2016.</w:t>
      </w:r>
      <w:r w:rsidRPr="003D70FB">
        <w:rPr>
          <w:vertAlign w:val="superscript"/>
        </w:rPr>
        <w:footnoteReference w:id="258"/>
      </w:r>
      <w:r w:rsidRPr="003D70FB">
        <w:t xml:space="preserve"> It also provides an update on ISO activities and initiatives, as well as wholesale electricity costs and retail electricity rates.</w:t>
      </w:r>
    </w:p>
    <w:p w:rsidR="003D70FB" w:rsidRPr="00E443BD" w:rsidRDefault="003D70FB" w:rsidP="00E443BD">
      <w:pPr>
        <w:pStyle w:val="Heading3"/>
      </w:pPr>
      <w:bookmarkStart w:id="881" w:name="_Toc485367340"/>
      <w:bookmarkStart w:id="882" w:name="_Ref486240401"/>
      <w:bookmarkStart w:id="883" w:name="_Ref486240479"/>
      <w:bookmarkStart w:id="884" w:name="_Toc490323113"/>
      <w:r w:rsidRPr="00E443BD">
        <w:t>Southern New England States’ R</w:t>
      </w:r>
      <w:r w:rsidR="000E2F93">
        <w:t xml:space="preserve">equest for </w:t>
      </w:r>
      <w:r w:rsidRPr="00E443BD">
        <w:t>P</w:t>
      </w:r>
      <w:bookmarkEnd w:id="880"/>
      <w:bookmarkEnd w:id="881"/>
      <w:bookmarkEnd w:id="882"/>
      <w:bookmarkEnd w:id="883"/>
      <w:r w:rsidR="000E2F93">
        <w:t>roposals</w:t>
      </w:r>
      <w:bookmarkEnd w:id="884"/>
    </w:p>
    <w:p w:rsidR="003D70FB" w:rsidRDefault="003D70FB" w:rsidP="003D70FB">
      <w:pPr>
        <w:rPr>
          <w:rFonts w:asciiTheme="minorHAnsi" w:hAnsiTheme="minorHAnsi"/>
          <w:sz w:val="22"/>
          <w:szCs w:val="22"/>
        </w:rPr>
      </w:pPr>
      <w:bookmarkStart w:id="885" w:name="_Toc365441066"/>
      <w:bookmarkStart w:id="886" w:name="_Toc396807699"/>
      <w:r w:rsidRPr="003D70FB">
        <w:rPr>
          <w:rFonts w:eastAsia="Calibri"/>
        </w:rPr>
        <w:t>In November 2015, the three southern New England states</w:t>
      </w:r>
      <w:r w:rsidR="00CF6433">
        <w:rPr>
          <w:rFonts w:eastAsia="Calibri"/>
        </w:rPr>
        <w:t>—</w:t>
      </w:r>
      <w:r w:rsidRPr="003D70FB">
        <w:rPr>
          <w:rFonts w:eastAsia="Calibri"/>
        </w:rPr>
        <w:t>Massachusetts, Connecticut and Rhode Island</w:t>
      </w:r>
      <w:r w:rsidR="00CF6433">
        <w:rPr>
          <w:rFonts w:eastAsia="Calibri"/>
        </w:rPr>
        <w:t>—</w:t>
      </w:r>
      <w:r w:rsidRPr="003D70FB">
        <w:rPr>
          <w:rFonts w:eastAsia="Calibri"/>
        </w:rPr>
        <w:t>issued an RFP f</w:t>
      </w:r>
      <w:r w:rsidR="00A7028B">
        <w:rPr>
          <w:rFonts w:eastAsia="Calibri"/>
        </w:rPr>
        <w:t>or</w:t>
      </w:r>
      <w:r w:rsidRPr="003D70FB">
        <w:rPr>
          <w:rFonts w:eastAsia="Calibri"/>
        </w:rPr>
        <w:t xml:space="preserve"> clean energy resources and electric transmission developers to deliver additional supplies of renewable energy and large-scale hydropower to the New England power system. </w:t>
      </w:r>
      <w:r w:rsidRPr="003D70FB">
        <w:t>Bids submitted by the January 28, 2016, deadline were considered by an evaluation team that made its final selection on October 24, 2016. The three states collectively selected projects that represent approximately 460 MW of clean energy for the New England market. None of the projects included associated transmission to deliver the clean energy supplies to New England load centers. The projects selected advanced to the contract negotiation stage with the three states’</w:t>
      </w:r>
      <w:r w:rsidR="00CF3A2F" w:rsidRPr="00CF3A2F">
        <w:t xml:space="preserve"> </w:t>
      </w:r>
      <w:r w:rsidR="00CF3A2F" w:rsidRPr="00B20739">
        <w:t xml:space="preserve">electric distribution companies </w:t>
      </w:r>
      <w:r w:rsidR="00CF3A2F" w:rsidRPr="00CF3A2F">
        <w:t>(</w:t>
      </w:r>
      <w:r w:rsidRPr="00CF3A2F">
        <w:t>EDCs</w:t>
      </w:r>
      <w:r w:rsidR="00CF3A2F" w:rsidRPr="00CF3A2F">
        <w:t>)</w:t>
      </w:r>
      <w:r w:rsidRPr="00CF3A2F">
        <w:t>, and are subject to review by each state’s utility commission.</w:t>
      </w:r>
      <w:r w:rsidRPr="003D70FB">
        <w:rPr>
          <w:rFonts w:asciiTheme="minorHAnsi" w:hAnsiTheme="minorHAnsi"/>
          <w:sz w:val="22"/>
          <w:szCs w:val="22"/>
        </w:rPr>
        <w:t xml:space="preserve"> </w:t>
      </w:r>
    </w:p>
    <w:p w:rsidR="003D70FB" w:rsidRPr="00E443BD" w:rsidRDefault="003D70FB" w:rsidP="00E443BD">
      <w:pPr>
        <w:pStyle w:val="Heading2"/>
        <w:rPr>
          <w:rFonts w:eastAsia="Times New Roman"/>
        </w:rPr>
      </w:pPr>
      <w:bookmarkStart w:id="887" w:name="_Toc485367341"/>
      <w:bookmarkStart w:id="888" w:name="_Toc490323114"/>
      <w:r w:rsidRPr="00E443BD">
        <w:rPr>
          <w:rFonts w:eastAsia="Times New Roman"/>
        </w:rPr>
        <w:t>ISO Initiatives</w:t>
      </w:r>
      <w:bookmarkEnd w:id="885"/>
      <w:bookmarkEnd w:id="886"/>
      <w:bookmarkEnd w:id="887"/>
      <w:bookmarkEnd w:id="888"/>
      <w:r w:rsidRPr="00E443BD">
        <w:rPr>
          <w:rFonts w:eastAsia="Times New Roman"/>
        </w:rPr>
        <w:t xml:space="preserve"> </w:t>
      </w:r>
    </w:p>
    <w:p w:rsidR="003D70FB" w:rsidRPr="003D70FB" w:rsidRDefault="003D70FB" w:rsidP="003D70FB">
      <w:r w:rsidRPr="003D70FB">
        <w:t>The ISO is involved in a number of initiatives aimed at developing and integrating new technologies, and enhancing operating and planning procedures to enhance system reliability.</w:t>
      </w:r>
    </w:p>
    <w:p w:rsidR="003D70FB" w:rsidRPr="00B62AF0" w:rsidRDefault="003D70FB" w:rsidP="00E443BD">
      <w:pPr>
        <w:pStyle w:val="Heading3"/>
      </w:pPr>
      <w:bookmarkStart w:id="889" w:name="_Ref360786801"/>
      <w:bookmarkStart w:id="890" w:name="_Toc365441068"/>
      <w:bookmarkStart w:id="891" w:name="_Toc396807701"/>
      <w:bookmarkStart w:id="892" w:name="_Toc419033553"/>
      <w:bookmarkStart w:id="893" w:name="_Toc485367342"/>
      <w:bookmarkStart w:id="894" w:name="_Toc490323115"/>
      <w:r w:rsidRPr="00B62AF0">
        <w:t>Updates on Developing and Integrating Smart Grid and Other New Technologies</w:t>
      </w:r>
      <w:bookmarkEnd w:id="889"/>
      <w:bookmarkEnd w:id="890"/>
      <w:bookmarkEnd w:id="891"/>
      <w:bookmarkEnd w:id="892"/>
      <w:bookmarkEnd w:id="893"/>
      <w:bookmarkEnd w:id="894"/>
    </w:p>
    <w:p w:rsidR="003D70FB" w:rsidRPr="003D70FB" w:rsidRDefault="003D70FB" w:rsidP="003D70FB">
      <w:r w:rsidRPr="003D70FB">
        <w:t xml:space="preserve">The ISO strives to keep up to date with new technologies that can have an impact on the region’s electric power grid. As policymakers set targets and allocate public funds for developing smart grid initiatives and renewable resource generation, the ISO analyzes the effects of these technologies on system </w:t>
      </w:r>
      <w:r w:rsidRPr="003D70FB">
        <w:lastRenderedPageBreak/>
        <w:t>operations and reliability.</w:t>
      </w:r>
      <w:r w:rsidRPr="003D70FB">
        <w:rPr>
          <w:vertAlign w:val="superscript"/>
        </w:rPr>
        <w:footnoteReference w:id="259"/>
      </w:r>
      <w:r w:rsidRPr="003D70FB">
        <w:t xml:space="preserve"> Several of the technology developments and challenges affecting the planning of the New England region involve integrating smart grid equipment, improving operator awareness and system modeling through the use of phasor measurement units (PMUs), and using HVDC facilities and flexible alternating-current transmission system (FACTS) devices.</w:t>
      </w:r>
      <w:r w:rsidRPr="003D70FB">
        <w:rPr>
          <w:vertAlign w:val="superscript"/>
        </w:rPr>
        <w:footnoteReference w:id="260"/>
      </w:r>
    </w:p>
    <w:p w:rsidR="003D70FB" w:rsidRPr="00B62AF0" w:rsidRDefault="003D70FB" w:rsidP="00E443BD">
      <w:pPr>
        <w:pStyle w:val="Heading4"/>
      </w:pPr>
      <w:r w:rsidRPr="00B62AF0">
        <w:t>Research Participation and Technical Support</w:t>
      </w:r>
    </w:p>
    <w:p w:rsidR="003D70FB" w:rsidRPr="003D70FB" w:rsidRDefault="003D70FB" w:rsidP="003D70FB">
      <w:r w:rsidRPr="003D70FB">
        <w:t>The ISO currently participates in several research projects sponsored by DOE, the Power System Engineering Research Center (PSERC), and the Electric Power Research Institute that support the successful integration of advanced technologies.</w:t>
      </w:r>
      <w:r w:rsidRPr="003D70FB">
        <w:rPr>
          <w:vertAlign w:val="superscript"/>
        </w:rPr>
        <w:footnoteReference w:id="261"/>
      </w:r>
      <w:r w:rsidRPr="003D70FB">
        <w:t xml:space="preserve"> Additionally, the ISO is providing technical and other support for the development of demand-response-related and other market-related standards by the North American Energy Standards Board (NAESB).</w:t>
      </w:r>
      <w:r w:rsidRPr="003D70FB">
        <w:rPr>
          <w:vertAlign w:val="superscript"/>
        </w:rPr>
        <w:footnoteReference w:id="262"/>
      </w:r>
      <w:r w:rsidRPr="003D70FB">
        <w:t xml:space="preserve"> The ISO staff and stakeholders remain professionally active in the Institute of Electrical and Electronics Engineers (IEEE), a society that serves to educate its members and the public at large, as well as develops standards for the interconnection and operation of smart grid technologies.</w:t>
      </w:r>
      <w:r w:rsidRPr="003D70FB">
        <w:rPr>
          <w:vertAlign w:val="superscript"/>
        </w:rPr>
        <w:footnoteReference w:id="263"/>
      </w:r>
      <w:r w:rsidR="00C343B5" w:rsidRPr="00C343B5">
        <w:t xml:space="preserve"> </w:t>
      </w:r>
    </w:p>
    <w:p w:rsidR="003D70FB" w:rsidRPr="003D70FB" w:rsidRDefault="003D70FB" w:rsidP="00722607">
      <w:pPr>
        <w:pStyle w:val="Heading4"/>
      </w:pPr>
      <w:bookmarkStart w:id="895" w:name="_Toc365441069"/>
      <w:bookmarkStart w:id="896" w:name="_Ref365558373"/>
      <w:bookmarkStart w:id="897" w:name="_Ref388800249"/>
      <w:bookmarkStart w:id="898" w:name="_Toc396807702"/>
      <w:r w:rsidRPr="003D70FB">
        <w:t>Operational Efficiencies through Advanced Technology</w:t>
      </w:r>
    </w:p>
    <w:p w:rsidR="003D70FB" w:rsidRPr="003D70FB" w:rsidRDefault="003D70FB" w:rsidP="003D70FB">
      <w:pPr>
        <w:autoSpaceDE w:val="0"/>
        <w:autoSpaceDN w:val="0"/>
        <w:adjustRightInd w:val="0"/>
      </w:pPr>
      <w:r w:rsidRPr="003D70FB">
        <w:t>To satisfy an increasing number of required transmission plan studies and enhance the ISO’s ability, speed, and costs of using more detailed and sophisticated system models and scenarios, the ISO uses cloud computing. The initiative—the first of its kind for large-scale power system simulation studies in the industry—is already yielding successful early results.</w:t>
      </w:r>
      <w:r w:rsidRPr="003D70FB">
        <w:rPr>
          <w:vertAlign w:val="superscript"/>
        </w:rPr>
        <w:footnoteReference w:id="264"/>
      </w:r>
      <w:r w:rsidRPr="003D70FB">
        <w:t xml:space="preserve"> In addition, various projects to create new systems and tools for greater operational and planning efficiencies and performance are also underway. The ISO remains a leader in the application of phasor measurement units, which include projects related to voltage stability, control room visualization, and power system modeling. The ISO uses PMUs for detecting oscillation sources, which identifies potential control system issues in power system equipment. </w:t>
      </w:r>
    </w:p>
    <w:p w:rsidR="003D70FB" w:rsidRPr="003D70FB" w:rsidRDefault="003D70FB" w:rsidP="003D70FB">
      <w:pPr>
        <w:autoSpaceDE w:val="0"/>
        <w:autoSpaceDN w:val="0"/>
        <w:adjustRightInd w:val="0"/>
      </w:pPr>
      <w:r w:rsidRPr="003D70FB">
        <w:t xml:space="preserve">Where appropriate and cost effective, the application of power electronics to the power system through high-voltage direct-current and flexible alternating-current transmission system technologies can </w:t>
      </w:r>
      <w:r w:rsidRPr="003D70FB">
        <w:lastRenderedPageBreak/>
        <w:t xml:space="preserve">address performance concerns on the transmission system. HVDC and FACTS use a combination of solid-state switches and computerized automation that enables nearly instantaneous customized control of real or reactive power flows—far faster than traditional electromechanical switches. As part of its planning process, the ISO has reaffirmed the need for specific FACTS devices, several of which are old. </w:t>
      </w:r>
      <w:r w:rsidR="001A0C5B" w:rsidRPr="001A0C5B">
        <w:fldChar w:fldCharType="begin"/>
      </w:r>
      <w:r w:rsidR="001A0C5B" w:rsidRPr="001A0C5B">
        <w:instrText xml:space="preserve"> REF _Ref485806555 \h  \* MERGEFORMAT </w:instrText>
      </w:r>
      <w:r w:rsidR="001A0C5B" w:rsidRPr="001A0C5B">
        <w:fldChar w:fldCharType="separate"/>
      </w:r>
      <w:r w:rsidR="00314781" w:rsidRPr="00195273">
        <w:rPr>
          <w:bCs/>
        </w:rPr>
        <w:t xml:space="preserve">Figure </w:t>
      </w:r>
      <w:r w:rsidR="00314781" w:rsidRPr="00195273">
        <w:rPr>
          <w:bCs/>
          <w:noProof/>
        </w:rPr>
        <w:t>10</w:t>
      </w:r>
      <w:r w:rsidR="00314781" w:rsidRPr="00195273">
        <w:rPr>
          <w:bCs/>
          <w:noProof/>
        </w:rPr>
        <w:noBreakHyphen/>
        <w:t>1</w:t>
      </w:r>
      <w:r w:rsidR="001A0C5B" w:rsidRPr="001A0C5B">
        <w:fldChar w:fldCharType="end"/>
      </w:r>
      <w:r w:rsidR="001A0C5B" w:rsidRPr="001A0C5B">
        <w:t xml:space="preserve"> </w:t>
      </w:r>
      <w:r w:rsidRPr="001A0C5B">
        <w:t>shows retired, refurbished, and planned HVDC and</w:t>
      </w:r>
      <w:r w:rsidRPr="003D70FB">
        <w:t xml:space="preserve"> FACTS devices in New England. </w:t>
      </w:r>
    </w:p>
    <w:p w:rsidR="00C61919" w:rsidRDefault="00C61919" w:rsidP="00195273">
      <w:pPr>
        <w:keepNext/>
        <w:keepLines/>
        <w:tabs>
          <w:tab w:val="left" w:pos="8730"/>
        </w:tabs>
        <w:spacing w:after="0" w:line="240" w:lineRule="auto"/>
        <w:ind w:left="86" w:right="-187"/>
        <w:rPr>
          <w:rFonts w:ascii="Calibri" w:hAnsi="Calibri"/>
          <w:b/>
          <w:bCs/>
          <w:sz w:val="18"/>
          <w:szCs w:val="18"/>
        </w:rPr>
      </w:pPr>
      <w:r w:rsidRPr="00C84FC3">
        <w:rPr>
          <w:noProof/>
        </w:rPr>
        <w:drawing>
          <wp:inline distT="0" distB="0" distL="0" distR="0" wp14:anchorId="01A71D56" wp14:editId="031D0F63">
            <wp:extent cx="5710790" cy="4245429"/>
            <wp:effectExtent l="19050" t="19050" r="23495" b="222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715000" cy="4248559"/>
                    </a:xfrm>
                    <a:prstGeom prst="rect">
                      <a:avLst/>
                    </a:prstGeom>
                    <a:noFill/>
                    <a:ln w="3175">
                      <a:solidFill>
                        <a:srgbClr val="000000"/>
                      </a:solidFill>
                    </a:ln>
                  </pic:spPr>
                </pic:pic>
              </a:graphicData>
            </a:graphic>
          </wp:inline>
        </w:drawing>
      </w:r>
    </w:p>
    <w:p w:rsidR="00D7120C" w:rsidRDefault="00D7120C" w:rsidP="00195273">
      <w:pPr>
        <w:tabs>
          <w:tab w:val="left" w:pos="8730"/>
        </w:tabs>
        <w:spacing w:before="120" w:after="80" w:line="240" w:lineRule="auto"/>
        <w:ind w:left="90" w:right="-180"/>
        <w:rPr>
          <w:rFonts w:ascii="Calibri" w:hAnsi="Calibri"/>
          <w:b/>
          <w:bCs/>
          <w:sz w:val="18"/>
          <w:szCs w:val="18"/>
        </w:rPr>
      </w:pPr>
      <w:bookmarkStart w:id="899" w:name="_Ref485806555"/>
      <w:bookmarkStart w:id="900" w:name="_Toc486233225"/>
      <w:r w:rsidRPr="00BE656E">
        <w:rPr>
          <w:rFonts w:ascii="Calibri" w:hAnsi="Calibri"/>
          <w:b/>
          <w:bCs/>
          <w:sz w:val="18"/>
          <w:szCs w:val="18"/>
        </w:rPr>
        <w:t xml:space="preserve">Figure </w:t>
      </w:r>
      <w:r w:rsidRPr="00BE656E">
        <w:rPr>
          <w:rFonts w:ascii="Calibri" w:hAnsi="Calibri"/>
          <w:b/>
          <w:bCs/>
          <w:sz w:val="18"/>
          <w:szCs w:val="18"/>
        </w:rPr>
        <w:fldChar w:fldCharType="begin"/>
      </w:r>
      <w:r w:rsidRPr="00BE656E">
        <w:rPr>
          <w:rFonts w:ascii="Calibri" w:hAnsi="Calibri"/>
          <w:b/>
          <w:bCs/>
          <w:sz w:val="18"/>
          <w:szCs w:val="18"/>
        </w:rPr>
        <w:instrText xml:space="preserve"> STYLEREF 1 \s </w:instrText>
      </w:r>
      <w:r w:rsidRPr="00BE656E">
        <w:rPr>
          <w:rFonts w:ascii="Calibri" w:hAnsi="Calibri"/>
          <w:b/>
          <w:bCs/>
          <w:sz w:val="18"/>
          <w:szCs w:val="18"/>
        </w:rPr>
        <w:fldChar w:fldCharType="separate"/>
      </w:r>
      <w:r w:rsidR="00314781">
        <w:rPr>
          <w:rFonts w:ascii="Calibri" w:hAnsi="Calibri"/>
          <w:b/>
          <w:bCs/>
          <w:noProof/>
          <w:sz w:val="18"/>
          <w:szCs w:val="18"/>
        </w:rPr>
        <w:t>10</w:t>
      </w:r>
      <w:r w:rsidRPr="00BE656E">
        <w:rPr>
          <w:rFonts w:ascii="Calibri" w:hAnsi="Calibri"/>
          <w:b/>
          <w:bCs/>
          <w:sz w:val="18"/>
          <w:szCs w:val="18"/>
        </w:rPr>
        <w:fldChar w:fldCharType="end"/>
      </w:r>
      <w:r w:rsidRPr="00BE656E">
        <w:rPr>
          <w:rFonts w:ascii="Calibri" w:hAnsi="Calibri"/>
          <w:b/>
          <w:bCs/>
          <w:sz w:val="18"/>
          <w:szCs w:val="18"/>
        </w:rPr>
        <w:noBreakHyphen/>
      </w:r>
      <w:r w:rsidRPr="00BE656E">
        <w:rPr>
          <w:rFonts w:ascii="Calibri" w:hAnsi="Calibri"/>
          <w:b/>
          <w:bCs/>
          <w:sz w:val="18"/>
          <w:szCs w:val="18"/>
        </w:rPr>
        <w:fldChar w:fldCharType="begin"/>
      </w:r>
      <w:r w:rsidRPr="00BE656E">
        <w:rPr>
          <w:rFonts w:ascii="Calibri" w:hAnsi="Calibri"/>
          <w:b/>
          <w:bCs/>
          <w:sz w:val="18"/>
          <w:szCs w:val="18"/>
        </w:rPr>
        <w:instrText xml:space="preserve"> SEQ Figure \* ARABIC \s 1 </w:instrText>
      </w:r>
      <w:r w:rsidRPr="00BE656E">
        <w:rPr>
          <w:rFonts w:ascii="Calibri" w:hAnsi="Calibri"/>
          <w:b/>
          <w:bCs/>
          <w:sz w:val="18"/>
          <w:szCs w:val="18"/>
        </w:rPr>
        <w:fldChar w:fldCharType="separate"/>
      </w:r>
      <w:r w:rsidR="00314781">
        <w:rPr>
          <w:rFonts w:ascii="Calibri" w:hAnsi="Calibri"/>
          <w:b/>
          <w:bCs/>
          <w:noProof/>
          <w:sz w:val="18"/>
          <w:szCs w:val="18"/>
        </w:rPr>
        <w:t>1</w:t>
      </w:r>
      <w:r w:rsidRPr="00BE656E">
        <w:rPr>
          <w:rFonts w:ascii="Calibri" w:hAnsi="Calibri"/>
          <w:b/>
          <w:bCs/>
          <w:sz w:val="18"/>
          <w:szCs w:val="18"/>
        </w:rPr>
        <w:fldChar w:fldCharType="end"/>
      </w:r>
      <w:bookmarkEnd w:id="899"/>
      <w:r w:rsidRPr="00BE656E">
        <w:rPr>
          <w:rFonts w:ascii="Calibri" w:hAnsi="Calibri"/>
          <w:b/>
          <w:bCs/>
          <w:sz w:val="18"/>
          <w:szCs w:val="18"/>
        </w:rPr>
        <w:t>: Existing and planned FACTS devices in New England.</w:t>
      </w:r>
      <w:bookmarkEnd w:id="900"/>
    </w:p>
    <w:p w:rsidR="003D70FB" w:rsidRPr="003D70FB" w:rsidRDefault="003D70FB" w:rsidP="00195273">
      <w:pPr>
        <w:spacing w:line="240" w:lineRule="auto"/>
        <w:ind w:left="90" w:right="-180"/>
        <w:rPr>
          <w:rFonts w:asciiTheme="minorHAnsi" w:eastAsiaTheme="minorEastAsia" w:hAnsi="Calibri" w:cstheme="minorBidi"/>
          <w:kern w:val="24"/>
          <w:sz w:val="16"/>
          <w:szCs w:val="16"/>
        </w:rPr>
      </w:pPr>
      <w:r w:rsidRPr="00C84FC3">
        <w:rPr>
          <w:rFonts w:ascii="Calibri" w:eastAsia="Times New Roman" w:hAnsi="Calibri"/>
          <w:b/>
          <w:sz w:val="16"/>
          <w:szCs w:val="16"/>
        </w:rPr>
        <w:t xml:space="preserve">Notes: (a) </w:t>
      </w:r>
      <w:r w:rsidRPr="00C84FC3">
        <w:rPr>
          <w:rFonts w:ascii="Calibri" w:eastAsia="Times New Roman" w:hAnsi="Calibri"/>
          <w:sz w:val="16"/>
          <w:szCs w:val="16"/>
        </w:rPr>
        <w:t>The</w:t>
      </w:r>
      <w:r w:rsidRPr="003D70FB">
        <w:rPr>
          <w:rFonts w:ascii="Calibri" w:eastAsia="Times New Roman" w:hAnsi="Calibri"/>
          <w:sz w:val="16"/>
          <w:szCs w:val="16"/>
        </w:rPr>
        <w:t xml:space="preserve"> acronyms and abbreviations in the key refer to the following terms: HVDC = high voltage, direct current. VSC = voltage source converter. SVC = static voltage ampere reactive (V) compensator. STATCOM = static synchronous compensator. DVAR = dynamic voltage ampere reactive. </w:t>
      </w:r>
      <w:r w:rsidRPr="003D70FB">
        <w:rPr>
          <w:rFonts w:asciiTheme="minorHAnsi" w:eastAsiaTheme="minorEastAsia" w:hAnsi="Calibri" w:cstheme="minorBidi"/>
          <w:b/>
          <w:kern w:val="24"/>
          <w:sz w:val="16"/>
          <w:szCs w:val="16"/>
        </w:rPr>
        <w:t>(b)</w:t>
      </w:r>
      <w:r w:rsidRPr="003D70FB">
        <w:rPr>
          <w:rFonts w:asciiTheme="minorHAnsi" w:eastAsiaTheme="minorEastAsia" w:hAnsi="Calibri" w:cstheme="minorBidi"/>
          <w:kern w:val="24"/>
          <w:sz w:val="16"/>
          <w:szCs w:val="16"/>
        </w:rPr>
        <w:t xml:space="preserve"> Plans </w:t>
      </w:r>
      <w:r w:rsidR="00195273">
        <w:rPr>
          <w:rFonts w:asciiTheme="minorHAnsi" w:eastAsiaTheme="minorEastAsia" w:hAnsi="Calibri" w:cstheme="minorBidi"/>
          <w:kern w:val="24"/>
          <w:sz w:val="16"/>
          <w:szCs w:val="16"/>
        </w:rPr>
        <w:t xml:space="preserve">call for </w:t>
      </w:r>
      <w:r w:rsidRPr="003D70FB">
        <w:rPr>
          <w:rFonts w:asciiTheme="minorHAnsi" w:eastAsiaTheme="minorEastAsia" w:hAnsi="Calibri" w:cstheme="minorBidi"/>
          <w:kern w:val="24"/>
          <w:sz w:val="16"/>
          <w:szCs w:val="16"/>
        </w:rPr>
        <w:t>replac</w:t>
      </w:r>
      <w:r w:rsidR="00195273">
        <w:rPr>
          <w:rFonts w:asciiTheme="minorHAnsi" w:eastAsiaTheme="minorEastAsia" w:hAnsi="Calibri" w:cstheme="minorBidi"/>
          <w:kern w:val="24"/>
          <w:sz w:val="16"/>
          <w:szCs w:val="16"/>
        </w:rPr>
        <w:t>ing</w:t>
      </w:r>
      <w:r w:rsidRPr="003D70FB">
        <w:rPr>
          <w:rFonts w:asciiTheme="minorHAnsi" w:eastAsiaTheme="minorEastAsia" w:hAnsi="Calibri" w:cstheme="minorBidi"/>
          <w:kern w:val="24"/>
          <w:sz w:val="16"/>
          <w:szCs w:val="16"/>
        </w:rPr>
        <w:t xml:space="preserve"> the DVAR at Stony Hill and Bates Rock with a synchronous condenser at Stony Hill. </w:t>
      </w:r>
    </w:p>
    <w:p w:rsidR="003D70FB" w:rsidRPr="003D70FB" w:rsidRDefault="003D70FB" w:rsidP="00195273">
      <w:pPr>
        <w:spacing w:after="200" w:line="276" w:lineRule="auto"/>
      </w:pPr>
      <w:r w:rsidRPr="003D70FB">
        <w:t xml:space="preserve">Another initiative is the ISO’s monitoring of local </w:t>
      </w:r>
      <w:r w:rsidR="0032181D">
        <w:t>energy</w:t>
      </w:r>
      <w:r w:rsidR="00273B73">
        <w:t>-</w:t>
      </w:r>
      <w:r w:rsidRPr="003D70FB">
        <w:t xml:space="preserve">storage technologies, such as batteries and quick-responding automated demand response, and other smart grid technologies to anticipate their potential effect on regional system performance. Distribution utilities and local customers must address issues posed by the integration of variable </w:t>
      </w:r>
      <w:r w:rsidR="003B0E8A">
        <w:t xml:space="preserve">energy </w:t>
      </w:r>
      <w:r w:rsidRPr="003D70FB">
        <w:t>resource on the distribution system, such as voltage regulation and power quality, and may need to apply local storage and smart grid technologies to improve electrical performance</w:t>
      </w:r>
      <w:r w:rsidR="005B146A">
        <w:t xml:space="preserve">. </w:t>
      </w:r>
      <w:r w:rsidRPr="003D70FB">
        <w:t xml:space="preserve">The ISO is also a leader in simulating detailed models of HVDC, FACTS, and wind and PV resources and accounting for potential adverse interactions </w:t>
      </w:r>
      <w:r w:rsidR="00195273">
        <w:t xml:space="preserve">resulting from </w:t>
      </w:r>
      <w:r w:rsidRPr="003D70FB">
        <w:t xml:space="preserve">the </w:t>
      </w:r>
      <w:r w:rsidRPr="00C343B5">
        <w:t>widespread use of inverter-based technologies</w:t>
      </w:r>
      <w:r w:rsidR="00195273" w:rsidRPr="00C343B5">
        <w:t xml:space="preserve">. These types of simulations </w:t>
      </w:r>
      <w:r w:rsidRPr="00C343B5">
        <w:t>increase the</w:t>
      </w:r>
      <w:r w:rsidRPr="00195273">
        <w:t xml:space="preserve"> complexity of system studies</w:t>
      </w:r>
      <w:r w:rsidR="00195273" w:rsidRPr="00195273">
        <w:t xml:space="preserve">, which </w:t>
      </w:r>
      <w:r w:rsidRPr="003D70FB">
        <w:t>must accurately model control and protection systems and their interactions.</w:t>
      </w:r>
    </w:p>
    <w:p w:rsidR="003D70FB" w:rsidRPr="00E443BD" w:rsidRDefault="003D70FB" w:rsidP="00E443BD">
      <w:pPr>
        <w:pStyle w:val="Heading3"/>
      </w:pPr>
      <w:bookmarkStart w:id="901" w:name="_Toc490323116"/>
      <w:bookmarkStart w:id="902" w:name="_Ref418973933"/>
      <w:bookmarkStart w:id="903" w:name="_Toc485367343"/>
      <w:r w:rsidRPr="00B62AF0">
        <w:lastRenderedPageBreak/>
        <w:t>Transmission Planning Initiat</w:t>
      </w:r>
      <w:r w:rsidRPr="00E443BD">
        <w:t>ives</w:t>
      </w:r>
      <w:bookmarkEnd w:id="901"/>
      <w:r w:rsidRPr="00E443BD">
        <w:t xml:space="preserve"> </w:t>
      </w:r>
      <w:bookmarkEnd w:id="895"/>
      <w:bookmarkEnd w:id="896"/>
      <w:bookmarkEnd w:id="897"/>
      <w:bookmarkEnd w:id="898"/>
      <w:bookmarkEnd w:id="902"/>
      <w:bookmarkEnd w:id="903"/>
    </w:p>
    <w:p w:rsidR="003D70FB" w:rsidRPr="003D70FB" w:rsidRDefault="003D70FB" w:rsidP="003D70FB">
      <w:r w:rsidRPr="003D70FB">
        <w:t xml:space="preserve">The ISO has developed methods to better represent and make assumptions about system conditions for probability and statistical analyses of load levels and generator availability. Work continues to improve the modeling of </w:t>
      </w:r>
      <w:r w:rsidR="003B0E8A">
        <w:t>VERs</w:t>
      </w:r>
      <w:r w:rsidRPr="003D70FB">
        <w:t xml:space="preserve">. Ongoing and future efforts through the stakeholder process will review data sources and identify or specify new simulation tools, which will extend beyond 2017. </w:t>
      </w:r>
    </w:p>
    <w:p w:rsidR="003D70FB" w:rsidRPr="003D70FB" w:rsidRDefault="003D70FB" w:rsidP="003D70FB">
      <w:r w:rsidRPr="003D70FB">
        <w:t xml:space="preserve">The ISO has updated the </w:t>
      </w:r>
      <w:r w:rsidRPr="003D70FB">
        <w:rPr>
          <w:i/>
        </w:rPr>
        <w:t>Transmission Planning Process Guide</w:t>
      </w:r>
      <w:r w:rsidRPr="003D70FB">
        <w:t xml:space="preserve"> to reflect the new methodology. The ISO has also updated the Process Guide to reflect FERC Order No. 1000’s required </w:t>
      </w:r>
      <w:r w:rsidRPr="002E4113">
        <w:t>changes to the planning process</w:t>
      </w:r>
      <w:r w:rsidR="002E4113">
        <w:t xml:space="preserve">. Refer to </w:t>
      </w:r>
      <w:r w:rsidRPr="002E4113">
        <w:t>Section</w:t>
      </w:r>
      <w:r w:rsidR="002E4113" w:rsidRPr="002E4113">
        <w:t>s</w:t>
      </w:r>
      <w:r w:rsidRPr="002E4113">
        <w:t xml:space="preserve"> </w:t>
      </w:r>
      <w:r w:rsidR="002E4113">
        <w:fldChar w:fldCharType="begin"/>
      </w:r>
      <w:r w:rsidR="002E4113">
        <w:instrText xml:space="preserve"> REF _Ref418972745 \r \h </w:instrText>
      </w:r>
      <w:r w:rsidR="002E4113">
        <w:fldChar w:fldCharType="separate"/>
      </w:r>
      <w:r w:rsidR="00314781">
        <w:t>2.1.2</w:t>
      </w:r>
      <w:r w:rsidR="002E4113">
        <w:fldChar w:fldCharType="end"/>
      </w:r>
      <w:r w:rsidR="002E4113">
        <w:t xml:space="preserve"> and </w:t>
      </w:r>
      <w:r w:rsidR="002E4113">
        <w:fldChar w:fldCharType="begin"/>
      </w:r>
      <w:r w:rsidR="002E4113">
        <w:instrText xml:space="preserve"> REF _Ref485808803 \r \h </w:instrText>
      </w:r>
      <w:r w:rsidR="002E4113">
        <w:fldChar w:fldCharType="separate"/>
      </w:r>
      <w:r w:rsidR="00314781">
        <w:t>5.3</w:t>
      </w:r>
      <w:r w:rsidR="002E4113">
        <w:fldChar w:fldCharType="end"/>
      </w:r>
      <w:r w:rsidR="002E4113" w:rsidRPr="002E4113">
        <w:t>.</w:t>
      </w:r>
    </w:p>
    <w:p w:rsidR="003D70FB" w:rsidRPr="00B62AF0" w:rsidRDefault="003D70FB" w:rsidP="00E443BD">
      <w:pPr>
        <w:pStyle w:val="Heading3"/>
      </w:pPr>
      <w:bookmarkStart w:id="904" w:name="_Toc485367344"/>
      <w:bookmarkStart w:id="905" w:name="_Ref485735432"/>
      <w:bookmarkStart w:id="906" w:name="_Ref485737104"/>
      <w:bookmarkStart w:id="907" w:name="_Toc490323117"/>
      <w:r w:rsidRPr="00B62AF0">
        <w:t>ISO Market Initiatives</w:t>
      </w:r>
      <w:bookmarkEnd w:id="904"/>
      <w:bookmarkEnd w:id="905"/>
      <w:bookmarkEnd w:id="906"/>
      <w:bookmarkEnd w:id="907"/>
    </w:p>
    <w:p w:rsidR="003D70FB" w:rsidRPr="003D70FB" w:rsidRDefault="003D70FB" w:rsidP="003D70FB">
      <w:r w:rsidRPr="003D70FB">
        <w:t>The ISO maintains system reliability and economic efficiency through the region’s competitive wholesale electricity markets and short- and long-term projects that enhance the markets.</w:t>
      </w:r>
      <w:r>
        <w:t xml:space="preserve"> </w:t>
      </w:r>
      <w:r w:rsidRPr="003D70FB">
        <w:t>The FCM Performance Incentives project, Price-Responsive Demand project, and the Competitive Auctions with S</w:t>
      </w:r>
      <w:r w:rsidR="00C57E2B">
        <w:t>ponsored</w:t>
      </w:r>
      <w:r w:rsidRPr="003D70FB">
        <w:t xml:space="preserve"> Policy Resources project represent several key market projects at the ISO.</w:t>
      </w:r>
    </w:p>
    <w:p w:rsidR="003D70FB" w:rsidRPr="00B62AF0" w:rsidRDefault="003D70FB" w:rsidP="00E443BD">
      <w:pPr>
        <w:pStyle w:val="Heading4"/>
      </w:pPr>
      <w:bookmarkStart w:id="908" w:name="_Ref485997234"/>
      <w:r w:rsidRPr="00B62AF0">
        <w:t>Price-Responsive Demand Project</w:t>
      </w:r>
      <w:bookmarkEnd w:id="908"/>
    </w:p>
    <w:p w:rsidR="003D70FB" w:rsidRPr="003D70FB" w:rsidRDefault="003D70FB" w:rsidP="003D70FB">
      <w:r w:rsidRPr="003D70FB">
        <w:t xml:space="preserve">FERC Order No. 745, </w:t>
      </w:r>
      <w:r w:rsidRPr="003D70FB">
        <w:rPr>
          <w:i/>
        </w:rPr>
        <w:t>Demand-Response Compensation in Organized Wholesale Energy Markets</w:t>
      </w:r>
      <w:r w:rsidRPr="003D70FB">
        <w:t>, requires organized wholesale energy markets to pay demand-response providers the market price for electric energy for reducing consumption below expected levels, when doing so lowers costs to consumers and helps balance real-time supply and demand.</w:t>
      </w:r>
      <w:r w:rsidRPr="003D70FB">
        <w:rPr>
          <w:vertAlign w:val="superscript"/>
        </w:rPr>
        <w:footnoteReference w:id="265"/>
      </w:r>
      <w:r w:rsidRPr="003D70FB">
        <w:t xml:space="preserve"> To comply with the order, the ISO modified its existing demand-response programs and is implementing various market-rule changes for fully integrating demand response and further improving overall market efficiency. The ISO also has proposed modifications to the market rules to allow demand-response resources that participate in the energy market to also provide reserves, similar to other supply resources. Demand-response resources will be fully integrated into the wholesale energy, reserves, and capacity markets on June 1, 2018.</w:t>
      </w:r>
    </w:p>
    <w:p w:rsidR="003D70FB" w:rsidRPr="00B62AF0" w:rsidRDefault="003D70FB" w:rsidP="00E443BD">
      <w:pPr>
        <w:pStyle w:val="Heading4"/>
      </w:pPr>
      <w:bookmarkStart w:id="909" w:name="_Ref487018898"/>
      <w:r w:rsidRPr="00B62AF0">
        <w:t>Forward Capacity Market Incentives</w:t>
      </w:r>
      <w:bookmarkEnd w:id="909"/>
    </w:p>
    <w:p w:rsidR="003D70FB" w:rsidRPr="003D70FB" w:rsidRDefault="003D70FB" w:rsidP="003D70FB">
      <w:r w:rsidRPr="003D70FB">
        <w:t xml:space="preserve">Recent enhancements to the FCM are designed to better meet operational needs. The FCA clearing prices for new resources may be locked in for seven years, creating financial stability. The introduction of priced retirement delist bids in FCA #10 (which replaced nonpriced retirements) has helped ensure that resources leave the marketplace when it is economically appropriate. FCA #9 introduced the systemwide </w:t>
      </w:r>
      <w:r w:rsidRPr="00722607">
        <w:t xml:space="preserve">sloped demand curve, and in FCA #11, MRI-based system and zonal sloped demand curves (see </w:t>
      </w:r>
      <w:r w:rsidR="00226E91" w:rsidRPr="00722607">
        <w:t>Section</w:t>
      </w:r>
      <w:r w:rsidR="00226E91">
        <w:t> </w:t>
      </w:r>
      <w:r w:rsidR="005F4969">
        <w:fldChar w:fldCharType="begin"/>
      </w:r>
      <w:r w:rsidR="005F4969">
        <w:instrText xml:space="preserve"> REF _Ref387673339 \r \h </w:instrText>
      </w:r>
      <w:r w:rsidR="005F4969">
        <w:fldChar w:fldCharType="separate"/>
      </w:r>
      <w:r w:rsidR="00314781">
        <w:t>4.1.1</w:t>
      </w:r>
      <w:r w:rsidR="005F4969">
        <w:fldChar w:fldCharType="end"/>
      </w:r>
      <w:r w:rsidRPr="005F4969">
        <w:t>) were introduced to more economically procure needed resources.</w:t>
      </w:r>
      <w:r w:rsidRPr="003D70FB">
        <w:t xml:space="preserve"> </w:t>
      </w:r>
    </w:p>
    <w:p w:rsidR="003D70FB" w:rsidRPr="003D70FB" w:rsidRDefault="003D70FB" w:rsidP="003D70FB">
      <w:r w:rsidRPr="003D70FB">
        <w:t xml:space="preserve">Starting in 2018, the existing FCM shortage-event penalty structure will be replaced with a new two-settlement market design intended to create strong financial incentives for all capacity suppliers, without exception, to maximize performance and availability during scarcity conditions (i.e., during operating reserve deficiencies). This </w:t>
      </w:r>
      <w:r w:rsidR="00D06C91">
        <w:t xml:space="preserve">pay-for-performance </w:t>
      </w:r>
      <w:r w:rsidRPr="003D70FB">
        <w:t>market improvement will ensure that supply resources face appropriate market-based incentives and have the financial capability to undertake cost-effective investments that improve resource performance and system reliability.</w:t>
      </w:r>
    </w:p>
    <w:p w:rsidR="003D70FB" w:rsidRPr="008F2DD8" w:rsidRDefault="003D70FB" w:rsidP="00AD30BF">
      <w:pPr>
        <w:pStyle w:val="Heading4"/>
      </w:pPr>
      <w:r w:rsidRPr="008F2DD8">
        <w:lastRenderedPageBreak/>
        <w:t>Competitive Auctions with S</w:t>
      </w:r>
      <w:r w:rsidR="00C57E2B" w:rsidRPr="008F2DD8">
        <w:t>ponsored</w:t>
      </w:r>
      <w:r w:rsidRPr="008F2DD8">
        <w:t xml:space="preserve"> Policy Resources</w:t>
      </w:r>
    </w:p>
    <w:p w:rsidR="003D70FB" w:rsidRPr="003D70FB" w:rsidRDefault="003D70FB" w:rsidP="003D70FB">
      <w:r w:rsidRPr="003D70FB">
        <w:t xml:space="preserve">The ISO has also engaged with NEPOOL and the New England states to investigate the better integration of markets and public policy (IMAPP). </w:t>
      </w:r>
      <w:r w:rsidR="00D61577">
        <w:t>The ISO has put forward a framework for competitive auctions with sponsored policy resources (CASPR), which is designed to maintain competitively based forward capacity price signals while, over time, accommodating the entry into the FCM of new resources sponsored by public entities.</w:t>
      </w:r>
      <w:r w:rsidR="00653493">
        <w:rPr>
          <w:rStyle w:val="FootnoteReference"/>
          <w:rFonts w:eastAsia="Times New Roman"/>
        </w:rPr>
        <w:footnoteReference w:id="266"/>
      </w:r>
      <w:r w:rsidR="00F43918">
        <w:rPr>
          <w:rFonts w:eastAsia="Times New Roman" w:cs="Arial"/>
        </w:rPr>
        <w:t xml:space="preserve"> </w:t>
      </w:r>
      <w:r w:rsidRPr="003D70FB">
        <w:rPr>
          <w:rFonts w:eastAsia="Times New Roman" w:cs="Arial"/>
        </w:rPr>
        <w:t>The CASPR proposal will be reviewed with regional stakeholders during the remainder of 2017.</w:t>
      </w:r>
    </w:p>
    <w:p w:rsidR="003D70FB" w:rsidRPr="003D70FB" w:rsidRDefault="00226E91" w:rsidP="003D70FB">
      <w:r>
        <w:t xml:space="preserve">An </w:t>
      </w:r>
      <w:r w:rsidR="003D70FB" w:rsidRPr="003D70FB">
        <w:t>ISO</w:t>
      </w:r>
      <w:r>
        <w:t xml:space="preserve"> </w:t>
      </w:r>
      <w:r w:rsidR="003D70FB" w:rsidRPr="003D70FB">
        <w:t>discussion paper</w:t>
      </w:r>
      <w:r>
        <w:t xml:space="preserve"> </w:t>
      </w:r>
      <w:r w:rsidR="003D70FB" w:rsidRPr="003D70FB">
        <w:t xml:space="preserve">details the </w:t>
      </w:r>
      <w:r w:rsidR="003D70FB" w:rsidRPr="00226E91">
        <w:t xml:space="preserve">ISO’s proposal to address concerns about </w:t>
      </w:r>
      <w:r w:rsidR="008F3F37" w:rsidRPr="00226E91">
        <w:t xml:space="preserve">sponsored </w:t>
      </w:r>
      <w:r w:rsidR="003D70FB" w:rsidRPr="00226E91">
        <w:t>new resources’ participation in the FCM</w:t>
      </w:r>
      <w:r w:rsidR="003D70FB" w:rsidRPr="003D70FB">
        <w:t xml:space="preserve"> and the potential effects, including depressed prices or excess capacity.</w:t>
      </w:r>
      <w:r w:rsidRPr="00226E91">
        <w:rPr>
          <w:rFonts w:eastAsia="Times New Roman"/>
          <w:vertAlign w:val="superscript"/>
        </w:rPr>
        <w:footnoteReference w:id="267"/>
      </w:r>
      <w:r w:rsidR="003D70FB" w:rsidRPr="003D70FB">
        <w:t xml:space="preserve"> The ISO’s proposed solution would accomplish the following:</w:t>
      </w:r>
    </w:p>
    <w:p w:rsidR="003D70FB" w:rsidRPr="003D70FB" w:rsidRDefault="003D70FB" w:rsidP="00722607">
      <w:pPr>
        <w:numPr>
          <w:ilvl w:val="0"/>
          <w:numId w:val="74"/>
        </w:numPr>
        <w:spacing w:after="120"/>
        <w:rPr>
          <w:rFonts w:eastAsia="Times New Roman"/>
          <w:szCs w:val="24"/>
        </w:rPr>
      </w:pPr>
      <w:r w:rsidRPr="003D70FB">
        <w:rPr>
          <w:rFonts w:eastAsia="Times New Roman"/>
          <w:szCs w:val="24"/>
        </w:rPr>
        <w:t>Introduce a new two-stage, two-settlement process by adding a secondary market known as a substitution auction</w:t>
      </w:r>
      <w:r w:rsidR="00D61577">
        <w:rPr>
          <w:rFonts w:eastAsia="Times New Roman"/>
          <w:szCs w:val="24"/>
        </w:rPr>
        <w:t xml:space="preserve"> after the primary capacity auction is completed</w:t>
      </w:r>
    </w:p>
    <w:p w:rsidR="003D70FB" w:rsidRPr="003D70FB" w:rsidRDefault="003D70FB" w:rsidP="00722607">
      <w:pPr>
        <w:numPr>
          <w:ilvl w:val="0"/>
          <w:numId w:val="74"/>
        </w:numPr>
        <w:spacing w:after="120"/>
        <w:rPr>
          <w:rFonts w:eastAsia="Times New Roman"/>
          <w:szCs w:val="24"/>
        </w:rPr>
      </w:pPr>
      <w:r w:rsidRPr="003D70FB">
        <w:rPr>
          <w:rFonts w:eastAsia="Times New Roman"/>
          <w:szCs w:val="24"/>
        </w:rPr>
        <w:t>Provide financial incentives for existing, high-cost capacity resources to transfer their capacity obligations to s</w:t>
      </w:r>
      <w:r w:rsidR="00D61577">
        <w:rPr>
          <w:rFonts w:eastAsia="Times New Roman"/>
          <w:szCs w:val="24"/>
        </w:rPr>
        <w:t>ponsor</w:t>
      </w:r>
      <w:r w:rsidRPr="003D70FB">
        <w:rPr>
          <w:rFonts w:eastAsia="Times New Roman"/>
          <w:szCs w:val="24"/>
        </w:rPr>
        <w:t>ed new resources, then permanently exit the capacity market—akin to a “severance payment”</w:t>
      </w:r>
    </w:p>
    <w:p w:rsidR="003D70FB" w:rsidRPr="003D70FB" w:rsidRDefault="003D70FB" w:rsidP="00722607">
      <w:pPr>
        <w:numPr>
          <w:ilvl w:val="0"/>
          <w:numId w:val="74"/>
        </w:numPr>
        <w:spacing w:after="120"/>
        <w:rPr>
          <w:rFonts w:eastAsia="Times New Roman"/>
          <w:szCs w:val="24"/>
        </w:rPr>
      </w:pPr>
      <w:r w:rsidRPr="003D70FB">
        <w:rPr>
          <w:rFonts w:eastAsia="Times New Roman"/>
          <w:szCs w:val="24"/>
        </w:rPr>
        <w:t>Keep the market technology neutral</w:t>
      </w:r>
    </w:p>
    <w:p w:rsidR="003010F1" w:rsidRPr="003D70FB" w:rsidRDefault="003D70FB" w:rsidP="003D70FB">
      <w:r w:rsidRPr="003D70FB">
        <w:t xml:space="preserve">The ISO looks forward to </w:t>
      </w:r>
      <w:r w:rsidR="00D61577">
        <w:t xml:space="preserve">continuing its </w:t>
      </w:r>
      <w:r w:rsidRPr="003D70FB">
        <w:t>discussi</w:t>
      </w:r>
      <w:r w:rsidR="00D61577">
        <w:t xml:space="preserve">ons </w:t>
      </w:r>
      <w:r w:rsidRPr="003D70FB">
        <w:t xml:space="preserve">with stakeholders </w:t>
      </w:r>
      <w:r w:rsidR="00D61577">
        <w:t xml:space="preserve">on </w:t>
      </w:r>
      <w:r w:rsidR="00D61577" w:rsidRPr="003D70FB">
        <w:t xml:space="preserve">this design </w:t>
      </w:r>
      <w:r w:rsidRPr="003D70FB">
        <w:t>with the objective of modifying the capacity market rules to address these goals, possibly by FCA #13 in February 2019.</w:t>
      </w:r>
    </w:p>
    <w:p w:rsidR="003D70FB" w:rsidRPr="007135CE" w:rsidRDefault="003D70FB" w:rsidP="007135CE">
      <w:pPr>
        <w:pStyle w:val="Heading2"/>
        <w:rPr>
          <w:rFonts w:eastAsia="Times New Roman"/>
        </w:rPr>
      </w:pPr>
      <w:bookmarkStart w:id="910" w:name="_Toc365441070"/>
      <w:bookmarkStart w:id="911" w:name="_Ref388278661"/>
      <w:bookmarkStart w:id="912" w:name="_Toc396807703"/>
      <w:bookmarkStart w:id="913" w:name="_Toc485367345"/>
      <w:bookmarkStart w:id="914" w:name="_Ref487012046"/>
      <w:bookmarkStart w:id="915" w:name="_Toc490323118"/>
      <w:r w:rsidRPr="007135CE">
        <w:rPr>
          <w:rFonts w:eastAsia="Times New Roman"/>
        </w:rPr>
        <w:t>State Initiatives, Activities, and Policies</w:t>
      </w:r>
      <w:bookmarkEnd w:id="910"/>
      <w:bookmarkEnd w:id="911"/>
      <w:bookmarkEnd w:id="912"/>
      <w:bookmarkEnd w:id="913"/>
      <w:bookmarkEnd w:id="914"/>
      <w:bookmarkEnd w:id="915"/>
      <w:r w:rsidRPr="007135CE">
        <w:rPr>
          <w:rFonts w:eastAsia="Times New Roman"/>
        </w:rPr>
        <w:t xml:space="preserve"> </w:t>
      </w:r>
    </w:p>
    <w:p w:rsidR="003D70FB" w:rsidRPr="003D70FB" w:rsidRDefault="003D70FB" w:rsidP="003D70FB">
      <w:r w:rsidRPr="003D70FB">
        <w:t>The New England states have worked together continually to identify, discuss, and address energy issues of common interest. Even with this history of cooperation, each state has a unique set of energy policy objectives and goals. This section summarizes actions taken by the individual New England states pertaining to regional system planning, including several recently implemented laws, policies, and initiatives.</w:t>
      </w:r>
    </w:p>
    <w:p w:rsidR="003D70FB" w:rsidRPr="00B62AF0" w:rsidRDefault="003D70FB" w:rsidP="001A0C5B">
      <w:pPr>
        <w:pStyle w:val="Heading3"/>
      </w:pPr>
      <w:bookmarkStart w:id="916" w:name="_Toc485367346"/>
      <w:bookmarkStart w:id="917" w:name="_Ref487011629"/>
      <w:bookmarkStart w:id="918" w:name="_Toc490323119"/>
      <w:r w:rsidRPr="00B62AF0">
        <w:t>Summary of Renewable Portfolio Standards</w:t>
      </w:r>
      <w:bookmarkEnd w:id="916"/>
      <w:bookmarkEnd w:id="917"/>
      <w:bookmarkEnd w:id="918"/>
    </w:p>
    <w:p w:rsidR="003D70FB" w:rsidRPr="003D70FB" w:rsidRDefault="003D70FB" w:rsidP="003D70FB">
      <w:pPr>
        <w:rPr>
          <w:color w:val="000000"/>
        </w:rPr>
      </w:pPr>
      <w:r w:rsidRPr="003D70FB">
        <w:t xml:space="preserve">All six New England states have targets for the proportion of electric energy that load-serving entities must provide using renewable resources. Options for meeting, or exceeding, these </w:t>
      </w:r>
      <w:r w:rsidR="00340F00">
        <w:t>Renewable Portfolio Standard (</w:t>
      </w:r>
      <w:r w:rsidRPr="003D70FB">
        <w:t>RPS</w:t>
      </w:r>
      <w:r w:rsidR="00340F00">
        <w:t>)</w:t>
      </w:r>
      <w:r w:rsidRPr="003D70FB">
        <w:t xml:space="preserve"> targets include developing the renewable resources in the ISO queue, importing qualifying renewable resource energy from adjacent balancing authority areas, building new renewable resources in New England not yet in the queue, developing behind-the-meter projects, and using eligible renewable fuels in existing generators. In addition, load-serving entities can </w:t>
      </w:r>
      <w:r w:rsidRPr="003D70FB">
        <w:rPr>
          <w:color w:val="000000"/>
        </w:rPr>
        <w:t xml:space="preserve">make state-established </w:t>
      </w:r>
      <w:r w:rsidRPr="003D70FB">
        <w:rPr>
          <w:color w:val="000000"/>
        </w:rPr>
        <w:lastRenderedPageBreak/>
        <w:t xml:space="preserve">alternative compliance payments if their qualified renewable resources fall short of providing sufficient renewable energy credits to meet the RPSs. </w:t>
      </w:r>
    </w:p>
    <w:p w:rsidR="003D70FB" w:rsidRPr="003D70FB" w:rsidRDefault="003D70FB" w:rsidP="003D70FB">
      <w:r w:rsidRPr="003D70FB">
        <w:t>State RPS targets for 2020 range from 10% to 59% and have driven new proposals for renewable energy</w:t>
      </w:r>
      <w:r w:rsidR="00A827EF">
        <w:t xml:space="preserve"> </w:t>
      </w:r>
      <w:r w:rsidR="00A827EF" w:rsidRPr="00653493">
        <w:t xml:space="preserve">(as discussed in Section </w:t>
      </w:r>
      <w:r w:rsidR="00A827EF" w:rsidRPr="00653493">
        <w:fldChar w:fldCharType="begin"/>
      </w:r>
      <w:r w:rsidR="00A827EF" w:rsidRPr="00653493">
        <w:instrText xml:space="preserve"> REF _Ref486240479 \r \h  \* MERGEFORMAT </w:instrText>
      </w:r>
      <w:r w:rsidR="00A827EF" w:rsidRPr="00653493">
        <w:fldChar w:fldCharType="separate"/>
      </w:r>
      <w:r w:rsidR="00314781">
        <w:t>10.2.3</w:t>
      </w:r>
      <w:r w:rsidR="00A827EF" w:rsidRPr="00653493">
        <w:fldChar w:fldCharType="end"/>
      </w:r>
      <w:r w:rsidR="00B20739" w:rsidRPr="00653493">
        <w:t xml:space="preserve"> above</w:t>
      </w:r>
      <w:r w:rsidR="00A827EF" w:rsidRPr="00653493">
        <w:t>)</w:t>
      </w:r>
      <w:r w:rsidRPr="00653493">
        <w:t>. This trend is expected to continue as state targets increase</w:t>
      </w:r>
      <w:r w:rsidRPr="003D70FB">
        <w:t xml:space="preserve"> incrementally between now and 2020. The wide range of RPS percentages results from the different definitions of renewable resources in the region. All states have, or are considering, RPS targets that extend to 2030 and beyond. </w:t>
      </w:r>
    </w:p>
    <w:p w:rsidR="003D70FB" w:rsidRPr="00B62AF0" w:rsidRDefault="003D70FB" w:rsidP="001A0C5B">
      <w:pPr>
        <w:pStyle w:val="Heading3"/>
      </w:pPr>
      <w:bookmarkStart w:id="919" w:name="_Toc365441071"/>
      <w:bookmarkStart w:id="920" w:name="_Toc396807704"/>
      <w:bookmarkStart w:id="921" w:name="_Toc485367347"/>
      <w:bookmarkStart w:id="922" w:name="_Toc490323120"/>
      <w:r w:rsidRPr="00B62AF0">
        <w:t>Connecticut</w:t>
      </w:r>
      <w:bookmarkEnd w:id="919"/>
      <w:bookmarkEnd w:id="920"/>
      <w:bookmarkEnd w:id="921"/>
      <w:bookmarkEnd w:id="922"/>
      <w:r w:rsidRPr="00B62AF0">
        <w:t xml:space="preserve"> </w:t>
      </w:r>
    </w:p>
    <w:p w:rsidR="00B20739" w:rsidRDefault="00A827EF" w:rsidP="003D70FB">
      <w:bookmarkStart w:id="923" w:name="_Toc365441072"/>
      <w:bookmarkStart w:id="924" w:name="_Toc396807705"/>
      <w:bookmarkStart w:id="925" w:name="_Toc365441073"/>
      <w:bookmarkStart w:id="926" w:name="_Toc396807706"/>
      <w:bookmarkStart w:id="927" w:name="_Toc365441074"/>
      <w:bookmarkStart w:id="928" w:name="_Toc396807707"/>
      <w:r>
        <w:t xml:space="preserve">Connecticut state law requires </w:t>
      </w:r>
      <w:r w:rsidR="00C520C2">
        <w:t>t</w:t>
      </w:r>
      <w:r w:rsidR="003D70FB" w:rsidRPr="003D70FB">
        <w:t xml:space="preserve">he Connecticut Department of Energy and Environmental Protection (DEEP) </w:t>
      </w:r>
      <w:r w:rsidR="00AE7C5F">
        <w:t xml:space="preserve">to prepare a </w:t>
      </w:r>
      <w:r w:rsidR="003D70FB" w:rsidRPr="003D70FB">
        <w:t>Comprehensive Energy Strategy (CES)</w:t>
      </w:r>
      <w:r w:rsidR="00AE7C5F" w:rsidRPr="00AE7C5F">
        <w:t xml:space="preserve"> </w:t>
      </w:r>
      <w:r w:rsidR="00AE7C5F">
        <w:t>every three years. The CES is</w:t>
      </w:r>
      <w:r w:rsidR="003D70FB" w:rsidRPr="003D70FB">
        <w:t xml:space="preserve"> an assessment of future energy needs in the state and strategies for reducing costs to ratepayers, ensuring reliable power system operations, and mitigating the public health and environmental impacts of Connecticut’s energy use. The major topics to be reviewed in the </w:t>
      </w:r>
      <w:r w:rsidR="00167D2E">
        <w:t xml:space="preserve">2017 </w:t>
      </w:r>
      <w:r w:rsidR="003D70FB" w:rsidRPr="003D70FB">
        <w:t>CES include securing cheaper, cleaner, more reliable energy options in the electricity, buildings, and transportation sectors.</w:t>
      </w:r>
    </w:p>
    <w:p w:rsidR="003D70FB" w:rsidRPr="003D70FB" w:rsidRDefault="003D70FB" w:rsidP="003D70FB">
      <w:r w:rsidRPr="003D70FB">
        <w:t xml:space="preserve">DEEP has been implementing energy legislation passed in 2015 titled </w:t>
      </w:r>
      <w:r w:rsidRPr="003D70FB">
        <w:rPr>
          <w:i/>
        </w:rPr>
        <w:t>An Act Concerning Affordable and Reliable Energy</w:t>
      </w:r>
      <w:r w:rsidRPr="003D70FB">
        <w:t>.</w:t>
      </w:r>
      <w:r w:rsidRPr="003D70FB">
        <w:rPr>
          <w:vertAlign w:val="superscript"/>
        </w:rPr>
        <w:footnoteReference w:id="268"/>
      </w:r>
      <w:r w:rsidRPr="003D70FB">
        <w:t xml:space="preserve"> The statute gives the Commissioner of DEEP the authority to issue multiple </w:t>
      </w:r>
      <w:r w:rsidRPr="00E30144">
        <w:t xml:space="preserve">solicitations for a wide variety of resources and direct the state’s </w:t>
      </w:r>
      <w:r w:rsidR="00B20739" w:rsidRPr="00E30144">
        <w:t xml:space="preserve">electric distribution companies </w:t>
      </w:r>
      <w:r w:rsidRPr="00B20739">
        <w:t xml:space="preserve"> to enter into long-term contracts for any</w:t>
      </w:r>
      <w:r w:rsidRPr="003D70FB">
        <w:t xml:space="preserve"> combination of these resources, provided the benefits to electric ratepayers outweigh the costs. The legislation required DEEP to evaluate the costs and benefits of the proposals it received concurrently to ensure it selected the projects most beneficial to Connecticut ratepayers.</w:t>
      </w:r>
    </w:p>
    <w:p w:rsidR="003D70FB" w:rsidRPr="003D70FB" w:rsidRDefault="003D70FB" w:rsidP="003D70FB">
      <w:r w:rsidRPr="00B20739">
        <w:t xml:space="preserve">In accordance with Connecticut’s participation in the three-state Clean Energy RFP, any relevant contracts executed by Connecticut’s EDCs </w:t>
      </w:r>
      <w:r w:rsidR="00AE7C5F" w:rsidRPr="00B20739">
        <w:t>are required to</w:t>
      </w:r>
      <w:r w:rsidRPr="00B20739">
        <w:t xml:space="preserve"> be filed with </w:t>
      </w:r>
      <w:r w:rsidR="00B20739" w:rsidRPr="00B20739">
        <w:t>the Public Utilities Regulatory Authority (PURA)</w:t>
      </w:r>
      <w:r w:rsidRPr="00B20739">
        <w:t xml:space="preserve"> for review and approval</w:t>
      </w:r>
      <w:r w:rsidR="00AE7C5F" w:rsidRPr="00B20739">
        <w:t>.</w:t>
      </w:r>
      <w:r w:rsidRPr="003D70FB">
        <w:t xml:space="preserve"> </w:t>
      </w:r>
    </w:p>
    <w:p w:rsidR="003D70FB" w:rsidRPr="00B62AF0" w:rsidRDefault="003D70FB" w:rsidP="001A0C5B">
      <w:pPr>
        <w:pStyle w:val="Heading3"/>
      </w:pPr>
      <w:bookmarkStart w:id="929" w:name="_Toc485367348"/>
      <w:bookmarkStart w:id="930" w:name="_Toc490323121"/>
      <w:r w:rsidRPr="00B62AF0">
        <w:t>Maine</w:t>
      </w:r>
      <w:bookmarkEnd w:id="923"/>
      <w:bookmarkEnd w:id="924"/>
      <w:bookmarkEnd w:id="929"/>
      <w:bookmarkEnd w:id="930"/>
    </w:p>
    <w:bookmarkEnd w:id="925"/>
    <w:bookmarkEnd w:id="926"/>
    <w:p w:rsidR="00B20739" w:rsidRDefault="003D70FB" w:rsidP="003D70FB">
      <w:r w:rsidRPr="003D70FB">
        <w:t xml:space="preserve">Over the past few years, the Maine </w:t>
      </w:r>
      <w:r w:rsidR="00A107B9">
        <w:t xml:space="preserve">Public Utilities Commission (ME </w:t>
      </w:r>
      <w:r w:rsidRPr="003D70FB">
        <w:t>PUC</w:t>
      </w:r>
      <w:r w:rsidR="00A107B9">
        <w:t>)</w:t>
      </w:r>
      <w:r w:rsidRPr="003D70FB">
        <w:t xml:space="preserve"> analyzed whether to enter an energy-cost-reduction contract to procure natural gas pipeline capacity and considered specific bids from gas pipeline developers. A study funded by the PUC concluded that the $75 million cost to Maine from entering into a firm natural gas transportation contract would outweigh the benefits if the state were to act alone. In July 2016, the </w:t>
      </w:r>
      <w:r w:rsidR="00A107B9">
        <w:t xml:space="preserve">ME </w:t>
      </w:r>
      <w:r w:rsidRPr="003D70FB">
        <w:t xml:space="preserve">PUC unanimously approved a plan that allows the state, through utility billing, to pay to expand gas pipeline capacity in the region when the benefits outweigh the cost, which the </w:t>
      </w:r>
      <w:r w:rsidR="00A107B9">
        <w:t xml:space="preserve">ME </w:t>
      </w:r>
      <w:r w:rsidRPr="003D70FB">
        <w:t xml:space="preserve">PUC determined can be accomplished if other states in the region enter into similar contracts. </w:t>
      </w:r>
    </w:p>
    <w:p w:rsidR="003D70FB" w:rsidRPr="00B62AF0" w:rsidRDefault="003D70FB" w:rsidP="001A0C5B">
      <w:pPr>
        <w:pStyle w:val="Heading3"/>
      </w:pPr>
      <w:bookmarkStart w:id="931" w:name="_Ref487019952"/>
      <w:bookmarkStart w:id="932" w:name="_Toc490323122"/>
      <w:r w:rsidRPr="00B62AF0">
        <w:t>Massachusetts</w:t>
      </w:r>
      <w:bookmarkEnd w:id="931"/>
      <w:bookmarkEnd w:id="932"/>
      <w:r w:rsidRPr="00B62AF0">
        <w:t xml:space="preserve"> </w:t>
      </w:r>
    </w:p>
    <w:p w:rsidR="003D70FB" w:rsidRPr="003D70FB" w:rsidRDefault="003D70FB" w:rsidP="003D70FB">
      <w:pPr>
        <w:rPr>
          <w:rFonts w:eastAsiaTheme="minorEastAsia" w:cstheme="minorBidi"/>
        </w:rPr>
      </w:pPr>
      <w:r w:rsidRPr="006100CB">
        <w:rPr>
          <w:rFonts w:eastAsiaTheme="minorEastAsia" w:cstheme="minorBidi"/>
        </w:rPr>
        <w:t xml:space="preserve">In May 2016, the Supreme Judicial Court’s decision in </w:t>
      </w:r>
      <w:r w:rsidRPr="006100CB">
        <w:rPr>
          <w:rFonts w:eastAsiaTheme="minorEastAsia" w:cstheme="minorBidi"/>
          <w:i/>
          <w:u w:val="single"/>
        </w:rPr>
        <w:t>Kain et al. v. Massachusetts Department of Environmental Protection</w:t>
      </w:r>
      <w:r w:rsidRPr="006100CB">
        <w:rPr>
          <w:rFonts w:eastAsiaTheme="minorEastAsia" w:cstheme="minorBidi"/>
        </w:rPr>
        <w:t xml:space="preserve"> (</w:t>
      </w:r>
      <w:r w:rsidRPr="006100CB">
        <w:rPr>
          <w:rFonts w:eastAsiaTheme="minorEastAsia" w:cstheme="minorBidi"/>
          <w:i/>
          <w:u w:val="single"/>
        </w:rPr>
        <w:t>Kain</w:t>
      </w:r>
      <w:r w:rsidRPr="006100CB">
        <w:rPr>
          <w:rFonts w:eastAsiaTheme="minorEastAsia" w:cstheme="minorBidi"/>
        </w:rPr>
        <w:t xml:space="preserve">) affirmed the state’s obligations under the 2008 </w:t>
      </w:r>
      <w:r w:rsidRPr="006100CB">
        <w:rPr>
          <w:rFonts w:eastAsiaTheme="minorEastAsia" w:cstheme="minorBidi"/>
          <w:i/>
        </w:rPr>
        <w:t>Global Warming</w:t>
      </w:r>
      <w:r w:rsidRPr="003D70FB">
        <w:rPr>
          <w:rFonts w:eastAsiaTheme="minorEastAsia" w:cstheme="minorBidi"/>
          <w:i/>
        </w:rPr>
        <w:t xml:space="preserve"> Solutions Act </w:t>
      </w:r>
      <w:r w:rsidRPr="003D70FB">
        <w:rPr>
          <w:rFonts w:eastAsiaTheme="minorEastAsia" w:cstheme="minorBidi"/>
        </w:rPr>
        <w:t xml:space="preserve">(GWSA) and requires the commonwealth to create and implement regulations to meet its mandates for reducing carbon </w:t>
      </w:r>
      <w:r w:rsidRPr="00A107B9">
        <w:rPr>
          <w:rFonts w:eastAsiaTheme="minorEastAsia" w:cstheme="minorBidi"/>
        </w:rPr>
        <w:t>emissions.</w:t>
      </w:r>
      <w:r w:rsidRPr="00A107B9">
        <w:rPr>
          <w:rFonts w:eastAsiaTheme="minorEastAsia"/>
          <w:vertAlign w:val="superscript"/>
        </w:rPr>
        <w:footnoteReference w:id="269"/>
      </w:r>
      <w:r w:rsidRPr="00A107B9">
        <w:rPr>
          <w:rFonts w:eastAsiaTheme="minorEastAsia" w:cstheme="minorBidi"/>
        </w:rPr>
        <w:t xml:space="preserve"> Following</w:t>
      </w:r>
      <w:r w:rsidRPr="003D70FB">
        <w:rPr>
          <w:rFonts w:eastAsiaTheme="minorEastAsia" w:cstheme="minorBidi"/>
        </w:rPr>
        <w:t xml:space="preserve"> the </w:t>
      </w:r>
      <w:r w:rsidRPr="003D70FB">
        <w:rPr>
          <w:rFonts w:eastAsiaTheme="minorEastAsia" w:cstheme="minorBidi"/>
          <w:i/>
          <w:u w:val="single"/>
        </w:rPr>
        <w:t>Kain</w:t>
      </w:r>
      <w:r w:rsidRPr="003D70FB">
        <w:rPr>
          <w:rFonts w:eastAsiaTheme="minorEastAsia" w:cstheme="minorBidi"/>
        </w:rPr>
        <w:t xml:space="preserve"> decision, the governor issued Executive </w:t>
      </w:r>
      <w:r w:rsidRPr="003D70FB">
        <w:rPr>
          <w:rFonts w:eastAsiaTheme="minorEastAsia" w:cstheme="minorBidi"/>
        </w:rPr>
        <w:lastRenderedPageBreak/>
        <w:t>Order No. 569, which calls for an integrated strategy for combatting climate change and included a directive for the Massachusetts Department of Environmental Protection (MA DEP) to issue regulations to meet the 2020 emissions limit under the GWSA.</w:t>
      </w:r>
      <w:r w:rsidR="00A107B9">
        <w:rPr>
          <w:rStyle w:val="FootnoteReference"/>
          <w:rFonts w:eastAsiaTheme="minorEastAsia"/>
        </w:rPr>
        <w:footnoteReference w:id="270"/>
      </w:r>
      <w:r w:rsidRPr="003D70FB">
        <w:rPr>
          <w:rFonts w:eastAsiaTheme="minorEastAsia" w:cstheme="minorBidi"/>
        </w:rPr>
        <w:t xml:space="preserve"> </w:t>
      </w:r>
      <w:r w:rsidR="00272408" w:rsidRPr="00553448">
        <w:rPr>
          <w:rFonts w:eastAsiaTheme="minorEastAsia" w:cstheme="minorBidi"/>
        </w:rPr>
        <w:t>These regulations</w:t>
      </w:r>
      <w:r w:rsidR="00553448">
        <w:rPr>
          <w:rFonts w:eastAsiaTheme="minorEastAsia" w:cstheme="minorBidi"/>
        </w:rPr>
        <w:t xml:space="preserve">, </w:t>
      </w:r>
      <w:r w:rsidR="00272408" w:rsidRPr="00553448">
        <w:rPr>
          <w:rFonts w:eastAsiaTheme="minorEastAsia" w:cstheme="minorBidi"/>
        </w:rPr>
        <w:t xml:space="preserve">released August 11, 2017, </w:t>
      </w:r>
      <w:r w:rsidR="00553448">
        <w:rPr>
          <w:rFonts w:eastAsiaTheme="minorEastAsia" w:cstheme="minorBidi"/>
        </w:rPr>
        <w:t xml:space="preserve">include, </w:t>
      </w:r>
      <w:r w:rsidR="00272408" w:rsidRPr="00553448">
        <w:rPr>
          <w:rFonts w:eastAsiaTheme="minorEastAsia" w:cstheme="minorBidi"/>
        </w:rPr>
        <w:t>among other things, clean energy standards</w:t>
      </w:r>
      <w:r w:rsidR="00553448">
        <w:rPr>
          <w:rFonts w:eastAsiaTheme="minorEastAsia" w:cstheme="minorBidi"/>
        </w:rPr>
        <w:t xml:space="preserve"> and </w:t>
      </w:r>
      <w:r w:rsidR="00272408" w:rsidRPr="00553448">
        <w:rPr>
          <w:rFonts w:eastAsiaTheme="minorEastAsia" w:cstheme="minorBidi"/>
        </w:rPr>
        <w:t xml:space="preserve">seek to reduce sulfur hexafluoride emissions from gas-insulated switchgear, methane emissions from natural gas distribution systems, and </w:t>
      </w:r>
      <w:r w:rsidR="00272408" w:rsidRPr="002E756C">
        <w:rPr>
          <w:rFonts w:eastAsiaTheme="minorEastAsia" w:cstheme="minorBidi"/>
        </w:rPr>
        <w:t>CO</w:t>
      </w:r>
      <w:r w:rsidR="00272408" w:rsidRPr="002E756C">
        <w:rPr>
          <w:rFonts w:eastAsiaTheme="minorEastAsia" w:cstheme="minorBidi"/>
          <w:vertAlign w:val="subscript"/>
        </w:rPr>
        <w:t>2</w:t>
      </w:r>
      <w:r w:rsidR="00272408" w:rsidRPr="00553448">
        <w:rPr>
          <w:rFonts w:eastAsiaTheme="minorEastAsia" w:cstheme="minorBidi"/>
        </w:rPr>
        <w:t xml:space="preserve"> from electricity generating facilities</w:t>
      </w:r>
      <w:r w:rsidR="00553448" w:rsidRPr="00553448">
        <w:rPr>
          <w:rFonts w:eastAsiaTheme="minorEastAsia" w:cstheme="minorBidi"/>
        </w:rPr>
        <w:t>.</w:t>
      </w:r>
      <w:r w:rsidR="00232855">
        <w:rPr>
          <w:rStyle w:val="FootnoteReference"/>
          <w:rFonts w:eastAsiaTheme="minorEastAsia"/>
        </w:rPr>
        <w:footnoteReference w:id="271"/>
      </w:r>
      <w:r w:rsidR="00272408" w:rsidRPr="00272408">
        <w:rPr>
          <w:rFonts w:eastAsiaTheme="minorEastAsia" w:cstheme="minorBidi"/>
        </w:rPr>
        <w:t xml:space="preserve">  </w:t>
      </w:r>
    </w:p>
    <w:p w:rsidR="003D70FB" w:rsidRDefault="00AE7C5F" w:rsidP="003D70FB">
      <w:r w:rsidRPr="009E1186">
        <w:t xml:space="preserve">In </w:t>
      </w:r>
      <w:r>
        <w:t>2016</w:t>
      </w:r>
      <w:r w:rsidR="00C60B9D">
        <w:t>,</w:t>
      </w:r>
      <w:r w:rsidRPr="009E1186">
        <w:t xml:space="preserve"> a comprehensive energy bill was passed into law</w:t>
      </w:r>
      <w:r w:rsidR="00C60B9D">
        <w:t>,</w:t>
      </w:r>
      <w:r w:rsidRPr="009E1186">
        <w:t xml:space="preserve"> which requires the state’s electric distribution companies solicit long-term contracts (15</w:t>
      </w:r>
      <w:r w:rsidR="00C60B9D">
        <w:t xml:space="preserve"> to </w:t>
      </w:r>
      <w:r w:rsidRPr="009E1186">
        <w:t>20 years in duration) for offshore wind and clean energy.</w:t>
      </w:r>
      <w:r w:rsidR="00A107B9">
        <w:rPr>
          <w:rStyle w:val="FootnoteReference"/>
        </w:rPr>
        <w:footnoteReference w:id="272"/>
      </w:r>
      <w:r w:rsidRPr="009E1186">
        <w:t xml:space="preserve"> </w:t>
      </w:r>
      <w:r w:rsidRPr="002E756C">
        <w:t xml:space="preserve">In the first half of 2017, pursuant to this legislation, the </w:t>
      </w:r>
      <w:r w:rsidR="002E756C" w:rsidRPr="002E756C">
        <w:t xml:space="preserve">Massachusetts </w:t>
      </w:r>
      <w:r w:rsidRPr="002E756C">
        <w:t>Department of Public Utilities (</w:t>
      </w:r>
      <w:r w:rsidR="002E756C" w:rsidRPr="002E756C">
        <w:t xml:space="preserve">MA </w:t>
      </w:r>
      <w:r w:rsidRPr="002E756C">
        <w:t>DPU) approved the release of requests for proposals for offshore wind and clean energy bids. In 2018, the</w:t>
      </w:r>
      <w:r w:rsidRPr="00E65A3B">
        <w:t xml:space="preserve"> </w:t>
      </w:r>
      <w:r w:rsidR="003010F1" w:rsidRPr="00E65A3B">
        <w:t xml:space="preserve">EDCs will </w:t>
      </w:r>
      <w:r w:rsidR="003010F1" w:rsidRPr="00582196">
        <w:t xml:space="preserve">submit </w:t>
      </w:r>
      <w:r w:rsidR="00E65A3B" w:rsidRPr="002E756C">
        <w:t xml:space="preserve">to the DPU </w:t>
      </w:r>
      <w:r w:rsidR="003010F1" w:rsidRPr="00582196">
        <w:t xml:space="preserve">the contracts resulting from the RFP. The </w:t>
      </w:r>
      <w:r w:rsidRPr="00582196">
        <w:t xml:space="preserve">DPU will determine </w:t>
      </w:r>
      <w:r w:rsidR="00C60B9D" w:rsidRPr="00582196">
        <w:t xml:space="preserve">whether </w:t>
      </w:r>
      <w:r w:rsidRPr="002E756C">
        <w:rPr>
          <w:strike/>
        </w:rPr>
        <w:t>the winning bids</w:t>
      </w:r>
      <w:r w:rsidRPr="00582196">
        <w:t xml:space="preserve"> </w:t>
      </w:r>
      <w:r w:rsidR="00E65A3B" w:rsidRPr="00582196">
        <w:t xml:space="preserve">each contract is </w:t>
      </w:r>
      <w:r w:rsidRPr="00582196">
        <w:t>a cost-effective mechanism for procuring reliable renewable energy on a long-</w:t>
      </w:r>
      <w:r w:rsidRPr="009E1186">
        <w:t xml:space="preserve">term basis, and if so, </w:t>
      </w:r>
      <w:r w:rsidR="00E65A3B">
        <w:t>it</w:t>
      </w:r>
      <w:r w:rsidRPr="009E1186">
        <w:t xml:space="preserve"> will approve the contract.</w:t>
      </w:r>
    </w:p>
    <w:p w:rsidR="00224F05" w:rsidRPr="00E65A3B" w:rsidRDefault="00224F05" w:rsidP="003D70FB">
      <w:r>
        <w:rPr>
          <w:lang w:val="en"/>
        </w:rPr>
        <w:t xml:space="preserve">In June 2017, in accordance with </w:t>
      </w:r>
      <w:hyperlink r:id="rId88" w:history="1">
        <w:r>
          <w:rPr>
            <w:rStyle w:val="Hyperlink"/>
            <w:lang w:val="en"/>
          </w:rPr>
          <w:t xml:space="preserve"> legislation</w:t>
        </w:r>
      </w:hyperlink>
      <w:r>
        <w:rPr>
          <w:lang w:val="en"/>
        </w:rPr>
        <w:t xml:space="preserve"> passed in 2016, Governor Baker announced a 200 MWh energy</w:t>
      </w:r>
      <w:r w:rsidR="00273B73">
        <w:rPr>
          <w:lang w:val="en"/>
        </w:rPr>
        <w:t>-</w:t>
      </w:r>
      <w:r>
        <w:rPr>
          <w:lang w:val="en"/>
        </w:rPr>
        <w:t>storage target to be achieved by January 1, 2020.</w:t>
      </w:r>
      <w:r w:rsidR="005A3017">
        <w:rPr>
          <w:rStyle w:val="FootnoteReference"/>
          <w:lang w:val="en"/>
        </w:rPr>
        <w:footnoteReference w:id="273"/>
      </w:r>
      <w:r>
        <w:rPr>
          <w:lang w:val="en"/>
        </w:rPr>
        <w:t xml:space="preserve"> The target, set by the Department of Energy </w:t>
      </w:r>
      <w:r w:rsidRPr="002E756C">
        <w:rPr>
          <w:lang w:val="en"/>
        </w:rPr>
        <w:t xml:space="preserve">Resources (DOER), builds on the </w:t>
      </w:r>
      <w:hyperlink r:id="rId89" w:history="1">
        <w:r w:rsidRPr="002E756C">
          <w:rPr>
            <w:rStyle w:val="Hyperlink"/>
            <w:lang w:val="en"/>
          </w:rPr>
          <w:t>Energy</w:t>
        </w:r>
        <w:r w:rsidR="005A3017" w:rsidRPr="002E756C">
          <w:rPr>
            <w:rStyle w:val="Hyperlink"/>
            <w:lang w:val="en"/>
          </w:rPr>
          <w:t>-</w:t>
        </w:r>
        <w:r w:rsidRPr="002E756C">
          <w:rPr>
            <w:rStyle w:val="Hyperlink"/>
            <w:lang w:val="en"/>
          </w:rPr>
          <w:t>Storage Initiative</w:t>
        </w:r>
      </w:hyperlink>
      <w:r w:rsidRPr="002E756C">
        <w:rPr>
          <w:lang w:val="en"/>
        </w:rPr>
        <w:t xml:space="preserve"> (ESI), a $10 million commitment to analyze</w:t>
      </w:r>
      <w:r>
        <w:rPr>
          <w:lang w:val="en"/>
        </w:rPr>
        <w:t xml:space="preserve"> opportunities to support </w:t>
      </w:r>
      <w:r w:rsidR="0032181D">
        <w:rPr>
          <w:lang w:val="en"/>
        </w:rPr>
        <w:t>energy</w:t>
      </w:r>
      <w:r w:rsidR="00273B73">
        <w:rPr>
          <w:lang w:val="en"/>
        </w:rPr>
        <w:t>-</w:t>
      </w:r>
      <w:r>
        <w:rPr>
          <w:lang w:val="en"/>
        </w:rPr>
        <w:t xml:space="preserve">storage companies in Massachusetts and develop policy options to encourage </w:t>
      </w:r>
      <w:r w:rsidRPr="00E65A3B">
        <w:rPr>
          <w:lang w:val="en"/>
        </w:rPr>
        <w:t>energy storage deployment.</w:t>
      </w:r>
      <w:r w:rsidR="005A3017" w:rsidRPr="00E65A3B">
        <w:rPr>
          <w:rStyle w:val="FootnoteReference"/>
          <w:lang w:val="en"/>
        </w:rPr>
        <w:footnoteReference w:id="274"/>
      </w:r>
      <w:r w:rsidR="00936B54" w:rsidRPr="00E65A3B">
        <w:rPr>
          <w:lang w:val="en"/>
        </w:rPr>
        <w:t xml:space="preserve"> </w:t>
      </w:r>
    </w:p>
    <w:p w:rsidR="003D70FB" w:rsidRPr="00E65A3B" w:rsidRDefault="003D70FB" w:rsidP="001A0C5B">
      <w:pPr>
        <w:pStyle w:val="Heading3"/>
      </w:pPr>
      <w:bookmarkStart w:id="933" w:name="_Toc485367350"/>
      <w:bookmarkStart w:id="934" w:name="_Toc490323123"/>
      <w:r w:rsidRPr="00E65A3B">
        <w:t>New Hampshire</w:t>
      </w:r>
      <w:bookmarkEnd w:id="927"/>
      <w:bookmarkEnd w:id="928"/>
      <w:bookmarkEnd w:id="933"/>
      <w:bookmarkEnd w:id="934"/>
    </w:p>
    <w:p w:rsidR="00E65A3B" w:rsidRPr="002E756C" w:rsidRDefault="001B317F" w:rsidP="003D70FB">
      <w:bookmarkStart w:id="935" w:name="_Toc365441075"/>
      <w:bookmarkStart w:id="936" w:name="_Toc396807708"/>
      <w:r w:rsidRPr="00E65A3B">
        <w:t>In 2017, the legislature passed, and the Governor signed, legislation that established a new committee to study transmission, distribution, generation and other costs in the state’s electricity system.</w:t>
      </w:r>
      <w:r w:rsidR="00A107B9" w:rsidRPr="00E65A3B">
        <w:rPr>
          <w:rStyle w:val="FootnoteReference"/>
        </w:rPr>
        <w:footnoteReference w:id="275"/>
      </w:r>
      <w:r w:rsidRPr="00E65A3B">
        <w:t xml:space="preserve"> </w:t>
      </w:r>
      <w:r w:rsidR="003010F1" w:rsidRPr="00E65A3B">
        <w:t>In addition, t</w:t>
      </w:r>
      <w:r w:rsidR="003D70FB" w:rsidRPr="00E65A3B">
        <w:t xml:space="preserve">he </w:t>
      </w:r>
      <w:r w:rsidR="00767D88" w:rsidRPr="00E65A3B">
        <w:t>New Hampshire Public Utilities Commission (NH PUC)</w:t>
      </w:r>
      <w:r w:rsidR="003D70FB" w:rsidRPr="00E65A3B">
        <w:t xml:space="preserve">, in accordance with the 2014 State Energy Strategy and supporting legislation, </w:t>
      </w:r>
      <w:r w:rsidR="003010F1" w:rsidRPr="00E65A3B">
        <w:t xml:space="preserve">opened a </w:t>
      </w:r>
      <w:r w:rsidR="003D70FB" w:rsidRPr="00E65A3B">
        <w:t>docket to study grid modernization</w:t>
      </w:r>
      <w:r w:rsidR="003010F1" w:rsidRPr="00E65A3B">
        <w:t>. It also opened separate dockets to</w:t>
      </w:r>
      <w:r w:rsidR="003D70FB" w:rsidRPr="00E65A3B">
        <w:t xml:space="preserve"> </w:t>
      </w:r>
      <w:r w:rsidRPr="00E65A3B">
        <w:t>consider</w:t>
      </w:r>
      <w:r w:rsidR="003D70FB" w:rsidRPr="00E65A3B">
        <w:t xml:space="preserve"> an energy-efficiency resource standard and develop an alternative net-metering tariff.</w:t>
      </w:r>
    </w:p>
    <w:p w:rsidR="003D70FB" w:rsidRPr="003D70FB" w:rsidRDefault="003010F1" w:rsidP="003D70FB">
      <w:r w:rsidRPr="00E65A3B">
        <w:t>In 2016, the NH</w:t>
      </w:r>
      <w:r w:rsidR="00E65A3B" w:rsidRPr="0068282D">
        <w:t xml:space="preserve"> </w:t>
      </w:r>
      <w:r w:rsidRPr="00E65A3B">
        <w:t xml:space="preserve">PUC opened a docket to examine a petition by a New Hampshire electric utility to purchase natural gas capacity on the proposed Access Northeast pipeline. The capacity purchased was to </w:t>
      </w:r>
      <w:r w:rsidRPr="00E65A3B">
        <w:lastRenderedPageBreak/>
        <w:t>be resold to New England gas-fired generators for lowering electric energy prices and enhancing power system reliability. The NH</w:t>
      </w:r>
      <w:r w:rsidR="00E65A3B" w:rsidRPr="002E756C">
        <w:t xml:space="preserve"> </w:t>
      </w:r>
      <w:r w:rsidRPr="00E65A3B">
        <w:t>PUC dismissed the utility’s petition in October 2016 for being inconsistent with New Hampshire’s restructuring law.</w:t>
      </w:r>
    </w:p>
    <w:p w:rsidR="003D70FB" w:rsidRPr="00B62AF0" w:rsidRDefault="003D70FB" w:rsidP="001A0C5B">
      <w:pPr>
        <w:pStyle w:val="Heading3"/>
      </w:pPr>
      <w:bookmarkStart w:id="937" w:name="_Toc485367351"/>
      <w:bookmarkStart w:id="938" w:name="_Toc490323124"/>
      <w:r w:rsidRPr="00B62AF0">
        <w:t>Rhode Island</w:t>
      </w:r>
      <w:bookmarkEnd w:id="935"/>
      <w:bookmarkEnd w:id="936"/>
      <w:bookmarkEnd w:id="937"/>
      <w:bookmarkEnd w:id="938"/>
    </w:p>
    <w:p w:rsidR="003D70FB" w:rsidRPr="003D70FB" w:rsidRDefault="003D70FB" w:rsidP="003D70FB">
      <w:r w:rsidRPr="003D70FB">
        <w:t>In March</w:t>
      </w:r>
      <w:r w:rsidR="001B317F">
        <w:t xml:space="preserve"> 2017</w:t>
      </w:r>
      <w:r w:rsidRPr="003D70FB">
        <w:t xml:space="preserve">, Rhode Island </w:t>
      </w:r>
      <w:r w:rsidR="00A56980">
        <w:t>Governor Gina Raimondo</w:t>
      </w:r>
      <w:r w:rsidRPr="003D70FB">
        <w:t xml:space="preserve"> announced a strategic goal for a tenfold increase in clean energy in the state by the end of 2020.</w:t>
      </w:r>
      <w:r w:rsidR="00A56980">
        <w:rPr>
          <w:rStyle w:val="FootnoteReference"/>
        </w:rPr>
        <w:footnoteReference w:id="276"/>
      </w:r>
      <w:r w:rsidRPr="003D70FB">
        <w:t xml:space="preserve"> The goal is to have 1,000 MW of clean energy operating or under contract in Rhode Island by 2020. Rhode Island had approximately 100 MW of clean energy installed in the state in 2016, the baseline year for this goal. According to the governor’s office, the goal will include energy from a broad portfolio of clean energy resources, including wind (onshore and offshore) and solar. The governor’s announcement follows the commissioning of the nation’s first offshore wind farm in Rhode Island state waters—the Block Island Wind Farm. </w:t>
      </w:r>
    </w:p>
    <w:p w:rsidR="003D70FB" w:rsidRPr="00A43ABC" w:rsidRDefault="003D70FB" w:rsidP="003D70FB">
      <w:pPr>
        <w:rPr>
          <w:rFonts w:eastAsia="Calibri"/>
          <w:b/>
        </w:rPr>
      </w:pPr>
      <w:r w:rsidRPr="00767D88">
        <w:t xml:space="preserve">In 2017, </w:t>
      </w:r>
      <w:r w:rsidRPr="001B317F">
        <w:t xml:space="preserve">the </w:t>
      </w:r>
      <w:r w:rsidR="001B317F">
        <w:t xml:space="preserve">state also extended </w:t>
      </w:r>
      <w:r w:rsidR="00A107B9">
        <w:t xml:space="preserve">its </w:t>
      </w:r>
      <w:r w:rsidRPr="001B317F">
        <w:t>Renewable Energy Growth Program,</w:t>
      </w:r>
      <w:r w:rsidRPr="003D70FB">
        <w:t xml:space="preserve"> which </w:t>
      </w:r>
      <w:r w:rsidR="00A56980">
        <w:t>wa</w:t>
      </w:r>
      <w:r w:rsidRPr="003D70FB">
        <w:t xml:space="preserve">s set to expire in 2019, for an additional 10 years with the goal of installing 40 MW of distributed generation in each of the 10 </w:t>
      </w:r>
      <w:r w:rsidRPr="00A43ABC">
        <w:t>years.</w:t>
      </w:r>
    </w:p>
    <w:p w:rsidR="003D70FB" w:rsidRPr="00B62AF0" w:rsidRDefault="003D70FB" w:rsidP="001A0C5B">
      <w:pPr>
        <w:pStyle w:val="Heading3"/>
      </w:pPr>
      <w:bookmarkStart w:id="939" w:name="_Toc365441076"/>
      <w:bookmarkStart w:id="940" w:name="_Ref365541012"/>
      <w:bookmarkStart w:id="941" w:name="_Ref365543645"/>
      <w:bookmarkStart w:id="942" w:name="_Ref365544633"/>
      <w:bookmarkStart w:id="943" w:name="_Ref365555542"/>
      <w:bookmarkStart w:id="944" w:name="_Toc396807709"/>
      <w:bookmarkStart w:id="945" w:name="_Toc485367352"/>
      <w:bookmarkStart w:id="946" w:name="_Toc490323125"/>
      <w:bookmarkStart w:id="947" w:name="_Toc365441078"/>
      <w:bookmarkStart w:id="948" w:name="_Toc396807711"/>
      <w:r w:rsidRPr="00B62AF0">
        <w:t>Vermont</w:t>
      </w:r>
      <w:bookmarkEnd w:id="939"/>
      <w:bookmarkEnd w:id="940"/>
      <w:bookmarkEnd w:id="941"/>
      <w:bookmarkEnd w:id="942"/>
      <w:bookmarkEnd w:id="943"/>
      <w:bookmarkEnd w:id="944"/>
      <w:bookmarkEnd w:id="945"/>
      <w:bookmarkEnd w:id="946"/>
    </w:p>
    <w:p w:rsidR="003D70FB" w:rsidRPr="003D70FB" w:rsidRDefault="003D70FB" w:rsidP="003D70FB">
      <w:r w:rsidRPr="003D70FB">
        <w:t>The Vermont Department of Public Service (</w:t>
      </w:r>
      <w:r w:rsidR="00545CA1">
        <w:t xml:space="preserve">VT </w:t>
      </w:r>
      <w:r w:rsidRPr="003D70FB">
        <w:t xml:space="preserve">DPS) and Public </w:t>
      </w:r>
      <w:r w:rsidR="00545CA1">
        <w:t xml:space="preserve">Utilities Commission </w:t>
      </w:r>
      <w:r w:rsidRPr="003D70FB">
        <w:t>(</w:t>
      </w:r>
      <w:r w:rsidR="00545CA1">
        <w:t>VT PUC</w:t>
      </w:r>
      <w:r w:rsidRPr="003D70FB">
        <w:t>) have largely been focused on implementing several significant laws the legislature enacted the past few years.</w:t>
      </w:r>
    </w:p>
    <w:p w:rsidR="003D70FB" w:rsidRPr="003D70FB" w:rsidRDefault="00C70E76" w:rsidP="003D70FB">
      <w:r w:rsidRPr="003D70FB">
        <w:t>In 2015, Vermont established a Renewable Energy Standard (RES) program, which took effect on January 1, 2017. The RES requires three tiers of compliance</w:t>
      </w:r>
      <w:r>
        <w:t xml:space="preserve"> for state electric utilities. </w:t>
      </w:r>
      <w:r>
        <w:rPr>
          <w:rFonts w:eastAsia="Times New Roman"/>
          <w:szCs w:val="24"/>
        </w:rPr>
        <w:t>The first tier</w:t>
      </w:r>
      <w:r w:rsidRPr="003D70FB">
        <w:rPr>
          <w:rFonts w:eastAsia="Times New Roman"/>
          <w:szCs w:val="24"/>
        </w:rPr>
        <w:t xml:space="preserve"> r</w:t>
      </w:r>
      <w:r w:rsidRPr="003D70FB">
        <w:rPr>
          <w:rFonts w:eastAsia="Times New Roman"/>
          <w:spacing w:val="1"/>
          <w:szCs w:val="24"/>
        </w:rPr>
        <w:t xml:space="preserve">equires utilities to obtain </w:t>
      </w:r>
      <w:r w:rsidRPr="003D70FB">
        <w:rPr>
          <w:rFonts w:eastAsia="Times New Roman"/>
          <w:szCs w:val="24"/>
        </w:rPr>
        <w:t xml:space="preserve">55% of annual electricity sales from renewable resources in 2017, rising to 75% by 2032. </w:t>
      </w:r>
      <w:r>
        <w:rPr>
          <w:rFonts w:eastAsia="Times New Roman"/>
          <w:szCs w:val="24"/>
        </w:rPr>
        <w:t>The second tier</w:t>
      </w:r>
      <w:r w:rsidRPr="003D70FB">
        <w:rPr>
          <w:rFonts w:eastAsia="Times New Roman"/>
          <w:szCs w:val="24"/>
        </w:rPr>
        <w:t xml:space="preserve"> requires 1% of utility sales to come from small, distributed renewable resources (less than 5 MW in size) in 2017, rising to 10% by 2032. </w:t>
      </w:r>
      <w:r>
        <w:t xml:space="preserve">The third tier </w:t>
      </w:r>
      <w:r w:rsidRPr="003D70FB">
        <w:rPr>
          <w:rFonts w:eastAsia="Times New Roman"/>
          <w:szCs w:val="24"/>
        </w:rPr>
        <w:t xml:space="preserve">requires 2% of utility sales (Btu equivalency) to come from projects that reduce customer fossil fuel consumption starting in 2017, rising to 12% in 2032. Such projects could include promoting weatherization, </w:t>
      </w:r>
      <w:r w:rsidR="0032181D">
        <w:rPr>
          <w:rFonts w:eastAsia="Times New Roman"/>
          <w:szCs w:val="24"/>
        </w:rPr>
        <w:t xml:space="preserve">energy </w:t>
      </w:r>
      <w:r w:rsidRPr="003D70FB">
        <w:rPr>
          <w:rFonts w:eastAsia="Times New Roman"/>
          <w:szCs w:val="24"/>
        </w:rPr>
        <w:t>storage technologies, electric vehicles, and other such infrastructure.</w:t>
      </w:r>
      <w:r w:rsidR="00167D2E">
        <w:rPr>
          <w:rStyle w:val="FootnoteReference"/>
          <w:rFonts w:eastAsia="Times New Roman"/>
          <w:szCs w:val="24"/>
        </w:rPr>
        <w:footnoteReference w:id="277"/>
      </w:r>
      <w:r w:rsidR="003D70FB" w:rsidRPr="003D70FB">
        <w:t xml:space="preserve"> </w:t>
      </w:r>
    </w:p>
    <w:p w:rsidR="003D70FB" w:rsidRPr="00E443BD" w:rsidRDefault="003D70FB" w:rsidP="00E443BD">
      <w:pPr>
        <w:pStyle w:val="Heading2"/>
        <w:rPr>
          <w:rFonts w:eastAsia="Times New Roman"/>
        </w:rPr>
      </w:pPr>
      <w:bookmarkStart w:id="949" w:name="_Toc485367353"/>
      <w:bookmarkStart w:id="950" w:name="_Toc490323126"/>
      <w:r w:rsidRPr="00E443BD">
        <w:rPr>
          <w:rFonts w:eastAsia="Times New Roman"/>
        </w:rPr>
        <w:t>Summary of Initiatives</w:t>
      </w:r>
      <w:bookmarkEnd w:id="947"/>
      <w:bookmarkEnd w:id="948"/>
      <w:bookmarkEnd w:id="949"/>
      <w:bookmarkEnd w:id="950"/>
      <w:r w:rsidRPr="00E443BD">
        <w:rPr>
          <w:rFonts w:eastAsia="Times New Roman"/>
        </w:rPr>
        <w:t xml:space="preserve"> </w:t>
      </w:r>
    </w:p>
    <w:p w:rsidR="003D70FB" w:rsidRPr="003D70FB" w:rsidRDefault="003D70FB" w:rsidP="003D70FB">
      <w:r w:rsidRPr="003D70FB">
        <w:t xml:space="preserve">The ISO’s planning activities are closely coordinated among the six New England states, with neighboring systems, across the Eastern Interconnection, and nationally. Each New England state has a unique set of energy policy objectives and goals and continues to implement laws, policies, and initiatives that affect the regional system planning in New England. </w:t>
      </w:r>
    </w:p>
    <w:p w:rsidR="003D70FB" w:rsidRPr="003D70FB" w:rsidRDefault="003D70FB" w:rsidP="003D70FB">
      <w:r w:rsidRPr="003D70FB">
        <w:t xml:space="preserve">In response to </w:t>
      </w:r>
      <w:r w:rsidR="00A56980">
        <w:t xml:space="preserve">state </w:t>
      </w:r>
      <w:r w:rsidRPr="003D70FB">
        <w:t>policy initiatives, the region is examining improvements to the wholesale electricity markets. The goal of these improvements is to accommodate New England states’ energy and environmental policies at the lowest reasonable cost without unduly diminishing the benefits of competitive organized markets</w:t>
      </w:r>
      <w:r w:rsidR="00722607">
        <w:t>.</w:t>
      </w:r>
    </w:p>
    <w:bookmarkEnd w:id="851"/>
    <w:bookmarkEnd w:id="852"/>
    <w:bookmarkEnd w:id="853"/>
    <w:bookmarkEnd w:id="854"/>
    <w:bookmarkEnd w:id="855"/>
    <w:bookmarkEnd w:id="856"/>
    <w:p w:rsidR="008A79E2" w:rsidRPr="008A79E2" w:rsidRDefault="008A79E2" w:rsidP="00722607">
      <w:pPr>
        <w:pStyle w:val="Heading1"/>
      </w:pPr>
      <w:r w:rsidRPr="008A79E2">
        <w:lastRenderedPageBreak/>
        <w:br/>
      </w:r>
      <w:bookmarkStart w:id="951" w:name="_Ref421780813"/>
      <w:bookmarkStart w:id="952" w:name="_Toc429063498"/>
      <w:bookmarkStart w:id="953" w:name="_Toc490323127"/>
      <w:r w:rsidRPr="008A79E2">
        <w:t>Key Findings and Conclusions</w:t>
      </w:r>
      <w:bookmarkEnd w:id="951"/>
      <w:bookmarkEnd w:id="952"/>
      <w:bookmarkEnd w:id="953"/>
    </w:p>
    <w:p w:rsidR="00387C83" w:rsidRDefault="008A79E2" w:rsidP="008A79E2">
      <w:pPr>
        <w:rPr>
          <w:szCs w:val="36"/>
        </w:rPr>
      </w:pPr>
      <w:r w:rsidRPr="008A79E2">
        <w:rPr>
          <w:szCs w:val="36"/>
        </w:rPr>
        <w:t xml:space="preserve">In accordance with all requirements in the </w:t>
      </w:r>
      <w:r w:rsidRPr="008A79E2">
        <w:rPr>
          <w:i/>
          <w:szCs w:val="36"/>
        </w:rPr>
        <w:t>Open Access Transmission Tariff</w:t>
      </w:r>
      <w:r w:rsidRPr="008A79E2">
        <w:rPr>
          <w:szCs w:val="36"/>
        </w:rPr>
        <w:t xml:space="preserve">, ISO New England’s </w:t>
      </w:r>
      <w:r w:rsidRPr="008A79E2">
        <w:rPr>
          <w:i/>
          <w:szCs w:val="36"/>
        </w:rPr>
        <w:t>2017 Regional System Plan</w:t>
      </w:r>
      <w:r w:rsidRPr="008A79E2">
        <w:rPr>
          <w:szCs w:val="36"/>
        </w:rPr>
        <w:t xml:space="preserve"> discusses the electric power system’s needs and the amounts, locations, and types of resource development that can meet these needs from 2017 through 2026. RSP17 also discusses the status of transmission system assessments, transmission system planning studies, and projects needed for meeting reliability requirements and improving the economic performance of the system. Other discussions include interregional planning requirements and risks to the regional electric power system; the likelihood, timing, and potential consequences of these risks; and mitigating actions. Some of the other highlights of RSP17 include strategic planning challenges expected over the</w:t>
      </w:r>
      <w:r w:rsidR="006C3C22">
        <w:rPr>
          <w:szCs w:val="36"/>
        </w:rPr>
        <w:t xml:space="preserve"> </w:t>
      </w:r>
      <w:r w:rsidRPr="008A79E2">
        <w:rPr>
          <w:szCs w:val="36"/>
        </w:rPr>
        <w:t xml:space="preserve">10-year planning horizon and how the region is analyzing and addressing these challenges. </w:t>
      </w:r>
    </w:p>
    <w:p w:rsidR="008A79E2" w:rsidRPr="008A79E2" w:rsidRDefault="008A79E2" w:rsidP="008A79E2">
      <w:pPr>
        <w:rPr>
          <w:szCs w:val="36"/>
        </w:rPr>
      </w:pPr>
      <w:r w:rsidRPr="008A79E2">
        <w:rPr>
          <w:szCs w:val="36"/>
        </w:rPr>
        <w:t>This section summarizes the key findings of RSP17 and conclusions about the outlook for New England’s electric power system over the next 10 years:</w:t>
      </w:r>
    </w:p>
    <w:p w:rsidR="008A79E2" w:rsidRPr="008A79E2" w:rsidRDefault="008A79E2" w:rsidP="003D70FB">
      <w:pPr>
        <w:numPr>
          <w:ilvl w:val="0"/>
          <w:numId w:val="31"/>
        </w:numPr>
        <w:spacing w:after="120"/>
        <w:rPr>
          <w:rFonts w:eastAsia="Times New Roman"/>
        </w:rPr>
      </w:pPr>
      <w:r w:rsidRPr="008A79E2">
        <w:rPr>
          <w:rFonts w:eastAsia="Times New Roman"/>
        </w:rPr>
        <w:t xml:space="preserve">Forecasts of the regional net peak and annual energy show flat to negative growth resulting from the additions of PV and EE, which are reflected in the planning processes. Net peak demand, thus, is less of a key driver of new infrastructure needs. </w:t>
      </w:r>
    </w:p>
    <w:p w:rsidR="008A79E2" w:rsidRPr="008A79E2" w:rsidRDefault="008A79E2" w:rsidP="003D70FB">
      <w:pPr>
        <w:numPr>
          <w:ilvl w:val="0"/>
          <w:numId w:val="30"/>
        </w:numPr>
        <w:spacing w:after="120"/>
        <w:rPr>
          <w:rFonts w:eastAsia="Times New Roman"/>
        </w:rPr>
      </w:pPr>
      <w:r w:rsidRPr="008A79E2">
        <w:rPr>
          <w:rFonts w:eastAsia="Times New Roman"/>
        </w:rPr>
        <w:t xml:space="preserve">Needed capacity and operating reserves are provided through the wholesale markets, but resource retirements and the successful integration of variable </w:t>
      </w:r>
      <w:r w:rsidR="003B0E8A">
        <w:rPr>
          <w:rFonts w:eastAsia="Times New Roman"/>
        </w:rPr>
        <w:t xml:space="preserve">energy </w:t>
      </w:r>
      <w:r w:rsidRPr="008A79E2">
        <w:rPr>
          <w:rFonts w:eastAsia="Times New Roman"/>
        </w:rPr>
        <w:t xml:space="preserve">resources pose future challenges to the reliable and economic operation of the system. Studies of expected system conditions show that developing new resources near load centers, particularly in the Southeastern New England zone, would provide the greatest reliability benefit. </w:t>
      </w:r>
    </w:p>
    <w:p w:rsidR="008A79E2" w:rsidRPr="008A79E2" w:rsidRDefault="008A79E2" w:rsidP="003D70FB">
      <w:pPr>
        <w:numPr>
          <w:ilvl w:val="0"/>
          <w:numId w:val="30"/>
        </w:numPr>
        <w:spacing w:after="120"/>
        <w:rPr>
          <w:rFonts w:eastAsia="Times New Roman"/>
          <w:szCs w:val="24"/>
        </w:rPr>
      </w:pPr>
      <w:r w:rsidRPr="008A79E2">
        <w:rPr>
          <w:rFonts w:eastAsia="Times New Roman"/>
          <w:szCs w:val="24"/>
        </w:rPr>
        <w:t xml:space="preserve">Transmission expansion in New England has improved the overall level of reliability and resiliency, reduced air emissions, and lowered wholesale market costs by effectively eliminating congestion and Net Commitment-Period Compensation. Generator retirements, off-peak system needs, the growth of asynchronous resources, and changes to mandatory planning criteria promulgated by NERC and NPCC will drive the need for longer-term transmission projects. </w:t>
      </w:r>
    </w:p>
    <w:p w:rsidR="008A79E2" w:rsidRPr="008A79E2" w:rsidRDefault="008A79E2" w:rsidP="003D70FB">
      <w:pPr>
        <w:numPr>
          <w:ilvl w:val="0"/>
          <w:numId w:val="30"/>
        </w:numPr>
        <w:spacing w:after="120"/>
        <w:rPr>
          <w:rFonts w:eastAsia="Times New Roman"/>
        </w:rPr>
      </w:pPr>
      <w:r w:rsidRPr="008A79E2">
        <w:rPr>
          <w:rFonts w:eastAsia="Times New Roman"/>
          <w:szCs w:val="24"/>
        </w:rPr>
        <w:t xml:space="preserve">RSP17 complies with the intraregional and interregional planning processes required by the ISO’s </w:t>
      </w:r>
      <w:r w:rsidRPr="008A79E2">
        <w:rPr>
          <w:rFonts w:eastAsia="Times New Roman"/>
          <w:i/>
          <w:szCs w:val="24"/>
        </w:rPr>
        <w:t>Open Access Transmission Tariff</w:t>
      </w:r>
      <w:r w:rsidRPr="008A79E2">
        <w:rPr>
          <w:rFonts w:eastAsia="Times New Roman"/>
          <w:szCs w:val="24"/>
        </w:rPr>
        <w:t>. Revisions to the ISO planning processes now reflect Order No. 1000 requirements, probabilistic study assumptions, and changes to national and regional criteria. C</w:t>
      </w:r>
      <w:r w:rsidRPr="008A79E2">
        <w:rPr>
          <w:rFonts w:eastAsia="Times New Roman"/>
        </w:rPr>
        <w:t xml:space="preserve">oordinated planning activities with other systems will continue growing, particularly to provide access to a greater diversity of resources, including hydro imports and </w:t>
      </w:r>
      <w:r w:rsidR="003B0E8A">
        <w:rPr>
          <w:rFonts w:eastAsia="Times New Roman"/>
        </w:rPr>
        <w:t>VERs</w:t>
      </w:r>
      <w:r w:rsidRPr="008A79E2">
        <w:rPr>
          <w:rFonts w:eastAsia="Times New Roman"/>
        </w:rPr>
        <w:t>, and to meet environmental compliance obligations.</w:t>
      </w:r>
    </w:p>
    <w:p w:rsidR="008A79E2" w:rsidRPr="008A79E2" w:rsidRDefault="008A79E2" w:rsidP="003D70FB">
      <w:pPr>
        <w:numPr>
          <w:ilvl w:val="0"/>
          <w:numId w:val="30"/>
        </w:numPr>
        <w:spacing w:after="120"/>
        <w:rPr>
          <w:rFonts w:eastAsia="Times New Roman"/>
        </w:rPr>
      </w:pPr>
      <w:r w:rsidRPr="008A79E2">
        <w:rPr>
          <w:rFonts w:eastAsia="Times New Roman"/>
        </w:rPr>
        <w:t>The regional reliance on natural-gas-fired generation, coupled with natural gas pipeline constraints and uncertain LNG deliveries can pose reliability issues and lead to price spikes in the wholesale electricity markets. The ISO is quantifying this risk in its fuel-security study, which will be discussed with stakeholders in the last quarter of 2017.</w:t>
      </w:r>
    </w:p>
    <w:p w:rsidR="008A79E2" w:rsidRPr="008A79E2" w:rsidRDefault="008A79E2" w:rsidP="003D70FB">
      <w:pPr>
        <w:numPr>
          <w:ilvl w:val="0"/>
          <w:numId w:val="30"/>
        </w:numPr>
        <w:spacing w:after="120"/>
        <w:rPr>
          <w:rFonts w:eastAsia="Times New Roman"/>
        </w:rPr>
      </w:pPr>
      <w:r w:rsidRPr="008A79E2">
        <w:rPr>
          <w:rFonts w:eastAsia="Times New Roman"/>
        </w:rPr>
        <w:t xml:space="preserve">Environmental regulations, other public policies, and economic considerations, all will affect the future mix of regional resources, such as to influence the retirement of oil and coal generators and the addition of natural-gas-fired generation. Delays in EPA regulations and changes in regional and state regulations, however, create additional uncertainty in the shorter term. Generators needing to make major investments in environmental compliance measures may become uneconomical and retire, but others can recover their capital investment by locking in </w:t>
      </w:r>
      <w:r w:rsidRPr="008A79E2">
        <w:rPr>
          <w:rFonts w:eastAsia="Times New Roman"/>
        </w:rPr>
        <w:lastRenderedPageBreak/>
        <w:t xml:space="preserve">FCM prices for up to seven years. Carbon emissions targets will likely be the key regional environmental constraint on energy production. </w:t>
      </w:r>
    </w:p>
    <w:p w:rsidR="008A79E2" w:rsidRPr="008A79E2" w:rsidRDefault="008A79E2" w:rsidP="003D70FB">
      <w:pPr>
        <w:numPr>
          <w:ilvl w:val="0"/>
          <w:numId w:val="31"/>
        </w:numPr>
        <w:rPr>
          <w:rFonts w:eastAsia="Times New Roman"/>
        </w:rPr>
      </w:pPr>
      <w:r w:rsidRPr="008A79E2">
        <w:rPr>
          <w:rFonts w:eastAsia="Times New Roman"/>
        </w:rPr>
        <w:t xml:space="preserve">The region has </w:t>
      </w:r>
      <w:r w:rsidR="0032181D">
        <w:rPr>
          <w:rFonts w:eastAsia="Times New Roman"/>
        </w:rPr>
        <w:t>significant</w:t>
      </w:r>
      <w:r w:rsidRPr="008A79E2">
        <w:rPr>
          <w:rFonts w:eastAsia="Times New Roman"/>
        </w:rPr>
        <w:t xml:space="preserve"> potential for developing renewable resources and is actively addressing several key technical challenges to the successful integration of these resources. For example, interconnection queue processes that use clustering and new forecasting methods have been updated to improve the reliable and economical operation of the system with increasing amounts of wind resources. The addition of renewables, however, suppresses energy market prices and may further encourage the retirement of traditional generating units. The large-scale development of wind resources in northern New England would require </w:t>
      </w:r>
      <w:r w:rsidR="006143D9">
        <w:rPr>
          <w:rFonts w:eastAsia="Times New Roman"/>
        </w:rPr>
        <w:t xml:space="preserve">significant </w:t>
      </w:r>
      <w:r w:rsidRPr="008A79E2">
        <w:rPr>
          <w:rFonts w:eastAsia="Times New Roman"/>
        </w:rPr>
        <w:t xml:space="preserve">additional transmission system improvements. </w:t>
      </w:r>
    </w:p>
    <w:p w:rsidR="008A79E2" w:rsidRPr="008A79E2" w:rsidRDefault="008A79E2" w:rsidP="003D70FB">
      <w:pPr>
        <w:numPr>
          <w:ilvl w:val="0"/>
          <w:numId w:val="31"/>
        </w:numPr>
        <w:spacing w:after="120"/>
        <w:rPr>
          <w:rFonts w:eastAsia="Times New Roman"/>
        </w:rPr>
      </w:pPr>
      <w:r w:rsidRPr="008A79E2">
        <w:rPr>
          <w:rFonts w:eastAsia="Times New Roman"/>
        </w:rPr>
        <w:t xml:space="preserve">New England is transforming to a sustainable, hybrid grid that supports the connection of more renewable energy and the transition to the smart grid, which will make more effective use of distributed energy resources. Issues of observability and controllability of variable and distributed resources will need to be addressed to realize the full benefits of </w:t>
      </w:r>
      <w:r w:rsidR="0032181D">
        <w:rPr>
          <w:rFonts w:eastAsia="Times New Roman"/>
        </w:rPr>
        <w:t xml:space="preserve">energy </w:t>
      </w:r>
      <w:r w:rsidRPr="008A79E2">
        <w:rPr>
          <w:rFonts w:eastAsia="Times New Roman"/>
        </w:rPr>
        <w:t>storage, microgrids, and smart grid technologies. The rapid implementation of revised interconnection standards for distributed resources, including the IEEE 1547, is vital for ensuring overall system reliability and facilitating the economical development of renewable resources, such as PV.</w:t>
      </w:r>
    </w:p>
    <w:p w:rsidR="008A79E2" w:rsidRPr="008A79E2" w:rsidRDefault="008A79E2" w:rsidP="003D70FB">
      <w:pPr>
        <w:numPr>
          <w:ilvl w:val="0"/>
          <w:numId w:val="31"/>
        </w:numPr>
        <w:spacing w:after="120"/>
        <w:rPr>
          <w:rFonts w:eastAsia="Times New Roman"/>
        </w:rPr>
      </w:pPr>
      <w:r w:rsidRPr="008A79E2">
        <w:rPr>
          <w:rFonts w:eastAsia="Times New Roman"/>
        </w:rPr>
        <w:t xml:space="preserve">Federal and state policies and initiatives will continue to affect the planning process, such as the effect of policies promoting EE, PV, and wind resources. The ISO remains a leader in technological innovation, as shown by the widespread use of phasor measurement units, extensive application of flexible alternating-current transmission systems, and the implementation of state-of-the-art forecasting methods for wind resources and PV. </w:t>
      </w:r>
    </w:p>
    <w:p w:rsidR="008A79E2" w:rsidRPr="008A79E2" w:rsidRDefault="008A79E2" w:rsidP="003D70FB">
      <w:pPr>
        <w:numPr>
          <w:ilvl w:val="0"/>
          <w:numId w:val="31"/>
        </w:numPr>
        <w:rPr>
          <w:rFonts w:eastAsia="Times New Roman"/>
        </w:rPr>
      </w:pPr>
      <w:r w:rsidRPr="008A79E2">
        <w:rPr>
          <w:rFonts w:eastAsia="Times New Roman"/>
        </w:rPr>
        <w:t>The nature of the New England electric power system is undergoing major change as the system evolves from a capacity-limited system to an energy-limited system.</w:t>
      </w:r>
    </w:p>
    <w:p w:rsidR="009243F5" w:rsidRDefault="008A79E2" w:rsidP="008A79E2">
      <w:pPr>
        <w:rPr>
          <w:rFonts w:asciiTheme="majorHAnsi" w:eastAsia="Times New Roman" w:hAnsiTheme="majorHAnsi"/>
        </w:rPr>
      </w:pPr>
      <w:r w:rsidRPr="008A79E2">
        <w:t>Through an open process, regional stakeholders and the ISO are addressing these issues, which could include further infrastructure development, as well as changes to the wholesale electricity market design and the system planning process. Through current and planned activities, the region is working toward meeting all challenges for planning and operating the system in accordance with all requirements.</w:t>
      </w:r>
      <w:r w:rsidRPr="008A79E2" w:rsidDel="00E37C7A">
        <w:rPr>
          <w:rFonts w:asciiTheme="majorHAnsi" w:eastAsia="Times New Roman" w:hAnsiTheme="majorHAnsi"/>
        </w:rPr>
        <w:t xml:space="preserve"> </w:t>
      </w:r>
    </w:p>
    <w:p w:rsidR="009243F5" w:rsidRDefault="009243F5" w:rsidP="008A79E2">
      <w:pPr>
        <w:rPr>
          <w:rFonts w:asciiTheme="majorHAnsi" w:eastAsia="Times New Roman" w:hAnsiTheme="majorHAnsi"/>
        </w:rPr>
      </w:pPr>
    </w:p>
    <w:p w:rsidR="009243F5" w:rsidRDefault="009243F5" w:rsidP="008A79E2">
      <w:pPr>
        <w:rPr>
          <w:rFonts w:asciiTheme="majorHAnsi" w:eastAsia="Times New Roman" w:hAnsiTheme="majorHAnsi"/>
        </w:rPr>
        <w:sectPr w:rsidR="009243F5" w:rsidSect="009272ED">
          <w:headerReference w:type="default" r:id="rId90"/>
          <w:footerReference w:type="default" r:id="rId91"/>
          <w:pgSz w:w="12240" w:h="15840"/>
          <w:pgMar w:top="1440" w:right="1440" w:bottom="1440" w:left="1800" w:header="720" w:footer="720" w:gutter="0"/>
          <w:pgNumType w:start="1"/>
          <w:cols w:space="720"/>
          <w:docGrid w:linePitch="360"/>
        </w:sectPr>
      </w:pPr>
    </w:p>
    <w:p w:rsidR="008A79E2" w:rsidRDefault="003C3269" w:rsidP="003C3269">
      <w:pPr>
        <w:pStyle w:val="Heading1"/>
        <w:numPr>
          <w:ilvl w:val="0"/>
          <w:numId w:val="0"/>
        </w:numPr>
      </w:pPr>
      <w:bookmarkStart w:id="954" w:name="_Toc490323128"/>
      <w:r>
        <w:lastRenderedPageBreak/>
        <w:t>Acronyms and Abbreviations</w:t>
      </w:r>
      <w:bookmarkEnd w:id="954"/>
    </w:p>
    <w:tbl>
      <w:tblPr>
        <w:tblStyle w:val="20122tableformat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20" w:firstRow="1" w:lastRow="0" w:firstColumn="0" w:lastColumn="0" w:noHBand="0" w:noVBand="1"/>
      </w:tblPr>
      <w:tblGrid>
        <w:gridCol w:w="2079"/>
        <w:gridCol w:w="7037"/>
      </w:tblGrid>
      <w:tr w:rsidR="0068282D" w:rsidRPr="0068282D" w:rsidTr="0068282D">
        <w:trPr>
          <w:cnfStyle w:val="100000000000" w:firstRow="1" w:lastRow="0" w:firstColumn="0" w:lastColumn="0" w:oddVBand="0" w:evenVBand="0" w:oddHBand="0" w:evenHBand="0" w:firstRowFirstColumn="0" w:firstRowLastColumn="0" w:lastRowFirstColumn="0" w:lastRowLastColumn="0"/>
          <w:tblHeader/>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1795D2" w:themeFill="accent1"/>
          </w:tcPr>
          <w:p w:rsidR="003C3269" w:rsidRPr="0068282D" w:rsidRDefault="003C3269" w:rsidP="003C3269">
            <w:pPr>
              <w:spacing w:after="0"/>
              <w:rPr>
                <w:rFonts w:asciiTheme="minorHAnsi" w:hAnsiTheme="minorHAnsi" w:cs="Arial"/>
                <w:color w:val="FFFFFF" w:themeColor="background1"/>
                <w:szCs w:val="18"/>
              </w:rPr>
            </w:pPr>
            <w:r w:rsidRPr="0068282D">
              <w:rPr>
                <w:rFonts w:asciiTheme="minorHAnsi" w:hAnsiTheme="minorHAnsi" w:cs="Arial"/>
                <w:color w:val="FFFFFF" w:themeColor="background1"/>
                <w:szCs w:val="18"/>
              </w:rPr>
              <w:t>Acronym/Abbreviation</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1795D2" w:themeFill="accent1"/>
          </w:tcPr>
          <w:p w:rsidR="003C3269" w:rsidRPr="0068282D" w:rsidRDefault="003C3269" w:rsidP="003C3269">
            <w:pPr>
              <w:spacing w:after="0"/>
              <w:rPr>
                <w:rFonts w:asciiTheme="minorHAnsi" w:hAnsiTheme="minorHAnsi" w:cs="Arial"/>
                <w:color w:val="FFFFFF" w:themeColor="background1"/>
                <w:szCs w:val="18"/>
              </w:rPr>
            </w:pPr>
            <w:r w:rsidRPr="0068282D">
              <w:rPr>
                <w:rFonts w:asciiTheme="minorHAnsi" w:hAnsiTheme="minorHAnsi" w:cs="Arial"/>
                <w:color w:val="FFFFFF" w:themeColor="background1"/>
                <w:szCs w:val="18"/>
              </w:rPr>
              <w:t>Description</w:t>
            </w:r>
          </w:p>
        </w:tc>
      </w:tr>
      <w:tr w:rsidR="003C3269"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$/kW-mo; $/kW-m</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iCs/>
                <w:color w:val="000000"/>
                <w:szCs w:val="18"/>
              </w:rPr>
            </w:pPr>
            <w:r w:rsidRPr="003C3269">
              <w:rPr>
                <w:rFonts w:asciiTheme="minorHAnsi" w:hAnsiTheme="minorHAnsi" w:cs="Arial"/>
                <w:iCs/>
                <w:color w:val="000000"/>
                <w:szCs w:val="18"/>
              </w:rPr>
              <w:t>dollar(s) per kilowatt-month</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$/kW-yr</w:t>
            </w:r>
          </w:p>
        </w:tc>
        <w:tc>
          <w:tcPr>
            <w:tcW w:w="7037" w:type="dxa"/>
          </w:tcPr>
          <w:p w:rsidR="003C3269" w:rsidRPr="003C3269" w:rsidRDefault="003C3269" w:rsidP="003C3269">
            <w:pPr>
              <w:spacing w:after="0"/>
              <w:rPr>
                <w:rFonts w:asciiTheme="minorHAnsi" w:hAnsiTheme="minorHAnsi" w:cs="Arial"/>
                <w:iCs/>
                <w:color w:val="000000"/>
                <w:szCs w:val="18"/>
              </w:rPr>
            </w:pPr>
            <w:r w:rsidRPr="003C3269">
              <w:rPr>
                <w:rFonts w:asciiTheme="minorHAnsi" w:hAnsiTheme="minorHAnsi" w:cs="Arial"/>
                <w:iCs/>
                <w:color w:val="000000"/>
                <w:szCs w:val="18"/>
              </w:rPr>
              <w:t>dollar(s) per kilowatt-year</w:t>
            </w:r>
          </w:p>
        </w:tc>
      </w:tr>
      <w:tr w:rsidR="003C3269"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$/MMBtu</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iCs/>
                <w:color w:val="000000"/>
                <w:szCs w:val="18"/>
              </w:rPr>
            </w:pPr>
            <w:r w:rsidRPr="003C3269">
              <w:rPr>
                <w:rFonts w:asciiTheme="minorHAnsi" w:hAnsiTheme="minorHAnsi" w:cs="Arial"/>
                <w:iCs/>
                <w:color w:val="000000"/>
                <w:szCs w:val="18"/>
              </w:rPr>
              <w:t>dollar(s) per million British thermal units</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$/MWh</w:t>
            </w:r>
          </w:p>
        </w:tc>
        <w:tc>
          <w:tcPr>
            <w:tcW w:w="7037" w:type="dxa"/>
          </w:tcPr>
          <w:p w:rsidR="003C3269" w:rsidRPr="003C3269" w:rsidRDefault="003C3269" w:rsidP="003C3269">
            <w:pPr>
              <w:spacing w:after="0"/>
              <w:rPr>
                <w:rFonts w:asciiTheme="minorHAnsi" w:hAnsiTheme="minorHAnsi" w:cs="Arial"/>
                <w:iCs/>
                <w:color w:val="000000"/>
                <w:szCs w:val="18"/>
              </w:rPr>
            </w:pPr>
            <w:r w:rsidRPr="003C3269">
              <w:rPr>
                <w:rFonts w:asciiTheme="minorHAnsi" w:hAnsiTheme="minorHAnsi" w:cs="Arial"/>
                <w:iCs/>
                <w:color w:val="000000"/>
                <w:szCs w:val="18"/>
              </w:rPr>
              <w:t>dollar(s) per megawatt-hour</w:t>
            </w:r>
          </w:p>
        </w:tc>
      </w:tr>
      <w:tr w:rsidR="00696735"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696735" w:rsidRPr="005C4D04" w:rsidRDefault="00696735">
            <w:pPr>
              <w:spacing w:after="0"/>
              <w:rPr>
                <w:rFonts w:asciiTheme="minorHAnsi" w:hAnsiTheme="minorHAnsi" w:cs="Arial"/>
                <w:b/>
                <w:color w:val="000000"/>
                <w:szCs w:val="18"/>
              </w:rPr>
            </w:pPr>
            <w:r w:rsidRPr="005C4D04">
              <w:rPr>
                <w:rFonts w:asciiTheme="minorHAnsi" w:hAnsiTheme="minorHAnsi" w:cs="Arial"/>
                <w:b/>
                <w:color w:val="000000"/>
                <w:szCs w:val="18"/>
              </w:rPr>
              <w:t>12 CP</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696735" w:rsidRPr="003C3269" w:rsidRDefault="00696735" w:rsidP="003C3269">
            <w:pPr>
              <w:spacing w:after="0"/>
              <w:rPr>
                <w:rFonts w:asciiTheme="minorHAnsi" w:hAnsiTheme="minorHAnsi" w:cs="Arial"/>
                <w:iCs/>
                <w:color w:val="000000"/>
                <w:szCs w:val="18"/>
              </w:rPr>
            </w:pPr>
            <w:r w:rsidRPr="005C4D04">
              <w:rPr>
                <w:rFonts w:asciiTheme="minorHAnsi" w:hAnsiTheme="minorHAnsi" w:cs="Arial"/>
                <w:iCs/>
                <w:color w:val="000000"/>
                <w:szCs w:val="18"/>
              </w:rPr>
              <w:t>average of all the monthly regional network loads (per the OATT, Section 21.2) for the 12 months of the calendar year on which the rate is based</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50/50</w:t>
            </w:r>
          </w:p>
        </w:tc>
        <w:tc>
          <w:tcPr>
            <w:tcW w:w="7037" w:type="dxa"/>
          </w:tcPr>
          <w:p w:rsidR="003C3269" w:rsidRPr="003C3269" w:rsidRDefault="00751389" w:rsidP="00751389">
            <w:pPr>
              <w:spacing w:after="0"/>
              <w:rPr>
                <w:rFonts w:asciiTheme="minorHAnsi" w:hAnsiTheme="minorHAnsi" w:cs="Arial"/>
                <w:iCs/>
                <w:color w:val="000000"/>
                <w:szCs w:val="18"/>
              </w:rPr>
            </w:pPr>
            <w:r>
              <w:rPr>
                <w:rFonts w:asciiTheme="minorHAnsi" w:hAnsiTheme="minorHAnsi" w:cs="Arial"/>
                <w:iCs/>
                <w:color w:val="000000"/>
                <w:szCs w:val="18"/>
              </w:rPr>
              <w:t>r</w:t>
            </w:r>
            <w:r w:rsidR="003C3269" w:rsidRPr="00751389">
              <w:rPr>
                <w:rFonts w:asciiTheme="minorHAnsi" w:hAnsiTheme="minorHAnsi" w:cs="Arial"/>
                <w:iCs/>
                <w:color w:val="000000"/>
                <w:szCs w:val="18"/>
              </w:rPr>
              <w:t>efers to a</w:t>
            </w:r>
            <w:r w:rsidR="003C3269" w:rsidRPr="003C3269">
              <w:rPr>
                <w:rFonts w:asciiTheme="minorHAnsi" w:hAnsiTheme="minorHAnsi" w:cs="Arial"/>
                <w:iCs/>
                <w:color w:val="000000"/>
                <w:szCs w:val="18"/>
              </w:rPr>
              <w:t xml:space="preserve"> 50/50 peak load—a peak load with a 50% chance of being exceeded because of weather conditions, expected to occur in the summer in New England at a weighted New England-wide temperature of 90.2°F, and in the winter, 7.0°F</w:t>
            </w:r>
          </w:p>
        </w:tc>
      </w:tr>
      <w:tr w:rsidR="003C3269"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90/10</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751389" w:rsidP="00751389">
            <w:pPr>
              <w:spacing w:after="0"/>
              <w:rPr>
                <w:rFonts w:asciiTheme="minorHAnsi" w:hAnsiTheme="minorHAnsi" w:cs="Arial"/>
                <w:iCs/>
                <w:color w:val="000000"/>
                <w:szCs w:val="18"/>
              </w:rPr>
            </w:pPr>
            <w:r>
              <w:rPr>
                <w:rFonts w:asciiTheme="minorHAnsi" w:hAnsiTheme="minorHAnsi" w:cs="Arial"/>
                <w:iCs/>
                <w:color w:val="000000"/>
                <w:szCs w:val="18"/>
              </w:rPr>
              <w:t>r</w:t>
            </w:r>
            <w:r w:rsidR="003C3269" w:rsidRPr="00751389">
              <w:rPr>
                <w:rFonts w:asciiTheme="minorHAnsi" w:hAnsiTheme="minorHAnsi" w:cs="Arial"/>
                <w:iCs/>
                <w:color w:val="000000"/>
                <w:szCs w:val="18"/>
              </w:rPr>
              <w:t>efers to a</w:t>
            </w:r>
            <w:r w:rsidR="003C3269" w:rsidRPr="003C3269">
              <w:rPr>
                <w:rFonts w:asciiTheme="minorHAnsi" w:hAnsiTheme="minorHAnsi" w:cs="Arial"/>
                <w:iCs/>
                <w:color w:val="000000"/>
                <w:szCs w:val="18"/>
              </w:rPr>
              <w:t xml:space="preserve"> 90/10 peak load—a peak load with a 10% chance of being exceeded because of weather conditions, expected to occur in the summer in New England at a weighted New England-wide temperature of 94.2°F, and in the winter 1.6°F</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AC; ac</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alternating current</w:t>
            </w:r>
          </w:p>
        </w:tc>
      </w:tr>
      <w:tr w:rsidR="00706849"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706849" w:rsidRPr="003C3269" w:rsidRDefault="00706849" w:rsidP="005A1BF0">
            <w:pPr>
              <w:spacing w:after="0"/>
              <w:rPr>
                <w:rFonts w:asciiTheme="minorHAnsi" w:hAnsiTheme="minorHAnsi" w:cs="Arial"/>
                <w:b/>
                <w:color w:val="000000"/>
                <w:szCs w:val="18"/>
              </w:rPr>
            </w:pPr>
            <w:r>
              <w:rPr>
                <w:rFonts w:asciiTheme="minorHAnsi" w:hAnsiTheme="minorHAnsi" w:cs="Arial"/>
                <w:b/>
                <w:color w:val="000000"/>
                <w:szCs w:val="18"/>
              </w:rPr>
              <w:t>ACEEE</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706849" w:rsidRPr="003C3269" w:rsidRDefault="001F3E3E" w:rsidP="005A1BF0">
            <w:pPr>
              <w:spacing w:after="0"/>
              <w:rPr>
                <w:rFonts w:asciiTheme="minorHAnsi" w:hAnsiTheme="minorHAnsi" w:cs="Arial"/>
                <w:color w:val="000000"/>
                <w:szCs w:val="18"/>
              </w:rPr>
            </w:pPr>
            <w:r>
              <w:rPr>
                <w:rFonts w:asciiTheme="minorHAnsi" w:hAnsiTheme="minorHAnsi" w:cs="Arial"/>
                <w:color w:val="000000"/>
                <w:szCs w:val="18"/>
              </w:rPr>
              <w:t>American Council for an Energy-Efficient Economy</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5A1BF0">
            <w:pPr>
              <w:spacing w:after="0"/>
              <w:rPr>
                <w:rFonts w:asciiTheme="minorHAnsi" w:hAnsiTheme="minorHAnsi" w:cs="Arial"/>
                <w:b/>
                <w:bCs/>
                <w:color w:val="000000"/>
                <w:szCs w:val="18"/>
              </w:rPr>
            </w:pPr>
            <w:r w:rsidRPr="003C3269">
              <w:rPr>
                <w:rFonts w:asciiTheme="minorHAnsi" w:hAnsiTheme="minorHAnsi" w:cs="Arial"/>
                <w:b/>
                <w:color w:val="000000"/>
                <w:szCs w:val="18"/>
              </w:rPr>
              <w:t>A</w:t>
            </w:r>
            <w:r w:rsidR="005A1BF0">
              <w:rPr>
                <w:rFonts w:asciiTheme="minorHAnsi" w:hAnsiTheme="minorHAnsi" w:cs="Arial"/>
                <w:b/>
                <w:color w:val="000000"/>
                <w:szCs w:val="18"/>
              </w:rPr>
              <w:t>DR</w:t>
            </w:r>
          </w:p>
        </w:tc>
        <w:tc>
          <w:tcPr>
            <w:tcW w:w="7037" w:type="dxa"/>
          </w:tcPr>
          <w:p w:rsidR="003C3269" w:rsidRPr="003C3269" w:rsidRDefault="00751389" w:rsidP="005A1BF0">
            <w:pPr>
              <w:spacing w:after="0"/>
              <w:rPr>
                <w:rFonts w:asciiTheme="minorHAnsi" w:hAnsiTheme="minorHAnsi" w:cs="Arial"/>
                <w:color w:val="000000"/>
                <w:szCs w:val="18"/>
              </w:rPr>
            </w:pPr>
            <w:r>
              <w:rPr>
                <w:rFonts w:asciiTheme="minorHAnsi" w:hAnsiTheme="minorHAnsi" w:cs="Arial"/>
                <w:color w:val="000000"/>
                <w:szCs w:val="18"/>
              </w:rPr>
              <w:t>a</w:t>
            </w:r>
            <w:r w:rsidR="005A1BF0">
              <w:rPr>
                <w:rFonts w:asciiTheme="minorHAnsi" w:hAnsiTheme="minorHAnsi" w:cs="Arial"/>
                <w:color w:val="000000"/>
                <w:szCs w:val="18"/>
              </w:rPr>
              <w:t>ctive demand resource</w:t>
            </w:r>
          </w:p>
        </w:tc>
      </w:tr>
      <w:tr w:rsidR="003C3269"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AEO</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Annual Energy Outlook (EIA)</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AGT</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Algonquin Gas Transmission</w:t>
            </w:r>
          </w:p>
        </w:tc>
      </w:tr>
      <w:tr w:rsidR="003C3269"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751389" w:rsidRDefault="003C3269" w:rsidP="003C3269">
            <w:pPr>
              <w:spacing w:after="0"/>
              <w:rPr>
                <w:rFonts w:asciiTheme="minorHAnsi" w:hAnsiTheme="minorHAnsi" w:cs="Arial"/>
                <w:b/>
                <w:color w:val="000000"/>
                <w:szCs w:val="18"/>
              </w:rPr>
            </w:pPr>
            <w:r w:rsidRPr="00751389">
              <w:rPr>
                <w:rFonts w:asciiTheme="minorHAnsi" w:hAnsiTheme="minorHAnsi" w:cs="Arial"/>
                <w:b/>
                <w:color w:val="000000"/>
                <w:szCs w:val="18"/>
              </w:rPr>
              <w:t>AIM</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582196">
            <w:pPr>
              <w:spacing w:after="0"/>
              <w:rPr>
                <w:rFonts w:asciiTheme="minorHAnsi" w:hAnsiTheme="minorHAnsi" w:cs="Arial"/>
                <w:iCs/>
                <w:color w:val="000000"/>
                <w:szCs w:val="18"/>
              </w:rPr>
            </w:pPr>
            <w:r w:rsidRPr="00751389">
              <w:rPr>
                <w:rFonts w:asciiTheme="minorHAnsi" w:hAnsiTheme="minorHAnsi" w:cs="Arial"/>
                <w:iCs/>
                <w:color w:val="000000"/>
                <w:szCs w:val="18"/>
              </w:rPr>
              <w:t>Algonquin Incremental Market (</w:t>
            </w:r>
            <w:r w:rsidR="00E318CA" w:rsidRPr="00751389">
              <w:rPr>
                <w:rFonts w:asciiTheme="minorHAnsi" w:hAnsiTheme="minorHAnsi" w:cs="Arial"/>
                <w:iCs/>
                <w:color w:val="000000"/>
                <w:szCs w:val="18"/>
              </w:rPr>
              <w:t xml:space="preserve">Enbridge </w:t>
            </w:r>
            <w:r w:rsidRPr="00751389">
              <w:rPr>
                <w:rFonts w:asciiTheme="minorHAnsi" w:hAnsiTheme="minorHAnsi" w:cs="Arial"/>
                <w:iCs/>
                <w:color w:val="000000"/>
                <w:szCs w:val="18"/>
              </w:rPr>
              <w:t>Energy project)</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AMR</w:t>
            </w:r>
            <w:r w:rsidRPr="003C3269">
              <w:rPr>
                <w:rFonts w:asciiTheme="minorHAnsi" w:hAnsiTheme="minorHAnsi" w:cs="Arial"/>
                <w:b/>
                <w:i/>
                <w:color w:val="000000"/>
                <w:szCs w:val="18"/>
              </w:rPr>
              <w:t>XY</w:t>
            </w:r>
          </w:p>
        </w:tc>
        <w:tc>
          <w:tcPr>
            <w:tcW w:w="7037" w:type="dxa"/>
          </w:tcPr>
          <w:p w:rsidR="003C3269" w:rsidRPr="003C3269" w:rsidRDefault="003C3269" w:rsidP="003C3269">
            <w:pPr>
              <w:spacing w:after="0"/>
              <w:rPr>
                <w:rFonts w:asciiTheme="minorHAnsi" w:hAnsiTheme="minorHAnsi" w:cs="Arial"/>
                <w:i/>
                <w:iCs/>
                <w:color w:val="000000"/>
                <w:szCs w:val="18"/>
              </w:rPr>
            </w:pPr>
            <w:r w:rsidRPr="003C3269">
              <w:rPr>
                <w:rFonts w:asciiTheme="minorHAnsi" w:hAnsiTheme="minorHAnsi" w:cs="Arial"/>
                <w:i/>
                <w:iCs/>
                <w:color w:val="000000"/>
                <w:szCs w:val="18"/>
              </w:rPr>
              <w:t>20XY Annual Markets Report</w:t>
            </w:r>
          </w:p>
        </w:tc>
      </w:tr>
      <w:tr w:rsidR="00696735" w:rsidRPr="00696735"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696735" w:rsidRPr="00751389" w:rsidRDefault="00696735" w:rsidP="003C3269">
            <w:pPr>
              <w:spacing w:after="0"/>
              <w:rPr>
                <w:rFonts w:asciiTheme="minorHAnsi" w:hAnsiTheme="minorHAnsi" w:cs="Arial"/>
                <w:b/>
                <w:bCs/>
                <w:color w:val="000000"/>
                <w:szCs w:val="18"/>
              </w:rPr>
            </w:pPr>
            <w:r w:rsidRPr="00751389">
              <w:rPr>
                <w:rFonts w:asciiTheme="minorHAnsi" w:hAnsiTheme="minorHAnsi"/>
                <w:b/>
              </w:rPr>
              <w:t>ARIPPA</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696735" w:rsidRPr="00696735" w:rsidRDefault="00696735">
            <w:pPr>
              <w:spacing w:after="0"/>
              <w:rPr>
                <w:rFonts w:asciiTheme="minorHAnsi" w:hAnsiTheme="minorHAnsi" w:cs="Arial"/>
                <w:color w:val="000000"/>
                <w:szCs w:val="18"/>
              </w:rPr>
            </w:pPr>
            <w:r w:rsidRPr="00751389">
              <w:rPr>
                <w:rFonts w:asciiTheme="minorHAnsi" w:hAnsiTheme="minorHAnsi"/>
              </w:rPr>
              <w:t>Anthracite Region Independent Power Producers Association</w:t>
            </w:r>
          </w:p>
        </w:tc>
      </w:tr>
      <w:tr w:rsidR="00706849"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706849" w:rsidRPr="003C3269" w:rsidRDefault="00706849" w:rsidP="003C3269">
            <w:pPr>
              <w:spacing w:after="0"/>
              <w:rPr>
                <w:rFonts w:asciiTheme="minorHAnsi" w:hAnsiTheme="minorHAnsi" w:cs="Arial"/>
                <w:b/>
                <w:bCs/>
                <w:color w:val="000000"/>
                <w:szCs w:val="18"/>
              </w:rPr>
            </w:pPr>
            <w:r>
              <w:rPr>
                <w:rFonts w:asciiTheme="minorHAnsi" w:hAnsiTheme="minorHAnsi" w:cs="Arial"/>
                <w:b/>
                <w:bCs/>
                <w:color w:val="000000"/>
                <w:szCs w:val="18"/>
              </w:rPr>
              <w:t>ATRR</w:t>
            </w:r>
          </w:p>
        </w:tc>
        <w:tc>
          <w:tcPr>
            <w:tcW w:w="7037" w:type="dxa"/>
          </w:tcPr>
          <w:p w:rsidR="00706849" w:rsidRPr="003C3269" w:rsidRDefault="00706849">
            <w:pPr>
              <w:spacing w:after="0"/>
              <w:rPr>
                <w:rFonts w:asciiTheme="minorHAnsi" w:hAnsiTheme="minorHAnsi" w:cs="Arial"/>
                <w:color w:val="000000"/>
                <w:szCs w:val="18"/>
              </w:rPr>
            </w:pPr>
            <w:r>
              <w:rPr>
                <w:rFonts w:asciiTheme="minorHAnsi" w:hAnsiTheme="minorHAnsi" w:cs="Arial"/>
                <w:color w:val="000000"/>
                <w:szCs w:val="18"/>
              </w:rPr>
              <w:t>alternative technology regulation resource</w:t>
            </w:r>
          </w:p>
        </w:tc>
      </w:tr>
      <w:tr w:rsidR="00D14E9A"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D14E9A" w:rsidRPr="003C3269" w:rsidRDefault="00D14E9A" w:rsidP="003C3269">
            <w:pPr>
              <w:spacing w:after="0"/>
              <w:rPr>
                <w:rFonts w:asciiTheme="minorHAnsi" w:hAnsiTheme="minorHAnsi" w:cs="Arial"/>
                <w:b/>
                <w:bCs/>
                <w:color w:val="000000"/>
                <w:szCs w:val="18"/>
              </w:rPr>
            </w:pPr>
            <w:r>
              <w:rPr>
                <w:rFonts w:asciiTheme="minorHAnsi" w:hAnsiTheme="minorHAnsi" w:cs="Arial"/>
                <w:b/>
                <w:bCs/>
                <w:color w:val="000000"/>
                <w:szCs w:val="18"/>
              </w:rPr>
              <w:t>Bangor Hydro</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D14E9A" w:rsidRDefault="00D14E9A" w:rsidP="00D14E9A">
            <w:pPr>
              <w:spacing w:after="0"/>
              <w:rPr>
                <w:rFonts w:asciiTheme="minorHAnsi" w:hAnsiTheme="minorHAnsi" w:cs="Arial"/>
                <w:color w:val="000000"/>
                <w:szCs w:val="18"/>
              </w:rPr>
            </w:pPr>
            <w:r>
              <w:rPr>
                <w:rFonts w:asciiTheme="minorHAnsi" w:hAnsiTheme="minorHAnsi" w:cs="Arial"/>
                <w:color w:val="000000"/>
                <w:szCs w:val="18"/>
              </w:rPr>
              <w:t xml:space="preserve">1) </w:t>
            </w:r>
            <w:r w:rsidR="00A84788">
              <w:rPr>
                <w:rFonts w:asciiTheme="minorHAnsi" w:hAnsiTheme="minorHAnsi" w:cs="Arial"/>
                <w:color w:val="000000"/>
                <w:szCs w:val="18"/>
              </w:rPr>
              <w:t xml:space="preserve">Bangor Hydro Electric </w:t>
            </w:r>
            <w:r w:rsidRPr="00D14E9A">
              <w:rPr>
                <w:rFonts w:asciiTheme="minorHAnsi" w:hAnsiTheme="minorHAnsi" w:cs="Arial"/>
                <w:color w:val="000000"/>
                <w:szCs w:val="18"/>
              </w:rPr>
              <w:t>Company</w:t>
            </w:r>
          </w:p>
          <w:p w:rsidR="00D14E9A" w:rsidRPr="003C3269" w:rsidRDefault="00D14E9A" w:rsidP="00D14E9A">
            <w:pPr>
              <w:spacing w:after="0"/>
              <w:rPr>
                <w:rFonts w:asciiTheme="minorHAnsi" w:hAnsiTheme="minorHAnsi" w:cs="Arial"/>
                <w:color w:val="000000"/>
                <w:szCs w:val="18"/>
              </w:rPr>
            </w:pPr>
            <w:r>
              <w:rPr>
                <w:rFonts w:asciiTheme="minorHAnsi" w:hAnsiTheme="minorHAnsi" w:cs="Arial"/>
                <w:color w:val="000000"/>
                <w:szCs w:val="18"/>
              </w:rPr>
              <w:t xml:space="preserve">2) </w:t>
            </w:r>
            <w:r w:rsidRPr="003D4F3D">
              <w:rPr>
                <w:rFonts w:ascii="Calibri" w:hAnsi="Calibri"/>
              </w:rPr>
              <w:t>active-demand-resource dispatch zone</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bCs/>
                <w:color w:val="000000"/>
                <w:szCs w:val="18"/>
              </w:rPr>
              <w:t>bbl</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 xml:space="preserve">blue barrel </w:t>
            </w:r>
          </w:p>
        </w:tc>
      </w:tr>
      <w:tr w:rsidR="003C3269"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bCs/>
                <w:color w:val="000000"/>
                <w:szCs w:val="18"/>
              </w:rPr>
              <w:t>Bcf; Bcf/d</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billion cubic feet; billion cubic feet per day</w:t>
            </w:r>
          </w:p>
        </w:tc>
      </w:tr>
      <w:tr w:rsidR="00706849"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706849" w:rsidRPr="003C3269" w:rsidRDefault="00706849" w:rsidP="003C3269">
            <w:pPr>
              <w:spacing w:after="0"/>
              <w:rPr>
                <w:rFonts w:asciiTheme="minorHAnsi" w:hAnsiTheme="minorHAnsi" w:cs="Arial"/>
                <w:b/>
                <w:bCs/>
                <w:color w:val="000000"/>
                <w:szCs w:val="18"/>
              </w:rPr>
            </w:pPr>
            <w:r>
              <w:rPr>
                <w:rFonts w:asciiTheme="minorHAnsi" w:hAnsiTheme="minorHAnsi" w:cs="Arial"/>
                <w:b/>
                <w:bCs/>
                <w:color w:val="000000"/>
                <w:szCs w:val="18"/>
              </w:rPr>
              <w:t>BES</w:t>
            </w:r>
          </w:p>
        </w:tc>
        <w:tc>
          <w:tcPr>
            <w:tcW w:w="7037" w:type="dxa"/>
          </w:tcPr>
          <w:p w:rsidR="00706849" w:rsidRPr="003C3269" w:rsidRDefault="00706849" w:rsidP="003C3269">
            <w:pPr>
              <w:spacing w:after="0"/>
              <w:rPr>
                <w:rFonts w:asciiTheme="minorHAnsi" w:hAnsiTheme="minorHAnsi" w:cs="Arial"/>
                <w:color w:val="000000"/>
                <w:szCs w:val="18"/>
              </w:rPr>
            </w:pPr>
            <w:r>
              <w:rPr>
                <w:rFonts w:asciiTheme="minorHAnsi" w:hAnsiTheme="minorHAnsi" w:cs="Arial"/>
                <w:color w:val="000000"/>
                <w:szCs w:val="18"/>
              </w:rPr>
              <w:t>bulk electric system</w:t>
            </w:r>
            <w:r w:rsidR="00751389">
              <w:rPr>
                <w:rFonts w:asciiTheme="minorHAnsi" w:hAnsiTheme="minorHAnsi" w:cs="Arial"/>
                <w:color w:val="000000"/>
                <w:szCs w:val="18"/>
              </w:rPr>
              <w:t xml:space="preserve"> (NERC)</w:t>
            </w:r>
          </w:p>
        </w:tc>
      </w:tr>
      <w:tr w:rsidR="003C3269" w:rsidRPr="00D14E9A"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D14E9A" w:rsidRDefault="003C3269" w:rsidP="003C3269">
            <w:pPr>
              <w:spacing w:after="0"/>
              <w:rPr>
                <w:rFonts w:asciiTheme="minorHAnsi" w:hAnsiTheme="minorHAnsi" w:cs="Arial"/>
                <w:b/>
                <w:bCs/>
                <w:color w:val="000000"/>
                <w:szCs w:val="18"/>
              </w:rPr>
            </w:pPr>
            <w:r w:rsidRPr="00D14E9A">
              <w:rPr>
                <w:rFonts w:asciiTheme="minorHAnsi" w:hAnsiTheme="minorHAnsi" w:cs="Arial"/>
                <w:b/>
                <w:bCs/>
                <w:color w:val="000000"/>
                <w:szCs w:val="18"/>
              </w:rPr>
              <w:t>BHE</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D14E9A" w:rsidRDefault="003C3269" w:rsidP="003C3269">
            <w:pPr>
              <w:spacing w:after="0"/>
              <w:rPr>
                <w:rFonts w:asciiTheme="minorHAnsi" w:hAnsiTheme="minorHAnsi" w:cs="Arial"/>
                <w:color w:val="000000"/>
                <w:szCs w:val="18"/>
              </w:rPr>
            </w:pPr>
            <w:r w:rsidRPr="00D14E9A">
              <w:rPr>
                <w:rFonts w:asciiTheme="minorHAnsi" w:hAnsiTheme="minorHAnsi" w:cs="Arial"/>
                <w:color w:val="000000"/>
                <w:szCs w:val="18"/>
              </w:rPr>
              <w:t>1) RSP subarea of northeastern Maine</w:t>
            </w:r>
          </w:p>
          <w:p w:rsidR="003C3269" w:rsidRPr="00D14E9A" w:rsidRDefault="003C3269" w:rsidP="00A84788">
            <w:pPr>
              <w:spacing w:after="0"/>
              <w:rPr>
                <w:rFonts w:asciiTheme="minorHAnsi" w:hAnsiTheme="minorHAnsi" w:cs="Arial"/>
                <w:color w:val="000000"/>
                <w:szCs w:val="18"/>
              </w:rPr>
            </w:pPr>
            <w:r w:rsidRPr="00D14E9A">
              <w:rPr>
                <w:rFonts w:asciiTheme="minorHAnsi" w:hAnsiTheme="minorHAnsi" w:cs="Arial"/>
                <w:color w:val="000000"/>
                <w:szCs w:val="18"/>
              </w:rPr>
              <w:t>2) Bangor Hydro Electric Company</w:t>
            </w:r>
          </w:p>
        </w:tc>
      </w:tr>
      <w:tr w:rsidR="00D14E9A" w:rsidRPr="00D14E9A"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D14E9A" w:rsidRPr="00846C0A" w:rsidRDefault="00D14E9A" w:rsidP="003C3269">
            <w:pPr>
              <w:spacing w:after="0"/>
              <w:rPr>
                <w:rFonts w:asciiTheme="minorHAnsi" w:hAnsiTheme="minorHAnsi" w:cs="Arial"/>
                <w:b/>
                <w:color w:val="000000"/>
                <w:szCs w:val="18"/>
              </w:rPr>
            </w:pPr>
            <w:r w:rsidRPr="00846C0A">
              <w:rPr>
                <w:rFonts w:asciiTheme="minorHAnsi" w:hAnsiTheme="minorHAnsi" w:cs="Arial"/>
                <w:b/>
                <w:color w:val="000000"/>
                <w:szCs w:val="18"/>
              </w:rPr>
              <w:t>Boston</w:t>
            </w:r>
          </w:p>
        </w:tc>
        <w:tc>
          <w:tcPr>
            <w:tcW w:w="7037" w:type="dxa"/>
          </w:tcPr>
          <w:p w:rsidR="00D14E9A" w:rsidRPr="00846C0A" w:rsidRDefault="00D14E9A" w:rsidP="00D14E9A">
            <w:pPr>
              <w:spacing w:after="0"/>
              <w:rPr>
                <w:rFonts w:asciiTheme="minorHAnsi" w:hAnsiTheme="minorHAnsi" w:cs="Arial"/>
                <w:color w:val="000000"/>
                <w:szCs w:val="18"/>
              </w:rPr>
            </w:pPr>
            <w:r w:rsidRPr="00846C0A">
              <w:rPr>
                <w:rFonts w:asciiTheme="minorHAnsi" w:hAnsiTheme="minorHAnsi" w:cs="Arial"/>
                <w:color w:val="000000"/>
                <w:szCs w:val="18"/>
              </w:rPr>
              <w:t>active-demand</w:t>
            </w:r>
            <w:r>
              <w:rPr>
                <w:rFonts w:asciiTheme="minorHAnsi" w:hAnsiTheme="minorHAnsi" w:cs="Arial"/>
                <w:color w:val="000000"/>
                <w:szCs w:val="18"/>
              </w:rPr>
              <w:t>-</w:t>
            </w:r>
            <w:r w:rsidRPr="00846C0A">
              <w:rPr>
                <w:rFonts w:asciiTheme="minorHAnsi" w:hAnsiTheme="minorHAnsi" w:cs="Arial"/>
                <w:color w:val="000000"/>
                <w:szCs w:val="18"/>
              </w:rPr>
              <w:t>resource dispatch zone (sentence cap</w:t>
            </w:r>
            <w:r>
              <w:rPr>
                <w:rFonts w:asciiTheme="minorHAnsi" w:hAnsiTheme="minorHAnsi" w:cs="Arial"/>
                <w:color w:val="000000"/>
                <w:szCs w:val="18"/>
              </w:rPr>
              <w:t>italization</w:t>
            </w:r>
            <w:r w:rsidRPr="00846C0A">
              <w:rPr>
                <w:rFonts w:asciiTheme="minorHAnsi" w:hAnsiTheme="minorHAnsi" w:cs="Arial"/>
                <w:color w:val="000000"/>
                <w:szCs w:val="18"/>
              </w:rPr>
              <w:t>)</w:t>
            </w:r>
          </w:p>
        </w:tc>
      </w:tr>
      <w:tr w:rsidR="003C3269"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D14E9A" w:rsidRDefault="003C3269" w:rsidP="003C3269">
            <w:pPr>
              <w:spacing w:after="0"/>
              <w:rPr>
                <w:rFonts w:asciiTheme="minorHAnsi" w:hAnsiTheme="minorHAnsi" w:cs="Arial"/>
                <w:b/>
                <w:bCs/>
                <w:color w:val="000000"/>
                <w:szCs w:val="18"/>
              </w:rPr>
            </w:pPr>
            <w:r w:rsidRPr="00D14E9A">
              <w:rPr>
                <w:rFonts w:asciiTheme="minorHAnsi" w:hAnsiTheme="minorHAnsi" w:cs="Arial"/>
                <w:b/>
                <w:color w:val="000000"/>
                <w:szCs w:val="18"/>
              </w:rPr>
              <w:t>BOSTON, BOST</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D14E9A">
              <w:rPr>
                <w:rFonts w:asciiTheme="minorHAnsi" w:hAnsiTheme="minorHAnsi" w:cs="Arial"/>
                <w:color w:val="000000"/>
                <w:szCs w:val="18"/>
              </w:rPr>
              <w:t>RSP subarea of Greater Boston, including the North Shore (all capitalized)</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BPS</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bulk power system</w:t>
            </w:r>
            <w:r w:rsidR="00751389">
              <w:rPr>
                <w:rFonts w:asciiTheme="minorHAnsi" w:hAnsiTheme="minorHAnsi" w:cs="Arial"/>
                <w:color w:val="000000"/>
                <w:szCs w:val="18"/>
              </w:rPr>
              <w:t xml:space="preserve"> (NPCC)</w:t>
            </w:r>
          </w:p>
        </w:tc>
      </w:tr>
      <w:tr w:rsidR="003C3269"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BTM</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behind the meter</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Btu</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British thermal unit</w:t>
            </w:r>
          </w:p>
        </w:tc>
      </w:tr>
      <w:tr w:rsidR="00706849"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706849" w:rsidRPr="003C3269" w:rsidRDefault="00706849" w:rsidP="003C3269">
            <w:pPr>
              <w:spacing w:after="0"/>
              <w:rPr>
                <w:rFonts w:asciiTheme="minorHAnsi" w:hAnsiTheme="minorHAnsi" w:cs="Arial"/>
                <w:b/>
                <w:color w:val="000000"/>
                <w:szCs w:val="18"/>
              </w:rPr>
            </w:pPr>
            <w:r>
              <w:rPr>
                <w:rFonts w:asciiTheme="minorHAnsi" w:hAnsiTheme="minorHAnsi" w:cs="Arial"/>
                <w:b/>
                <w:color w:val="000000"/>
                <w:szCs w:val="18"/>
              </w:rPr>
              <w:t>C2C</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706849" w:rsidRPr="00751389" w:rsidRDefault="00706849" w:rsidP="00751389">
            <w:pPr>
              <w:spacing w:after="0"/>
              <w:rPr>
                <w:rFonts w:asciiTheme="minorHAnsi" w:hAnsiTheme="minorHAnsi" w:cs="Arial"/>
                <w:color w:val="000000"/>
                <w:szCs w:val="18"/>
              </w:rPr>
            </w:pPr>
            <w:r w:rsidRPr="00706849">
              <w:rPr>
                <w:rFonts w:asciiTheme="minorHAnsi" w:hAnsiTheme="minorHAnsi" w:cs="Arial"/>
                <w:color w:val="000000"/>
                <w:szCs w:val="18"/>
              </w:rPr>
              <w:t>Continent</w:t>
            </w:r>
            <w:r w:rsidR="00751389">
              <w:rPr>
                <w:rFonts w:asciiTheme="minorHAnsi" w:hAnsiTheme="minorHAnsi" w:cs="Arial"/>
                <w:color w:val="000000"/>
                <w:szCs w:val="18"/>
              </w:rPr>
              <w:t>-</w:t>
            </w:r>
            <w:r w:rsidRPr="00706849">
              <w:rPr>
                <w:rFonts w:asciiTheme="minorHAnsi" w:hAnsiTheme="minorHAnsi" w:cs="Arial"/>
                <w:color w:val="000000"/>
                <w:szCs w:val="18"/>
              </w:rPr>
              <w:t>to</w:t>
            </w:r>
            <w:r w:rsidR="00751389">
              <w:rPr>
                <w:rFonts w:asciiTheme="minorHAnsi" w:hAnsiTheme="minorHAnsi" w:cs="Arial"/>
                <w:color w:val="000000"/>
                <w:szCs w:val="18"/>
              </w:rPr>
              <w:t>-</w:t>
            </w:r>
            <w:r w:rsidRPr="00706849">
              <w:rPr>
                <w:rFonts w:asciiTheme="minorHAnsi" w:hAnsiTheme="minorHAnsi" w:cs="Arial"/>
                <w:color w:val="000000"/>
                <w:szCs w:val="18"/>
              </w:rPr>
              <w:t>Coast Expansion Project</w:t>
            </w:r>
            <w:r>
              <w:rPr>
                <w:rFonts w:asciiTheme="minorHAnsi" w:hAnsiTheme="minorHAnsi" w:cs="Arial"/>
                <w:color w:val="000000"/>
                <w:szCs w:val="18"/>
              </w:rPr>
              <w:t xml:space="preserve"> </w:t>
            </w:r>
            <w:r w:rsidRPr="00706849">
              <w:rPr>
                <w:rFonts w:asciiTheme="minorHAnsi" w:hAnsiTheme="minorHAnsi" w:cs="Arial"/>
                <w:color w:val="000000"/>
                <w:szCs w:val="18"/>
              </w:rPr>
              <w:t>(PNGTS, TransCanada, Iroquois)</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CAA</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i/>
                <w:color w:val="000000"/>
                <w:szCs w:val="18"/>
              </w:rPr>
              <w:t>Clean Air Act</w:t>
            </w:r>
            <w:r w:rsidRPr="003C3269">
              <w:rPr>
                <w:rFonts w:asciiTheme="minorHAnsi" w:hAnsiTheme="minorHAnsi" w:cs="Arial"/>
                <w:color w:val="000000"/>
                <w:szCs w:val="18"/>
              </w:rPr>
              <w:t xml:space="preserve"> (US)</w:t>
            </w:r>
          </w:p>
        </w:tc>
      </w:tr>
      <w:tr w:rsidR="003C3269" w:rsidRPr="003C3269" w:rsidTr="0018383B">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CAGR</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compound annual growth rate</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CAISO</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iCs/>
                <w:color w:val="000000"/>
                <w:szCs w:val="18"/>
              </w:rPr>
              <w:t>California Independent System Operator</w:t>
            </w:r>
          </w:p>
        </w:tc>
      </w:tr>
      <w:tr w:rsidR="003C3269" w:rsidRPr="003C3269" w:rsidTr="0018383B">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CAMS</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Customer Asset-Management System</w:t>
            </w:r>
          </w:p>
        </w:tc>
      </w:tr>
      <w:tr w:rsidR="001F3E3E"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1F3E3E" w:rsidRPr="003C3269" w:rsidRDefault="001F3E3E" w:rsidP="003C3269">
            <w:pPr>
              <w:spacing w:after="0"/>
              <w:rPr>
                <w:rFonts w:asciiTheme="minorHAnsi" w:hAnsiTheme="minorHAnsi" w:cs="Arial"/>
                <w:b/>
                <w:color w:val="000000"/>
                <w:szCs w:val="18"/>
              </w:rPr>
            </w:pPr>
            <w:r>
              <w:rPr>
                <w:rFonts w:asciiTheme="minorHAnsi" w:hAnsiTheme="minorHAnsi" w:cs="Arial"/>
                <w:b/>
                <w:color w:val="000000"/>
                <w:szCs w:val="18"/>
              </w:rPr>
              <w:t>CASPR</w:t>
            </w:r>
          </w:p>
        </w:tc>
        <w:tc>
          <w:tcPr>
            <w:tcW w:w="7037" w:type="dxa"/>
          </w:tcPr>
          <w:p w:rsidR="001F3E3E" w:rsidRPr="003C3269" w:rsidRDefault="001F3E3E">
            <w:pPr>
              <w:spacing w:after="0"/>
              <w:rPr>
                <w:rFonts w:asciiTheme="minorHAnsi" w:hAnsiTheme="minorHAnsi" w:cs="Arial"/>
                <w:color w:val="000000"/>
                <w:szCs w:val="18"/>
              </w:rPr>
            </w:pPr>
            <w:r>
              <w:rPr>
                <w:rFonts w:asciiTheme="minorHAnsi" w:hAnsiTheme="minorHAnsi" w:cs="Arial"/>
                <w:color w:val="000000"/>
                <w:szCs w:val="18"/>
              </w:rPr>
              <w:t>competitive auction with sponsored policy resources</w:t>
            </w:r>
          </w:p>
        </w:tc>
      </w:tr>
      <w:tr w:rsidR="003C3269"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CC</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combined cycle</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CCP</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capacity commitment period</w:t>
            </w:r>
          </w:p>
        </w:tc>
      </w:tr>
      <w:tr w:rsidR="003C3269"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CCR</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cost-containment reserve</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CCRP</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Central Connecticut Reliability Project</w:t>
            </w:r>
          </w:p>
        </w:tc>
      </w:tr>
      <w:tr w:rsidR="003C3269"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CEII</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i/>
                <w:iCs/>
                <w:color w:val="000000"/>
                <w:szCs w:val="18"/>
              </w:rPr>
            </w:pPr>
            <w:r w:rsidRPr="003C3269">
              <w:rPr>
                <w:rFonts w:asciiTheme="minorHAnsi" w:hAnsiTheme="minorHAnsi" w:cs="Arial"/>
                <w:iCs/>
                <w:color w:val="000000"/>
                <w:szCs w:val="18"/>
              </w:rPr>
              <w:t>critical energy infrastructure information</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Height w:val="182"/>
        </w:trPr>
        <w:tc>
          <w:tcPr>
            <w:tcW w:w="2079"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lastRenderedPageBreak/>
              <w:t>CELT</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iCs/>
                <w:color w:val="000000"/>
                <w:szCs w:val="18"/>
              </w:rPr>
              <w:t>capacity, energy, loads, and transmission</w:t>
            </w:r>
          </w:p>
        </w:tc>
      </w:tr>
      <w:tr w:rsidR="003C3269"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85510">
            <w:pPr>
              <w:spacing w:after="0"/>
              <w:rPr>
                <w:rFonts w:asciiTheme="minorHAnsi" w:hAnsiTheme="minorHAnsi" w:cs="Arial"/>
                <w:b/>
                <w:iCs/>
                <w:color w:val="000000"/>
                <w:szCs w:val="18"/>
              </w:rPr>
            </w:pPr>
            <w:r w:rsidRPr="003C3269">
              <w:rPr>
                <w:rFonts w:asciiTheme="minorHAnsi" w:hAnsiTheme="minorHAnsi" w:cs="Arial"/>
                <w:b/>
                <w:iCs/>
                <w:color w:val="000000"/>
                <w:szCs w:val="18"/>
              </w:rPr>
              <w:t>201</w:t>
            </w:r>
            <w:r w:rsidR="00385510">
              <w:rPr>
                <w:rFonts w:asciiTheme="minorHAnsi" w:hAnsiTheme="minorHAnsi" w:cs="Arial"/>
                <w:b/>
                <w:iCs/>
                <w:color w:val="000000"/>
                <w:szCs w:val="18"/>
              </w:rPr>
              <w:t>6</w:t>
            </w:r>
            <w:r w:rsidRPr="003C3269">
              <w:rPr>
                <w:rFonts w:asciiTheme="minorHAnsi" w:hAnsiTheme="minorHAnsi" w:cs="Arial"/>
                <w:b/>
                <w:iCs/>
                <w:color w:val="000000"/>
                <w:szCs w:val="18"/>
              </w:rPr>
              <w:t xml:space="preserve"> CELT Report</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85510">
            <w:pPr>
              <w:spacing w:after="0"/>
              <w:rPr>
                <w:rFonts w:asciiTheme="minorHAnsi" w:hAnsiTheme="minorHAnsi" w:cs="Arial"/>
                <w:i/>
                <w:iCs/>
                <w:color w:val="000000"/>
                <w:szCs w:val="18"/>
              </w:rPr>
            </w:pPr>
            <w:r w:rsidRPr="003C3269">
              <w:rPr>
                <w:rFonts w:asciiTheme="minorHAnsi" w:hAnsiTheme="minorHAnsi" w:cs="Arial"/>
                <w:i/>
                <w:iCs/>
                <w:color w:val="000000"/>
                <w:szCs w:val="18"/>
              </w:rPr>
              <w:t>201</w:t>
            </w:r>
            <w:r w:rsidR="00385510">
              <w:rPr>
                <w:rFonts w:asciiTheme="minorHAnsi" w:hAnsiTheme="minorHAnsi" w:cs="Arial"/>
                <w:i/>
                <w:iCs/>
                <w:color w:val="000000"/>
                <w:szCs w:val="18"/>
              </w:rPr>
              <w:t>6</w:t>
            </w:r>
            <w:r w:rsidRPr="003C3269">
              <w:rPr>
                <w:rFonts w:asciiTheme="minorHAnsi" w:hAnsiTheme="minorHAnsi" w:cs="Arial"/>
                <w:i/>
                <w:iCs/>
                <w:color w:val="000000"/>
                <w:szCs w:val="18"/>
              </w:rPr>
              <w:t>–202</w:t>
            </w:r>
            <w:r w:rsidR="00385510">
              <w:rPr>
                <w:rFonts w:asciiTheme="minorHAnsi" w:hAnsiTheme="minorHAnsi" w:cs="Arial"/>
                <w:i/>
                <w:iCs/>
                <w:color w:val="000000"/>
                <w:szCs w:val="18"/>
              </w:rPr>
              <w:t>5</w:t>
            </w:r>
            <w:r w:rsidRPr="003C3269">
              <w:rPr>
                <w:rFonts w:asciiTheme="minorHAnsi" w:hAnsiTheme="minorHAnsi" w:cs="Arial"/>
                <w:i/>
                <w:iCs/>
                <w:color w:val="000000"/>
                <w:szCs w:val="18"/>
              </w:rPr>
              <w:t xml:space="preserve"> Forecast Report of Capacity, Energy, Loads, and Transmission</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85510">
            <w:pPr>
              <w:spacing w:after="0"/>
              <w:rPr>
                <w:rFonts w:asciiTheme="minorHAnsi" w:hAnsiTheme="minorHAnsi" w:cs="Arial"/>
                <w:b/>
                <w:iCs/>
                <w:color w:val="000000"/>
                <w:szCs w:val="18"/>
              </w:rPr>
            </w:pPr>
            <w:r w:rsidRPr="003C3269">
              <w:rPr>
                <w:rFonts w:asciiTheme="minorHAnsi" w:hAnsiTheme="minorHAnsi" w:cs="Arial"/>
                <w:b/>
                <w:iCs/>
                <w:color w:val="000000"/>
                <w:szCs w:val="18"/>
              </w:rPr>
              <w:t>201</w:t>
            </w:r>
            <w:r w:rsidR="00385510">
              <w:rPr>
                <w:rFonts w:asciiTheme="minorHAnsi" w:hAnsiTheme="minorHAnsi" w:cs="Arial"/>
                <w:b/>
                <w:iCs/>
                <w:color w:val="000000"/>
                <w:szCs w:val="18"/>
              </w:rPr>
              <w:t>7</w:t>
            </w:r>
            <w:r w:rsidRPr="003C3269">
              <w:rPr>
                <w:rFonts w:asciiTheme="minorHAnsi" w:hAnsiTheme="minorHAnsi" w:cs="Arial"/>
                <w:b/>
                <w:iCs/>
                <w:color w:val="000000"/>
                <w:szCs w:val="18"/>
              </w:rPr>
              <w:t xml:space="preserve"> CELT Report</w:t>
            </w:r>
          </w:p>
        </w:tc>
        <w:tc>
          <w:tcPr>
            <w:tcW w:w="7037" w:type="dxa"/>
          </w:tcPr>
          <w:p w:rsidR="003C3269" w:rsidRPr="003C3269" w:rsidRDefault="003C3269" w:rsidP="00385510">
            <w:pPr>
              <w:spacing w:after="0"/>
              <w:rPr>
                <w:rFonts w:asciiTheme="minorHAnsi" w:hAnsiTheme="minorHAnsi" w:cs="Arial"/>
                <w:i/>
                <w:iCs/>
                <w:color w:val="000000"/>
                <w:szCs w:val="18"/>
              </w:rPr>
            </w:pPr>
            <w:r w:rsidRPr="003C3269">
              <w:rPr>
                <w:rFonts w:asciiTheme="minorHAnsi" w:hAnsiTheme="minorHAnsi" w:cs="Arial"/>
                <w:i/>
                <w:iCs/>
                <w:color w:val="000000"/>
                <w:szCs w:val="18"/>
              </w:rPr>
              <w:t>201</w:t>
            </w:r>
            <w:r w:rsidR="00385510">
              <w:rPr>
                <w:rFonts w:asciiTheme="minorHAnsi" w:hAnsiTheme="minorHAnsi" w:cs="Arial"/>
                <w:i/>
                <w:iCs/>
                <w:color w:val="000000"/>
                <w:szCs w:val="18"/>
              </w:rPr>
              <w:t>7</w:t>
            </w:r>
            <w:r w:rsidRPr="003C3269">
              <w:rPr>
                <w:rFonts w:asciiTheme="minorHAnsi" w:hAnsiTheme="minorHAnsi" w:cs="Arial"/>
                <w:i/>
                <w:iCs/>
                <w:color w:val="000000"/>
                <w:szCs w:val="18"/>
              </w:rPr>
              <w:t>–202</w:t>
            </w:r>
            <w:r w:rsidR="00385510">
              <w:rPr>
                <w:rFonts w:asciiTheme="minorHAnsi" w:hAnsiTheme="minorHAnsi" w:cs="Arial"/>
                <w:i/>
                <w:iCs/>
                <w:color w:val="000000"/>
                <w:szCs w:val="18"/>
              </w:rPr>
              <w:t>6</w:t>
            </w:r>
            <w:r w:rsidRPr="003C3269">
              <w:rPr>
                <w:rFonts w:asciiTheme="minorHAnsi" w:hAnsiTheme="minorHAnsi" w:cs="Arial"/>
                <w:i/>
                <w:iCs/>
                <w:color w:val="000000"/>
                <w:szCs w:val="18"/>
              </w:rPr>
              <w:t xml:space="preserve"> Forecast Report of Capacity, Energy, Loads, and Transmission</w:t>
            </w:r>
          </w:p>
        </w:tc>
      </w:tr>
      <w:tr w:rsidR="00D14E9A"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D14E9A" w:rsidRDefault="00D14E9A" w:rsidP="003C3269">
            <w:pPr>
              <w:spacing w:after="0"/>
              <w:rPr>
                <w:rFonts w:asciiTheme="minorHAnsi" w:hAnsiTheme="minorHAnsi" w:cs="Arial"/>
                <w:b/>
                <w:color w:val="000000"/>
                <w:szCs w:val="18"/>
              </w:rPr>
            </w:pPr>
            <w:r>
              <w:rPr>
                <w:rFonts w:asciiTheme="minorHAnsi" w:hAnsiTheme="minorHAnsi" w:cs="Arial"/>
                <w:b/>
                <w:color w:val="000000"/>
                <w:szCs w:val="18"/>
              </w:rPr>
              <w:t>Central MA</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D14E9A" w:rsidRDefault="00D14E9A" w:rsidP="00D14E9A">
            <w:pPr>
              <w:spacing w:after="0"/>
              <w:rPr>
                <w:rFonts w:asciiTheme="minorHAnsi" w:hAnsiTheme="minorHAnsi" w:cs="Arial"/>
                <w:color w:val="000000"/>
                <w:szCs w:val="18"/>
              </w:rPr>
            </w:pPr>
            <w:r>
              <w:rPr>
                <w:rFonts w:asciiTheme="minorHAnsi" w:hAnsiTheme="minorHAnsi" w:cs="Arial"/>
                <w:color w:val="000000"/>
                <w:szCs w:val="18"/>
              </w:rPr>
              <w:t>Central Massachusetts active-demand-resource dispatch zone</w:t>
            </w:r>
          </w:p>
        </w:tc>
      </w:tr>
      <w:tr w:rsidR="001F3E3E"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1F3E3E" w:rsidRPr="003C3269" w:rsidRDefault="001F3E3E" w:rsidP="003C3269">
            <w:pPr>
              <w:spacing w:after="0"/>
              <w:rPr>
                <w:rFonts w:asciiTheme="minorHAnsi" w:hAnsiTheme="minorHAnsi" w:cs="Arial"/>
                <w:b/>
                <w:color w:val="000000"/>
                <w:szCs w:val="18"/>
              </w:rPr>
            </w:pPr>
            <w:r>
              <w:rPr>
                <w:rFonts w:asciiTheme="minorHAnsi" w:hAnsiTheme="minorHAnsi" w:cs="Arial"/>
                <w:b/>
                <w:color w:val="000000"/>
                <w:szCs w:val="18"/>
              </w:rPr>
              <w:t>CES</w:t>
            </w:r>
          </w:p>
        </w:tc>
        <w:tc>
          <w:tcPr>
            <w:tcW w:w="7037" w:type="dxa"/>
          </w:tcPr>
          <w:p w:rsidR="001F3E3E" w:rsidRPr="003C3269" w:rsidRDefault="001F3E3E" w:rsidP="003C3269">
            <w:pPr>
              <w:spacing w:after="0"/>
              <w:rPr>
                <w:rFonts w:asciiTheme="minorHAnsi" w:hAnsiTheme="minorHAnsi" w:cs="Arial"/>
                <w:color w:val="000000"/>
                <w:szCs w:val="18"/>
              </w:rPr>
            </w:pPr>
            <w:r>
              <w:rPr>
                <w:rFonts w:asciiTheme="minorHAnsi" w:hAnsiTheme="minorHAnsi" w:cs="Arial"/>
                <w:color w:val="000000"/>
                <w:szCs w:val="18"/>
              </w:rPr>
              <w:t>Comprehensive Energy Strategy (CT)</w:t>
            </w:r>
          </w:p>
        </w:tc>
      </w:tr>
      <w:tr w:rsidR="003C3269"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CFR</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Code of Federal Regulations</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Height w:val="227"/>
        </w:trPr>
        <w:tc>
          <w:tcPr>
            <w:tcW w:w="2079" w:type="dxa"/>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CHP</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combined heat and power</w:t>
            </w:r>
          </w:p>
        </w:tc>
      </w:tr>
      <w:tr w:rsidR="003C3269" w:rsidRPr="003C3269" w:rsidTr="003D4F3D">
        <w:trPr>
          <w:cnfStyle w:val="000000100000" w:firstRow="0" w:lastRow="0" w:firstColumn="0" w:lastColumn="0" w:oddVBand="0" w:evenVBand="0" w:oddHBand="1" w:evenHBand="0" w:firstRowFirstColumn="0" w:firstRowLastColumn="0" w:lastRowFirstColumn="0" w:lastRowLastColumn="0"/>
          <w:trHeight w:val="227"/>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Cir.</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Circuit (court)</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Height w:val="209"/>
        </w:trPr>
        <w:tc>
          <w:tcPr>
            <w:tcW w:w="2079"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CLG</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Consumer Liaison Group</w:t>
            </w:r>
          </w:p>
        </w:tc>
      </w:tr>
      <w:tr w:rsidR="003C3269" w:rsidRPr="003C3269" w:rsidTr="003D4F3D">
        <w:trPr>
          <w:cnfStyle w:val="000000100000" w:firstRow="0" w:lastRow="0" w:firstColumn="0" w:lastColumn="0" w:oddVBand="0" w:evenVBand="0" w:oddHBand="1" w:evenHBand="0" w:firstRowFirstColumn="0" w:firstRowLastColumn="0" w:lastRowFirstColumn="0" w:lastRowLastColumn="0"/>
          <w:trHeight w:val="254"/>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A84788" w:rsidRDefault="003C3269" w:rsidP="003C3269">
            <w:pPr>
              <w:spacing w:after="0"/>
              <w:rPr>
                <w:rFonts w:asciiTheme="minorHAnsi" w:hAnsiTheme="minorHAnsi" w:cs="Arial"/>
                <w:b/>
                <w:bCs/>
                <w:color w:val="000000"/>
                <w:szCs w:val="18"/>
              </w:rPr>
            </w:pPr>
            <w:r w:rsidRPr="00A84788">
              <w:rPr>
                <w:rFonts w:asciiTheme="minorHAnsi" w:hAnsiTheme="minorHAnsi" w:cs="Arial"/>
                <w:b/>
                <w:color w:val="000000"/>
                <w:szCs w:val="18"/>
              </w:rPr>
              <w:t>CMA/NEMA</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A84788">
              <w:rPr>
                <w:rFonts w:asciiTheme="minorHAnsi" w:hAnsiTheme="minorHAnsi" w:cs="Arial"/>
                <w:color w:val="000000"/>
                <w:szCs w:val="18"/>
              </w:rPr>
              <w:t>RSP subarea comprising central Massachusetts and northeastern Massachusetts</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bCs/>
                <w:color w:val="000000"/>
                <w:szCs w:val="18"/>
              </w:rPr>
              <w:t>CMP</w:t>
            </w:r>
          </w:p>
        </w:tc>
        <w:tc>
          <w:tcPr>
            <w:tcW w:w="7037" w:type="dxa"/>
          </w:tcPr>
          <w:p w:rsidR="001A1874"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Central Maine Power (Company)</w:t>
            </w:r>
          </w:p>
        </w:tc>
      </w:tr>
      <w:tr w:rsidR="001F3E3E"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1F3E3E" w:rsidRPr="003C3269" w:rsidRDefault="001F3E3E" w:rsidP="003C3269">
            <w:pPr>
              <w:spacing w:after="0"/>
              <w:rPr>
                <w:rFonts w:asciiTheme="minorHAnsi" w:hAnsiTheme="minorHAnsi" w:cs="Arial"/>
                <w:b/>
                <w:color w:val="000000"/>
                <w:szCs w:val="18"/>
              </w:rPr>
            </w:pPr>
            <w:r>
              <w:rPr>
                <w:rFonts w:asciiTheme="minorHAnsi" w:hAnsiTheme="minorHAnsi" w:cs="Arial"/>
                <w:b/>
                <w:color w:val="000000"/>
                <w:szCs w:val="18"/>
              </w:rPr>
              <w:t>CNG</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1F3E3E" w:rsidRPr="003C3269" w:rsidRDefault="001F3E3E">
            <w:pPr>
              <w:spacing w:after="0"/>
              <w:rPr>
                <w:rFonts w:asciiTheme="minorHAnsi" w:hAnsiTheme="minorHAnsi" w:cs="Arial"/>
                <w:color w:val="000000"/>
                <w:szCs w:val="18"/>
              </w:rPr>
            </w:pPr>
            <w:r>
              <w:rPr>
                <w:rFonts w:asciiTheme="minorHAnsi" w:hAnsiTheme="minorHAnsi" w:cs="Arial"/>
                <w:color w:val="000000"/>
                <w:szCs w:val="18"/>
              </w:rPr>
              <w:t>compressed natural gas</w:t>
            </w:r>
          </w:p>
        </w:tc>
      </w:tr>
      <w:tr w:rsidR="001F3E3E" w:rsidRPr="001F3E3E"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1F3E3E" w:rsidRPr="009E477A" w:rsidRDefault="001F3E3E" w:rsidP="003C3269">
            <w:pPr>
              <w:spacing w:after="0"/>
              <w:rPr>
                <w:rFonts w:asciiTheme="minorHAnsi" w:hAnsiTheme="minorHAnsi" w:cs="Arial"/>
                <w:b/>
                <w:color w:val="000000"/>
                <w:szCs w:val="18"/>
              </w:rPr>
            </w:pPr>
            <w:r w:rsidRPr="009E477A">
              <w:rPr>
                <w:rFonts w:asciiTheme="minorHAnsi" w:hAnsiTheme="minorHAnsi" w:cs="Arial"/>
                <w:b/>
                <w:color w:val="000000"/>
                <w:szCs w:val="18"/>
              </w:rPr>
              <w:t>CNRIS</w:t>
            </w:r>
          </w:p>
        </w:tc>
        <w:tc>
          <w:tcPr>
            <w:tcW w:w="7037" w:type="dxa"/>
          </w:tcPr>
          <w:p w:rsidR="001F3E3E" w:rsidRPr="001F3E3E" w:rsidRDefault="001F3E3E" w:rsidP="003C3269">
            <w:pPr>
              <w:spacing w:after="0"/>
              <w:rPr>
                <w:rFonts w:asciiTheme="minorHAnsi" w:hAnsiTheme="minorHAnsi" w:cs="Arial"/>
                <w:color w:val="000000"/>
                <w:szCs w:val="18"/>
              </w:rPr>
            </w:pPr>
            <w:r w:rsidRPr="009E477A">
              <w:rPr>
                <w:rFonts w:asciiTheme="minorHAnsi" w:hAnsiTheme="minorHAnsi"/>
                <w:color w:val="000000"/>
              </w:rPr>
              <w:t>Capacity Network Resource Interconnection Service</w:t>
            </w:r>
          </w:p>
        </w:tc>
      </w:tr>
      <w:tr w:rsidR="003C3269"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CO</w:t>
            </w:r>
            <w:r w:rsidRPr="003C3269">
              <w:rPr>
                <w:rFonts w:asciiTheme="minorHAnsi" w:hAnsiTheme="minorHAnsi" w:cs="Arial"/>
                <w:b/>
                <w:color w:val="000000"/>
                <w:szCs w:val="18"/>
                <w:vertAlign w:val="subscript"/>
              </w:rPr>
              <w:t>2</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carbon dioxide</w:t>
            </w:r>
          </w:p>
        </w:tc>
      </w:tr>
      <w:tr w:rsidR="001F3E3E"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1F3E3E" w:rsidRPr="003C3269" w:rsidRDefault="001F3E3E" w:rsidP="003C3269">
            <w:pPr>
              <w:spacing w:after="0"/>
              <w:rPr>
                <w:rFonts w:asciiTheme="minorHAnsi" w:hAnsiTheme="minorHAnsi" w:cs="Arial"/>
                <w:b/>
                <w:color w:val="000000"/>
                <w:szCs w:val="18"/>
              </w:rPr>
            </w:pPr>
            <w:r>
              <w:rPr>
                <w:rFonts w:asciiTheme="minorHAnsi" w:hAnsiTheme="minorHAnsi" w:cs="Arial"/>
                <w:b/>
                <w:color w:val="000000"/>
                <w:szCs w:val="18"/>
              </w:rPr>
              <w:t>CONE</w:t>
            </w:r>
          </w:p>
        </w:tc>
        <w:tc>
          <w:tcPr>
            <w:tcW w:w="7037" w:type="dxa"/>
          </w:tcPr>
          <w:p w:rsidR="001F3E3E" w:rsidRPr="003C3269" w:rsidRDefault="001F3E3E">
            <w:pPr>
              <w:spacing w:after="0"/>
              <w:rPr>
                <w:rFonts w:asciiTheme="minorHAnsi" w:hAnsiTheme="minorHAnsi" w:cs="Arial"/>
                <w:szCs w:val="18"/>
              </w:rPr>
            </w:pPr>
            <w:r>
              <w:rPr>
                <w:rFonts w:asciiTheme="minorHAnsi" w:hAnsiTheme="minorHAnsi" w:cs="Arial"/>
                <w:szCs w:val="18"/>
              </w:rPr>
              <w:t xml:space="preserve">cost of new entry </w:t>
            </w:r>
          </w:p>
        </w:tc>
      </w:tr>
      <w:tr w:rsidR="003C3269"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COO</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szCs w:val="18"/>
              </w:rPr>
            </w:pPr>
            <w:r w:rsidRPr="003C3269">
              <w:rPr>
                <w:rFonts w:asciiTheme="minorHAnsi" w:hAnsiTheme="minorHAnsi" w:cs="Arial"/>
                <w:szCs w:val="18"/>
              </w:rPr>
              <w:t>chief operating officer</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CPP</w:t>
            </w:r>
          </w:p>
        </w:tc>
        <w:tc>
          <w:tcPr>
            <w:tcW w:w="7037" w:type="dxa"/>
          </w:tcPr>
          <w:p w:rsidR="003C3269" w:rsidRPr="003C3269" w:rsidRDefault="003C3269" w:rsidP="003C3269">
            <w:pPr>
              <w:spacing w:after="0"/>
              <w:rPr>
                <w:rFonts w:asciiTheme="minorHAnsi" w:hAnsiTheme="minorHAnsi" w:cs="Arial"/>
                <w:bCs/>
                <w:color w:val="000000"/>
                <w:szCs w:val="18"/>
              </w:rPr>
            </w:pPr>
            <w:r w:rsidRPr="003C3269">
              <w:rPr>
                <w:rFonts w:asciiTheme="minorHAnsi" w:hAnsiTheme="minorHAnsi" w:cs="Arial"/>
                <w:bCs/>
                <w:color w:val="000000"/>
                <w:szCs w:val="18"/>
              </w:rPr>
              <w:t>Clean Power Plan (US EPA)</w:t>
            </w:r>
          </w:p>
        </w:tc>
      </w:tr>
      <w:tr w:rsidR="003C3269"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CRA</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Cs/>
                <w:color w:val="000000"/>
                <w:szCs w:val="18"/>
              </w:rPr>
            </w:pPr>
            <w:r w:rsidRPr="003C3269">
              <w:rPr>
                <w:rFonts w:asciiTheme="minorHAnsi" w:hAnsiTheme="minorHAnsi" w:cs="Arial"/>
                <w:bCs/>
                <w:color w:val="000000"/>
                <w:szCs w:val="18"/>
              </w:rPr>
              <w:t>contingency reserve adjustment (factor)</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CSC</w:t>
            </w:r>
          </w:p>
        </w:tc>
        <w:tc>
          <w:tcPr>
            <w:tcW w:w="7037" w:type="dxa"/>
          </w:tcPr>
          <w:p w:rsidR="003C3269" w:rsidRPr="003C3269" w:rsidRDefault="003C3269" w:rsidP="003C3269">
            <w:pPr>
              <w:spacing w:after="0"/>
              <w:rPr>
                <w:rFonts w:asciiTheme="minorHAnsi" w:hAnsiTheme="minorHAnsi" w:cs="Arial"/>
                <w:bCs/>
                <w:color w:val="000000"/>
                <w:szCs w:val="18"/>
              </w:rPr>
            </w:pPr>
            <w:r w:rsidRPr="003C3269">
              <w:rPr>
                <w:rFonts w:asciiTheme="minorHAnsi" w:hAnsiTheme="minorHAnsi" w:cs="Arial"/>
                <w:bCs/>
                <w:color w:val="000000"/>
                <w:szCs w:val="18"/>
              </w:rPr>
              <w:t>Cross-Sound Cable</w:t>
            </w:r>
          </w:p>
        </w:tc>
      </w:tr>
      <w:tr w:rsidR="003C3269"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CSO</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Cs/>
                <w:color w:val="000000"/>
                <w:szCs w:val="18"/>
              </w:rPr>
            </w:pPr>
            <w:r w:rsidRPr="003C3269">
              <w:rPr>
                <w:rFonts w:asciiTheme="minorHAnsi" w:hAnsiTheme="minorHAnsi" w:cs="Arial"/>
                <w:bCs/>
                <w:color w:val="000000"/>
                <w:szCs w:val="18"/>
              </w:rPr>
              <w:t>capacity supply obligation</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5F02DC" w:rsidRDefault="003C3269" w:rsidP="003C3269">
            <w:pPr>
              <w:spacing w:after="0"/>
              <w:rPr>
                <w:rFonts w:asciiTheme="minorHAnsi" w:hAnsiTheme="minorHAnsi" w:cs="Arial"/>
                <w:b/>
                <w:bCs/>
                <w:color w:val="000000"/>
                <w:szCs w:val="18"/>
              </w:rPr>
            </w:pPr>
            <w:r w:rsidRPr="005F02DC">
              <w:rPr>
                <w:rFonts w:asciiTheme="minorHAnsi" w:hAnsiTheme="minorHAnsi" w:cs="Arial"/>
                <w:b/>
                <w:color w:val="000000"/>
                <w:szCs w:val="18"/>
              </w:rPr>
              <w:t>CT</w:t>
            </w:r>
          </w:p>
        </w:tc>
        <w:tc>
          <w:tcPr>
            <w:tcW w:w="7037" w:type="dxa"/>
          </w:tcPr>
          <w:p w:rsidR="003C3269" w:rsidRPr="005F02DC" w:rsidRDefault="003C3269" w:rsidP="003C3269">
            <w:pPr>
              <w:spacing w:after="0"/>
              <w:rPr>
                <w:rFonts w:asciiTheme="minorHAnsi" w:hAnsiTheme="minorHAnsi" w:cs="Arial"/>
                <w:bCs/>
                <w:color w:val="000000"/>
                <w:szCs w:val="18"/>
              </w:rPr>
            </w:pPr>
            <w:r w:rsidRPr="005F02DC">
              <w:rPr>
                <w:rFonts w:asciiTheme="minorHAnsi" w:hAnsiTheme="minorHAnsi" w:cs="Arial"/>
                <w:bCs/>
                <w:color w:val="000000"/>
                <w:szCs w:val="18"/>
              </w:rPr>
              <w:t>1) State of Connecticut</w:t>
            </w:r>
          </w:p>
          <w:p w:rsidR="003C3269" w:rsidRPr="005F02DC" w:rsidRDefault="003C3269" w:rsidP="003C3269">
            <w:pPr>
              <w:spacing w:after="0"/>
              <w:rPr>
                <w:rFonts w:asciiTheme="minorHAnsi" w:hAnsiTheme="minorHAnsi" w:cs="Arial"/>
                <w:bCs/>
                <w:color w:val="000000"/>
                <w:szCs w:val="18"/>
              </w:rPr>
            </w:pPr>
            <w:r w:rsidRPr="005F02DC">
              <w:rPr>
                <w:rFonts w:asciiTheme="minorHAnsi" w:hAnsiTheme="minorHAnsi" w:cs="Arial"/>
                <w:bCs/>
                <w:color w:val="000000"/>
                <w:szCs w:val="18"/>
              </w:rPr>
              <w:t>2) RSP subarea that includes northern and eastern Connecticut</w:t>
            </w:r>
          </w:p>
          <w:p w:rsidR="00426760" w:rsidRPr="005F02DC" w:rsidRDefault="003C3269" w:rsidP="003C3269">
            <w:pPr>
              <w:spacing w:after="0"/>
              <w:rPr>
                <w:rFonts w:asciiTheme="minorHAnsi" w:hAnsiTheme="minorHAnsi" w:cs="Arial"/>
                <w:bCs/>
                <w:color w:val="000000"/>
                <w:szCs w:val="18"/>
              </w:rPr>
            </w:pPr>
            <w:r w:rsidRPr="005F02DC">
              <w:rPr>
                <w:rFonts w:asciiTheme="minorHAnsi" w:hAnsiTheme="minorHAnsi" w:cs="Arial"/>
                <w:color w:val="000000"/>
                <w:szCs w:val="18"/>
              </w:rPr>
              <w:t>3</w:t>
            </w:r>
            <w:r w:rsidRPr="005F02DC">
              <w:rPr>
                <w:rFonts w:asciiTheme="minorHAnsi" w:hAnsiTheme="minorHAnsi" w:cs="Arial"/>
                <w:bCs/>
                <w:color w:val="000000"/>
                <w:szCs w:val="18"/>
              </w:rPr>
              <w:t>) Connecticut load zone</w:t>
            </w:r>
          </w:p>
          <w:p w:rsidR="00426760" w:rsidRPr="005F02DC" w:rsidRDefault="00426760" w:rsidP="005F02DC">
            <w:pPr>
              <w:spacing w:after="0"/>
              <w:rPr>
                <w:rFonts w:asciiTheme="minorHAnsi" w:hAnsiTheme="minorHAnsi" w:cs="Arial"/>
                <w:color w:val="000000"/>
                <w:szCs w:val="18"/>
              </w:rPr>
            </w:pPr>
            <w:r w:rsidRPr="005F02DC">
              <w:rPr>
                <w:rFonts w:asciiTheme="minorHAnsi" w:hAnsiTheme="minorHAnsi" w:cs="Arial"/>
                <w:bCs/>
                <w:color w:val="000000"/>
                <w:szCs w:val="18"/>
              </w:rPr>
              <w:t xml:space="preserve">4) </w:t>
            </w:r>
            <w:r w:rsidR="005F02DC">
              <w:rPr>
                <w:rFonts w:asciiTheme="minorHAnsi" w:hAnsiTheme="minorHAnsi" w:cs="Arial"/>
                <w:bCs/>
                <w:color w:val="000000"/>
                <w:szCs w:val="18"/>
              </w:rPr>
              <w:t xml:space="preserve">capacity zone </w:t>
            </w:r>
            <w:r w:rsidR="005F02DC" w:rsidRPr="005F02DC">
              <w:rPr>
                <w:rFonts w:asciiTheme="minorHAnsi" w:hAnsiTheme="minorHAnsi" w:cs="Arial"/>
                <w:color w:val="000000"/>
                <w:szCs w:val="18"/>
              </w:rPr>
              <w:t>area within the Connecticut import interface, including the RSP bubbles for CT, SWCT, and NOR plus the Scitico substation served from western Massachusetts</w:t>
            </w:r>
          </w:p>
        </w:tc>
      </w:tr>
      <w:tr w:rsidR="003C3269"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CWA</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Cs/>
                <w:color w:val="000000"/>
                <w:szCs w:val="18"/>
              </w:rPr>
            </w:pPr>
            <w:r w:rsidRPr="003C3269">
              <w:rPr>
                <w:rFonts w:asciiTheme="minorHAnsi" w:hAnsiTheme="minorHAnsi" w:cs="Arial"/>
                <w:bCs/>
                <w:i/>
                <w:color w:val="000000"/>
                <w:szCs w:val="18"/>
              </w:rPr>
              <w:t xml:space="preserve">Clean Water Act </w:t>
            </w:r>
            <w:r w:rsidRPr="003C3269">
              <w:rPr>
                <w:rFonts w:asciiTheme="minorHAnsi" w:hAnsiTheme="minorHAnsi" w:cs="Arial"/>
                <w:bCs/>
                <w:color w:val="000000"/>
                <w:szCs w:val="18"/>
              </w:rPr>
              <w:t>(US)</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CWIP</w:t>
            </w:r>
          </w:p>
        </w:tc>
        <w:tc>
          <w:tcPr>
            <w:tcW w:w="7037" w:type="dxa"/>
          </w:tcPr>
          <w:p w:rsidR="003C3269" w:rsidRPr="003C3269" w:rsidRDefault="003C3269" w:rsidP="003C3269">
            <w:pPr>
              <w:spacing w:after="0"/>
              <w:rPr>
                <w:rFonts w:asciiTheme="minorHAnsi" w:hAnsiTheme="minorHAnsi" w:cs="Arial"/>
                <w:bCs/>
                <w:color w:val="000000"/>
                <w:szCs w:val="18"/>
              </w:rPr>
            </w:pPr>
            <w:r w:rsidRPr="003C3269">
              <w:rPr>
                <w:rFonts w:asciiTheme="minorHAnsi" w:hAnsiTheme="minorHAnsi" w:cs="Arial"/>
                <w:bCs/>
                <w:color w:val="000000"/>
                <w:szCs w:val="18"/>
              </w:rPr>
              <w:t>construction work in progress</w:t>
            </w:r>
          </w:p>
        </w:tc>
      </w:tr>
      <w:tr w:rsidR="001F3E3E"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1F3E3E" w:rsidRPr="003C3269" w:rsidRDefault="001F3E3E" w:rsidP="003C3269">
            <w:pPr>
              <w:spacing w:after="0"/>
              <w:rPr>
                <w:rFonts w:asciiTheme="minorHAnsi" w:hAnsiTheme="minorHAnsi" w:cs="Arial"/>
                <w:b/>
                <w:color w:val="000000"/>
                <w:szCs w:val="18"/>
              </w:rPr>
            </w:pPr>
            <w:r>
              <w:rPr>
                <w:rFonts w:asciiTheme="minorHAnsi" w:hAnsiTheme="minorHAnsi" w:cs="Arial"/>
                <w:b/>
                <w:color w:val="000000"/>
                <w:szCs w:val="18"/>
              </w:rPr>
              <w:t>CWIS</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1F3E3E" w:rsidRPr="003C3269" w:rsidRDefault="001F3E3E" w:rsidP="003C3269">
            <w:pPr>
              <w:spacing w:after="0"/>
              <w:rPr>
                <w:rFonts w:asciiTheme="minorHAnsi" w:hAnsiTheme="minorHAnsi" w:cs="Arial"/>
                <w:color w:val="000000"/>
                <w:szCs w:val="18"/>
              </w:rPr>
            </w:pPr>
            <w:r>
              <w:rPr>
                <w:rFonts w:asciiTheme="minorHAnsi" w:hAnsiTheme="minorHAnsi" w:cs="Arial"/>
                <w:color w:val="000000"/>
                <w:szCs w:val="18"/>
              </w:rPr>
              <w:t>cooling water intake structure</w:t>
            </w:r>
          </w:p>
        </w:tc>
      </w:tr>
      <w:tr w:rsidR="00B224CE"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B224CE" w:rsidRPr="003C3269" w:rsidRDefault="00B224CE" w:rsidP="003C3269">
            <w:pPr>
              <w:spacing w:after="0"/>
              <w:rPr>
                <w:rFonts w:asciiTheme="minorHAnsi" w:hAnsiTheme="minorHAnsi" w:cs="Arial"/>
                <w:b/>
                <w:color w:val="000000"/>
                <w:szCs w:val="18"/>
              </w:rPr>
            </w:pPr>
            <w:r>
              <w:rPr>
                <w:rFonts w:asciiTheme="minorHAnsi" w:hAnsiTheme="minorHAnsi" w:cs="Arial"/>
                <w:b/>
                <w:color w:val="000000"/>
                <w:szCs w:val="18"/>
              </w:rPr>
              <w:t>DARD</w:t>
            </w:r>
          </w:p>
        </w:tc>
        <w:tc>
          <w:tcPr>
            <w:tcW w:w="7037" w:type="dxa"/>
          </w:tcPr>
          <w:p w:rsidR="00B224CE" w:rsidRPr="003C3269" w:rsidRDefault="00B224CE">
            <w:pPr>
              <w:spacing w:after="0"/>
              <w:rPr>
                <w:rFonts w:asciiTheme="minorHAnsi" w:hAnsiTheme="minorHAnsi" w:cs="Arial"/>
                <w:color w:val="000000"/>
                <w:szCs w:val="18"/>
              </w:rPr>
            </w:pPr>
            <w:r>
              <w:rPr>
                <w:rFonts w:asciiTheme="minorHAnsi" w:hAnsiTheme="minorHAnsi" w:cs="Arial"/>
                <w:color w:val="000000"/>
                <w:szCs w:val="18"/>
              </w:rPr>
              <w:t>dispatchable asset-related demand</w:t>
            </w:r>
          </w:p>
        </w:tc>
      </w:tr>
      <w:tr w:rsidR="003C3269"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DC</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direct current</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D.C.</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District of Columbia</w:t>
            </w:r>
          </w:p>
        </w:tc>
      </w:tr>
      <w:tr w:rsidR="003C3269"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D.C. Cir.</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District of Columbia Circuit (US Court of Appeals)</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DCT</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double-circuit tower</w:t>
            </w:r>
          </w:p>
        </w:tc>
      </w:tr>
      <w:tr w:rsidR="003C3269"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DEEP</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Department of Energy and Environmental Protection (CT)</w:t>
            </w:r>
          </w:p>
        </w:tc>
      </w:tr>
      <w:tr w:rsidR="006038FA"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6038FA" w:rsidRPr="003C3269" w:rsidRDefault="006038FA" w:rsidP="003C3269">
            <w:pPr>
              <w:spacing w:after="0"/>
              <w:rPr>
                <w:rFonts w:asciiTheme="minorHAnsi" w:hAnsiTheme="minorHAnsi" w:cs="Arial"/>
                <w:b/>
                <w:color w:val="000000"/>
                <w:szCs w:val="18"/>
              </w:rPr>
            </w:pPr>
            <w:r>
              <w:rPr>
                <w:rFonts w:asciiTheme="minorHAnsi" w:hAnsiTheme="minorHAnsi" w:cs="Arial"/>
                <w:b/>
                <w:color w:val="000000"/>
                <w:szCs w:val="18"/>
              </w:rPr>
              <w:t>DER</w:t>
            </w:r>
          </w:p>
        </w:tc>
        <w:tc>
          <w:tcPr>
            <w:tcW w:w="7037" w:type="dxa"/>
          </w:tcPr>
          <w:p w:rsidR="006038FA" w:rsidRPr="003C3269" w:rsidRDefault="006038FA">
            <w:pPr>
              <w:spacing w:after="0"/>
              <w:rPr>
                <w:rFonts w:asciiTheme="minorHAnsi" w:hAnsiTheme="minorHAnsi" w:cs="Arial"/>
                <w:color w:val="000000"/>
                <w:szCs w:val="18"/>
              </w:rPr>
            </w:pPr>
            <w:r>
              <w:rPr>
                <w:rFonts w:asciiTheme="minorHAnsi" w:hAnsiTheme="minorHAnsi" w:cs="Arial"/>
                <w:color w:val="000000"/>
                <w:szCs w:val="18"/>
              </w:rPr>
              <w:t>distributed energy resource</w:t>
            </w:r>
          </w:p>
        </w:tc>
      </w:tr>
      <w:tr w:rsidR="003C3269"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DG</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distributed generation</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DGFWG</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Distributed Generation Forecast Working Group</w:t>
            </w:r>
          </w:p>
        </w:tc>
      </w:tr>
      <w:tr w:rsidR="003C3269"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DOC</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Microsoft Word file</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bCs/>
                <w:color w:val="000000"/>
                <w:szCs w:val="18"/>
                <w:highlight w:val="yellow"/>
              </w:rPr>
            </w:pPr>
            <w:r w:rsidRPr="003C3269">
              <w:rPr>
                <w:rFonts w:asciiTheme="minorHAnsi" w:hAnsiTheme="minorHAnsi" w:cs="Arial"/>
                <w:b/>
                <w:color w:val="000000"/>
                <w:szCs w:val="18"/>
              </w:rPr>
              <w:t>DOE</w:t>
            </w:r>
          </w:p>
        </w:tc>
        <w:tc>
          <w:tcPr>
            <w:tcW w:w="7037" w:type="dxa"/>
          </w:tcPr>
          <w:p w:rsidR="003C3269" w:rsidRPr="003C3269" w:rsidRDefault="003C3269" w:rsidP="003C3269">
            <w:pPr>
              <w:spacing w:after="0"/>
              <w:rPr>
                <w:rFonts w:asciiTheme="minorHAnsi" w:hAnsiTheme="minorHAnsi" w:cs="Arial"/>
                <w:color w:val="000000"/>
                <w:szCs w:val="18"/>
                <w:highlight w:val="yellow"/>
              </w:rPr>
            </w:pPr>
            <w:r w:rsidRPr="003C3269">
              <w:rPr>
                <w:rFonts w:asciiTheme="minorHAnsi" w:hAnsiTheme="minorHAnsi" w:cs="Arial"/>
                <w:color w:val="000000"/>
                <w:szCs w:val="18"/>
              </w:rPr>
              <w:t>Department of Energy (US)</w:t>
            </w:r>
          </w:p>
        </w:tc>
      </w:tr>
      <w:tr w:rsidR="00B224CE"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B224CE" w:rsidRDefault="00B224CE" w:rsidP="003C3269">
            <w:pPr>
              <w:spacing w:after="0"/>
              <w:rPr>
                <w:rFonts w:asciiTheme="minorHAnsi" w:hAnsiTheme="minorHAnsi" w:cs="Arial"/>
                <w:b/>
                <w:color w:val="000000"/>
                <w:szCs w:val="18"/>
              </w:rPr>
            </w:pPr>
            <w:r>
              <w:rPr>
                <w:rFonts w:asciiTheme="minorHAnsi" w:hAnsiTheme="minorHAnsi" w:cs="Arial"/>
                <w:b/>
                <w:color w:val="000000"/>
                <w:szCs w:val="18"/>
              </w:rPr>
              <w:t>DOER</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B224CE" w:rsidRDefault="00B224CE" w:rsidP="006038FA">
            <w:pPr>
              <w:spacing w:after="0"/>
              <w:rPr>
                <w:rFonts w:asciiTheme="minorHAnsi" w:hAnsiTheme="minorHAnsi" w:cs="Arial"/>
                <w:color w:val="000000"/>
                <w:szCs w:val="18"/>
              </w:rPr>
            </w:pPr>
            <w:r>
              <w:rPr>
                <w:rFonts w:asciiTheme="minorHAnsi" w:hAnsiTheme="minorHAnsi" w:cs="Arial"/>
                <w:color w:val="000000"/>
                <w:szCs w:val="18"/>
              </w:rPr>
              <w:t>Department of Energy Resources (MA)</w:t>
            </w:r>
          </w:p>
        </w:tc>
      </w:tr>
      <w:tr w:rsidR="006038FA"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6038FA" w:rsidRPr="003C3269" w:rsidRDefault="006038FA" w:rsidP="003C3269">
            <w:pPr>
              <w:spacing w:after="0"/>
              <w:rPr>
                <w:rFonts w:asciiTheme="minorHAnsi" w:hAnsiTheme="minorHAnsi" w:cs="Arial"/>
                <w:b/>
                <w:color w:val="000000"/>
                <w:szCs w:val="18"/>
              </w:rPr>
            </w:pPr>
            <w:r>
              <w:rPr>
                <w:rFonts w:asciiTheme="minorHAnsi" w:hAnsiTheme="minorHAnsi" w:cs="Arial"/>
                <w:b/>
                <w:color w:val="000000"/>
                <w:szCs w:val="18"/>
              </w:rPr>
              <w:t>DNE</w:t>
            </w:r>
          </w:p>
        </w:tc>
        <w:tc>
          <w:tcPr>
            <w:tcW w:w="7037" w:type="dxa"/>
          </w:tcPr>
          <w:p w:rsidR="006038FA" w:rsidRPr="003C3269" w:rsidRDefault="006038FA">
            <w:pPr>
              <w:spacing w:after="0"/>
              <w:rPr>
                <w:rFonts w:asciiTheme="minorHAnsi" w:hAnsiTheme="minorHAnsi" w:cs="Arial"/>
                <w:color w:val="000000"/>
                <w:szCs w:val="18"/>
              </w:rPr>
            </w:pPr>
            <w:r>
              <w:rPr>
                <w:rFonts w:asciiTheme="minorHAnsi" w:hAnsiTheme="minorHAnsi" w:cs="Arial"/>
                <w:color w:val="000000"/>
                <w:szCs w:val="18"/>
              </w:rPr>
              <w:t>do not exceed</w:t>
            </w:r>
          </w:p>
        </w:tc>
      </w:tr>
      <w:tr w:rsidR="003C3269"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DPU</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Department of Public Utilities (MA)</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1F3E3E">
            <w:pPr>
              <w:spacing w:after="0"/>
              <w:rPr>
                <w:rFonts w:asciiTheme="minorHAnsi" w:hAnsiTheme="minorHAnsi" w:cs="Arial"/>
                <w:b/>
                <w:color w:val="000000"/>
                <w:szCs w:val="18"/>
              </w:rPr>
            </w:pPr>
            <w:r w:rsidRPr="003C3269">
              <w:rPr>
                <w:rFonts w:asciiTheme="minorHAnsi" w:hAnsiTheme="minorHAnsi" w:cs="Arial"/>
                <w:b/>
                <w:color w:val="000000"/>
                <w:szCs w:val="18"/>
              </w:rPr>
              <w:t>D</w:t>
            </w:r>
            <w:r w:rsidR="001F3E3E">
              <w:rPr>
                <w:rFonts w:asciiTheme="minorHAnsi" w:hAnsiTheme="minorHAnsi" w:cs="Arial"/>
                <w:b/>
                <w:color w:val="000000"/>
                <w:szCs w:val="18"/>
              </w:rPr>
              <w:t>RCR</w:t>
            </w:r>
          </w:p>
        </w:tc>
        <w:tc>
          <w:tcPr>
            <w:tcW w:w="7037" w:type="dxa"/>
          </w:tcPr>
          <w:p w:rsidR="003C3269" w:rsidRPr="003C3269" w:rsidRDefault="00134561" w:rsidP="001F3E3E">
            <w:pPr>
              <w:spacing w:after="0"/>
              <w:rPr>
                <w:rFonts w:asciiTheme="minorHAnsi" w:hAnsiTheme="minorHAnsi" w:cs="Arial"/>
                <w:color w:val="000000"/>
                <w:szCs w:val="18"/>
              </w:rPr>
            </w:pPr>
            <w:r>
              <w:rPr>
                <w:rFonts w:asciiTheme="minorHAnsi" w:hAnsiTheme="minorHAnsi" w:cs="Arial"/>
                <w:color w:val="000000"/>
                <w:szCs w:val="18"/>
              </w:rPr>
              <w:t>d</w:t>
            </w:r>
            <w:r w:rsidR="003C3269" w:rsidRPr="003C3269">
              <w:rPr>
                <w:rFonts w:asciiTheme="minorHAnsi" w:hAnsiTheme="minorHAnsi" w:cs="Arial"/>
                <w:color w:val="000000"/>
                <w:szCs w:val="18"/>
              </w:rPr>
              <w:t>emand</w:t>
            </w:r>
            <w:r w:rsidR="001F3E3E">
              <w:rPr>
                <w:rFonts w:asciiTheme="minorHAnsi" w:hAnsiTheme="minorHAnsi" w:cs="Arial"/>
                <w:color w:val="000000"/>
                <w:szCs w:val="18"/>
              </w:rPr>
              <w:t xml:space="preserve"> response capacity resource</w:t>
            </w:r>
          </w:p>
        </w:tc>
      </w:tr>
      <w:tr w:rsidR="003C3269"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Dth/d</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dekatherms per day</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DVAR</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dynamic voltage ampere reactive</w:t>
            </w:r>
          </w:p>
        </w:tc>
      </w:tr>
      <w:tr w:rsidR="00FE4FD7"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FE4FD7" w:rsidRPr="003C3269" w:rsidRDefault="00FE4FD7" w:rsidP="00B224CE">
            <w:pPr>
              <w:spacing w:after="0"/>
              <w:rPr>
                <w:rFonts w:asciiTheme="minorHAnsi" w:hAnsiTheme="minorHAnsi" w:cs="Arial"/>
                <w:b/>
                <w:color w:val="000000"/>
                <w:szCs w:val="18"/>
              </w:rPr>
            </w:pPr>
            <w:r>
              <w:rPr>
                <w:rFonts w:asciiTheme="minorHAnsi" w:hAnsiTheme="minorHAnsi" w:cs="Arial"/>
                <w:b/>
                <w:color w:val="000000"/>
                <w:szCs w:val="18"/>
              </w:rPr>
              <w:t>Eastern CT</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FE4FD7" w:rsidRDefault="00FE4FD7" w:rsidP="00FE4FD7">
            <w:pPr>
              <w:spacing w:after="0"/>
              <w:rPr>
                <w:rFonts w:asciiTheme="minorHAnsi" w:hAnsiTheme="minorHAnsi" w:cs="Arial"/>
                <w:color w:val="000000"/>
                <w:szCs w:val="18"/>
              </w:rPr>
            </w:pPr>
            <w:r>
              <w:rPr>
                <w:rFonts w:asciiTheme="minorHAnsi" w:hAnsiTheme="minorHAnsi" w:cs="Arial"/>
                <w:color w:val="000000"/>
                <w:szCs w:val="18"/>
              </w:rPr>
              <w:t>Eastern Connecticut a</w:t>
            </w:r>
            <w:r w:rsidRPr="00FE4FD7">
              <w:rPr>
                <w:rFonts w:asciiTheme="minorHAnsi" w:hAnsiTheme="minorHAnsi" w:cs="Arial"/>
                <w:color w:val="000000"/>
                <w:szCs w:val="18"/>
              </w:rPr>
              <w:t>ctive-demand-resource dispatch zone</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B224CE">
            <w:pPr>
              <w:spacing w:after="0"/>
              <w:rPr>
                <w:rFonts w:asciiTheme="minorHAnsi" w:hAnsiTheme="minorHAnsi" w:cs="Arial"/>
                <w:b/>
                <w:color w:val="000000"/>
                <w:szCs w:val="18"/>
              </w:rPr>
            </w:pPr>
            <w:r w:rsidRPr="003C3269">
              <w:rPr>
                <w:rFonts w:asciiTheme="minorHAnsi" w:hAnsiTheme="minorHAnsi" w:cs="Arial"/>
                <w:b/>
                <w:color w:val="000000"/>
                <w:szCs w:val="18"/>
              </w:rPr>
              <w:lastRenderedPageBreak/>
              <w:t>ECR</w:t>
            </w:r>
          </w:p>
        </w:tc>
        <w:tc>
          <w:tcPr>
            <w:tcW w:w="7037" w:type="dxa"/>
          </w:tcPr>
          <w:p w:rsidR="003C3269" w:rsidRPr="003C3269" w:rsidRDefault="00B224CE" w:rsidP="003C3269">
            <w:pPr>
              <w:spacing w:after="0"/>
              <w:rPr>
                <w:rFonts w:asciiTheme="minorHAnsi" w:hAnsiTheme="minorHAnsi" w:cs="Arial"/>
                <w:color w:val="000000"/>
                <w:szCs w:val="18"/>
              </w:rPr>
            </w:pPr>
            <w:r>
              <w:rPr>
                <w:rFonts w:asciiTheme="minorHAnsi" w:hAnsiTheme="minorHAnsi" w:cs="Arial"/>
                <w:color w:val="000000"/>
                <w:szCs w:val="18"/>
              </w:rPr>
              <w:t>e</w:t>
            </w:r>
            <w:r w:rsidRPr="00B224CE">
              <w:rPr>
                <w:rFonts w:asciiTheme="minorHAnsi" w:hAnsiTheme="minorHAnsi" w:cs="Arial"/>
                <w:color w:val="000000"/>
                <w:szCs w:val="18"/>
              </w:rPr>
              <w:t>missions containment reserve</w:t>
            </w:r>
          </w:p>
        </w:tc>
      </w:tr>
      <w:tr w:rsidR="003C3269"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846C0A" w:rsidRDefault="003C3269" w:rsidP="003C3269">
            <w:pPr>
              <w:spacing w:after="0"/>
              <w:rPr>
                <w:rFonts w:asciiTheme="minorHAnsi" w:hAnsiTheme="minorHAnsi" w:cs="Arial"/>
                <w:b/>
                <w:color w:val="000000"/>
                <w:szCs w:val="18"/>
              </w:rPr>
            </w:pPr>
            <w:r w:rsidRPr="00846C0A">
              <w:rPr>
                <w:rFonts w:asciiTheme="minorHAnsi" w:hAnsiTheme="minorHAnsi" w:cs="Arial"/>
                <w:b/>
                <w:color w:val="000000"/>
                <w:szCs w:val="18"/>
              </w:rPr>
              <w:t>ECT</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846C0A">
              <w:rPr>
                <w:rFonts w:asciiTheme="minorHAnsi" w:hAnsiTheme="minorHAnsi" w:cs="Arial"/>
                <w:color w:val="000000"/>
                <w:szCs w:val="18"/>
              </w:rPr>
              <w:t>eastern Connecticut</w:t>
            </w:r>
          </w:p>
        </w:tc>
      </w:tr>
      <w:tr w:rsidR="00B224CE"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B224CE" w:rsidRPr="003C3269" w:rsidRDefault="00B224CE" w:rsidP="003C3269">
            <w:pPr>
              <w:spacing w:after="0"/>
              <w:rPr>
                <w:rFonts w:asciiTheme="minorHAnsi" w:hAnsiTheme="minorHAnsi" w:cs="Arial"/>
                <w:b/>
                <w:color w:val="000000"/>
                <w:szCs w:val="18"/>
              </w:rPr>
            </w:pPr>
            <w:r>
              <w:rPr>
                <w:rFonts w:asciiTheme="minorHAnsi" w:hAnsiTheme="minorHAnsi" w:cs="Arial"/>
                <w:b/>
                <w:color w:val="000000"/>
                <w:szCs w:val="18"/>
              </w:rPr>
              <w:t>EDC</w:t>
            </w:r>
          </w:p>
        </w:tc>
        <w:tc>
          <w:tcPr>
            <w:tcW w:w="7037" w:type="dxa"/>
          </w:tcPr>
          <w:p w:rsidR="00B224CE" w:rsidRPr="003C3269" w:rsidRDefault="00B224CE">
            <w:pPr>
              <w:spacing w:after="0"/>
              <w:rPr>
                <w:rFonts w:asciiTheme="minorHAnsi" w:hAnsiTheme="minorHAnsi" w:cs="Arial"/>
                <w:color w:val="000000"/>
                <w:szCs w:val="18"/>
              </w:rPr>
            </w:pPr>
            <w:r>
              <w:rPr>
                <w:rFonts w:asciiTheme="minorHAnsi" w:hAnsiTheme="minorHAnsi" w:cs="Arial"/>
                <w:color w:val="000000"/>
                <w:szCs w:val="18"/>
              </w:rPr>
              <w:t>electric distribution company</w:t>
            </w:r>
          </w:p>
        </w:tc>
      </w:tr>
      <w:tr w:rsidR="003C3269"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EE</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energy efficiency</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EEF</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energy-efficiency forecast</w:t>
            </w:r>
          </w:p>
        </w:tc>
      </w:tr>
      <w:tr w:rsidR="003C3269"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EERS</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Energy-Efficiency Resource Standard (NH PUC)</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EIA</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Energy Information Administration (US DOE)</w:t>
            </w:r>
          </w:p>
        </w:tc>
      </w:tr>
      <w:tr w:rsidR="003C3269"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EIPC</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Eastern Interconnection Planning Collaborative</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EISPC</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Eastern Interconnection States Planning Council</w:t>
            </w:r>
          </w:p>
        </w:tc>
      </w:tr>
      <w:tr w:rsidR="003C3269"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ELG</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Effluent Limit Guidelines (for Electric Steam Generation) (US EPA)</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EOR</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energy-only resource</w:t>
            </w:r>
          </w:p>
        </w:tc>
      </w:tr>
      <w:tr w:rsidR="003C3269"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EPA</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Environmental Protection Agency (US)</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EPRI</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Electric Power Research Institute</w:t>
            </w:r>
          </w:p>
        </w:tc>
      </w:tr>
      <w:tr w:rsidR="003C3269"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ERO</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Electric Reliability Organization</w:t>
            </w:r>
          </w:p>
        </w:tc>
      </w:tr>
      <w:tr w:rsidR="00B224CE"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B224CE" w:rsidRPr="003C3269" w:rsidRDefault="00B224CE" w:rsidP="003C3269">
            <w:pPr>
              <w:spacing w:after="0"/>
              <w:rPr>
                <w:rFonts w:asciiTheme="minorHAnsi" w:hAnsiTheme="minorHAnsi" w:cs="Arial"/>
                <w:b/>
                <w:color w:val="000000"/>
                <w:szCs w:val="18"/>
              </w:rPr>
            </w:pPr>
            <w:r>
              <w:rPr>
                <w:rFonts w:asciiTheme="minorHAnsi" w:hAnsiTheme="minorHAnsi" w:cs="Arial"/>
                <w:b/>
                <w:color w:val="000000"/>
                <w:szCs w:val="18"/>
              </w:rPr>
              <w:t>ERSTF</w:t>
            </w:r>
          </w:p>
        </w:tc>
        <w:tc>
          <w:tcPr>
            <w:tcW w:w="7037" w:type="dxa"/>
          </w:tcPr>
          <w:p w:rsidR="00B224CE" w:rsidRPr="003C3269" w:rsidRDefault="00B224CE" w:rsidP="003C3269">
            <w:pPr>
              <w:spacing w:after="0"/>
              <w:rPr>
                <w:rFonts w:asciiTheme="minorHAnsi" w:hAnsiTheme="minorHAnsi" w:cs="Arial"/>
                <w:color w:val="000000"/>
                <w:szCs w:val="18"/>
              </w:rPr>
            </w:pPr>
            <w:r w:rsidRPr="00B224CE">
              <w:rPr>
                <w:rFonts w:asciiTheme="minorHAnsi" w:hAnsiTheme="minorHAnsi" w:cs="Arial"/>
                <w:color w:val="000000"/>
                <w:szCs w:val="18"/>
              </w:rPr>
              <w:t>Essential Reliability Services Task Force</w:t>
            </w:r>
            <w:r>
              <w:rPr>
                <w:rFonts w:asciiTheme="minorHAnsi" w:hAnsiTheme="minorHAnsi" w:cs="Arial"/>
                <w:color w:val="000000"/>
                <w:szCs w:val="18"/>
              </w:rPr>
              <w:t xml:space="preserve"> (NERC)</w:t>
            </w:r>
          </w:p>
        </w:tc>
      </w:tr>
      <w:tr w:rsidR="00385C1D"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85C1D" w:rsidRPr="003C3269" w:rsidRDefault="00385C1D" w:rsidP="003C3269">
            <w:pPr>
              <w:spacing w:after="0"/>
              <w:rPr>
                <w:rFonts w:asciiTheme="minorHAnsi" w:hAnsiTheme="minorHAnsi" w:cs="Arial"/>
                <w:b/>
                <w:color w:val="000000"/>
                <w:szCs w:val="18"/>
              </w:rPr>
            </w:pPr>
            <w:r>
              <w:rPr>
                <w:rFonts w:asciiTheme="minorHAnsi" w:hAnsiTheme="minorHAnsi" w:cs="Arial"/>
                <w:b/>
                <w:color w:val="000000"/>
                <w:szCs w:val="18"/>
              </w:rPr>
              <w:t>ERSWG</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85C1D" w:rsidRPr="003C3269" w:rsidRDefault="00385C1D">
            <w:pPr>
              <w:spacing w:after="0"/>
              <w:rPr>
                <w:rFonts w:asciiTheme="minorHAnsi" w:hAnsiTheme="minorHAnsi" w:cs="Arial"/>
                <w:color w:val="000000"/>
                <w:szCs w:val="18"/>
              </w:rPr>
            </w:pPr>
            <w:r w:rsidRPr="00385C1D">
              <w:rPr>
                <w:rFonts w:asciiTheme="minorHAnsi" w:hAnsiTheme="minorHAnsi" w:cs="Arial"/>
                <w:color w:val="000000"/>
                <w:szCs w:val="18"/>
              </w:rPr>
              <w:t>Essential Reliability Services Working Group</w:t>
            </w:r>
            <w:r>
              <w:rPr>
                <w:rFonts w:asciiTheme="minorHAnsi" w:hAnsiTheme="minorHAnsi" w:cs="Arial"/>
                <w:color w:val="000000"/>
                <w:szCs w:val="18"/>
              </w:rPr>
              <w:t xml:space="preserve"> (NERC)</w:t>
            </w:r>
          </w:p>
        </w:tc>
      </w:tr>
      <w:tr w:rsidR="00385C1D"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85C1D" w:rsidRPr="003C3269" w:rsidRDefault="00385C1D" w:rsidP="003C3269">
            <w:pPr>
              <w:spacing w:after="0"/>
              <w:rPr>
                <w:rFonts w:asciiTheme="minorHAnsi" w:hAnsiTheme="minorHAnsi" w:cs="Arial"/>
                <w:b/>
                <w:color w:val="000000"/>
                <w:szCs w:val="18"/>
              </w:rPr>
            </w:pPr>
            <w:r>
              <w:rPr>
                <w:rFonts w:asciiTheme="minorHAnsi" w:hAnsiTheme="minorHAnsi" w:cs="Arial"/>
                <w:b/>
                <w:color w:val="000000"/>
                <w:szCs w:val="18"/>
              </w:rPr>
              <w:t>ESI</w:t>
            </w:r>
          </w:p>
        </w:tc>
        <w:tc>
          <w:tcPr>
            <w:tcW w:w="7037" w:type="dxa"/>
          </w:tcPr>
          <w:p w:rsidR="00385C1D" w:rsidRPr="003C3269" w:rsidRDefault="00385C1D">
            <w:pPr>
              <w:spacing w:after="0"/>
              <w:rPr>
                <w:rFonts w:asciiTheme="minorHAnsi" w:hAnsiTheme="minorHAnsi" w:cs="Arial"/>
                <w:color w:val="000000"/>
                <w:szCs w:val="18"/>
              </w:rPr>
            </w:pPr>
            <w:r w:rsidRPr="00385C1D">
              <w:rPr>
                <w:rFonts w:asciiTheme="minorHAnsi" w:hAnsiTheme="minorHAnsi" w:cs="Arial"/>
                <w:color w:val="000000"/>
                <w:szCs w:val="18"/>
              </w:rPr>
              <w:t>Energy-Storage Initiative (</w:t>
            </w:r>
            <w:r>
              <w:rPr>
                <w:rFonts w:asciiTheme="minorHAnsi" w:hAnsiTheme="minorHAnsi" w:cs="Arial"/>
                <w:color w:val="000000"/>
                <w:szCs w:val="18"/>
              </w:rPr>
              <w:t>MA DOER</w:t>
            </w:r>
            <w:r w:rsidRPr="00385C1D">
              <w:rPr>
                <w:rFonts w:asciiTheme="minorHAnsi" w:hAnsiTheme="minorHAnsi" w:cs="Arial"/>
                <w:color w:val="000000"/>
                <w:szCs w:val="18"/>
              </w:rPr>
              <w:t>)</w:t>
            </w:r>
          </w:p>
        </w:tc>
      </w:tr>
      <w:tr w:rsidR="003C3269"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ETU</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elective transmission upgrade</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F.3d</w:t>
            </w:r>
            <w:r w:rsidRPr="003C3269">
              <w:rPr>
                <w:rFonts w:asciiTheme="minorHAnsi" w:hAnsiTheme="minorHAnsi"/>
                <w:b/>
                <w:szCs w:val="18"/>
              </w:rPr>
              <w:t xml:space="preserve"> </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i/>
                <w:szCs w:val="18"/>
              </w:rPr>
              <w:t>Federal Reporter</w:t>
            </w:r>
            <w:r w:rsidRPr="003C3269">
              <w:rPr>
                <w:rFonts w:asciiTheme="minorHAnsi" w:hAnsiTheme="minorHAnsi"/>
                <w:szCs w:val="18"/>
              </w:rPr>
              <w:t>, third series</w:t>
            </w:r>
          </w:p>
        </w:tc>
      </w:tr>
      <w:tr w:rsidR="003C3269"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FACTS</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Flexible Alternating-Current Transmission System</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FCA</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Forward Capacity Auction</w:t>
            </w:r>
          </w:p>
        </w:tc>
      </w:tr>
      <w:tr w:rsidR="003C3269"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FCA #N</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nth Forward Capacity Auction</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FCM</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Forward Capacity Market</w:t>
            </w:r>
          </w:p>
        </w:tc>
      </w:tr>
      <w:tr w:rsidR="003C3269"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Fed. Reg.</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i/>
                <w:color w:val="000000"/>
                <w:szCs w:val="18"/>
              </w:rPr>
            </w:pPr>
            <w:r w:rsidRPr="003C3269">
              <w:rPr>
                <w:rFonts w:asciiTheme="minorHAnsi" w:hAnsiTheme="minorHAnsi" w:cs="Arial"/>
                <w:i/>
                <w:color w:val="000000"/>
                <w:szCs w:val="18"/>
              </w:rPr>
              <w:t>Federal Register</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FERC</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Federal Energy Regulatory Commission</w:t>
            </w:r>
          </w:p>
        </w:tc>
      </w:tr>
      <w:tr w:rsidR="003C3269"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FR</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i/>
                <w:color w:val="000000"/>
                <w:szCs w:val="18"/>
              </w:rPr>
            </w:pPr>
            <w:r w:rsidRPr="003C3269">
              <w:rPr>
                <w:rFonts w:asciiTheme="minorHAnsi" w:hAnsiTheme="minorHAnsi" w:cs="Arial"/>
                <w:i/>
                <w:color w:val="000000"/>
                <w:szCs w:val="18"/>
              </w:rPr>
              <w:t>Federal Register</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FRM</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Forward Reserve Market</w:t>
            </w:r>
          </w:p>
        </w:tc>
      </w:tr>
      <w:tr w:rsidR="003C3269"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FTR</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Financial Transmission Right</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85C1D" w:rsidP="003C3269">
            <w:pPr>
              <w:spacing w:after="0"/>
              <w:rPr>
                <w:rFonts w:asciiTheme="minorHAnsi" w:hAnsiTheme="minorHAnsi" w:cs="Arial"/>
                <w:b/>
                <w:bCs/>
                <w:color w:val="000000"/>
                <w:szCs w:val="18"/>
              </w:rPr>
            </w:pPr>
            <w:r>
              <w:rPr>
                <w:rFonts w:asciiTheme="minorHAnsi" w:hAnsiTheme="minorHAnsi" w:cs="Arial"/>
                <w:b/>
                <w:color w:val="000000"/>
                <w:szCs w:val="18"/>
              </w:rPr>
              <w:t>FWS</w:t>
            </w:r>
          </w:p>
        </w:tc>
        <w:tc>
          <w:tcPr>
            <w:tcW w:w="7037" w:type="dxa"/>
          </w:tcPr>
          <w:p w:rsidR="003C3269" w:rsidRPr="003C3269" w:rsidRDefault="00385C1D">
            <w:pPr>
              <w:spacing w:after="0"/>
              <w:rPr>
                <w:rFonts w:asciiTheme="minorHAnsi" w:hAnsiTheme="minorHAnsi" w:cs="Arial"/>
                <w:color w:val="000000"/>
                <w:szCs w:val="18"/>
              </w:rPr>
            </w:pPr>
            <w:r>
              <w:rPr>
                <w:rFonts w:asciiTheme="minorHAnsi" w:hAnsiTheme="minorHAnsi" w:cs="Arial"/>
                <w:color w:val="000000"/>
                <w:szCs w:val="18"/>
              </w:rPr>
              <w:t>US Fish and Wildlife Service (US Department of the Interior)</w:t>
            </w:r>
          </w:p>
        </w:tc>
      </w:tr>
      <w:tr w:rsidR="003C3269"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846C0A" w:rsidRDefault="003C3269" w:rsidP="003C3269">
            <w:pPr>
              <w:spacing w:after="0"/>
              <w:rPr>
                <w:rFonts w:asciiTheme="minorHAnsi" w:hAnsiTheme="minorHAnsi" w:cs="Arial"/>
                <w:b/>
                <w:bCs/>
                <w:color w:val="000000"/>
                <w:szCs w:val="18"/>
              </w:rPr>
            </w:pPr>
            <w:r w:rsidRPr="00846C0A">
              <w:rPr>
                <w:rFonts w:asciiTheme="minorHAnsi" w:hAnsiTheme="minorHAnsi" w:cs="Arial"/>
                <w:b/>
                <w:color w:val="000000"/>
                <w:szCs w:val="18"/>
              </w:rPr>
              <w:t>GHCC</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846C0A">
              <w:rPr>
                <w:rFonts w:asciiTheme="minorHAnsi" w:hAnsiTheme="minorHAnsi" w:cs="Arial"/>
                <w:color w:val="000000"/>
                <w:szCs w:val="18"/>
              </w:rPr>
              <w:t>Greater Hartford/Central Connecticut (part of NEEWS)</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GHG</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greenhouse gas</w:t>
            </w:r>
          </w:p>
        </w:tc>
      </w:tr>
      <w:tr w:rsidR="003C3269"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EB1DC1" w:rsidRDefault="003C3269" w:rsidP="003C3269">
            <w:pPr>
              <w:spacing w:after="0"/>
              <w:rPr>
                <w:rFonts w:asciiTheme="minorHAnsi" w:hAnsiTheme="minorHAnsi" w:cs="Arial"/>
                <w:b/>
                <w:bCs/>
                <w:color w:val="000000"/>
                <w:szCs w:val="18"/>
              </w:rPr>
            </w:pPr>
            <w:r w:rsidRPr="00EB1DC1">
              <w:rPr>
                <w:rFonts w:asciiTheme="minorHAnsi" w:hAnsiTheme="minorHAnsi" w:cs="Arial"/>
                <w:b/>
                <w:color w:val="000000"/>
                <w:szCs w:val="18"/>
              </w:rPr>
              <w:t>Greater Connecticut</w:t>
            </w:r>
            <w:r w:rsidR="00426760" w:rsidRPr="00846C0A">
              <w:rPr>
                <w:rFonts w:asciiTheme="minorHAnsi" w:hAnsiTheme="minorHAnsi" w:cs="Arial"/>
                <w:b/>
                <w:color w:val="000000"/>
                <w:szCs w:val="18"/>
              </w:rPr>
              <w:t>; Greater CT</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7239D1" w:rsidRDefault="00426760" w:rsidP="00426760">
            <w:pPr>
              <w:spacing w:after="0"/>
              <w:rPr>
                <w:rFonts w:asciiTheme="minorHAnsi" w:hAnsiTheme="minorHAnsi" w:cs="Arial"/>
                <w:color w:val="000000"/>
                <w:szCs w:val="18"/>
              </w:rPr>
            </w:pPr>
            <w:r w:rsidRPr="003D4F3D">
              <w:rPr>
                <w:rFonts w:asciiTheme="minorHAnsi" w:hAnsiTheme="minorHAnsi" w:cs="Arial"/>
                <w:color w:val="000000"/>
                <w:szCs w:val="18"/>
              </w:rPr>
              <w:t xml:space="preserve">1) </w:t>
            </w:r>
            <w:r w:rsidR="003C3269" w:rsidRPr="007239D1">
              <w:rPr>
                <w:rFonts w:asciiTheme="minorHAnsi" w:hAnsiTheme="minorHAnsi" w:cs="Arial"/>
                <w:color w:val="000000"/>
                <w:szCs w:val="18"/>
              </w:rPr>
              <w:t>RSP study area that includes the RSP subareas of NOR, SWCT, and CT</w:t>
            </w:r>
          </w:p>
          <w:p w:rsidR="00426760" w:rsidRPr="00EB1DC1" w:rsidRDefault="00426760" w:rsidP="00426760">
            <w:pPr>
              <w:spacing w:after="0"/>
              <w:rPr>
                <w:rFonts w:asciiTheme="minorHAnsi" w:hAnsiTheme="minorHAnsi" w:cs="Arial"/>
                <w:color w:val="000000"/>
                <w:szCs w:val="18"/>
              </w:rPr>
            </w:pPr>
            <w:r w:rsidRPr="007239D1">
              <w:rPr>
                <w:rFonts w:asciiTheme="minorHAnsi" w:hAnsiTheme="minorHAnsi" w:cs="Arial"/>
                <w:color w:val="000000"/>
                <w:szCs w:val="18"/>
              </w:rPr>
              <w:t>2) capacity</w:t>
            </w:r>
            <w:r w:rsidRPr="00EB1DC1">
              <w:rPr>
                <w:rFonts w:asciiTheme="minorHAnsi" w:hAnsiTheme="minorHAnsi" w:cs="Arial"/>
                <w:color w:val="000000"/>
                <w:szCs w:val="18"/>
              </w:rPr>
              <w:t xml:space="preserve"> zone</w:t>
            </w:r>
          </w:p>
          <w:p w:rsidR="00EB1DC1" w:rsidRPr="003C3269" w:rsidRDefault="00EB1DC1" w:rsidP="00846C0A">
            <w:pPr>
              <w:spacing w:after="0"/>
              <w:rPr>
                <w:rFonts w:asciiTheme="minorHAnsi" w:hAnsiTheme="minorHAnsi" w:cs="Arial"/>
                <w:color w:val="000000"/>
                <w:szCs w:val="18"/>
              </w:rPr>
            </w:pPr>
            <w:r w:rsidRPr="00EB1DC1">
              <w:rPr>
                <w:rFonts w:asciiTheme="minorHAnsi" w:hAnsiTheme="minorHAnsi" w:cs="Arial"/>
                <w:color w:val="000000"/>
                <w:szCs w:val="18"/>
              </w:rPr>
              <w:t>3) reserve zone</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EB1DC1" w:rsidRDefault="00846C0A" w:rsidP="00EB1DC1">
            <w:pPr>
              <w:spacing w:after="0"/>
              <w:rPr>
                <w:rFonts w:asciiTheme="minorHAnsi" w:hAnsiTheme="minorHAnsi" w:cs="Arial"/>
                <w:b/>
                <w:bCs/>
                <w:color w:val="000000"/>
                <w:szCs w:val="18"/>
              </w:rPr>
            </w:pPr>
            <w:r>
              <w:rPr>
                <w:rFonts w:asciiTheme="minorHAnsi" w:hAnsiTheme="minorHAnsi" w:cs="Arial"/>
                <w:b/>
                <w:color w:val="000000"/>
                <w:szCs w:val="18"/>
              </w:rPr>
              <w:t xml:space="preserve">Greater Southwest Connecticut; </w:t>
            </w:r>
            <w:r w:rsidR="003C3269" w:rsidRPr="00EB1DC1">
              <w:rPr>
                <w:rFonts w:asciiTheme="minorHAnsi" w:hAnsiTheme="minorHAnsi" w:cs="Arial"/>
                <w:b/>
                <w:color w:val="000000"/>
                <w:szCs w:val="18"/>
              </w:rPr>
              <w:t>Greater Southwest C</w:t>
            </w:r>
            <w:r w:rsidR="00EB1DC1" w:rsidRPr="00846C0A">
              <w:rPr>
                <w:rFonts w:asciiTheme="minorHAnsi" w:hAnsiTheme="minorHAnsi" w:cs="Arial"/>
                <w:b/>
                <w:color w:val="000000"/>
                <w:szCs w:val="18"/>
              </w:rPr>
              <w:t>T; Greater SWCT</w:t>
            </w:r>
          </w:p>
        </w:tc>
        <w:tc>
          <w:tcPr>
            <w:tcW w:w="7037" w:type="dxa"/>
          </w:tcPr>
          <w:p w:rsidR="003C3269" w:rsidRPr="00EB1DC1" w:rsidRDefault="00EB1DC1" w:rsidP="003C3269">
            <w:pPr>
              <w:spacing w:after="0"/>
              <w:rPr>
                <w:rFonts w:asciiTheme="minorHAnsi" w:hAnsiTheme="minorHAnsi" w:cs="Arial"/>
                <w:color w:val="000000"/>
                <w:szCs w:val="18"/>
              </w:rPr>
            </w:pPr>
            <w:r w:rsidRPr="00846C0A">
              <w:rPr>
                <w:rFonts w:asciiTheme="minorHAnsi" w:hAnsiTheme="minorHAnsi" w:cs="Arial"/>
                <w:color w:val="000000"/>
                <w:szCs w:val="18"/>
              </w:rPr>
              <w:t xml:space="preserve">1) </w:t>
            </w:r>
            <w:r w:rsidR="003C3269" w:rsidRPr="00EB1DC1">
              <w:rPr>
                <w:rFonts w:asciiTheme="minorHAnsi" w:hAnsiTheme="minorHAnsi" w:cs="Arial"/>
                <w:color w:val="000000"/>
                <w:szCs w:val="18"/>
              </w:rPr>
              <w:t>RSP study area that includes the southwestern and western portions of Connecticut and comprises the SWCT and NOR subareas</w:t>
            </w:r>
          </w:p>
          <w:p w:rsidR="00EB1DC1" w:rsidRPr="003C3269" w:rsidRDefault="00EB1DC1" w:rsidP="00846C0A">
            <w:pPr>
              <w:spacing w:after="0"/>
              <w:rPr>
                <w:rFonts w:asciiTheme="minorHAnsi" w:hAnsiTheme="minorHAnsi" w:cs="Arial"/>
                <w:color w:val="000000"/>
                <w:szCs w:val="18"/>
              </w:rPr>
            </w:pPr>
            <w:r w:rsidRPr="00EB1DC1">
              <w:rPr>
                <w:rFonts w:asciiTheme="minorHAnsi" w:hAnsiTheme="minorHAnsi" w:cs="Arial"/>
                <w:color w:val="000000"/>
                <w:szCs w:val="18"/>
              </w:rPr>
              <w:t>2) reserve zone</w:t>
            </w:r>
          </w:p>
        </w:tc>
      </w:tr>
      <w:tr w:rsidR="003C3269"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846C0A" w:rsidRDefault="003C3269" w:rsidP="003C3269">
            <w:pPr>
              <w:spacing w:after="0"/>
              <w:rPr>
                <w:rFonts w:asciiTheme="minorHAnsi" w:hAnsiTheme="minorHAnsi" w:cs="Arial"/>
                <w:b/>
                <w:bCs/>
                <w:color w:val="000000"/>
                <w:szCs w:val="18"/>
              </w:rPr>
            </w:pPr>
            <w:r w:rsidRPr="00846C0A">
              <w:rPr>
                <w:rFonts w:asciiTheme="minorHAnsi" w:hAnsiTheme="minorHAnsi" w:cs="Arial"/>
                <w:b/>
                <w:color w:val="000000"/>
                <w:szCs w:val="18"/>
              </w:rPr>
              <w:t>GRI</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846C0A">
              <w:rPr>
                <w:rFonts w:asciiTheme="minorHAnsi" w:hAnsiTheme="minorHAnsi" w:cs="Arial"/>
                <w:color w:val="000000"/>
                <w:szCs w:val="18"/>
              </w:rPr>
              <w:t>Greater Rhode Island</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GSGT</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Granite State Gas Transmission</w:t>
            </w:r>
          </w:p>
        </w:tc>
      </w:tr>
      <w:tr w:rsidR="00385C1D"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85C1D" w:rsidRPr="003C3269" w:rsidRDefault="00385C1D" w:rsidP="003C3269">
            <w:pPr>
              <w:spacing w:after="0"/>
              <w:rPr>
                <w:rFonts w:asciiTheme="minorHAnsi" w:hAnsiTheme="minorHAnsi" w:cs="Arial"/>
                <w:b/>
                <w:color w:val="000000"/>
                <w:szCs w:val="18"/>
              </w:rPr>
            </w:pPr>
            <w:r>
              <w:rPr>
                <w:rFonts w:asciiTheme="minorHAnsi" w:hAnsiTheme="minorHAnsi" w:cs="Arial"/>
                <w:b/>
                <w:color w:val="000000"/>
                <w:szCs w:val="18"/>
              </w:rPr>
              <w:t>GSP</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85C1D" w:rsidRPr="003C3269" w:rsidRDefault="00385C1D">
            <w:pPr>
              <w:spacing w:after="0"/>
              <w:rPr>
                <w:rFonts w:asciiTheme="minorHAnsi" w:hAnsiTheme="minorHAnsi" w:cs="Arial"/>
                <w:color w:val="000000"/>
                <w:szCs w:val="18"/>
              </w:rPr>
            </w:pPr>
            <w:r w:rsidRPr="00385C1D">
              <w:rPr>
                <w:rFonts w:asciiTheme="minorHAnsi" w:hAnsiTheme="minorHAnsi" w:cs="Arial"/>
                <w:color w:val="000000"/>
                <w:szCs w:val="18"/>
              </w:rPr>
              <w:t>gross state product</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GSRP</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Greater Springfield Reliability Project</w:t>
            </w:r>
          </w:p>
        </w:tc>
      </w:tr>
      <w:tr w:rsidR="003C3269"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GT</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gas turbine</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GW</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gigawatt</w:t>
            </w:r>
          </w:p>
        </w:tc>
      </w:tr>
      <w:tr w:rsidR="003C3269"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GWh</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gigawatt-hour(s)</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85C1D" w:rsidP="003C3269">
            <w:pPr>
              <w:spacing w:after="0"/>
              <w:rPr>
                <w:rFonts w:asciiTheme="minorHAnsi" w:hAnsiTheme="minorHAnsi" w:cs="Arial"/>
                <w:b/>
                <w:color w:val="000000"/>
                <w:szCs w:val="18"/>
              </w:rPr>
            </w:pPr>
            <w:r>
              <w:rPr>
                <w:rFonts w:asciiTheme="minorHAnsi" w:hAnsiTheme="minorHAnsi" w:cs="Arial"/>
                <w:b/>
                <w:color w:val="000000"/>
                <w:szCs w:val="18"/>
              </w:rPr>
              <w:t>GWSA</w:t>
            </w:r>
          </w:p>
        </w:tc>
        <w:tc>
          <w:tcPr>
            <w:tcW w:w="7037" w:type="dxa"/>
          </w:tcPr>
          <w:p w:rsidR="003C3269" w:rsidRPr="003C3269" w:rsidRDefault="00385C1D" w:rsidP="003C3269">
            <w:pPr>
              <w:spacing w:after="0"/>
              <w:rPr>
                <w:rFonts w:asciiTheme="minorHAnsi" w:hAnsiTheme="minorHAnsi" w:cs="Arial"/>
                <w:color w:val="000000"/>
                <w:szCs w:val="18"/>
              </w:rPr>
            </w:pPr>
            <w:r w:rsidRPr="00846C0A">
              <w:rPr>
                <w:rFonts w:asciiTheme="minorHAnsi" w:hAnsiTheme="minorHAnsi" w:cs="Arial"/>
                <w:i/>
                <w:color w:val="000000"/>
                <w:szCs w:val="18"/>
              </w:rPr>
              <w:t>Global Warming Solutions Act</w:t>
            </w:r>
            <w:r>
              <w:rPr>
                <w:rFonts w:asciiTheme="minorHAnsi" w:hAnsiTheme="minorHAnsi" w:cs="Arial"/>
                <w:color w:val="000000"/>
                <w:szCs w:val="18"/>
              </w:rPr>
              <w:t xml:space="preserve"> (MA)</w:t>
            </w:r>
          </w:p>
        </w:tc>
      </w:tr>
      <w:tr w:rsidR="003C3269"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lastRenderedPageBreak/>
              <w:t>HQ</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Hydro-Québec Balancing Authority Area</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HQICC</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Hydro-Québec Installed Capability Credit</w:t>
            </w:r>
          </w:p>
        </w:tc>
      </w:tr>
      <w:tr w:rsidR="003C3269"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(the) Hub</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ISO New England energy trading hub</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HV</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high voltage</w:t>
            </w:r>
          </w:p>
        </w:tc>
      </w:tr>
      <w:tr w:rsidR="003C3269"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HVDC</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134561" w:rsidP="00134561">
            <w:pPr>
              <w:spacing w:after="0"/>
              <w:rPr>
                <w:rFonts w:asciiTheme="minorHAnsi" w:hAnsiTheme="minorHAnsi" w:cs="Arial"/>
                <w:color w:val="000000"/>
                <w:szCs w:val="18"/>
              </w:rPr>
            </w:pPr>
            <w:r>
              <w:rPr>
                <w:rFonts w:asciiTheme="minorHAnsi" w:hAnsiTheme="minorHAnsi" w:cs="Arial"/>
                <w:color w:val="000000"/>
                <w:szCs w:val="18"/>
              </w:rPr>
              <w:t>h</w:t>
            </w:r>
            <w:r w:rsidR="003C3269" w:rsidRPr="003C3269">
              <w:rPr>
                <w:rFonts w:asciiTheme="minorHAnsi" w:hAnsiTheme="minorHAnsi" w:cs="Arial"/>
                <w:color w:val="000000"/>
                <w:szCs w:val="18"/>
              </w:rPr>
              <w:t>igh</w:t>
            </w:r>
            <w:r>
              <w:rPr>
                <w:rFonts w:asciiTheme="minorHAnsi" w:hAnsiTheme="minorHAnsi" w:cs="Arial"/>
                <w:color w:val="000000"/>
                <w:szCs w:val="18"/>
              </w:rPr>
              <w:t xml:space="preserve"> </w:t>
            </w:r>
            <w:r w:rsidR="003C3269" w:rsidRPr="003C3269">
              <w:rPr>
                <w:rFonts w:asciiTheme="minorHAnsi" w:hAnsiTheme="minorHAnsi" w:cs="Arial"/>
                <w:color w:val="000000"/>
                <w:szCs w:val="18"/>
              </w:rPr>
              <w:t>voltage, direct current</w:t>
            </w:r>
          </w:p>
        </w:tc>
      </w:tr>
      <w:tr w:rsidR="00385C1D"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85C1D" w:rsidRPr="003C3269" w:rsidRDefault="00385C1D" w:rsidP="003C3269">
            <w:pPr>
              <w:spacing w:after="0"/>
              <w:rPr>
                <w:rFonts w:asciiTheme="minorHAnsi" w:hAnsiTheme="minorHAnsi" w:cs="Arial"/>
                <w:b/>
                <w:color w:val="000000"/>
                <w:szCs w:val="18"/>
              </w:rPr>
            </w:pPr>
            <w:r>
              <w:rPr>
                <w:rFonts w:asciiTheme="minorHAnsi" w:hAnsiTheme="minorHAnsi" w:cs="Arial"/>
                <w:b/>
                <w:color w:val="000000"/>
                <w:szCs w:val="18"/>
              </w:rPr>
              <w:t>hydro</w:t>
            </w:r>
          </w:p>
        </w:tc>
        <w:tc>
          <w:tcPr>
            <w:tcW w:w="7037" w:type="dxa"/>
          </w:tcPr>
          <w:p w:rsidR="00385C1D" w:rsidRPr="003C3269" w:rsidRDefault="00385C1D" w:rsidP="003C3269">
            <w:pPr>
              <w:spacing w:after="0"/>
              <w:rPr>
                <w:rFonts w:asciiTheme="minorHAnsi" w:hAnsiTheme="minorHAnsi" w:cs="Arial"/>
                <w:color w:val="000000"/>
                <w:szCs w:val="18"/>
              </w:rPr>
            </w:pPr>
            <w:r>
              <w:rPr>
                <w:rFonts w:asciiTheme="minorHAnsi" w:hAnsiTheme="minorHAnsi" w:cs="Arial"/>
                <w:color w:val="000000"/>
                <w:szCs w:val="18"/>
              </w:rPr>
              <w:t>hydroelectricity</w:t>
            </w:r>
          </w:p>
        </w:tc>
      </w:tr>
      <w:tr w:rsidR="003C3269"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ICE</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Intercontinental Exchange, Inc.</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ICF</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ICF International, Inc.</w:t>
            </w:r>
          </w:p>
        </w:tc>
      </w:tr>
      <w:tr w:rsidR="003C3269"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ICR</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Installed Capacity Requirement</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IEEE</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Institute of Electrical and Electronics Engineers</w:t>
            </w:r>
          </w:p>
        </w:tc>
      </w:tr>
      <w:tr w:rsidR="003C3269"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IGTS</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Iroquois Gas Transmission System</w:t>
            </w:r>
          </w:p>
        </w:tc>
      </w:tr>
      <w:tr w:rsidR="00385C1D"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85C1D" w:rsidRPr="003C3269" w:rsidRDefault="00385C1D" w:rsidP="003C3269">
            <w:pPr>
              <w:spacing w:after="0"/>
              <w:rPr>
                <w:rFonts w:asciiTheme="minorHAnsi" w:hAnsiTheme="minorHAnsi" w:cs="Arial"/>
                <w:b/>
                <w:color w:val="000000"/>
                <w:szCs w:val="18"/>
              </w:rPr>
            </w:pPr>
            <w:r>
              <w:rPr>
                <w:rFonts w:asciiTheme="minorHAnsi" w:hAnsiTheme="minorHAnsi" w:cs="Arial"/>
                <w:b/>
                <w:color w:val="000000"/>
                <w:szCs w:val="18"/>
              </w:rPr>
              <w:t>IMAPP</w:t>
            </w:r>
          </w:p>
        </w:tc>
        <w:tc>
          <w:tcPr>
            <w:tcW w:w="7037" w:type="dxa"/>
          </w:tcPr>
          <w:p w:rsidR="00385C1D" w:rsidRPr="003C3269" w:rsidRDefault="00134561" w:rsidP="003C3269">
            <w:pPr>
              <w:spacing w:after="0"/>
              <w:rPr>
                <w:rFonts w:asciiTheme="minorHAnsi" w:hAnsiTheme="minorHAnsi" w:cs="Arial"/>
                <w:color w:val="000000"/>
                <w:szCs w:val="18"/>
              </w:rPr>
            </w:pPr>
            <w:r>
              <w:rPr>
                <w:rFonts w:asciiTheme="minorHAnsi" w:hAnsiTheme="minorHAnsi" w:cs="Arial"/>
                <w:color w:val="000000"/>
                <w:szCs w:val="18"/>
              </w:rPr>
              <w:t>i</w:t>
            </w:r>
            <w:r w:rsidR="00385C1D">
              <w:rPr>
                <w:rFonts w:asciiTheme="minorHAnsi" w:hAnsiTheme="minorHAnsi" w:cs="Arial"/>
                <w:color w:val="000000"/>
                <w:szCs w:val="18"/>
              </w:rPr>
              <w:t>ntergrating markets and public policy</w:t>
            </w:r>
          </w:p>
        </w:tc>
      </w:tr>
      <w:tr w:rsidR="00312E35"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12E35" w:rsidRPr="003C3269" w:rsidRDefault="00312E35" w:rsidP="003C3269">
            <w:pPr>
              <w:spacing w:after="0"/>
              <w:rPr>
                <w:rFonts w:asciiTheme="minorHAnsi" w:hAnsiTheme="minorHAnsi" w:cs="Arial"/>
                <w:b/>
                <w:color w:val="000000"/>
                <w:szCs w:val="18"/>
              </w:rPr>
            </w:pPr>
            <w:r>
              <w:rPr>
                <w:rFonts w:asciiTheme="minorHAnsi" w:hAnsiTheme="minorHAnsi" w:cs="Arial"/>
                <w:b/>
                <w:color w:val="000000"/>
                <w:szCs w:val="18"/>
              </w:rPr>
              <w:t>INGAA</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12E35" w:rsidRPr="003C3269" w:rsidRDefault="00312E35" w:rsidP="003C3269">
            <w:pPr>
              <w:spacing w:after="0"/>
              <w:rPr>
                <w:rFonts w:asciiTheme="minorHAnsi" w:hAnsiTheme="minorHAnsi" w:cs="Arial"/>
                <w:color w:val="000000"/>
                <w:szCs w:val="18"/>
              </w:rPr>
            </w:pPr>
            <w:r>
              <w:rPr>
                <w:rFonts w:asciiTheme="minorHAnsi" w:hAnsiTheme="minorHAnsi" w:cs="Arial"/>
                <w:color w:val="000000"/>
                <w:szCs w:val="18"/>
              </w:rPr>
              <w:t>Interstate Natural Gas Association of America</w:t>
            </w:r>
          </w:p>
        </w:tc>
      </w:tr>
      <w:tr w:rsidR="00312E35"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12E35" w:rsidRPr="003C3269" w:rsidRDefault="00312E35" w:rsidP="003C3269">
            <w:pPr>
              <w:spacing w:after="0"/>
              <w:rPr>
                <w:rFonts w:asciiTheme="minorHAnsi" w:hAnsiTheme="minorHAnsi" w:cs="Arial"/>
                <w:b/>
                <w:color w:val="000000"/>
                <w:szCs w:val="18"/>
              </w:rPr>
            </w:pPr>
            <w:r>
              <w:rPr>
                <w:rFonts w:asciiTheme="minorHAnsi" w:hAnsiTheme="minorHAnsi" w:cs="Arial"/>
                <w:b/>
                <w:color w:val="000000"/>
                <w:szCs w:val="18"/>
              </w:rPr>
              <w:t>IPM</w:t>
            </w:r>
          </w:p>
        </w:tc>
        <w:tc>
          <w:tcPr>
            <w:tcW w:w="7037" w:type="dxa"/>
          </w:tcPr>
          <w:p w:rsidR="00312E35" w:rsidRPr="003C3269" w:rsidRDefault="00312E35" w:rsidP="003C3269">
            <w:pPr>
              <w:spacing w:after="0"/>
              <w:rPr>
                <w:rFonts w:asciiTheme="minorHAnsi" w:hAnsiTheme="minorHAnsi" w:cs="Arial"/>
                <w:color w:val="000000"/>
                <w:szCs w:val="18"/>
              </w:rPr>
            </w:pPr>
            <w:r>
              <w:rPr>
                <w:rFonts w:asciiTheme="minorHAnsi" w:hAnsiTheme="minorHAnsi" w:cs="Arial"/>
                <w:color w:val="000000"/>
                <w:szCs w:val="18"/>
              </w:rPr>
              <w:t>Integrated Performance Model (RGGI)</w:t>
            </w:r>
          </w:p>
        </w:tc>
      </w:tr>
      <w:tr w:rsidR="003C3269"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IPSAC</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Inter-Area Planning Stakeholder Advisory Committee</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Height w:val="164"/>
        </w:trPr>
        <w:tc>
          <w:tcPr>
            <w:tcW w:w="2079"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IRC</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ISO/RTO Council</w:t>
            </w:r>
          </w:p>
        </w:tc>
      </w:tr>
      <w:tr w:rsidR="003C3269"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IRP</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Interstate Reliability Project</w:t>
            </w:r>
          </w:p>
        </w:tc>
      </w:tr>
      <w:tr w:rsidR="00134561"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134561" w:rsidRPr="003C3269" w:rsidRDefault="00134561" w:rsidP="003C3269">
            <w:pPr>
              <w:spacing w:after="0"/>
              <w:rPr>
                <w:rFonts w:asciiTheme="minorHAnsi" w:hAnsiTheme="minorHAnsi" w:cs="Arial"/>
                <w:b/>
                <w:color w:val="000000"/>
                <w:szCs w:val="18"/>
              </w:rPr>
            </w:pPr>
            <w:r w:rsidRPr="003C3269">
              <w:rPr>
                <w:rFonts w:asciiTheme="minorHAnsi" w:hAnsiTheme="minorHAnsi" w:cs="Arial"/>
                <w:b/>
                <w:color w:val="000000"/>
                <w:szCs w:val="18"/>
              </w:rPr>
              <w:t>ISO</w:t>
            </w:r>
          </w:p>
        </w:tc>
        <w:tc>
          <w:tcPr>
            <w:tcW w:w="7037" w:type="dxa"/>
          </w:tcPr>
          <w:p w:rsidR="00134561" w:rsidRPr="003C3269" w:rsidRDefault="00134561" w:rsidP="003C3269">
            <w:pPr>
              <w:spacing w:after="0"/>
              <w:rPr>
                <w:rFonts w:asciiTheme="minorHAnsi" w:hAnsiTheme="minorHAnsi" w:cs="Arial"/>
                <w:color w:val="000000"/>
                <w:szCs w:val="18"/>
              </w:rPr>
            </w:pPr>
            <w:r w:rsidRPr="003C3269">
              <w:rPr>
                <w:rFonts w:asciiTheme="minorHAnsi" w:hAnsiTheme="minorHAnsi" w:cs="Arial"/>
                <w:color w:val="000000"/>
                <w:szCs w:val="18"/>
              </w:rPr>
              <w:t>Independent System Operator</w:t>
            </w:r>
          </w:p>
        </w:tc>
      </w:tr>
      <w:tr w:rsidR="003C3269"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(the) ISO</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Independent System Operator of New England; ISO New England</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ISO/RTO</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Independent System Operator/Regional Transmission Organization</w:t>
            </w:r>
          </w:p>
        </w:tc>
      </w:tr>
      <w:tr w:rsidR="003C3269"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ISO tariff</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 xml:space="preserve">ISO New England’s </w:t>
            </w:r>
            <w:r w:rsidRPr="003C3269">
              <w:rPr>
                <w:rFonts w:asciiTheme="minorHAnsi" w:hAnsiTheme="minorHAnsi" w:cs="Arial"/>
                <w:i/>
                <w:color w:val="000000"/>
                <w:szCs w:val="18"/>
              </w:rPr>
              <w:t>Transmission, Markets, and Services Tariff</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JIPC</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Joint ISO/RTO Planning Committee</w:t>
            </w:r>
          </w:p>
        </w:tc>
      </w:tr>
      <w:tr w:rsidR="003C3269"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ktons</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kilotons</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kV</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kilovolt(s)</w:t>
            </w:r>
          </w:p>
        </w:tc>
      </w:tr>
      <w:tr w:rsidR="003C3269"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kW</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kilowatt</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kWh</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kilowatt-hour</w:t>
            </w:r>
          </w:p>
        </w:tc>
      </w:tr>
      <w:tr w:rsidR="003C3269"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lb</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pound</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LDC</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local distribution company</w:t>
            </w:r>
          </w:p>
        </w:tc>
      </w:tr>
      <w:tr w:rsidR="003C3269"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LLC</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limited liability company</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LMP</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locational marginal price</w:t>
            </w:r>
          </w:p>
        </w:tc>
      </w:tr>
      <w:tr w:rsidR="003C3269"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LNG</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liquefied natural gas</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LOLE</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loss-of-load expectation</w:t>
            </w:r>
          </w:p>
        </w:tc>
      </w:tr>
      <w:tr w:rsidR="0007152F"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07152F" w:rsidRPr="003C3269" w:rsidRDefault="0007152F" w:rsidP="003C3269">
            <w:pPr>
              <w:spacing w:after="0"/>
              <w:rPr>
                <w:rFonts w:asciiTheme="minorHAnsi" w:hAnsiTheme="minorHAnsi" w:cs="Arial"/>
                <w:b/>
                <w:color w:val="000000"/>
                <w:szCs w:val="18"/>
              </w:rPr>
            </w:pPr>
            <w:r>
              <w:rPr>
                <w:rFonts w:asciiTheme="minorHAnsi" w:hAnsiTheme="minorHAnsi" w:cs="Arial"/>
                <w:b/>
                <w:color w:val="000000"/>
                <w:szCs w:val="18"/>
              </w:rPr>
              <w:t>Lower SEMA</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07152F" w:rsidRPr="003C3269" w:rsidRDefault="0007152F" w:rsidP="003C3269">
            <w:pPr>
              <w:spacing w:after="0"/>
              <w:rPr>
                <w:rFonts w:asciiTheme="minorHAnsi" w:hAnsiTheme="minorHAnsi" w:cs="Arial"/>
                <w:color w:val="000000"/>
                <w:szCs w:val="18"/>
              </w:rPr>
            </w:pPr>
            <w:r>
              <w:rPr>
                <w:rFonts w:asciiTheme="minorHAnsi" w:hAnsiTheme="minorHAnsi" w:cs="Arial"/>
                <w:color w:val="000000"/>
                <w:szCs w:val="18"/>
              </w:rPr>
              <w:t>Lower Southeast Massachusetts active-demand-resource dispatch zone</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LSE</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load-serving entity</w:t>
            </w:r>
          </w:p>
        </w:tc>
      </w:tr>
      <w:tr w:rsidR="00312E35" w:rsidRPr="003C3269" w:rsidTr="003D4F3D">
        <w:trPr>
          <w:cnfStyle w:val="000000100000" w:firstRow="0" w:lastRow="0" w:firstColumn="0" w:lastColumn="0" w:oddVBand="0" w:evenVBand="0" w:oddHBand="1" w:evenHBand="0" w:firstRowFirstColumn="0" w:firstRowLastColumn="0" w:lastRowFirstColumn="0" w:lastRowLastColumn="0"/>
          <w:trHeight w:val="20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12E35" w:rsidRPr="003C3269" w:rsidRDefault="00312E35" w:rsidP="003C3269">
            <w:pPr>
              <w:spacing w:after="0"/>
              <w:rPr>
                <w:rFonts w:asciiTheme="minorHAnsi" w:hAnsiTheme="minorHAnsi" w:cs="Arial"/>
                <w:b/>
                <w:color w:val="000000"/>
                <w:szCs w:val="18"/>
              </w:rPr>
            </w:pPr>
            <w:r>
              <w:rPr>
                <w:rFonts w:asciiTheme="minorHAnsi" w:hAnsiTheme="minorHAnsi" w:cs="Arial"/>
                <w:b/>
                <w:color w:val="000000"/>
                <w:szCs w:val="18"/>
              </w:rPr>
              <w:t>LSP</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12E35" w:rsidRPr="003C3269" w:rsidRDefault="00312E35" w:rsidP="003C3269">
            <w:pPr>
              <w:spacing w:after="0"/>
              <w:rPr>
                <w:rFonts w:asciiTheme="minorHAnsi" w:hAnsiTheme="minorHAnsi" w:cs="Arial"/>
                <w:color w:val="000000"/>
                <w:szCs w:val="18"/>
              </w:rPr>
            </w:pPr>
            <w:r>
              <w:rPr>
                <w:rFonts w:asciiTheme="minorHAnsi" w:hAnsiTheme="minorHAnsi" w:cs="Arial"/>
                <w:color w:val="000000"/>
                <w:szCs w:val="18"/>
              </w:rPr>
              <w:t>Local System Plan</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Height w:val="200"/>
        </w:trPr>
        <w:tc>
          <w:tcPr>
            <w:tcW w:w="2079"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LSR</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local sourcing requirement</w:t>
            </w:r>
          </w:p>
        </w:tc>
      </w:tr>
      <w:tr w:rsidR="003C3269"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LTRA</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i/>
                <w:color w:val="000000"/>
                <w:szCs w:val="18"/>
              </w:rPr>
              <w:t xml:space="preserve">Long-Term Reliability Assessment </w:t>
            </w:r>
            <w:r w:rsidRPr="003C3269">
              <w:rPr>
                <w:rFonts w:asciiTheme="minorHAnsi" w:hAnsiTheme="minorHAnsi" w:cs="Arial"/>
                <w:color w:val="000000"/>
                <w:szCs w:val="18"/>
              </w:rPr>
              <w:t>(NERC)</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M&amp;N</w:t>
            </w:r>
          </w:p>
        </w:tc>
        <w:tc>
          <w:tcPr>
            <w:tcW w:w="7037" w:type="dxa"/>
          </w:tcPr>
          <w:p w:rsidR="003C3269" w:rsidRPr="003C3269" w:rsidRDefault="003C3269" w:rsidP="00A84788">
            <w:pPr>
              <w:spacing w:after="0"/>
              <w:rPr>
                <w:rFonts w:asciiTheme="minorHAnsi" w:hAnsiTheme="minorHAnsi" w:cs="Arial"/>
                <w:color w:val="000000"/>
                <w:szCs w:val="18"/>
              </w:rPr>
            </w:pPr>
            <w:r w:rsidRPr="003C3269">
              <w:rPr>
                <w:rFonts w:asciiTheme="minorHAnsi" w:hAnsiTheme="minorHAnsi" w:cs="Arial"/>
                <w:color w:val="000000"/>
                <w:szCs w:val="18"/>
              </w:rPr>
              <w:t>Maritimes and Northeast Pipeline</w:t>
            </w:r>
          </w:p>
        </w:tc>
      </w:tr>
      <w:tr w:rsidR="003C3269"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MA</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Massachusetts</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MACT</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maximum achievable control technology</w:t>
            </w:r>
          </w:p>
        </w:tc>
      </w:tr>
      <w:tr w:rsidR="00312E35"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12E35" w:rsidRPr="00846C0A" w:rsidRDefault="00312E35" w:rsidP="003C3269">
            <w:pPr>
              <w:spacing w:after="0"/>
              <w:rPr>
                <w:rFonts w:asciiTheme="minorHAnsi" w:hAnsiTheme="minorHAnsi" w:cs="Arial"/>
                <w:b/>
                <w:color w:val="000000"/>
                <w:szCs w:val="18"/>
              </w:rPr>
            </w:pPr>
            <w:r w:rsidRPr="00846C0A">
              <w:rPr>
                <w:rFonts w:asciiTheme="minorHAnsi" w:hAnsiTheme="minorHAnsi" w:cs="Arial"/>
                <w:b/>
                <w:color w:val="000000"/>
                <w:szCs w:val="18"/>
              </w:rPr>
              <w:t>MA DEP</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12E35" w:rsidRPr="00846C0A" w:rsidRDefault="00D357D4" w:rsidP="003C3269">
            <w:pPr>
              <w:spacing w:after="0"/>
              <w:rPr>
                <w:rFonts w:asciiTheme="minorHAnsi" w:hAnsiTheme="minorHAnsi" w:cs="Arial"/>
                <w:color w:val="000000"/>
                <w:szCs w:val="18"/>
              </w:rPr>
            </w:pPr>
            <w:r w:rsidRPr="00846C0A">
              <w:rPr>
                <w:rFonts w:asciiTheme="minorHAnsi" w:hAnsiTheme="minorHAnsi" w:cs="Arial"/>
                <w:color w:val="000000"/>
                <w:szCs w:val="18"/>
              </w:rPr>
              <w:t>Massachusetts Department of Environmental Protection</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846C0A" w:rsidRDefault="003C3269" w:rsidP="003C3269">
            <w:pPr>
              <w:spacing w:after="0"/>
              <w:rPr>
                <w:rFonts w:asciiTheme="minorHAnsi" w:hAnsiTheme="minorHAnsi" w:cs="Arial"/>
                <w:b/>
                <w:bCs/>
                <w:color w:val="000000"/>
                <w:szCs w:val="18"/>
              </w:rPr>
            </w:pPr>
            <w:r w:rsidRPr="00846C0A">
              <w:rPr>
                <w:rFonts w:asciiTheme="minorHAnsi" w:hAnsiTheme="minorHAnsi" w:cs="Arial"/>
                <w:b/>
                <w:color w:val="000000"/>
                <w:szCs w:val="18"/>
              </w:rPr>
              <w:t>MA DPU</w:t>
            </w:r>
          </w:p>
        </w:tc>
        <w:tc>
          <w:tcPr>
            <w:tcW w:w="7037" w:type="dxa"/>
          </w:tcPr>
          <w:p w:rsidR="003C3269" w:rsidRPr="003C3269" w:rsidRDefault="003C3269" w:rsidP="003C3269">
            <w:pPr>
              <w:spacing w:after="0"/>
              <w:rPr>
                <w:rFonts w:asciiTheme="minorHAnsi" w:hAnsiTheme="minorHAnsi" w:cs="Arial"/>
                <w:color w:val="000000"/>
                <w:szCs w:val="18"/>
              </w:rPr>
            </w:pPr>
            <w:r w:rsidRPr="00846C0A">
              <w:rPr>
                <w:rFonts w:asciiTheme="minorHAnsi" w:hAnsiTheme="minorHAnsi" w:cs="Arial"/>
                <w:color w:val="000000"/>
                <w:szCs w:val="18"/>
              </w:rPr>
              <w:t>Massachusetts Department of Public Utilities</w:t>
            </w:r>
          </w:p>
        </w:tc>
      </w:tr>
      <w:tr w:rsidR="00846C0A"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846C0A" w:rsidRPr="003C3269" w:rsidRDefault="00846C0A" w:rsidP="003C3269">
            <w:pPr>
              <w:spacing w:after="0"/>
              <w:rPr>
                <w:rFonts w:asciiTheme="minorHAnsi" w:hAnsiTheme="minorHAnsi" w:cs="Arial"/>
                <w:b/>
                <w:color w:val="000000"/>
                <w:szCs w:val="18"/>
              </w:rPr>
            </w:pPr>
            <w:r>
              <w:rPr>
                <w:rFonts w:asciiTheme="minorHAnsi" w:hAnsiTheme="minorHAnsi" w:cs="Arial"/>
                <w:b/>
                <w:color w:val="000000"/>
                <w:szCs w:val="18"/>
              </w:rPr>
              <w:t>Maine</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846C0A" w:rsidRPr="003C3269" w:rsidRDefault="00846C0A" w:rsidP="003C3269">
            <w:pPr>
              <w:spacing w:after="0"/>
              <w:rPr>
                <w:rFonts w:asciiTheme="minorHAnsi" w:hAnsiTheme="minorHAnsi" w:cs="Arial"/>
                <w:color w:val="000000"/>
                <w:szCs w:val="18"/>
              </w:rPr>
            </w:pPr>
            <w:r w:rsidRPr="00D03F59">
              <w:rPr>
                <w:rFonts w:asciiTheme="minorHAnsi" w:hAnsiTheme="minorHAnsi" w:cs="Arial"/>
                <w:color w:val="000000"/>
                <w:szCs w:val="18"/>
              </w:rPr>
              <w:t>active-demand-resource dispatch zone</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MATS</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Mercury and Air Toxics Standard (US EPA)</w:t>
            </w:r>
          </w:p>
        </w:tc>
      </w:tr>
      <w:tr w:rsidR="003C3269"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846C0A" w:rsidRDefault="003C3269" w:rsidP="003C3269">
            <w:pPr>
              <w:spacing w:after="0"/>
              <w:rPr>
                <w:rFonts w:asciiTheme="minorHAnsi" w:hAnsiTheme="minorHAnsi" w:cs="Arial"/>
                <w:b/>
                <w:color w:val="000000"/>
                <w:szCs w:val="18"/>
              </w:rPr>
            </w:pPr>
            <w:r w:rsidRPr="00846C0A">
              <w:rPr>
                <w:rFonts w:asciiTheme="minorHAnsi" w:hAnsiTheme="minorHAnsi" w:cs="Arial"/>
                <w:b/>
                <w:color w:val="000000"/>
                <w:szCs w:val="18"/>
              </w:rPr>
              <w:t>Mcf</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846C0A">
              <w:rPr>
                <w:rFonts w:asciiTheme="minorHAnsi" w:hAnsiTheme="minorHAnsi" w:cs="Arial"/>
                <w:color w:val="000000"/>
                <w:szCs w:val="18"/>
              </w:rPr>
              <w:t>1,000 cubic feet</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lastRenderedPageBreak/>
              <w:t>MCL</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maximum capacity limit</w:t>
            </w:r>
          </w:p>
        </w:tc>
      </w:tr>
      <w:tr w:rsidR="003C3269"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846C0A" w:rsidRDefault="003C3269" w:rsidP="003C3269">
            <w:pPr>
              <w:spacing w:after="0"/>
              <w:rPr>
                <w:rFonts w:asciiTheme="minorHAnsi" w:hAnsiTheme="minorHAnsi" w:cs="Arial"/>
                <w:b/>
                <w:bCs/>
                <w:color w:val="000000"/>
                <w:szCs w:val="18"/>
              </w:rPr>
            </w:pPr>
            <w:r w:rsidRPr="00846C0A">
              <w:rPr>
                <w:rFonts w:asciiTheme="minorHAnsi" w:hAnsiTheme="minorHAnsi" w:cs="Arial"/>
                <w:b/>
                <w:bCs/>
                <w:color w:val="000000"/>
                <w:szCs w:val="18"/>
              </w:rPr>
              <w:t>MDth/d</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846C0A">
              <w:rPr>
                <w:rFonts w:asciiTheme="minorHAnsi" w:hAnsiTheme="minorHAnsi" w:cs="Arial"/>
                <w:color w:val="000000"/>
                <w:szCs w:val="18"/>
              </w:rPr>
              <w:t>thousand dekatherms per day</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D03F59" w:rsidRDefault="003C3269" w:rsidP="003C3269">
            <w:pPr>
              <w:spacing w:after="0"/>
              <w:rPr>
                <w:rFonts w:asciiTheme="minorHAnsi" w:hAnsiTheme="minorHAnsi" w:cs="Arial"/>
                <w:b/>
                <w:bCs/>
                <w:color w:val="000000"/>
                <w:szCs w:val="18"/>
              </w:rPr>
            </w:pPr>
            <w:r w:rsidRPr="00D03F59">
              <w:rPr>
                <w:rFonts w:asciiTheme="minorHAnsi" w:hAnsiTheme="minorHAnsi" w:cs="Arial"/>
                <w:b/>
                <w:bCs/>
                <w:color w:val="000000"/>
                <w:szCs w:val="18"/>
              </w:rPr>
              <w:t>ME</w:t>
            </w:r>
          </w:p>
        </w:tc>
        <w:tc>
          <w:tcPr>
            <w:tcW w:w="7037" w:type="dxa"/>
          </w:tcPr>
          <w:p w:rsidR="003C3269" w:rsidRPr="00D03F59" w:rsidRDefault="003C3269" w:rsidP="003C3269">
            <w:pPr>
              <w:spacing w:after="0"/>
              <w:rPr>
                <w:rFonts w:asciiTheme="minorHAnsi" w:hAnsiTheme="minorHAnsi" w:cs="Arial"/>
                <w:color w:val="000000"/>
                <w:szCs w:val="18"/>
              </w:rPr>
            </w:pPr>
            <w:r w:rsidRPr="00D03F59">
              <w:rPr>
                <w:rFonts w:asciiTheme="minorHAnsi" w:hAnsiTheme="minorHAnsi" w:cs="Arial"/>
                <w:color w:val="000000"/>
                <w:szCs w:val="18"/>
              </w:rPr>
              <w:t>1) State of Maine</w:t>
            </w:r>
          </w:p>
          <w:p w:rsidR="003C3269" w:rsidRPr="00D03F59" w:rsidRDefault="003C3269" w:rsidP="003C3269">
            <w:pPr>
              <w:spacing w:after="0"/>
              <w:ind w:left="230" w:hanging="230"/>
              <w:rPr>
                <w:rFonts w:asciiTheme="minorHAnsi" w:hAnsiTheme="minorHAnsi" w:cs="Arial"/>
                <w:color w:val="000000"/>
                <w:szCs w:val="18"/>
              </w:rPr>
            </w:pPr>
            <w:r w:rsidRPr="00D03F59">
              <w:rPr>
                <w:rFonts w:asciiTheme="minorHAnsi" w:hAnsiTheme="minorHAnsi" w:cs="Arial"/>
                <w:color w:val="000000"/>
                <w:szCs w:val="18"/>
              </w:rPr>
              <w:t>2) RSP subarea that includes western and central Maine and Saco Valley, New Hampshire</w:t>
            </w:r>
          </w:p>
          <w:p w:rsidR="003C3269" w:rsidRPr="00D03F59" w:rsidRDefault="003C3269" w:rsidP="003C3269">
            <w:pPr>
              <w:spacing w:after="0"/>
              <w:rPr>
                <w:rFonts w:asciiTheme="minorHAnsi" w:hAnsiTheme="minorHAnsi" w:cs="Arial"/>
                <w:color w:val="000000"/>
                <w:szCs w:val="18"/>
              </w:rPr>
            </w:pPr>
            <w:r w:rsidRPr="00D03F59">
              <w:rPr>
                <w:rFonts w:asciiTheme="minorHAnsi" w:hAnsiTheme="minorHAnsi" w:cs="Arial"/>
                <w:color w:val="000000"/>
                <w:szCs w:val="18"/>
              </w:rPr>
              <w:t>3) Maine load zone</w:t>
            </w:r>
          </w:p>
          <w:p w:rsidR="00D14E9A" w:rsidRPr="00D03F59" w:rsidRDefault="00D14E9A" w:rsidP="003D4F3D">
            <w:pPr>
              <w:spacing w:after="0"/>
              <w:ind w:left="261" w:hanging="261"/>
              <w:rPr>
                <w:rFonts w:asciiTheme="minorHAnsi" w:hAnsiTheme="minorHAnsi" w:cs="Arial"/>
                <w:color w:val="000000"/>
                <w:szCs w:val="18"/>
              </w:rPr>
            </w:pPr>
            <w:r w:rsidRPr="00D03F59">
              <w:rPr>
                <w:rFonts w:asciiTheme="minorHAnsi" w:hAnsiTheme="minorHAnsi" w:cs="Arial"/>
                <w:color w:val="000000"/>
                <w:szCs w:val="18"/>
              </w:rPr>
              <w:t>4) Maine capacity zone, including the area north of the ME-NH interface</w:t>
            </w:r>
            <w:r w:rsidR="00A27899" w:rsidRPr="00D03F59">
              <w:rPr>
                <w:rFonts w:asciiTheme="minorHAnsi" w:hAnsiTheme="minorHAnsi" w:cs="Arial"/>
                <w:color w:val="000000"/>
                <w:szCs w:val="18"/>
              </w:rPr>
              <w:t xml:space="preserve"> and </w:t>
            </w:r>
            <w:r w:rsidRPr="00D03F59">
              <w:rPr>
                <w:rFonts w:asciiTheme="minorHAnsi" w:hAnsiTheme="minorHAnsi" w:cs="Arial"/>
                <w:color w:val="000000"/>
                <w:szCs w:val="18"/>
              </w:rPr>
              <w:t>comprising the RSP bubbles for BHE, ME, and SME</w:t>
            </w:r>
          </w:p>
          <w:p w:rsidR="00A27899" w:rsidRPr="003C3269" w:rsidRDefault="00A27899" w:rsidP="00A27899">
            <w:pPr>
              <w:spacing w:after="0"/>
              <w:rPr>
                <w:rFonts w:asciiTheme="minorHAnsi" w:hAnsiTheme="minorHAnsi" w:cs="Arial"/>
                <w:color w:val="000000"/>
                <w:szCs w:val="18"/>
              </w:rPr>
            </w:pPr>
            <w:r w:rsidRPr="00D03F59">
              <w:rPr>
                <w:rFonts w:asciiTheme="minorHAnsi" w:hAnsiTheme="minorHAnsi" w:cs="Arial"/>
                <w:color w:val="000000"/>
                <w:szCs w:val="18"/>
              </w:rPr>
              <w:t>5) Maine active-demand-resource dispatch zone</w:t>
            </w:r>
          </w:p>
        </w:tc>
      </w:tr>
      <w:tr w:rsidR="00C9361B"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C9361B" w:rsidRPr="00D03F59" w:rsidRDefault="00C9361B" w:rsidP="003C3269">
            <w:pPr>
              <w:spacing w:after="0"/>
              <w:rPr>
                <w:rFonts w:asciiTheme="minorHAnsi" w:hAnsiTheme="minorHAnsi" w:cs="Arial"/>
                <w:b/>
                <w:color w:val="000000"/>
                <w:szCs w:val="18"/>
              </w:rPr>
            </w:pPr>
            <w:r w:rsidRPr="00D03F59">
              <w:rPr>
                <w:rFonts w:asciiTheme="minorHAnsi" w:hAnsiTheme="minorHAnsi" w:cs="Arial"/>
                <w:b/>
                <w:color w:val="000000"/>
                <w:szCs w:val="18"/>
              </w:rPr>
              <w:t>ME PUC</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C9361B" w:rsidRPr="003C3269" w:rsidRDefault="00C9361B" w:rsidP="003C3269">
            <w:pPr>
              <w:spacing w:after="0"/>
              <w:rPr>
                <w:rFonts w:asciiTheme="minorHAnsi" w:hAnsiTheme="minorHAnsi" w:cs="Arial"/>
                <w:color w:val="000000"/>
                <w:szCs w:val="18"/>
              </w:rPr>
            </w:pPr>
            <w:r w:rsidRPr="00846C0A">
              <w:rPr>
                <w:rFonts w:asciiTheme="minorHAnsi" w:hAnsiTheme="minorHAnsi" w:cs="Arial"/>
                <w:color w:val="000000"/>
                <w:szCs w:val="18"/>
              </w:rPr>
              <w:t>Maine Public Utilities Commission</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METU</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market efficiency transmission upgrade</w:t>
            </w:r>
          </w:p>
        </w:tc>
      </w:tr>
      <w:tr w:rsidR="003C3269"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MGD</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millions gallons per day</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MMBtu</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million British thermal units</w:t>
            </w:r>
          </w:p>
        </w:tc>
      </w:tr>
      <w:tr w:rsidR="003C3269"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MPRP</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Maine Power Reliability Program</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MR</w:t>
            </w:r>
            <w:r w:rsidR="00D357D4">
              <w:rPr>
                <w:rFonts w:asciiTheme="minorHAnsi" w:hAnsiTheme="minorHAnsi" w:cs="Arial"/>
                <w:b/>
                <w:color w:val="000000"/>
                <w:szCs w:val="18"/>
              </w:rPr>
              <w:t>I</w:t>
            </w:r>
          </w:p>
        </w:tc>
        <w:tc>
          <w:tcPr>
            <w:tcW w:w="7037" w:type="dxa"/>
          </w:tcPr>
          <w:p w:rsidR="003C3269" w:rsidRPr="003C3269" w:rsidRDefault="00D357D4">
            <w:pPr>
              <w:spacing w:after="0"/>
              <w:rPr>
                <w:rFonts w:asciiTheme="minorHAnsi" w:hAnsiTheme="minorHAnsi" w:cs="Arial"/>
                <w:color w:val="000000"/>
                <w:szCs w:val="18"/>
              </w:rPr>
            </w:pPr>
            <w:r w:rsidRPr="00D357D4">
              <w:rPr>
                <w:rFonts w:asciiTheme="minorHAnsi" w:hAnsiTheme="minorHAnsi" w:cs="Arial"/>
                <w:color w:val="000000"/>
                <w:szCs w:val="18"/>
              </w:rPr>
              <w:t>marginal-reliability-impact</w:t>
            </w:r>
          </w:p>
        </w:tc>
      </w:tr>
      <w:tr w:rsidR="003C3269"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MTF</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merchant transmission facility</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mtons</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million tons</w:t>
            </w:r>
          </w:p>
        </w:tc>
      </w:tr>
      <w:tr w:rsidR="003C3269"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MVAR</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megavolt-ampere reactive</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MW</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megawatt(s)</w:t>
            </w:r>
          </w:p>
        </w:tc>
      </w:tr>
      <w:tr w:rsidR="003C3269"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MW</w:t>
            </w:r>
            <w:r w:rsidRPr="003C3269">
              <w:rPr>
                <w:rFonts w:asciiTheme="minorHAnsi" w:hAnsiTheme="minorHAnsi" w:cs="Arial"/>
                <w:b/>
                <w:color w:val="000000"/>
                <w:szCs w:val="18"/>
                <w:vertAlign w:val="subscript"/>
              </w:rPr>
              <w:t>AC</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 xml:space="preserve">the megawatts converted from the direct-current electricity produced by the photovoltaic panels to alternative current, which typically is supplied to utility customers </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MW</w:t>
            </w:r>
            <w:r w:rsidRPr="003C3269">
              <w:rPr>
                <w:rFonts w:asciiTheme="minorHAnsi" w:hAnsiTheme="minorHAnsi" w:cs="Arial"/>
                <w:b/>
                <w:color w:val="000000"/>
                <w:szCs w:val="18"/>
                <w:vertAlign w:val="subscript"/>
              </w:rPr>
              <w:t>DC</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 xml:space="preserve">the megawatts generated by photovoltaic panels, which produce direct-current electricity </w:t>
            </w:r>
          </w:p>
        </w:tc>
      </w:tr>
      <w:tr w:rsidR="003C3269"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MWe</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electrical megawatts (of nuclear power plants)</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MWh</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megawatt-hour(s)</w:t>
            </w:r>
          </w:p>
        </w:tc>
      </w:tr>
      <w:tr w:rsidR="003C3269"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N-1</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first-contingency loss</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N-1-1</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second-contingency loss</w:t>
            </w:r>
          </w:p>
        </w:tc>
      </w:tr>
      <w:tr w:rsidR="003C3269"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N/A</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not applicable</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bCs/>
                <w:color w:val="000000"/>
                <w:szCs w:val="18"/>
                <w:highlight w:val="yellow"/>
              </w:rPr>
            </w:pPr>
            <w:r w:rsidRPr="003C3269">
              <w:rPr>
                <w:rFonts w:asciiTheme="minorHAnsi" w:hAnsiTheme="minorHAnsi" w:cs="Arial"/>
                <w:b/>
                <w:color w:val="000000"/>
                <w:szCs w:val="18"/>
              </w:rPr>
              <w:t>NAESB</w:t>
            </w:r>
          </w:p>
        </w:tc>
        <w:tc>
          <w:tcPr>
            <w:tcW w:w="7037" w:type="dxa"/>
          </w:tcPr>
          <w:p w:rsidR="003C3269" w:rsidRPr="003C3269" w:rsidRDefault="003C3269" w:rsidP="003C3269">
            <w:pPr>
              <w:spacing w:after="0"/>
              <w:rPr>
                <w:rFonts w:asciiTheme="minorHAnsi" w:hAnsiTheme="minorHAnsi" w:cs="Arial"/>
                <w:color w:val="000000"/>
                <w:szCs w:val="18"/>
                <w:highlight w:val="yellow"/>
              </w:rPr>
            </w:pPr>
            <w:r w:rsidRPr="003C3269">
              <w:rPr>
                <w:rFonts w:asciiTheme="minorHAnsi" w:hAnsiTheme="minorHAnsi" w:cs="Arial"/>
                <w:color w:val="000000"/>
                <w:szCs w:val="18"/>
              </w:rPr>
              <w:t>North American Energy Standards Board</w:t>
            </w:r>
          </w:p>
        </w:tc>
      </w:tr>
      <w:tr w:rsidR="00D357D4"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D357D4" w:rsidRPr="003C3269" w:rsidRDefault="00D357D4" w:rsidP="003C3269">
            <w:pPr>
              <w:spacing w:after="0"/>
              <w:rPr>
                <w:rFonts w:asciiTheme="minorHAnsi" w:hAnsiTheme="minorHAnsi" w:cs="Arial"/>
                <w:b/>
                <w:color w:val="000000"/>
                <w:szCs w:val="18"/>
              </w:rPr>
            </w:pPr>
            <w:r>
              <w:rPr>
                <w:rFonts w:asciiTheme="minorHAnsi" w:hAnsiTheme="minorHAnsi" w:cs="Arial"/>
                <w:b/>
                <w:color w:val="000000"/>
                <w:szCs w:val="18"/>
              </w:rPr>
              <w:t>NARUC</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D357D4" w:rsidRPr="003C3269" w:rsidRDefault="00D357D4" w:rsidP="003C3269">
            <w:pPr>
              <w:spacing w:after="0"/>
              <w:rPr>
                <w:rFonts w:asciiTheme="minorHAnsi" w:hAnsiTheme="minorHAnsi" w:cs="Arial"/>
                <w:color w:val="000000"/>
                <w:szCs w:val="18"/>
              </w:rPr>
            </w:pPr>
            <w:r>
              <w:rPr>
                <w:rFonts w:asciiTheme="minorHAnsi" w:hAnsiTheme="minorHAnsi" w:cs="Arial"/>
                <w:color w:val="000000"/>
                <w:szCs w:val="18"/>
              </w:rPr>
              <w:t>National Association of Regulatory Utility Commissioners</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NB</w:t>
            </w:r>
          </w:p>
        </w:tc>
        <w:tc>
          <w:tcPr>
            <w:tcW w:w="7037" w:type="dxa"/>
          </w:tcPr>
          <w:p w:rsidR="00EB1DC1" w:rsidRDefault="00EB1DC1" w:rsidP="003C3269">
            <w:pPr>
              <w:spacing w:after="0"/>
              <w:rPr>
                <w:rFonts w:asciiTheme="minorHAnsi" w:eastAsia="Times New Roman" w:hAnsiTheme="minorHAnsi"/>
                <w:szCs w:val="18"/>
              </w:rPr>
            </w:pPr>
            <w:r>
              <w:rPr>
                <w:rFonts w:asciiTheme="minorHAnsi" w:hAnsiTheme="minorHAnsi" w:cs="Arial"/>
                <w:color w:val="000000"/>
                <w:szCs w:val="18"/>
              </w:rPr>
              <w:t xml:space="preserve">1) Province of </w:t>
            </w:r>
            <w:r w:rsidR="003C3269" w:rsidRPr="003C3269">
              <w:rPr>
                <w:rFonts w:asciiTheme="minorHAnsi" w:hAnsiTheme="minorHAnsi" w:cs="Arial"/>
                <w:color w:val="000000"/>
                <w:szCs w:val="18"/>
              </w:rPr>
              <w:t>New Brunswick</w:t>
            </w:r>
            <w:r w:rsidRPr="00F273F3">
              <w:rPr>
                <w:rFonts w:asciiTheme="minorHAnsi" w:eastAsia="Times New Roman" w:hAnsiTheme="minorHAnsi"/>
                <w:szCs w:val="18"/>
              </w:rPr>
              <w:t xml:space="preserve"> </w:t>
            </w:r>
          </w:p>
          <w:p w:rsidR="003C3269" w:rsidRPr="003C3269" w:rsidRDefault="00846C0A" w:rsidP="00EB1DC1">
            <w:pPr>
              <w:spacing w:after="0"/>
              <w:rPr>
                <w:rFonts w:asciiTheme="minorHAnsi" w:hAnsiTheme="minorHAnsi" w:cs="Arial"/>
                <w:color w:val="000000"/>
                <w:szCs w:val="18"/>
              </w:rPr>
            </w:pPr>
            <w:r>
              <w:rPr>
                <w:rFonts w:asciiTheme="minorHAnsi" w:eastAsia="Times New Roman" w:hAnsiTheme="minorHAnsi"/>
                <w:szCs w:val="18"/>
              </w:rPr>
              <w:t xml:space="preserve">2) </w:t>
            </w:r>
            <w:r w:rsidR="00EB1DC1" w:rsidRPr="00F273F3">
              <w:rPr>
                <w:rFonts w:asciiTheme="minorHAnsi" w:eastAsia="Times New Roman" w:hAnsiTheme="minorHAnsi"/>
                <w:szCs w:val="18"/>
              </w:rPr>
              <w:t>New Brunswick (Maritimes)</w:t>
            </w:r>
            <w:r w:rsidR="00EB1DC1">
              <w:rPr>
                <w:rFonts w:asciiTheme="minorHAnsi" w:eastAsia="Times New Roman" w:hAnsiTheme="minorHAnsi"/>
                <w:szCs w:val="18"/>
              </w:rPr>
              <w:t xml:space="preserve"> </w:t>
            </w:r>
            <w:r w:rsidR="00EB1DC1" w:rsidRPr="00F273F3">
              <w:rPr>
                <w:rFonts w:asciiTheme="minorHAnsi" w:eastAsia="Times New Roman" w:hAnsiTheme="minorHAnsi"/>
                <w:szCs w:val="18"/>
              </w:rPr>
              <w:t>balancing authority area</w:t>
            </w:r>
          </w:p>
        </w:tc>
      </w:tr>
      <w:tr w:rsidR="003C3269"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D357D4">
            <w:pPr>
              <w:spacing w:after="0"/>
              <w:rPr>
                <w:rFonts w:asciiTheme="minorHAnsi" w:hAnsiTheme="minorHAnsi" w:cs="Arial"/>
                <w:b/>
                <w:bCs/>
                <w:color w:val="000000"/>
                <w:szCs w:val="18"/>
              </w:rPr>
            </w:pPr>
            <w:r w:rsidRPr="003C3269">
              <w:rPr>
                <w:rFonts w:asciiTheme="minorHAnsi" w:hAnsiTheme="minorHAnsi" w:cs="Arial"/>
                <w:b/>
                <w:color w:val="000000"/>
                <w:szCs w:val="18"/>
              </w:rPr>
              <w:t>N</w:t>
            </w:r>
            <w:r w:rsidR="00D357D4">
              <w:rPr>
                <w:rFonts w:asciiTheme="minorHAnsi" w:hAnsiTheme="minorHAnsi" w:cs="Arial"/>
                <w:b/>
                <w:color w:val="000000"/>
                <w:szCs w:val="18"/>
              </w:rPr>
              <w:t>CEP</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D357D4">
            <w:pPr>
              <w:spacing w:after="0"/>
              <w:rPr>
                <w:rFonts w:asciiTheme="minorHAnsi" w:hAnsiTheme="minorHAnsi" w:cs="Arial"/>
                <w:color w:val="000000"/>
                <w:szCs w:val="18"/>
              </w:rPr>
            </w:pPr>
            <w:r w:rsidRPr="003C3269">
              <w:rPr>
                <w:rFonts w:asciiTheme="minorHAnsi" w:hAnsiTheme="minorHAnsi" w:cs="Arial"/>
                <w:color w:val="000000"/>
                <w:szCs w:val="18"/>
              </w:rPr>
              <w:t>N</w:t>
            </w:r>
            <w:r w:rsidR="00D357D4">
              <w:rPr>
                <w:rFonts w:asciiTheme="minorHAnsi" w:hAnsiTheme="minorHAnsi" w:cs="Arial"/>
                <w:color w:val="000000"/>
                <w:szCs w:val="18"/>
              </w:rPr>
              <w:t>ational Council for Electricity Policy</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NCPC</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Net Commitment-Period Compensation</w:t>
            </w:r>
          </w:p>
        </w:tc>
      </w:tr>
      <w:tr w:rsidR="003C3269"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NCSPXY</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Northeast Coordinated System Plan 20XY</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n.d.</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no date</w:t>
            </w:r>
          </w:p>
        </w:tc>
      </w:tr>
      <w:tr w:rsidR="003C3269"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NECPUC</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New England Conference of Public Utilities Commissioners</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NED</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Northeast Energy Direct project</w:t>
            </w:r>
          </w:p>
        </w:tc>
      </w:tr>
      <w:tr w:rsidR="003C3269"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NEEWS</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New England East–West Solution</w:t>
            </w:r>
          </w:p>
        </w:tc>
      </w:tr>
      <w:tr w:rsidR="005C4D04"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NEL</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net energy for load</w:t>
            </w:r>
          </w:p>
        </w:tc>
      </w:tr>
      <w:tr w:rsidR="005C4D04"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846C0A" w:rsidRDefault="003C3269" w:rsidP="003C3269">
            <w:pPr>
              <w:spacing w:after="0"/>
              <w:rPr>
                <w:rFonts w:asciiTheme="minorHAnsi" w:hAnsiTheme="minorHAnsi" w:cs="Arial"/>
                <w:b/>
                <w:bCs/>
                <w:color w:val="000000"/>
                <w:szCs w:val="18"/>
              </w:rPr>
            </w:pPr>
            <w:r w:rsidRPr="00846C0A">
              <w:rPr>
                <w:rFonts w:asciiTheme="minorHAnsi" w:hAnsiTheme="minorHAnsi" w:cs="Arial"/>
                <w:b/>
                <w:color w:val="000000"/>
                <w:szCs w:val="18"/>
              </w:rPr>
              <w:t>NEMA</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846C0A" w:rsidRDefault="003C3269" w:rsidP="003C3269">
            <w:pPr>
              <w:spacing w:after="0"/>
              <w:rPr>
                <w:rFonts w:asciiTheme="minorHAnsi" w:hAnsiTheme="minorHAnsi" w:cs="Arial"/>
                <w:color w:val="000000"/>
                <w:szCs w:val="18"/>
              </w:rPr>
            </w:pPr>
            <w:r w:rsidRPr="00846C0A">
              <w:rPr>
                <w:rFonts w:asciiTheme="minorHAnsi" w:hAnsiTheme="minorHAnsi" w:cs="Arial"/>
                <w:color w:val="000000"/>
                <w:szCs w:val="18"/>
              </w:rPr>
              <w:t>1) RSP subarea for northeast Massachusetts</w:t>
            </w:r>
            <w:r w:rsidR="00D03F59" w:rsidRPr="00846C0A">
              <w:t xml:space="preserve"> </w:t>
            </w:r>
          </w:p>
          <w:p w:rsidR="003C3269" w:rsidRPr="003C3269" w:rsidRDefault="003C3269" w:rsidP="003C3269">
            <w:pPr>
              <w:spacing w:after="0"/>
              <w:rPr>
                <w:rFonts w:asciiTheme="minorHAnsi" w:hAnsiTheme="minorHAnsi" w:cs="Arial"/>
                <w:color w:val="000000"/>
                <w:szCs w:val="18"/>
              </w:rPr>
            </w:pPr>
            <w:r w:rsidRPr="00846C0A">
              <w:rPr>
                <w:rFonts w:asciiTheme="minorHAnsi" w:hAnsiTheme="minorHAnsi" w:cs="Arial"/>
                <w:color w:val="000000"/>
                <w:szCs w:val="18"/>
              </w:rPr>
              <w:t>2) Northeast Massachusetts load zone</w:t>
            </w:r>
          </w:p>
        </w:tc>
      </w:tr>
      <w:tr w:rsidR="005C4D04"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846C0A" w:rsidRDefault="003C3269" w:rsidP="003C3269">
            <w:pPr>
              <w:spacing w:after="0"/>
              <w:rPr>
                <w:rFonts w:asciiTheme="minorHAnsi" w:hAnsiTheme="minorHAnsi" w:cs="Arial"/>
                <w:b/>
                <w:bCs/>
                <w:color w:val="000000"/>
                <w:szCs w:val="18"/>
              </w:rPr>
            </w:pPr>
            <w:r w:rsidRPr="00846C0A">
              <w:rPr>
                <w:rFonts w:asciiTheme="minorHAnsi" w:hAnsiTheme="minorHAnsi" w:cs="Arial"/>
                <w:b/>
                <w:color w:val="000000"/>
                <w:szCs w:val="18"/>
              </w:rPr>
              <w:t>NEMA/Boston</w:t>
            </w:r>
          </w:p>
        </w:tc>
        <w:tc>
          <w:tcPr>
            <w:tcW w:w="7037" w:type="dxa"/>
          </w:tcPr>
          <w:p w:rsidR="003C3269" w:rsidRPr="00846C0A" w:rsidRDefault="00D03F59" w:rsidP="003C3269">
            <w:pPr>
              <w:spacing w:after="0"/>
              <w:rPr>
                <w:rFonts w:asciiTheme="minorHAnsi" w:hAnsiTheme="minorHAnsi" w:cs="Arial"/>
                <w:color w:val="000000"/>
                <w:szCs w:val="18"/>
              </w:rPr>
            </w:pPr>
            <w:r w:rsidRPr="00846C0A">
              <w:rPr>
                <w:rFonts w:asciiTheme="minorHAnsi" w:hAnsiTheme="minorHAnsi" w:cs="Arial"/>
                <w:color w:val="000000"/>
                <w:szCs w:val="18"/>
              </w:rPr>
              <w:t xml:space="preserve">1) </w:t>
            </w:r>
            <w:r w:rsidR="003C3269" w:rsidRPr="00846C0A">
              <w:rPr>
                <w:rFonts w:asciiTheme="minorHAnsi" w:hAnsiTheme="minorHAnsi" w:cs="Arial"/>
                <w:color w:val="000000"/>
                <w:szCs w:val="18"/>
              </w:rPr>
              <w:t>combined load zone that includes northeast Massachusetts and the Boston area</w:t>
            </w:r>
          </w:p>
          <w:p w:rsidR="00D03F59" w:rsidRPr="00846C0A" w:rsidRDefault="00D03F59" w:rsidP="007239D1">
            <w:pPr>
              <w:spacing w:after="0"/>
              <w:ind w:left="261" w:hanging="261"/>
              <w:rPr>
                <w:rFonts w:asciiTheme="minorHAnsi" w:hAnsiTheme="minorHAnsi" w:cs="Arial"/>
                <w:color w:val="000000"/>
                <w:szCs w:val="18"/>
              </w:rPr>
            </w:pPr>
            <w:r w:rsidRPr="00846C0A">
              <w:rPr>
                <w:rFonts w:asciiTheme="minorHAnsi" w:hAnsiTheme="minorHAnsi" w:cs="Arial"/>
                <w:color w:val="000000"/>
                <w:szCs w:val="18"/>
              </w:rPr>
              <w:t>2) capacity zone, including the area within the Boston import interface and comprising the RSP bubble for BOSTON</w:t>
            </w:r>
          </w:p>
          <w:p w:rsidR="00D03F59" w:rsidRPr="00846C0A" w:rsidRDefault="00D03F59" w:rsidP="00D03F59">
            <w:pPr>
              <w:spacing w:after="0"/>
              <w:rPr>
                <w:rFonts w:asciiTheme="minorHAnsi" w:hAnsiTheme="minorHAnsi" w:cs="Arial"/>
                <w:color w:val="000000"/>
                <w:szCs w:val="18"/>
              </w:rPr>
            </w:pPr>
            <w:r w:rsidRPr="00846C0A">
              <w:rPr>
                <w:rFonts w:asciiTheme="minorHAnsi" w:hAnsiTheme="minorHAnsi" w:cs="Arial"/>
                <w:color w:val="000000"/>
                <w:szCs w:val="18"/>
              </w:rPr>
              <w:t>3) reserve zone</w:t>
            </w:r>
          </w:p>
        </w:tc>
      </w:tr>
      <w:tr w:rsidR="005C4D04"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NEPOOL</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New England Power Pool</w:t>
            </w:r>
          </w:p>
        </w:tc>
      </w:tr>
      <w:tr w:rsidR="005C4D04"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NERC</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North American Electric Reliability Corporation</w:t>
            </w:r>
          </w:p>
        </w:tc>
      </w:tr>
      <w:tr w:rsidR="005C4D04"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NESCOE</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New England States Committee on Electricity</w:t>
            </w:r>
          </w:p>
        </w:tc>
      </w:tr>
      <w:tr w:rsidR="00846C0A"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846C0A" w:rsidRPr="003C3269" w:rsidRDefault="00846C0A" w:rsidP="003C3269">
            <w:pPr>
              <w:spacing w:after="0"/>
              <w:rPr>
                <w:rFonts w:asciiTheme="minorHAnsi" w:hAnsiTheme="minorHAnsi" w:cs="Arial"/>
                <w:b/>
                <w:color w:val="000000"/>
                <w:szCs w:val="18"/>
              </w:rPr>
            </w:pPr>
            <w:r>
              <w:rPr>
                <w:rFonts w:asciiTheme="minorHAnsi" w:hAnsiTheme="minorHAnsi" w:cs="Arial"/>
                <w:b/>
                <w:color w:val="000000"/>
                <w:szCs w:val="18"/>
              </w:rPr>
              <w:lastRenderedPageBreak/>
              <w:t>New Hampshire</w:t>
            </w:r>
          </w:p>
        </w:tc>
        <w:tc>
          <w:tcPr>
            <w:tcW w:w="7037" w:type="dxa"/>
          </w:tcPr>
          <w:p w:rsidR="00846C0A" w:rsidRPr="003C3269" w:rsidRDefault="00846C0A" w:rsidP="003C3269">
            <w:pPr>
              <w:spacing w:after="0"/>
              <w:rPr>
                <w:rFonts w:asciiTheme="minorHAnsi" w:hAnsiTheme="minorHAnsi" w:cs="Arial"/>
                <w:color w:val="000000"/>
                <w:szCs w:val="18"/>
              </w:rPr>
            </w:pPr>
            <w:r>
              <w:rPr>
                <w:rFonts w:asciiTheme="minorHAnsi" w:hAnsiTheme="minorHAnsi" w:cs="Arial"/>
                <w:color w:val="000000"/>
                <w:szCs w:val="18"/>
              </w:rPr>
              <w:t>a</w:t>
            </w:r>
            <w:r w:rsidRPr="00D03F59">
              <w:rPr>
                <w:rFonts w:asciiTheme="minorHAnsi" w:hAnsiTheme="minorHAnsi" w:cs="Arial"/>
                <w:color w:val="000000"/>
                <w:szCs w:val="18"/>
              </w:rPr>
              <w:t>ctive-demand-resource dispatch zone</w:t>
            </w:r>
          </w:p>
        </w:tc>
      </w:tr>
      <w:tr w:rsidR="005C4D04" w:rsidRPr="003C3269" w:rsidTr="00DC0213">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NH</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1) State of New Hampshire</w:t>
            </w:r>
          </w:p>
          <w:p w:rsidR="003C3269" w:rsidRPr="003C3269" w:rsidRDefault="003C3269" w:rsidP="003C3269">
            <w:pPr>
              <w:spacing w:after="0"/>
              <w:ind w:left="230" w:hanging="230"/>
              <w:rPr>
                <w:rFonts w:asciiTheme="minorHAnsi" w:hAnsiTheme="minorHAnsi" w:cs="Arial"/>
                <w:color w:val="000000"/>
                <w:szCs w:val="18"/>
              </w:rPr>
            </w:pPr>
            <w:r w:rsidRPr="003C3269">
              <w:rPr>
                <w:rFonts w:asciiTheme="minorHAnsi" w:hAnsiTheme="minorHAnsi" w:cs="Arial"/>
                <w:color w:val="000000"/>
                <w:szCs w:val="18"/>
              </w:rPr>
              <w:t>2) RSP subarea comprising northern, eastern, and central New Hampshire; eastern Vermont; and southwestern Maine</w:t>
            </w:r>
          </w:p>
          <w:p w:rsid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3) New Hampshire load zone</w:t>
            </w:r>
          </w:p>
          <w:p w:rsidR="00D03F59" w:rsidRPr="003C3269" w:rsidRDefault="00D03F59" w:rsidP="00D03F59">
            <w:pPr>
              <w:spacing w:after="0"/>
              <w:rPr>
                <w:rFonts w:asciiTheme="minorHAnsi" w:hAnsiTheme="minorHAnsi" w:cs="Arial"/>
                <w:color w:val="000000"/>
                <w:szCs w:val="18"/>
              </w:rPr>
            </w:pPr>
            <w:r>
              <w:rPr>
                <w:rFonts w:asciiTheme="minorHAnsi" w:hAnsiTheme="minorHAnsi" w:cs="Arial"/>
                <w:color w:val="000000"/>
                <w:szCs w:val="18"/>
              </w:rPr>
              <w:t xml:space="preserve">4) New </w:t>
            </w:r>
            <w:r w:rsidR="00DC0213">
              <w:rPr>
                <w:rFonts w:asciiTheme="minorHAnsi" w:hAnsiTheme="minorHAnsi" w:cs="Arial"/>
                <w:color w:val="000000"/>
                <w:szCs w:val="18"/>
              </w:rPr>
              <w:t>Hampshire</w:t>
            </w:r>
            <w:r>
              <w:rPr>
                <w:rFonts w:asciiTheme="minorHAnsi" w:hAnsiTheme="minorHAnsi" w:cs="Arial"/>
                <w:color w:val="000000"/>
                <w:szCs w:val="18"/>
              </w:rPr>
              <w:t xml:space="preserve"> a</w:t>
            </w:r>
            <w:r w:rsidRPr="00D03F59">
              <w:rPr>
                <w:rFonts w:asciiTheme="minorHAnsi" w:hAnsiTheme="minorHAnsi" w:cs="Arial"/>
                <w:color w:val="000000"/>
                <w:szCs w:val="18"/>
              </w:rPr>
              <w:t>ctive-demand-resource dispatch zone</w:t>
            </w:r>
          </w:p>
        </w:tc>
      </w:tr>
      <w:tr w:rsidR="005C4D04"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pPr>
              <w:spacing w:after="0"/>
              <w:rPr>
                <w:rFonts w:asciiTheme="minorHAnsi" w:hAnsiTheme="minorHAnsi" w:cs="Arial"/>
                <w:b/>
                <w:bCs/>
                <w:color w:val="000000"/>
                <w:szCs w:val="18"/>
              </w:rPr>
            </w:pPr>
            <w:r w:rsidRPr="003C3269">
              <w:rPr>
                <w:rFonts w:asciiTheme="minorHAnsi" w:hAnsiTheme="minorHAnsi" w:cs="Arial"/>
                <w:b/>
                <w:color w:val="000000"/>
                <w:szCs w:val="18"/>
              </w:rPr>
              <w:t>N</w:t>
            </w:r>
            <w:r w:rsidR="00D357D4">
              <w:rPr>
                <w:rFonts w:asciiTheme="minorHAnsi" w:hAnsiTheme="minorHAnsi" w:cs="Arial"/>
                <w:b/>
                <w:color w:val="000000"/>
                <w:szCs w:val="18"/>
              </w:rPr>
              <w:t>H PUC</w:t>
            </w:r>
          </w:p>
        </w:tc>
        <w:tc>
          <w:tcPr>
            <w:tcW w:w="7037" w:type="dxa"/>
          </w:tcPr>
          <w:p w:rsidR="003C3269" w:rsidRPr="003C3269" w:rsidRDefault="003C3269" w:rsidP="00D357D4">
            <w:pPr>
              <w:spacing w:after="0"/>
              <w:rPr>
                <w:rFonts w:asciiTheme="minorHAnsi" w:hAnsiTheme="minorHAnsi" w:cs="Arial"/>
                <w:color w:val="000000"/>
                <w:szCs w:val="18"/>
              </w:rPr>
            </w:pPr>
            <w:r w:rsidRPr="003C3269">
              <w:rPr>
                <w:rFonts w:asciiTheme="minorHAnsi" w:hAnsiTheme="minorHAnsi" w:cs="Arial"/>
                <w:color w:val="000000"/>
                <w:szCs w:val="18"/>
              </w:rPr>
              <w:t>N</w:t>
            </w:r>
            <w:r w:rsidR="00D357D4">
              <w:rPr>
                <w:rFonts w:asciiTheme="minorHAnsi" w:hAnsiTheme="minorHAnsi" w:cs="Arial"/>
                <w:color w:val="000000"/>
                <w:szCs w:val="18"/>
              </w:rPr>
              <w:t>ew Hampshire Public Utilities Commission</w:t>
            </w:r>
          </w:p>
        </w:tc>
      </w:tr>
      <w:tr w:rsidR="005C4D04"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D357D4" w:rsidRPr="00846C0A" w:rsidRDefault="00D357D4" w:rsidP="003C3269">
            <w:pPr>
              <w:spacing w:after="0"/>
              <w:rPr>
                <w:rFonts w:asciiTheme="minorHAnsi" w:hAnsiTheme="minorHAnsi" w:cs="Arial"/>
                <w:b/>
                <w:color w:val="000000"/>
                <w:szCs w:val="18"/>
              </w:rPr>
            </w:pPr>
            <w:r w:rsidRPr="00846C0A">
              <w:rPr>
                <w:rFonts w:asciiTheme="minorHAnsi" w:hAnsiTheme="minorHAnsi" w:cs="Arial"/>
                <w:b/>
                <w:color w:val="000000"/>
                <w:szCs w:val="18"/>
              </w:rPr>
              <w:t>NICR</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D357D4" w:rsidRPr="00846C0A" w:rsidRDefault="00D357D4" w:rsidP="003C3269">
            <w:pPr>
              <w:spacing w:after="0"/>
              <w:rPr>
                <w:rFonts w:asciiTheme="minorHAnsi" w:hAnsiTheme="minorHAnsi" w:cs="Arial"/>
                <w:color w:val="000000"/>
                <w:szCs w:val="18"/>
              </w:rPr>
            </w:pPr>
            <w:r w:rsidRPr="00846C0A">
              <w:rPr>
                <w:rFonts w:asciiTheme="minorHAnsi" w:hAnsiTheme="minorHAnsi" w:cs="Arial"/>
                <w:color w:val="000000"/>
                <w:szCs w:val="18"/>
              </w:rPr>
              <w:t>net Installed Capacity Requirement</w:t>
            </w:r>
          </w:p>
        </w:tc>
      </w:tr>
      <w:tr w:rsidR="005C4D04"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NMISA</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Northern Maine Independent System Administrator, Inc.</w:t>
            </w:r>
          </w:p>
        </w:tc>
      </w:tr>
      <w:tr w:rsidR="005C4D04"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FE4FD7" w:rsidRDefault="003C3269" w:rsidP="003C3269">
            <w:pPr>
              <w:spacing w:after="0"/>
              <w:rPr>
                <w:rFonts w:asciiTheme="minorHAnsi" w:hAnsiTheme="minorHAnsi" w:cs="Arial"/>
                <w:b/>
                <w:bCs/>
                <w:color w:val="000000"/>
                <w:szCs w:val="18"/>
              </w:rPr>
            </w:pPr>
            <w:r w:rsidRPr="00FE4FD7">
              <w:rPr>
                <w:rFonts w:asciiTheme="minorHAnsi" w:hAnsiTheme="minorHAnsi" w:cs="Arial"/>
                <w:b/>
                <w:color w:val="000000"/>
                <w:szCs w:val="18"/>
              </w:rPr>
              <w:t>NNE</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FE4FD7" w:rsidRDefault="00FE4FD7" w:rsidP="003C3269">
            <w:pPr>
              <w:spacing w:after="0"/>
              <w:rPr>
                <w:rFonts w:asciiTheme="minorHAnsi" w:hAnsiTheme="minorHAnsi" w:cs="Arial"/>
                <w:color w:val="000000"/>
                <w:szCs w:val="18"/>
              </w:rPr>
            </w:pPr>
            <w:r w:rsidRPr="00846C0A">
              <w:rPr>
                <w:rFonts w:asciiTheme="minorHAnsi" w:hAnsiTheme="minorHAnsi" w:cs="Arial"/>
                <w:color w:val="000000"/>
                <w:szCs w:val="18"/>
              </w:rPr>
              <w:t xml:space="preserve">1) </w:t>
            </w:r>
            <w:r w:rsidR="003C3269" w:rsidRPr="00FE4FD7">
              <w:rPr>
                <w:rFonts w:asciiTheme="minorHAnsi" w:hAnsiTheme="minorHAnsi" w:cs="Arial"/>
                <w:color w:val="000000"/>
                <w:szCs w:val="18"/>
              </w:rPr>
              <w:t>northern New England</w:t>
            </w:r>
          </w:p>
          <w:p w:rsidR="00FE4FD7" w:rsidRPr="003C3269" w:rsidRDefault="00FE4FD7" w:rsidP="007239D1">
            <w:pPr>
              <w:spacing w:after="0"/>
              <w:ind w:left="261" w:hanging="261"/>
              <w:rPr>
                <w:rFonts w:asciiTheme="minorHAnsi" w:hAnsiTheme="minorHAnsi" w:cs="Arial"/>
                <w:color w:val="000000"/>
                <w:szCs w:val="18"/>
              </w:rPr>
            </w:pPr>
            <w:r w:rsidRPr="00FE4FD7">
              <w:rPr>
                <w:rFonts w:asciiTheme="minorHAnsi" w:hAnsiTheme="minorHAnsi" w:cs="Arial"/>
                <w:color w:val="000000"/>
                <w:szCs w:val="18"/>
              </w:rPr>
              <w:t>2) export-constrained capacity zone, which includes the area north of the North–South interface and comprises the RSP bubbles for BHE, ME, SME, NH, and VT</w:t>
            </w:r>
          </w:p>
        </w:tc>
      </w:tr>
      <w:tr w:rsidR="005C4D04" w:rsidRPr="003C3269" w:rsidTr="0018383B">
        <w:trPr>
          <w:cnfStyle w:val="000000010000" w:firstRow="0" w:lastRow="0" w:firstColumn="0" w:lastColumn="0" w:oddVBand="0" w:evenVBand="0" w:oddHBand="0" w:evenHBand="1" w:firstRowFirstColumn="0" w:firstRowLastColumn="0" w:lastRowFirstColumn="0" w:lastRowLastColumn="0"/>
          <w:trHeight w:val="182"/>
        </w:trPr>
        <w:tc>
          <w:tcPr>
            <w:tcW w:w="2079"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bCs/>
                <w:color w:val="000000"/>
                <w:szCs w:val="18"/>
              </w:rPr>
              <w:t>No.</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number</w:t>
            </w:r>
          </w:p>
        </w:tc>
      </w:tr>
      <w:tr w:rsidR="005C4D04"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EB1DC1" w:rsidRDefault="003C3269" w:rsidP="003C3269">
            <w:pPr>
              <w:spacing w:after="0"/>
              <w:rPr>
                <w:rFonts w:asciiTheme="minorHAnsi" w:hAnsiTheme="minorHAnsi" w:cs="Arial"/>
                <w:b/>
                <w:bCs/>
                <w:color w:val="000000"/>
                <w:szCs w:val="18"/>
              </w:rPr>
            </w:pPr>
            <w:r w:rsidRPr="00EB1DC1">
              <w:rPr>
                <w:rFonts w:asciiTheme="minorHAnsi" w:hAnsiTheme="minorHAnsi" w:cs="Arial"/>
                <w:b/>
                <w:bCs/>
                <w:color w:val="000000"/>
                <w:szCs w:val="18"/>
              </w:rPr>
              <w:t>NOR</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EB1DC1">
              <w:rPr>
                <w:rFonts w:asciiTheme="minorHAnsi" w:hAnsiTheme="minorHAnsi" w:cs="Arial"/>
                <w:color w:val="000000"/>
                <w:szCs w:val="18"/>
              </w:rPr>
              <w:t>RSP subarea that includes Norwalk and Stamford, Connecticut</w:t>
            </w:r>
          </w:p>
        </w:tc>
      </w:tr>
      <w:tr w:rsidR="0007152F" w:rsidRPr="003C3269" w:rsidTr="00E83A1E">
        <w:trPr>
          <w:cnfStyle w:val="000000010000" w:firstRow="0" w:lastRow="0" w:firstColumn="0" w:lastColumn="0" w:oddVBand="0" w:evenVBand="0" w:oddHBand="0" w:evenHBand="1" w:firstRowFirstColumn="0" w:firstRowLastColumn="0" w:lastRowFirstColumn="0" w:lastRowLastColumn="0"/>
          <w:trHeight w:val="209"/>
        </w:trPr>
        <w:tc>
          <w:tcPr>
            <w:tcW w:w="2079" w:type="dxa"/>
          </w:tcPr>
          <w:p w:rsidR="0007152F" w:rsidRDefault="0007152F" w:rsidP="003C3269">
            <w:pPr>
              <w:spacing w:after="0"/>
              <w:rPr>
                <w:rFonts w:asciiTheme="minorHAnsi" w:hAnsiTheme="minorHAnsi" w:cs="Arial"/>
                <w:b/>
                <w:color w:val="000000"/>
                <w:szCs w:val="18"/>
              </w:rPr>
            </w:pPr>
            <w:r>
              <w:rPr>
                <w:rFonts w:asciiTheme="minorHAnsi" w:hAnsiTheme="minorHAnsi" w:cs="Arial"/>
                <w:b/>
                <w:color w:val="000000"/>
                <w:szCs w:val="18"/>
              </w:rPr>
              <w:t>Northern CT</w:t>
            </w:r>
          </w:p>
        </w:tc>
        <w:tc>
          <w:tcPr>
            <w:tcW w:w="7037" w:type="dxa"/>
          </w:tcPr>
          <w:p w:rsidR="0007152F" w:rsidRPr="00E83A1E" w:rsidRDefault="0007152F" w:rsidP="003C3269">
            <w:pPr>
              <w:spacing w:after="0"/>
              <w:rPr>
                <w:rFonts w:asciiTheme="minorHAnsi" w:hAnsiTheme="minorHAnsi" w:cs="Arial"/>
                <w:color w:val="000000"/>
                <w:szCs w:val="18"/>
              </w:rPr>
            </w:pPr>
            <w:r>
              <w:rPr>
                <w:rFonts w:asciiTheme="minorHAnsi" w:hAnsiTheme="minorHAnsi" w:cs="Arial"/>
                <w:color w:val="000000"/>
                <w:szCs w:val="18"/>
              </w:rPr>
              <w:t>Northern Connecticut active-demand-resource dispatch zone</w:t>
            </w:r>
          </w:p>
        </w:tc>
      </w:tr>
      <w:tr w:rsidR="00E83A1E" w:rsidRPr="003C3269" w:rsidTr="003D4F3D">
        <w:trPr>
          <w:cnfStyle w:val="000000100000" w:firstRow="0" w:lastRow="0" w:firstColumn="0" w:lastColumn="0" w:oddVBand="0" w:evenVBand="0" w:oddHBand="1" w:evenHBand="0" w:firstRowFirstColumn="0" w:firstRowLastColumn="0" w:lastRowFirstColumn="0" w:lastRowLastColumn="0"/>
          <w:trHeight w:val="209"/>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E83A1E" w:rsidRDefault="00E83A1E" w:rsidP="003C3269">
            <w:pPr>
              <w:spacing w:after="0"/>
              <w:rPr>
                <w:rFonts w:asciiTheme="minorHAnsi" w:hAnsiTheme="minorHAnsi" w:cs="Arial"/>
                <w:b/>
                <w:color w:val="000000"/>
                <w:szCs w:val="18"/>
              </w:rPr>
            </w:pPr>
            <w:r>
              <w:rPr>
                <w:rFonts w:asciiTheme="minorHAnsi" w:hAnsiTheme="minorHAnsi" w:cs="Arial"/>
                <w:b/>
                <w:color w:val="000000"/>
                <w:szCs w:val="18"/>
              </w:rPr>
              <w:t>Northshore</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E83A1E" w:rsidRDefault="00E83A1E" w:rsidP="003C3269">
            <w:pPr>
              <w:spacing w:after="0"/>
              <w:rPr>
                <w:rFonts w:asciiTheme="minorHAnsi" w:hAnsiTheme="minorHAnsi" w:cs="Arial"/>
                <w:color w:val="000000"/>
                <w:szCs w:val="18"/>
              </w:rPr>
            </w:pPr>
            <w:r w:rsidRPr="00E83A1E">
              <w:rPr>
                <w:rFonts w:asciiTheme="minorHAnsi" w:hAnsiTheme="minorHAnsi" w:cs="Arial"/>
                <w:color w:val="000000"/>
                <w:szCs w:val="18"/>
              </w:rPr>
              <w:t>active-demand-resource dispatch zone</w:t>
            </w:r>
          </w:p>
        </w:tc>
      </w:tr>
      <w:tr w:rsidR="00E83A1E" w:rsidRPr="003C3269" w:rsidTr="00846C0A">
        <w:trPr>
          <w:cnfStyle w:val="000000010000" w:firstRow="0" w:lastRow="0" w:firstColumn="0" w:lastColumn="0" w:oddVBand="0" w:evenVBand="0" w:oddHBand="0" w:evenHBand="1" w:firstRowFirstColumn="0" w:firstRowLastColumn="0" w:lastRowFirstColumn="0" w:lastRowLastColumn="0"/>
          <w:trHeight w:val="209"/>
        </w:trPr>
        <w:tc>
          <w:tcPr>
            <w:tcW w:w="2079" w:type="dxa"/>
          </w:tcPr>
          <w:p w:rsidR="00E83A1E" w:rsidRPr="003C3269" w:rsidRDefault="00E83A1E" w:rsidP="003C3269">
            <w:pPr>
              <w:spacing w:after="0"/>
              <w:rPr>
                <w:rFonts w:asciiTheme="minorHAnsi" w:hAnsiTheme="minorHAnsi" w:cs="Arial"/>
                <w:b/>
                <w:color w:val="000000"/>
                <w:szCs w:val="18"/>
              </w:rPr>
            </w:pPr>
            <w:r>
              <w:rPr>
                <w:rFonts w:asciiTheme="minorHAnsi" w:hAnsiTheme="minorHAnsi" w:cs="Arial"/>
                <w:b/>
                <w:color w:val="000000"/>
                <w:szCs w:val="18"/>
              </w:rPr>
              <w:t>Northwest Vermont</w:t>
            </w:r>
          </w:p>
        </w:tc>
        <w:tc>
          <w:tcPr>
            <w:tcW w:w="7037" w:type="dxa"/>
          </w:tcPr>
          <w:p w:rsidR="00E83A1E" w:rsidRPr="003C3269" w:rsidRDefault="00E83A1E" w:rsidP="003C3269">
            <w:pPr>
              <w:spacing w:after="0"/>
              <w:rPr>
                <w:rFonts w:asciiTheme="minorHAnsi" w:hAnsiTheme="minorHAnsi" w:cs="Arial"/>
                <w:color w:val="000000"/>
                <w:szCs w:val="18"/>
              </w:rPr>
            </w:pPr>
            <w:r>
              <w:rPr>
                <w:rFonts w:asciiTheme="minorHAnsi" w:hAnsiTheme="minorHAnsi" w:cs="Arial"/>
                <w:color w:val="000000"/>
                <w:szCs w:val="18"/>
              </w:rPr>
              <w:t>active-demand-resource dispatch zone</w:t>
            </w:r>
          </w:p>
        </w:tc>
      </w:tr>
      <w:tr w:rsidR="0007152F"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07152F" w:rsidRPr="003C3269" w:rsidRDefault="0007152F" w:rsidP="003C3269">
            <w:pPr>
              <w:spacing w:after="0"/>
              <w:rPr>
                <w:rFonts w:asciiTheme="minorHAnsi" w:hAnsiTheme="minorHAnsi" w:cs="Arial"/>
                <w:b/>
                <w:color w:val="000000"/>
                <w:szCs w:val="18"/>
              </w:rPr>
            </w:pPr>
            <w:r>
              <w:rPr>
                <w:rFonts w:asciiTheme="minorHAnsi" w:hAnsiTheme="minorHAnsi" w:cs="Arial"/>
                <w:b/>
                <w:color w:val="000000"/>
                <w:szCs w:val="18"/>
              </w:rPr>
              <w:t>Norwalk-Stamford</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07152F" w:rsidRPr="003C3269" w:rsidRDefault="0007152F" w:rsidP="003C3269">
            <w:pPr>
              <w:spacing w:after="0"/>
              <w:rPr>
                <w:rFonts w:asciiTheme="minorHAnsi" w:hAnsiTheme="minorHAnsi" w:cs="Arial"/>
                <w:color w:val="000000"/>
                <w:szCs w:val="18"/>
              </w:rPr>
            </w:pPr>
            <w:r>
              <w:rPr>
                <w:rFonts w:asciiTheme="minorHAnsi" w:hAnsiTheme="minorHAnsi" w:cs="Arial"/>
                <w:color w:val="000000"/>
                <w:szCs w:val="18"/>
              </w:rPr>
              <w:t>active-demand-resource dispatch zone</w:t>
            </w:r>
          </w:p>
        </w:tc>
      </w:tr>
      <w:tr w:rsidR="005C4D04"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NO</w:t>
            </w:r>
            <w:r w:rsidRPr="003C3269">
              <w:rPr>
                <w:rFonts w:asciiTheme="minorHAnsi" w:hAnsiTheme="minorHAnsi" w:cs="Arial"/>
                <w:b/>
                <w:color w:val="000000"/>
                <w:szCs w:val="18"/>
                <w:vertAlign w:val="subscript"/>
              </w:rPr>
              <w:t>X</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nitrogen oxide(s)</w:t>
            </w:r>
          </w:p>
        </w:tc>
      </w:tr>
      <w:tr w:rsidR="005C4D04"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NPCC</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Northeast Power Coordinating Council, Inc.</w:t>
            </w:r>
          </w:p>
        </w:tc>
      </w:tr>
      <w:tr w:rsidR="005C4D04"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snapToGrid w:val="0"/>
                <w:color w:val="000000"/>
                <w:szCs w:val="18"/>
              </w:rPr>
            </w:pPr>
            <w:r w:rsidRPr="003C3269">
              <w:rPr>
                <w:rFonts w:asciiTheme="minorHAnsi" w:hAnsiTheme="minorHAnsi" w:cs="Arial"/>
                <w:b/>
                <w:snapToGrid w:val="0"/>
                <w:color w:val="000000"/>
                <w:szCs w:val="18"/>
              </w:rPr>
              <w:t>NRC</w:t>
            </w:r>
          </w:p>
        </w:tc>
        <w:tc>
          <w:tcPr>
            <w:tcW w:w="7037" w:type="dxa"/>
          </w:tcPr>
          <w:p w:rsidR="003C3269" w:rsidRPr="003C3269" w:rsidRDefault="003C3269" w:rsidP="003C3269">
            <w:pPr>
              <w:spacing w:after="0"/>
              <w:rPr>
                <w:rFonts w:asciiTheme="minorHAnsi" w:hAnsiTheme="minorHAnsi" w:cs="Arial"/>
                <w:snapToGrid w:val="0"/>
                <w:color w:val="000000"/>
                <w:szCs w:val="18"/>
              </w:rPr>
            </w:pPr>
            <w:r w:rsidRPr="003C3269">
              <w:rPr>
                <w:rFonts w:asciiTheme="minorHAnsi" w:hAnsiTheme="minorHAnsi" w:cs="Arial"/>
                <w:snapToGrid w:val="0"/>
                <w:color w:val="000000"/>
                <w:szCs w:val="18"/>
              </w:rPr>
              <w:t>Nuclear Regulatory Commission (US)</w:t>
            </w:r>
          </w:p>
        </w:tc>
      </w:tr>
      <w:tr w:rsidR="005C4D04"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snapToGrid w:val="0"/>
                <w:color w:val="000000"/>
                <w:szCs w:val="18"/>
              </w:rPr>
            </w:pPr>
            <w:r w:rsidRPr="003C3269">
              <w:rPr>
                <w:rFonts w:asciiTheme="minorHAnsi" w:hAnsiTheme="minorHAnsi" w:cs="Arial"/>
                <w:b/>
                <w:snapToGrid w:val="0"/>
                <w:color w:val="000000"/>
                <w:szCs w:val="18"/>
              </w:rPr>
              <w:t>NREL</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snapToGrid w:val="0"/>
                <w:color w:val="000000"/>
                <w:szCs w:val="18"/>
              </w:rPr>
            </w:pPr>
            <w:r w:rsidRPr="003C3269">
              <w:rPr>
                <w:rFonts w:asciiTheme="minorHAnsi" w:hAnsiTheme="minorHAnsi" w:cs="Arial"/>
                <w:snapToGrid w:val="0"/>
                <w:color w:val="000000"/>
                <w:szCs w:val="18"/>
              </w:rPr>
              <w:t>National Renewable Energy Laboratory (US DOE)</w:t>
            </w:r>
          </w:p>
        </w:tc>
      </w:tr>
      <w:tr w:rsidR="005C4D04"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N</w:t>
            </w:r>
            <w:r w:rsidR="00D357D4">
              <w:rPr>
                <w:rFonts w:asciiTheme="minorHAnsi" w:hAnsiTheme="minorHAnsi" w:cs="Arial"/>
                <w:b/>
                <w:color w:val="000000"/>
                <w:szCs w:val="18"/>
              </w:rPr>
              <w:t>RIS</w:t>
            </w:r>
          </w:p>
        </w:tc>
        <w:tc>
          <w:tcPr>
            <w:tcW w:w="7037" w:type="dxa"/>
          </w:tcPr>
          <w:p w:rsidR="003C3269" w:rsidRPr="003C3269" w:rsidRDefault="00D357D4" w:rsidP="003C3269">
            <w:pPr>
              <w:spacing w:after="0"/>
              <w:rPr>
                <w:rFonts w:asciiTheme="minorHAnsi" w:hAnsiTheme="minorHAnsi" w:cs="Arial"/>
                <w:color w:val="000000"/>
                <w:szCs w:val="18"/>
              </w:rPr>
            </w:pPr>
            <w:r w:rsidRPr="00D357D4">
              <w:rPr>
                <w:rFonts w:asciiTheme="minorHAnsi" w:hAnsiTheme="minorHAnsi" w:cs="Arial"/>
                <w:color w:val="000000"/>
                <w:szCs w:val="18"/>
              </w:rPr>
              <w:t>Network Resource Interconnection Service</w:t>
            </w:r>
          </w:p>
        </w:tc>
      </w:tr>
      <w:tr w:rsidR="005C4D04"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NY</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EB1DC1" w:rsidRDefault="00EB1DC1" w:rsidP="003C3269">
            <w:pPr>
              <w:spacing w:after="0"/>
              <w:rPr>
                <w:rFonts w:asciiTheme="minorHAnsi" w:hAnsiTheme="minorHAnsi" w:cs="Arial"/>
                <w:color w:val="000000"/>
                <w:szCs w:val="18"/>
              </w:rPr>
            </w:pPr>
            <w:r>
              <w:rPr>
                <w:rFonts w:asciiTheme="minorHAnsi" w:hAnsiTheme="minorHAnsi" w:cs="Arial"/>
                <w:color w:val="000000"/>
                <w:szCs w:val="18"/>
              </w:rPr>
              <w:t>1) State of New York</w:t>
            </w:r>
          </w:p>
          <w:p w:rsidR="003C3269" w:rsidRPr="003C3269" w:rsidRDefault="00EB1DC1" w:rsidP="003C3269">
            <w:pPr>
              <w:spacing w:after="0"/>
              <w:rPr>
                <w:rFonts w:asciiTheme="minorHAnsi" w:hAnsiTheme="minorHAnsi" w:cs="Arial"/>
                <w:color w:val="000000"/>
                <w:szCs w:val="18"/>
              </w:rPr>
            </w:pPr>
            <w:r>
              <w:rPr>
                <w:rFonts w:asciiTheme="minorHAnsi" w:hAnsiTheme="minorHAnsi" w:cs="Arial"/>
                <w:color w:val="000000"/>
                <w:szCs w:val="18"/>
              </w:rPr>
              <w:t xml:space="preserve">2) </w:t>
            </w:r>
            <w:r w:rsidR="003C3269" w:rsidRPr="003C3269">
              <w:rPr>
                <w:rFonts w:asciiTheme="minorHAnsi" w:hAnsiTheme="minorHAnsi" w:cs="Arial"/>
                <w:color w:val="000000"/>
                <w:szCs w:val="18"/>
              </w:rPr>
              <w:t>New York Balancing Authority Area</w:t>
            </w:r>
          </w:p>
        </w:tc>
      </w:tr>
      <w:tr w:rsidR="005C4D04"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NYISO</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New York Independent System Operator</w:t>
            </w:r>
          </w:p>
        </w:tc>
      </w:tr>
      <w:tr w:rsidR="005C4D04"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NYPA</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New York Power Authority</w:t>
            </w:r>
          </w:p>
        </w:tc>
      </w:tr>
      <w:tr w:rsidR="005C4D04"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O</w:t>
            </w:r>
            <w:r w:rsidRPr="003C3269">
              <w:rPr>
                <w:rFonts w:asciiTheme="minorHAnsi" w:hAnsiTheme="minorHAnsi" w:cs="Arial"/>
                <w:b/>
                <w:color w:val="000000"/>
                <w:szCs w:val="18"/>
                <w:vertAlign w:val="subscript"/>
              </w:rPr>
              <w:t>3</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ozone</w:t>
            </w:r>
          </w:p>
        </w:tc>
      </w:tr>
      <w:tr w:rsidR="005C4D04"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OATT</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i/>
                <w:color w:val="000000"/>
                <w:szCs w:val="18"/>
              </w:rPr>
            </w:pPr>
            <w:r w:rsidRPr="003C3269">
              <w:rPr>
                <w:rFonts w:asciiTheme="minorHAnsi" w:hAnsiTheme="minorHAnsi" w:cs="Arial"/>
                <w:i/>
                <w:color w:val="000000"/>
                <w:szCs w:val="18"/>
              </w:rPr>
              <w:t>Open Access Transmission Tariff</w:t>
            </w:r>
          </w:p>
        </w:tc>
      </w:tr>
      <w:tr w:rsidR="005C4D04"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OP 4</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 xml:space="preserve">ISO Operating Procedure No. 4, </w:t>
            </w:r>
            <w:r w:rsidRPr="003C3269">
              <w:rPr>
                <w:rFonts w:asciiTheme="minorHAnsi" w:hAnsiTheme="minorHAnsi" w:cs="Arial"/>
                <w:i/>
                <w:iCs/>
                <w:color w:val="000000"/>
                <w:szCs w:val="18"/>
              </w:rPr>
              <w:t>Action during a Capacity Deficiency</w:t>
            </w:r>
          </w:p>
        </w:tc>
      </w:tr>
      <w:tr w:rsidR="005C4D04"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OP 7</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 xml:space="preserve">ISO Operating Procedure No. 7, </w:t>
            </w:r>
            <w:r w:rsidRPr="003C3269">
              <w:rPr>
                <w:rFonts w:asciiTheme="minorHAnsi" w:hAnsiTheme="minorHAnsi" w:cs="Arial"/>
                <w:i/>
                <w:iCs/>
                <w:color w:val="000000"/>
                <w:szCs w:val="18"/>
              </w:rPr>
              <w:t>Action in an Emergency</w:t>
            </w:r>
          </w:p>
        </w:tc>
      </w:tr>
      <w:tr w:rsidR="005C4D04"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OP 8</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 xml:space="preserve">ISO Operating Procedure No. 8, </w:t>
            </w:r>
            <w:r w:rsidRPr="003C3269">
              <w:rPr>
                <w:rFonts w:asciiTheme="minorHAnsi" w:hAnsiTheme="minorHAnsi" w:cs="Arial"/>
                <w:i/>
                <w:iCs/>
                <w:color w:val="000000"/>
                <w:szCs w:val="18"/>
              </w:rPr>
              <w:t>Operating Reserve and Regulation</w:t>
            </w:r>
          </w:p>
        </w:tc>
      </w:tr>
      <w:tr w:rsidR="005C4D04"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OP 14</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 xml:space="preserve">ISO Operating Procedure No. 14, </w:t>
            </w:r>
            <w:r w:rsidRPr="003C3269">
              <w:rPr>
                <w:rFonts w:asciiTheme="minorHAnsi" w:hAnsiTheme="minorHAnsi" w:cs="Arial"/>
                <w:i/>
                <w:color w:val="000000"/>
                <w:szCs w:val="18"/>
              </w:rPr>
              <w:t>Technical Requirements for Generators, Demand Resources, Asset-Related Demands, and Alternative Technology Regulation Resources</w:t>
            </w:r>
          </w:p>
        </w:tc>
      </w:tr>
      <w:tr w:rsidR="005C4D04"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OP 19</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 xml:space="preserve">ISO Operating Procedure No. 19, </w:t>
            </w:r>
            <w:r w:rsidRPr="003C3269">
              <w:rPr>
                <w:rFonts w:asciiTheme="minorHAnsi" w:hAnsiTheme="minorHAnsi" w:cs="Arial"/>
                <w:i/>
                <w:iCs/>
                <w:color w:val="000000"/>
                <w:szCs w:val="18"/>
              </w:rPr>
              <w:t>Transmission Operations</w:t>
            </w:r>
          </w:p>
        </w:tc>
      </w:tr>
      <w:tr w:rsidR="005C4D04"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PAC</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Planning Advisory Committee</w:t>
            </w:r>
          </w:p>
        </w:tc>
      </w:tr>
      <w:tr w:rsidR="005C4D04"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PDR</w:t>
            </w:r>
          </w:p>
        </w:tc>
        <w:tc>
          <w:tcPr>
            <w:tcW w:w="7037" w:type="dxa"/>
          </w:tcPr>
          <w:p w:rsidR="003C3269" w:rsidRPr="003C3269" w:rsidRDefault="003C3269" w:rsidP="003C3269">
            <w:pPr>
              <w:spacing w:after="0"/>
              <w:rPr>
                <w:rFonts w:asciiTheme="minorHAnsi" w:hAnsiTheme="minorHAnsi" w:cs="Arial"/>
                <w:snapToGrid w:val="0"/>
                <w:color w:val="000000"/>
                <w:szCs w:val="18"/>
              </w:rPr>
            </w:pPr>
            <w:r w:rsidRPr="003C3269">
              <w:rPr>
                <w:rFonts w:asciiTheme="minorHAnsi" w:hAnsiTheme="minorHAnsi" w:cs="Arial"/>
                <w:snapToGrid w:val="0"/>
                <w:color w:val="000000"/>
                <w:szCs w:val="18"/>
              </w:rPr>
              <w:t>passive demand resource</w:t>
            </w:r>
          </w:p>
        </w:tc>
      </w:tr>
      <w:tr w:rsidR="005C4D04"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117B5F" w:rsidRPr="003C3269" w:rsidRDefault="00117B5F" w:rsidP="003C3269">
            <w:pPr>
              <w:spacing w:after="0"/>
              <w:rPr>
                <w:rFonts w:asciiTheme="minorHAnsi" w:hAnsiTheme="minorHAnsi" w:cs="Arial"/>
                <w:b/>
                <w:color w:val="000000"/>
                <w:szCs w:val="18"/>
              </w:rPr>
            </w:pPr>
            <w:r>
              <w:rPr>
                <w:rFonts w:asciiTheme="minorHAnsi" w:hAnsiTheme="minorHAnsi" w:cs="Arial"/>
                <w:b/>
                <w:color w:val="000000"/>
                <w:szCs w:val="18"/>
              </w:rPr>
              <w:t>PFR</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117B5F" w:rsidRPr="003C3269" w:rsidDel="00117B5F" w:rsidRDefault="00117B5F" w:rsidP="003C3269">
            <w:pPr>
              <w:spacing w:after="0"/>
              <w:rPr>
                <w:rFonts w:asciiTheme="minorHAnsi" w:hAnsiTheme="minorHAnsi" w:cs="Arial"/>
                <w:snapToGrid w:val="0"/>
                <w:color w:val="000000"/>
                <w:szCs w:val="18"/>
              </w:rPr>
            </w:pPr>
            <w:r>
              <w:rPr>
                <w:rFonts w:asciiTheme="minorHAnsi" w:hAnsiTheme="minorHAnsi" w:cs="Arial"/>
                <w:snapToGrid w:val="0"/>
                <w:color w:val="000000"/>
                <w:szCs w:val="18"/>
              </w:rPr>
              <w:t>primary frequency response</w:t>
            </w:r>
          </w:p>
        </w:tc>
      </w:tr>
      <w:tr w:rsidR="005C4D04"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P</w:t>
            </w:r>
            <w:r w:rsidR="00117B5F">
              <w:rPr>
                <w:rFonts w:asciiTheme="minorHAnsi" w:hAnsiTheme="minorHAnsi" w:cs="Arial"/>
                <w:b/>
                <w:color w:val="000000"/>
                <w:szCs w:val="18"/>
              </w:rPr>
              <w:t>G</w:t>
            </w:r>
          </w:p>
        </w:tc>
        <w:tc>
          <w:tcPr>
            <w:tcW w:w="7037" w:type="dxa"/>
          </w:tcPr>
          <w:p w:rsidR="003C3269" w:rsidRPr="003C3269" w:rsidRDefault="00117B5F" w:rsidP="003C3269">
            <w:pPr>
              <w:spacing w:after="0"/>
              <w:rPr>
                <w:rFonts w:asciiTheme="minorHAnsi" w:hAnsiTheme="minorHAnsi" w:cs="Arial"/>
                <w:snapToGrid w:val="0"/>
                <w:color w:val="000000"/>
                <w:szCs w:val="18"/>
              </w:rPr>
            </w:pPr>
            <w:r>
              <w:rPr>
                <w:rFonts w:asciiTheme="minorHAnsi" w:hAnsiTheme="minorHAnsi" w:cs="Arial"/>
                <w:snapToGrid w:val="0"/>
                <w:color w:val="000000"/>
                <w:szCs w:val="18"/>
              </w:rPr>
              <w:t>Pittsfield–Greenfield</w:t>
            </w:r>
          </w:p>
        </w:tc>
      </w:tr>
      <w:tr w:rsidR="005C4D04"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PJM</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snapToGrid w:val="0"/>
                <w:color w:val="000000"/>
                <w:szCs w:val="18"/>
              </w:rPr>
              <w:t>PJM Interconnection LLC; the RTO for all or parts of Delaware, Illinois, Indiana, Kentucky, Maryland, Michigan, New Jersey, North Carolina, Ohio, Pennsylvania, Tennessee, Virginia, and the District of Columbia</w:t>
            </w:r>
          </w:p>
        </w:tc>
      </w:tr>
      <w:tr w:rsidR="005C4D04"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PM</w:t>
            </w:r>
          </w:p>
        </w:tc>
        <w:tc>
          <w:tcPr>
            <w:tcW w:w="7037" w:type="dxa"/>
          </w:tcPr>
          <w:p w:rsidR="003C3269" w:rsidRPr="003C3269" w:rsidRDefault="003C3269" w:rsidP="003C3269">
            <w:pPr>
              <w:spacing w:after="0"/>
              <w:rPr>
                <w:rFonts w:asciiTheme="minorHAnsi" w:hAnsiTheme="minorHAnsi" w:cs="Arial"/>
                <w:snapToGrid w:val="0"/>
                <w:color w:val="000000"/>
                <w:szCs w:val="18"/>
              </w:rPr>
            </w:pPr>
            <w:r w:rsidRPr="003C3269">
              <w:rPr>
                <w:rFonts w:asciiTheme="minorHAnsi" w:hAnsiTheme="minorHAnsi" w:cs="Arial"/>
                <w:snapToGrid w:val="0"/>
                <w:color w:val="000000"/>
                <w:szCs w:val="18"/>
              </w:rPr>
              <w:t>particulate matter</w:t>
            </w:r>
          </w:p>
        </w:tc>
      </w:tr>
      <w:tr w:rsidR="005C4D04"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PM</w:t>
            </w:r>
            <w:r w:rsidRPr="003C3269">
              <w:rPr>
                <w:rFonts w:asciiTheme="minorHAnsi" w:hAnsiTheme="minorHAnsi" w:cs="Arial"/>
                <w:b/>
                <w:color w:val="000000"/>
                <w:szCs w:val="18"/>
                <w:vertAlign w:val="subscript"/>
              </w:rPr>
              <w:t>2.5</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snapToGrid w:val="0"/>
                <w:color w:val="000000"/>
                <w:szCs w:val="18"/>
              </w:rPr>
            </w:pPr>
            <w:r w:rsidRPr="003C3269">
              <w:rPr>
                <w:rFonts w:asciiTheme="minorHAnsi" w:hAnsiTheme="minorHAnsi" w:cs="Arial"/>
                <w:snapToGrid w:val="0"/>
                <w:color w:val="000000"/>
                <w:szCs w:val="18"/>
              </w:rPr>
              <w:t>fine particulate matter</w:t>
            </w:r>
          </w:p>
        </w:tc>
      </w:tr>
      <w:tr w:rsidR="005C4D04"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PMU</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snapToGrid w:val="0"/>
                <w:color w:val="000000"/>
                <w:szCs w:val="18"/>
              </w:rPr>
              <w:t>phasor measurement unit</w:t>
            </w:r>
          </w:p>
        </w:tc>
      </w:tr>
      <w:tr w:rsidR="005C4D04"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PNGTS</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Portland Natural Gas Transmission System</w:t>
            </w:r>
          </w:p>
        </w:tc>
      </w:tr>
      <w:tr w:rsidR="005C4D04"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pnode</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pricing node</w:t>
            </w:r>
          </w:p>
        </w:tc>
      </w:tr>
      <w:tr w:rsidR="00E83A1E"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E83A1E" w:rsidRDefault="00E83A1E" w:rsidP="003C3269">
            <w:pPr>
              <w:spacing w:after="0"/>
              <w:rPr>
                <w:rFonts w:asciiTheme="minorHAnsi" w:hAnsiTheme="minorHAnsi" w:cs="Arial"/>
                <w:b/>
                <w:color w:val="000000"/>
                <w:szCs w:val="18"/>
              </w:rPr>
            </w:pPr>
            <w:r>
              <w:rPr>
                <w:rFonts w:asciiTheme="minorHAnsi" w:hAnsiTheme="minorHAnsi" w:cs="Arial"/>
                <w:b/>
                <w:color w:val="000000"/>
                <w:szCs w:val="18"/>
              </w:rPr>
              <w:lastRenderedPageBreak/>
              <w:t>Portland, ME</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E83A1E" w:rsidRDefault="00E83A1E" w:rsidP="003C3269">
            <w:pPr>
              <w:spacing w:after="0"/>
              <w:rPr>
                <w:rFonts w:asciiTheme="minorHAnsi" w:hAnsiTheme="minorHAnsi" w:cs="Arial"/>
                <w:szCs w:val="18"/>
              </w:rPr>
            </w:pPr>
            <w:r>
              <w:rPr>
                <w:rFonts w:asciiTheme="minorHAnsi" w:hAnsiTheme="minorHAnsi" w:cs="Arial"/>
                <w:szCs w:val="18"/>
              </w:rPr>
              <w:t>Portland, Maine, active-demand-resource dispatch zone</w:t>
            </w:r>
          </w:p>
        </w:tc>
      </w:tr>
      <w:tr w:rsidR="005C4D04"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117B5F" w:rsidRPr="003C3269" w:rsidRDefault="00117B5F" w:rsidP="003C3269">
            <w:pPr>
              <w:spacing w:after="0"/>
              <w:rPr>
                <w:rFonts w:asciiTheme="minorHAnsi" w:hAnsiTheme="minorHAnsi" w:cs="Arial"/>
                <w:b/>
                <w:color w:val="000000"/>
                <w:szCs w:val="18"/>
              </w:rPr>
            </w:pPr>
            <w:r>
              <w:rPr>
                <w:rFonts w:asciiTheme="minorHAnsi" w:hAnsiTheme="minorHAnsi" w:cs="Arial"/>
                <w:b/>
                <w:color w:val="000000"/>
                <w:szCs w:val="18"/>
              </w:rPr>
              <w:t>PP 3</w:t>
            </w:r>
          </w:p>
        </w:tc>
        <w:tc>
          <w:tcPr>
            <w:tcW w:w="7037" w:type="dxa"/>
          </w:tcPr>
          <w:p w:rsidR="00117B5F" w:rsidRPr="003C3269" w:rsidRDefault="00117B5F" w:rsidP="003C3269">
            <w:pPr>
              <w:spacing w:after="0"/>
              <w:rPr>
                <w:rFonts w:asciiTheme="minorHAnsi" w:hAnsiTheme="minorHAnsi" w:cs="Arial"/>
                <w:szCs w:val="18"/>
              </w:rPr>
            </w:pPr>
            <w:r>
              <w:rPr>
                <w:rFonts w:asciiTheme="minorHAnsi" w:hAnsiTheme="minorHAnsi" w:cs="Arial"/>
                <w:szCs w:val="18"/>
              </w:rPr>
              <w:t xml:space="preserve">ISO Planning Procedure No. 10, </w:t>
            </w:r>
            <w:r w:rsidRPr="009E477A">
              <w:rPr>
                <w:rFonts w:asciiTheme="minorHAnsi" w:hAnsiTheme="minorHAnsi" w:cs="Arial"/>
                <w:i/>
                <w:szCs w:val="18"/>
              </w:rPr>
              <w:t>Reliability Standards for the New England Area Pool Transmission Facilities</w:t>
            </w:r>
          </w:p>
        </w:tc>
      </w:tr>
      <w:tr w:rsidR="005C4D04"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PP 10</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bCs/>
                <w:iCs/>
                <w:color w:val="000000"/>
                <w:szCs w:val="18"/>
              </w:rPr>
            </w:pPr>
            <w:r w:rsidRPr="003C3269">
              <w:rPr>
                <w:rFonts w:asciiTheme="minorHAnsi" w:hAnsiTheme="minorHAnsi" w:cs="Arial"/>
                <w:szCs w:val="18"/>
              </w:rPr>
              <w:t xml:space="preserve">ISO Planning Procedure No. 10, </w:t>
            </w:r>
            <w:r w:rsidRPr="003C3269">
              <w:rPr>
                <w:rFonts w:asciiTheme="minorHAnsi" w:hAnsiTheme="minorHAnsi" w:cs="Arial"/>
                <w:i/>
                <w:szCs w:val="18"/>
              </w:rPr>
              <w:t>Planning Procedure to Support the Forward Capacity Market</w:t>
            </w:r>
          </w:p>
        </w:tc>
      </w:tr>
      <w:tr w:rsidR="005C4D04"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PPA</w:t>
            </w:r>
          </w:p>
        </w:tc>
        <w:tc>
          <w:tcPr>
            <w:tcW w:w="7037" w:type="dxa"/>
          </w:tcPr>
          <w:p w:rsidR="003C3269" w:rsidRPr="003C3269" w:rsidRDefault="003C3269" w:rsidP="003C3269">
            <w:pPr>
              <w:spacing w:after="0"/>
              <w:rPr>
                <w:rFonts w:asciiTheme="minorHAnsi" w:hAnsiTheme="minorHAnsi" w:cs="Arial"/>
                <w:iCs/>
                <w:color w:val="000000"/>
                <w:szCs w:val="18"/>
              </w:rPr>
            </w:pPr>
            <w:r w:rsidRPr="003C3269">
              <w:rPr>
                <w:rFonts w:asciiTheme="minorHAnsi" w:hAnsiTheme="minorHAnsi" w:cs="Arial"/>
                <w:iCs/>
                <w:color w:val="000000"/>
                <w:szCs w:val="18"/>
              </w:rPr>
              <w:t>Proposed Plan Application</w:t>
            </w:r>
          </w:p>
        </w:tc>
      </w:tr>
      <w:tr w:rsidR="005C4D04"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PPTU</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iCs/>
                <w:color w:val="000000"/>
                <w:szCs w:val="18"/>
              </w:rPr>
            </w:pPr>
            <w:r w:rsidRPr="003C3269">
              <w:rPr>
                <w:rFonts w:asciiTheme="minorHAnsi" w:hAnsiTheme="minorHAnsi" w:cs="Arial"/>
                <w:iCs/>
                <w:color w:val="000000"/>
                <w:szCs w:val="18"/>
              </w:rPr>
              <w:t>public policy transmission upgrade</w:t>
            </w:r>
          </w:p>
        </w:tc>
      </w:tr>
      <w:tr w:rsidR="005C4D04"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PSERC</w:t>
            </w:r>
          </w:p>
        </w:tc>
        <w:tc>
          <w:tcPr>
            <w:tcW w:w="7037" w:type="dxa"/>
          </w:tcPr>
          <w:p w:rsidR="003C3269" w:rsidRPr="003C3269" w:rsidRDefault="003C3269" w:rsidP="003C3269">
            <w:pPr>
              <w:spacing w:after="0"/>
              <w:rPr>
                <w:rFonts w:asciiTheme="minorHAnsi" w:hAnsiTheme="minorHAnsi" w:cs="Arial"/>
                <w:iCs/>
                <w:color w:val="000000"/>
                <w:szCs w:val="18"/>
              </w:rPr>
            </w:pPr>
            <w:r w:rsidRPr="003C3269">
              <w:rPr>
                <w:rFonts w:asciiTheme="minorHAnsi" w:hAnsiTheme="minorHAnsi" w:cs="Arial"/>
                <w:iCs/>
                <w:color w:val="000000"/>
                <w:szCs w:val="18"/>
              </w:rPr>
              <w:t>Power System Engineering Research Center (US DOE)</w:t>
            </w:r>
          </w:p>
        </w:tc>
      </w:tr>
      <w:tr w:rsidR="005C4D04"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PSNH</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iCs/>
                <w:color w:val="000000"/>
                <w:szCs w:val="18"/>
              </w:rPr>
            </w:pPr>
            <w:r w:rsidRPr="003C3269">
              <w:rPr>
                <w:rFonts w:asciiTheme="minorHAnsi" w:hAnsiTheme="minorHAnsi" w:cs="Arial"/>
                <w:iCs/>
                <w:color w:val="000000"/>
                <w:szCs w:val="18"/>
              </w:rPr>
              <w:t>Public Service of New Hampshire</w:t>
            </w:r>
          </w:p>
        </w:tc>
      </w:tr>
      <w:tr w:rsidR="005C4D04"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PTF</w:t>
            </w:r>
          </w:p>
        </w:tc>
        <w:tc>
          <w:tcPr>
            <w:tcW w:w="7037"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color w:val="000000"/>
                <w:szCs w:val="18"/>
              </w:rPr>
              <w:t>pool transmission facility</w:t>
            </w:r>
          </w:p>
        </w:tc>
      </w:tr>
      <w:tr w:rsidR="005C4D04"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PTO</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color w:val="000000"/>
                <w:szCs w:val="18"/>
              </w:rPr>
              <w:t>participating transmission owner</w:t>
            </w:r>
          </w:p>
        </w:tc>
      </w:tr>
      <w:tr w:rsidR="005C4D04"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696735">
            <w:pPr>
              <w:spacing w:after="0"/>
              <w:rPr>
                <w:rFonts w:asciiTheme="minorHAnsi" w:hAnsiTheme="minorHAnsi" w:cs="Arial"/>
                <w:b/>
                <w:bCs/>
                <w:color w:val="000000"/>
                <w:szCs w:val="18"/>
              </w:rPr>
            </w:pPr>
            <w:r w:rsidRPr="003C3269">
              <w:rPr>
                <w:rFonts w:asciiTheme="minorHAnsi" w:hAnsiTheme="minorHAnsi" w:cs="Arial"/>
                <w:b/>
                <w:color w:val="000000"/>
                <w:szCs w:val="18"/>
              </w:rPr>
              <w:t>P</w:t>
            </w:r>
            <w:r w:rsidR="00696735">
              <w:rPr>
                <w:rFonts w:asciiTheme="minorHAnsi" w:hAnsiTheme="minorHAnsi" w:cs="Arial"/>
                <w:b/>
                <w:color w:val="000000"/>
                <w:szCs w:val="18"/>
              </w:rPr>
              <w:t>TO-AC</w:t>
            </w:r>
          </w:p>
        </w:tc>
        <w:tc>
          <w:tcPr>
            <w:tcW w:w="7037" w:type="dxa"/>
          </w:tcPr>
          <w:p w:rsidR="003C3269" w:rsidRPr="003C3269" w:rsidRDefault="00696735" w:rsidP="00696735">
            <w:pPr>
              <w:spacing w:after="0"/>
              <w:rPr>
                <w:rFonts w:asciiTheme="minorHAnsi" w:hAnsiTheme="minorHAnsi" w:cs="Arial"/>
                <w:b/>
                <w:bCs/>
                <w:color w:val="000000"/>
                <w:szCs w:val="18"/>
              </w:rPr>
            </w:pPr>
            <w:r>
              <w:rPr>
                <w:rFonts w:asciiTheme="minorHAnsi" w:hAnsiTheme="minorHAnsi" w:cs="Arial"/>
                <w:color w:val="000000"/>
                <w:szCs w:val="18"/>
              </w:rPr>
              <w:t>Participating Transmission Owner-Administrative Committee</w:t>
            </w:r>
          </w:p>
        </w:tc>
      </w:tr>
      <w:tr w:rsidR="005C4D04"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PUC</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bCs/>
                <w:iCs/>
                <w:color w:val="000000"/>
                <w:szCs w:val="18"/>
              </w:rPr>
            </w:pPr>
            <w:r w:rsidRPr="003C3269">
              <w:rPr>
                <w:rFonts w:asciiTheme="minorHAnsi" w:hAnsiTheme="minorHAnsi" w:cs="Arial"/>
                <w:iCs/>
                <w:color w:val="000000"/>
                <w:szCs w:val="18"/>
              </w:rPr>
              <w:t>Public Utilities Commission (ME, NH, RI</w:t>
            </w:r>
            <w:r w:rsidR="00117B5F">
              <w:rPr>
                <w:rFonts w:asciiTheme="minorHAnsi" w:hAnsiTheme="minorHAnsi" w:cs="Arial"/>
                <w:iCs/>
                <w:color w:val="000000"/>
                <w:szCs w:val="18"/>
              </w:rPr>
              <w:t>, VT</w:t>
            </w:r>
            <w:r w:rsidRPr="003C3269">
              <w:rPr>
                <w:rFonts w:asciiTheme="minorHAnsi" w:hAnsiTheme="minorHAnsi" w:cs="Arial"/>
                <w:iCs/>
                <w:color w:val="000000"/>
                <w:szCs w:val="18"/>
              </w:rPr>
              <w:t>)</w:t>
            </w:r>
          </w:p>
        </w:tc>
      </w:tr>
      <w:tr w:rsidR="005C4D04"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PURA</w:t>
            </w:r>
          </w:p>
        </w:tc>
        <w:tc>
          <w:tcPr>
            <w:tcW w:w="7037" w:type="dxa"/>
          </w:tcPr>
          <w:p w:rsidR="003C3269" w:rsidRPr="003C3269" w:rsidRDefault="003C3269" w:rsidP="003C3269">
            <w:pPr>
              <w:spacing w:after="0"/>
              <w:rPr>
                <w:rFonts w:asciiTheme="minorHAnsi" w:hAnsiTheme="minorHAnsi" w:cs="Arial"/>
                <w:iCs/>
                <w:color w:val="000000"/>
                <w:szCs w:val="18"/>
              </w:rPr>
            </w:pPr>
            <w:r w:rsidRPr="003C3269">
              <w:rPr>
                <w:rFonts w:asciiTheme="minorHAnsi" w:hAnsiTheme="minorHAnsi" w:cs="Arial"/>
                <w:iCs/>
                <w:color w:val="000000"/>
                <w:szCs w:val="18"/>
              </w:rPr>
              <w:t>Public Utilities Regulatory Authority (CT)</w:t>
            </w:r>
          </w:p>
        </w:tc>
      </w:tr>
      <w:tr w:rsidR="005C4D04"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PV</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bCs/>
                <w:iCs/>
                <w:color w:val="000000"/>
                <w:szCs w:val="18"/>
              </w:rPr>
            </w:pPr>
            <w:r w:rsidRPr="003C3269">
              <w:rPr>
                <w:rFonts w:asciiTheme="minorHAnsi" w:hAnsiTheme="minorHAnsi" w:cs="Arial"/>
                <w:iCs/>
                <w:color w:val="000000"/>
                <w:szCs w:val="18"/>
              </w:rPr>
              <w:t>photovoltaic</w:t>
            </w:r>
          </w:p>
        </w:tc>
      </w:tr>
      <w:tr w:rsidR="005C4D04"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QP</w:t>
            </w:r>
          </w:p>
        </w:tc>
        <w:tc>
          <w:tcPr>
            <w:tcW w:w="7037" w:type="dxa"/>
          </w:tcPr>
          <w:p w:rsidR="003C3269" w:rsidRPr="003C3269" w:rsidRDefault="003C3269" w:rsidP="003C3269">
            <w:pPr>
              <w:spacing w:after="0"/>
              <w:rPr>
                <w:rFonts w:asciiTheme="minorHAnsi" w:hAnsiTheme="minorHAnsi" w:cs="Arial"/>
                <w:iCs/>
                <w:color w:val="000000"/>
                <w:szCs w:val="18"/>
              </w:rPr>
            </w:pPr>
            <w:r w:rsidRPr="003C3269">
              <w:rPr>
                <w:rFonts w:asciiTheme="minorHAnsi" w:hAnsiTheme="minorHAnsi" w:cs="Arial"/>
                <w:iCs/>
                <w:color w:val="000000"/>
                <w:szCs w:val="18"/>
              </w:rPr>
              <w:t>queue project</w:t>
            </w:r>
          </w:p>
        </w:tc>
      </w:tr>
      <w:tr w:rsidR="005C4D04"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QTP</w:t>
            </w:r>
            <w:r w:rsidR="00117B5F">
              <w:rPr>
                <w:rFonts w:asciiTheme="minorHAnsi" w:hAnsiTheme="minorHAnsi" w:cs="Arial"/>
                <w:b/>
                <w:color w:val="000000"/>
                <w:szCs w:val="18"/>
              </w:rPr>
              <w:t>S</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iCs/>
                <w:color w:val="000000"/>
                <w:szCs w:val="18"/>
              </w:rPr>
            </w:pPr>
            <w:r w:rsidRPr="003C3269">
              <w:rPr>
                <w:rFonts w:asciiTheme="minorHAnsi" w:hAnsiTheme="minorHAnsi" w:cs="Arial"/>
                <w:iCs/>
                <w:color w:val="000000"/>
                <w:szCs w:val="18"/>
              </w:rPr>
              <w:t xml:space="preserve">qualified transmission project sponsor </w:t>
            </w:r>
          </w:p>
        </w:tc>
      </w:tr>
      <w:tr w:rsidR="005C4D04"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queue (the)</w:t>
            </w:r>
          </w:p>
        </w:tc>
        <w:tc>
          <w:tcPr>
            <w:tcW w:w="7037" w:type="dxa"/>
          </w:tcPr>
          <w:p w:rsidR="003C3269" w:rsidRPr="003C3269" w:rsidRDefault="003C3269" w:rsidP="002B0664">
            <w:pPr>
              <w:spacing w:after="0"/>
              <w:rPr>
                <w:rFonts w:asciiTheme="minorHAnsi" w:hAnsiTheme="minorHAnsi" w:cs="Arial"/>
                <w:b/>
                <w:bCs/>
                <w:iCs/>
                <w:color w:val="000000"/>
                <w:szCs w:val="18"/>
              </w:rPr>
            </w:pPr>
            <w:r w:rsidRPr="003C3269">
              <w:rPr>
                <w:rFonts w:asciiTheme="minorHAnsi" w:hAnsiTheme="minorHAnsi" w:cs="Arial"/>
                <w:iCs/>
                <w:color w:val="000000"/>
                <w:szCs w:val="18"/>
              </w:rPr>
              <w:t xml:space="preserve">ISO Interconnection </w:t>
            </w:r>
            <w:r w:rsidR="002B0664">
              <w:rPr>
                <w:rFonts w:asciiTheme="minorHAnsi" w:hAnsiTheme="minorHAnsi" w:cs="Arial"/>
                <w:iCs/>
                <w:color w:val="000000"/>
                <w:szCs w:val="18"/>
              </w:rPr>
              <w:t xml:space="preserve">Request </w:t>
            </w:r>
            <w:r w:rsidRPr="003C3269">
              <w:rPr>
                <w:rFonts w:asciiTheme="minorHAnsi" w:hAnsiTheme="minorHAnsi" w:cs="Arial"/>
                <w:iCs/>
                <w:color w:val="000000"/>
                <w:szCs w:val="18"/>
              </w:rPr>
              <w:t>Queue</w:t>
            </w:r>
          </w:p>
        </w:tc>
      </w:tr>
      <w:tr w:rsidR="005C4D04"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RC</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bCs/>
                <w:iCs/>
                <w:color w:val="000000"/>
                <w:szCs w:val="18"/>
              </w:rPr>
            </w:pPr>
            <w:r w:rsidRPr="003C3269">
              <w:rPr>
                <w:rFonts w:asciiTheme="minorHAnsi" w:hAnsiTheme="minorHAnsi" w:cs="Arial"/>
                <w:iCs/>
                <w:color w:val="000000"/>
                <w:szCs w:val="18"/>
              </w:rPr>
              <w:t>Reliability Committee</w:t>
            </w:r>
          </w:p>
        </w:tc>
      </w:tr>
      <w:tr w:rsidR="005C4D04"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REO</w:t>
            </w:r>
          </w:p>
        </w:tc>
        <w:tc>
          <w:tcPr>
            <w:tcW w:w="7037"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color w:val="000000"/>
                <w:szCs w:val="18"/>
              </w:rPr>
              <w:t>Regional Energy Outlook</w:t>
            </w:r>
          </w:p>
        </w:tc>
      </w:tr>
      <w:tr w:rsidR="005C4D04"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RES</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color w:val="000000"/>
                <w:szCs w:val="18"/>
              </w:rPr>
              <w:t>Renewable Energy Standard (RI, VT)</w:t>
            </w:r>
          </w:p>
        </w:tc>
      </w:tr>
      <w:tr w:rsidR="005C4D04"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RFP</w:t>
            </w:r>
          </w:p>
        </w:tc>
        <w:tc>
          <w:tcPr>
            <w:tcW w:w="7037"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color w:val="000000"/>
                <w:szCs w:val="18"/>
              </w:rPr>
              <w:t>request for proposals</w:t>
            </w:r>
          </w:p>
        </w:tc>
      </w:tr>
      <w:tr w:rsidR="005C4D04"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RGGI</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color w:val="000000"/>
                <w:szCs w:val="18"/>
              </w:rPr>
              <w:t>Regional Greenhouse Gas Initiative</w:t>
            </w:r>
          </w:p>
        </w:tc>
      </w:tr>
      <w:tr w:rsidR="005C4D04"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A84788" w:rsidRDefault="003C3269" w:rsidP="003C3269">
            <w:pPr>
              <w:spacing w:after="0"/>
              <w:rPr>
                <w:rFonts w:asciiTheme="minorHAnsi" w:hAnsiTheme="minorHAnsi" w:cs="Arial"/>
                <w:b/>
                <w:bCs/>
                <w:color w:val="000000"/>
                <w:szCs w:val="18"/>
              </w:rPr>
            </w:pPr>
            <w:r w:rsidRPr="00A84788">
              <w:rPr>
                <w:rFonts w:asciiTheme="minorHAnsi" w:hAnsiTheme="minorHAnsi" w:cs="Arial"/>
                <w:b/>
                <w:color w:val="000000"/>
                <w:szCs w:val="18"/>
              </w:rPr>
              <w:t>RI</w:t>
            </w:r>
          </w:p>
        </w:tc>
        <w:tc>
          <w:tcPr>
            <w:tcW w:w="7037" w:type="dxa"/>
          </w:tcPr>
          <w:p w:rsidR="003C3269" w:rsidRPr="003D4F3D" w:rsidRDefault="003C3269" w:rsidP="003C3269">
            <w:pPr>
              <w:spacing w:after="0"/>
              <w:rPr>
                <w:rFonts w:asciiTheme="minorHAnsi" w:hAnsiTheme="minorHAnsi" w:cs="Arial"/>
                <w:bCs/>
                <w:color w:val="000000"/>
                <w:szCs w:val="18"/>
              </w:rPr>
            </w:pPr>
            <w:r w:rsidRPr="007239D1">
              <w:rPr>
                <w:rFonts w:asciiTheme="minorHAnsi" w:hAnsiTheme="minorHAnsi" w:cs="Arial"/>
                <w:color w:val="000000"/>
                <w:szCs w:val="18"/>
              </w:rPr>
              <w:t>1) State of Rhode Island</w:t>
            </w:r>
          </w:p>
          <w:p w:rsidR="003C3269" w:rsidRPr="003D4F3D" w:rsidRDefault="003C3269" w:rsidP="003C3269">
            <w:pPr>
              <w:spacing w:after="0"/>
              <w:rPr>
                <w:rFonts w:asciiTheme="minorHAnsi" w:hAnsiTheme="minorHAnsi" w:cs="Arial"/>
                <w:bCs/>
                <w:color w:val="000000"/>
                <w:szCs w:val="18"/>
              </w:rPr>
            </w:pPr>
            <w:r w:rsidRPr="007239D1">
              <w:rPr>
                <w:rFonts w:asciiTheme="minorHAnsi" w:hAnsiTheme="minorHAnsi" w:cs="Arial"/>
                <w:color w:val="000000"/>
                <w:szCs w:val="18"/>
              </w:rPr>
              <w:t>2) RSP subarea that includes the part of Rhode Island bordering Massachusetts</w:t>
            </w:r>
          </w:p>
          <w:p w:rsidR="003C3269" w:rsidRPr="007239D1" w:rsidRDefault="003C3269" w:rsidP="003C3269">
            <w:pPr>
              <w:spacing w:after="0"/>
              <w:rPr>
                <w:rFonts w:asciiTheme="minorHAnsi" w:hAnsiTheme="minorHAnsi" w:cs="Arial"/>
                <w:color w:val="000000"/>
                <w:szCs w:val="18"/>
              </w:rPr>
            </w:pPr>
            <w:r w:rsidRPr="007239D1">
              <w:rPr>
                <w:rFonts w:asciiTheme="minorHAnsi" w:hAnsiTheme="minorHAnsi" w:cs="Arial"/>
                <w:color w:val="000000"/>
                <w:szCs w:val="18"/>
              </w:rPr>
              <w:t>3) Rhode Island load zone</w:t>
            </w:r>
          </w:p>
          <w:p w:rsidR="00A84788" w:rsidRPr="003D4F3D" w:rsidRDefault="00A84788" w:rsidP="00A84788">
            <w:pPr>
              <w:spacing w:after="0"/>
              <w:rPr>
                <w:rFonts w:asciiTheme="minorHAnsi" w:hAnsiTheme="minorHAnsi" w:cs="Arial"/>
                <w:bCs/>
                <w:color w:val="000000"/>
                <w:szCs w:val="18"/>
              </w:rPr>
            </w:pPr>
            <w:r w:rsidRPr="003D4F3D">
              <w:rPr>
                <w:rFonts w:ascii="Calibri" w:hAnsi="Calibri"/>
              </w:rPr>
              <w:t>4) Rhode Island active-demand-resource dispatch zone</w:t>
            </w:r>
          </w:p>
        </w:tc>
      </w:tr>
      <w:tr w:rsidR="005C4D04"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RIRP</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color w:val="000000"/>
                <w:szCs w:val="18"/>
              </w:rPr>
              <w:t>Rhode Island Reliability Project</w:t>
            </w:r>
          </w:p>
        </w:tc>
      </w:tr>
      <w:tr w:rsidR="005C4D04" w:rsidRPr="003C3269" w:rsidTr="0018383B">
        <w:trPr>
          <w:cnfStyle w:val="000000010000" w:firstRow="0" w:lastRow="0" w:firstColumn="0" w:lastColumn="0" w:oddVBand="0" w:evenVBand="0" w:oddHBand="0" w:evenHBand="1" w:firstRowFirstColumn="0" w:firstRowLastColumn="0" w:lastRowFirstColumn="0" w:lastRowLastColumn="0"/>
          <w:trHeight w:val="227"/>
        </w:trPr>
        <w:tc>
          <w:tcPr>
            <w:tcW w:w="2079"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RNS</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Regional Network Service</w:t>
            </w:r>
          </w:p>
        </w:tc>
      </w:tr>
      <w:tr w:rsidR="005C4D04" w:rsidRPr="003C3269" w:rsidTr="003D4F3D">
        <w:trPr>
          <w:cnfStyle w:val="000000100000" w:firstRow="0" w:lastRow="0" w:firstColumn="0" w:lastColumn="0" w:oddVBand="0" w:evenVBand="0" w:oddHBand="1" w:evenHBand="0" w:firstRowFirstColumn="0" w:firstRowLastColumn="0" w:lastRowFirstColumn="0" w:lastRowLastColumn="0"/>
          <w:trHeight w:val="209"/>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2B419A" w:rsidRDefault="002B419A" w:rsidP="003C3269">
            <w:pPr>
              <w:spacing w:after="0"/>
              <w:rPr>
                <w:rFonts w:asciiTheme="minorHAnsi" w:hAnsiTheme="minorHAnsi" w:cs="Arial"/>
                <w:b/>
                <w:color w:val="000000"/>
                <w:szCs w:val="18"/>
              </w:rPr>
            </w:pPr>
            <w:r>
              <w:rPr>
                <w:rFonts w:asciiTheme="minorHAnsi" w:hAnsiTheme="minorHAnsi" w:cs="Arial"/>
                <w:b/>
                <w:color w:val="000000"/>
                <w:szCs w:val="18"/>
              </w:rPr>
              <w:t>ROFR</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2B419A" w:rsidRPr="002B419A" w:rsidRDefault="002B419A" w:rsidP="003C3269">
            <w:pPr>
              <w:spacing w:after="0"/>
              <w:rPr>
                <w:rFonts w:asciiTheme="minorHAnsi" w:hAnsiTheme="minorHAnsi" w:cs="Arial"/>
                <w:color w:val="000000"/>
                <w:szCs w:val="18"/>
                <w:highlight w:val="green"/>
              </w:rPr>
            </w:pPr>
            <w:r w:rsidRPr="006760E1">
              <w:rPr>
                <w:rFonts w:asciiTheme="minorHAnsi" w:hAnsiTheme="minorHAnsi" w:cs="Arial"/>
                <w:color w:val="000000"/>
                <w:szCs w:val="18"/>
              </w:rPr>
              <w:t>right of first refusal</w:t>
            </w:r>
          </w:p>
        </w:tc>
      </w:tr>
      <w:tr w:rsidR="005C4D04" w:rsidRPr="003C3269" w:rsidTr="0018383B">
        <w:trPr>
          <w:cnfStyle w:val="000000010000" w:firstRow="0" w:lastRow="0" w:firstColumn="0" w:lastColumn="0" w:oddVBand="0" w:evenVBand="0" w:oddHBand="0" w:evenHBand="1" w:firstRowFirstColumn="0" w:firstRowLastColumn="0" w:lastRowFirstColumn="0" w:lastRowLastColumn="0"/>
          <w:trHeight w:val="209"/>
        </w:trPr>
        <w:tc>
          <w:tcPr>
            <w:tcW w:w="2079" w:type="dxa"/>
          </w:tcPr>
          <w:p w:rsidR="002B419A" w:rsidRPr="00A84788" w:rsidRDefault="002B419A" w:rsidP="003C3269">
            <w:pPr>
              <w:spacing w:after="0"/>
              <w:rPr>
                <w:rFonts w:asciiTheme="minorHAnsi" w:hAnsiTheme="minorHAnsi" w:cs="Arial"/>
                <w:b/>
                <w:color w:val="000000"/>
                <w:szCs w:val="18"/>
              </w:rPr>
            </w:pPr>
            <w:r w:rsidRPr="00A84788">
              <w:rPr>
                <w:rFonts w:asciiTheme="minorHAnsi" w:hAnsiTheme="minorHAnsi" w:cs="Arial"/>
                <w:b/>
                <w:color w:val="000000"/>
                <w:szCs w:val="18"/>
              </w:rPr>
              <w:t>ROP</w:t>
            </w:r>
          </w:p>
        </w:tc>
        <w:tc>
          <w:tcPr>
            <w:tcW w:w="7037" w:type="dxa"/>
          </w:tcPr>
          <w:p w:rsidR="002B419A" w:rsidRPr="00A84788" w:rsidRDefault="002B419A" w:rsidP="003C3269">
            <w:pPr>
              <w:spacing w:after="0"/>
              <w:rPr>
                <w:rFonts w:asciiTheme="minorHAnsi" w:hAnsiTheme="minorHAnsi" w:cs="Arial"/>
                <w:color w:val="000000"/>
                <w:szCs w:val="18"/>
              </w:rPr>
            </w:pPr>
            <w:r w:rsidRPr="00A84788">
              <w:rPr>
                <w:rFonts w:asciiTheme="minorHAnsi" w:hAnsiTheme="minorHAnsi" w:cs="Arial"/>
                <w:color w:val="000000"/>
                <w:szCs w:val="18"/>
              </w:rPr>
              <w:t>Rest-of-Pool capacity zone</w:t>
            </w:r>
          </w:p>
        </w:tc>
      </w:tr>
      <w:tr w:rsidR="005C4D04" w:rsidRPr="003C3269" w:rsidTr="003D4F3D">
        <w:trPr>
          <w:cnfStyle w:val="000000100000" w:firstRow="0" w:lastRow="0" w:firstColumn="0" w:lastColumn="0" w:oddVBand="0" w:evenVBand="0" w:oddHBand="1" w:evenHBand="0" w:firstRowFirstColumn="0" w:firstRowLastColumn="0" w:lastRowFirstColumn="0" w:lastRowLastColumn="0"/>
          <w:trHeight w:val="209"/>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D03F59" w:rsidRDefault="003C3269" w:rsidP="003C3269">
            <w:pPr>
              <w:spacing w:after="0"/>
              <w:rPr>
                <w:rFonts w:asciiTheme="minorHAnsi" w:hAnsiTheme="minorHAnsi" w:cs="Arial"/>
                <w:b/>
                <w:bCs/>
                <w:color w:val="000000"/>
                <w:szCs w:val="18"/>
              </w:rPr>
            </w:pPr>
            <w:r w:rsidRPr="00D03F59">
              <w:rPr>
                <w:rFonts w:asciiTheme="minorHAnsi" w:hAnsiTheme="minorHAnsi" w:cs="Arial"/>
                <w:b/>
                <w:color w:val="000000"/>
                <w:szCs w:val="18"/>
              </w:rPr>
              <w:t>ROS</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6760E1" w:rsidRDefault="003C3269" w:rsidP="00A84788">
            <w:pPr>
              <w:spacing w:after="0"/>
              <w:rPr>
                <w:rFonts w:asciiTheme="minorHAnsi" w:hAnsiTheme="minorHAnsi" w:cs="Arial"/>
                <w:color w:val="000000"/>
                <w:szCs w:val="18"/>
              </w:rPr>
            </w:pPr>
            <w:r w:rsidRPr="006760E1">
              <w:rPr>
                <w:rFonts w:asciiTheme="minorHAnsi" w:hAnsiTheme="minorHAnsi" w:cs="Arial"/>
                <w:color w:val="000000"/>
                <w:szCs w:val="18"/>
              </w:rPr>
              <w:t>Rest-of-System reserve zone</w:t>
            </w:r>
            <w:r w:rsidR="00D03F59" w:rsidRPr="00D03F59">
              <w:rPr>
                <w:rFonts w:asciiTheme="minorHAnsi" w:hAnsiTheme="minorHAnsi" w:cs="Arial"/>
                <w:color w:val="000000"/>
                <w:szCs w:val="18"/>
              </w:rPr>
              <w:t>, which excludes the other, local reserve zones</w:t>
            </w:r>
          </w:p>
        </w:tc>
      </w:tr>
      <w:tr w:rsidR="005C4D04"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RPS</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Renewable Portfolio Standard</w:t>
            </w:r>
          </w:p>
        </w:tc>
      </w:tr>
      <w:tr w:rsidR="005C4D04"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RSP</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Regional System Plan</w:t>
            </w:r>
          </w:p>
        </w:tc>
      </w:tr>
      <w:tr w:rsidR="005C4D04"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RSP</w:t>
            </w:r>
            <w:r w:rsidRPr="003C3269">
              <w:rPr>
                <w:rFonts w:asciiTheme="minorHAnsi" w:hAnsiTheme="minorHAnsi" w:cs="Arial"/>
                <w:b/>
                <w:i/>
                <w:color w:val="000000"/>
                <w:szCs w:val="18"/>
              </w:rPr>
              <w:t>XY</w:t>
            </w:r>
          </w:p>
        </w:tc>
        <w:tc>
          <w:tcPr>
            <w:tcW w:w="7037" w:type="dxa"/>
          </w:tcPr>
          <w:p w:rsidR="003C3269" w:rsidRPr="003C3269" w:rsidRDefault="003C3269" w:rsidP="003C3269">
            <w:pPr>
              <w:spacing w:after="0"/>
              <w:rPr>
                <w:rFonts w:asciiTheme="minorHAnsi" w:hAnsiTheme="minorHAnsi" w:cs="Arial"/>
                <w:i/>
                <w:iCs/>
                <w:color w:val="000000"/>
                <w:szCs w:val="18"/>
              </w:rPr>
            </w:pPr>
            <w:r w:rsidRPr="003C3269">
              <w:rPr>
                <w:rFonts w:asciiTheme="minorHAnsi" w:hAnsiTheme="minorHAnsi" w:cs="Arial"/>
                <w:i/>
                <w:iCs/>
                <w:color w:val="000000"/>
                <w:szCs w:val="18"/>
              </w:rPr>
              <w:t>20XY Regional System Plan</w:t>
            </w:r>
          </w:p>
        </w:tc>
      </w:tr>
      <w:tr w:rsidR="005C4D04"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RTDR</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real-time demand response</w:t>
            </w:r>
          </w:p>
        </w:tc>
      </w:tr>
      <w:tr w:rsidR="005C4D04"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RTEG</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real-time emergency generation</w:t>
            </w:r>
          </w:p>
        </w:tc>
      </w:tr>
      <w:tr w:rsidR="005C4D04"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RTO</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Regional Transmission Organization</w:t>
            </w:r>
          </w:p>
        </w:tc>
      </w:tr>
      <w:tr w:rsidR="005C4D04"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RTU</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reliability transmission upgrade</w:t>
            </w:r>
          </w:p>
        </w:tc>
      </w:tr>
      <w:tr w:rsidR="005C4D04"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SB</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Senate Bill</w:t>
            </w:r>
          </w:p>
        </w:tc>
      </w:tr>
      <w:tr w:rsidR="005C4D04"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SBC</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systems benefits charge</w:t>
            </w:r>
          </w:p>
        </w:tc>
      </w:tr>
      <w:tr w:rsidR="005C4D04"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SCC</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seasonal claimed capability</w:t>
            </w:r>
          </w:p>
        </w:tc>
      </w:tr>
      <w:tr w:rsidR="00E83A1E"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E83A1E" w:rsidRPr="003E4C97" w:rsidRDefault="00E83A1E" w:rsidP="003C3269">
            <w:pPr>
              <w:spacing w:after="0"/>
              <w:rPr>
                <w:rFonts w:asciiTheme="minorHAnsi" w:hAnsiTheme="minorHAnsi" w:cs="Arial"/>
                <w:b/>
                <w:color w:val="000000"/>
                <w:szCs w:val="18"/>
              </w:rPr>
            </w:pPr>
            <w:r>
              <w:rPr>
                <w:rFonts w:asciiTheme="minorHAnsi" w:hAnsiTheme="minorHAnsi" w:cs="Arial"/>
                <w:b/>
                <w:color w:val="000000"/>
                <w:szCs w:val="18"/>
              </w:rPr>
              <w:t>Seacoast</w:t>
            </w:r>
          </w:p>
        </w:tc>
        <w:tc>
          <w:tcPr>
            <w:tcW w:w="7037" w:type="dxa"/>
          </w:tcPr>
          <w:p w:rsidR="00E83A1E" w:rsidRPr="003E4C97" w:rsidRDefault="00E83A1E" w:rsidP="003C3269">
            <w:pPr>
              <w:spacing w:after="0"/>
              <w:rPr>
                <w:rFonts w:asciiTheme="minorHAnsi" w:hAnsiTheme="minorHAnsi" w:cs="Arial"/>
                <w:color w:val="000000"/>
                <w:szCs w:val="18"/>
              </w:rPr>
            </w:pPr>
            <w:r>
              <w:rPr>
                <w:rFonts w:asciiTheme="minorHAnsi" w:hAnsiTheme="minorHAnsi" w:cs="Arial"/>
                <w:color w:val="000000"/>
                <w:szCs w:val="18"/>
              </w:rPr>
              <w:t>active-demand-resource dispatch zone</w:t>
            </w:r>
          </w:p>
        </w:tc>
      </w:tr>
      <w:tr w:rsidR="005C4D04"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E4C97" w:rsidRDefault="003C3269" w:rsidP="003C3269">
            <w:pPr>
              <w:spacing w:after="0"/>
              <w:rPr>
                <w:rFonts w:asciiTheme="minorHAnsi" w:hAnsiTheme="minorHAnsi" w:cs="Arial"/>
                <w:b/>
                <w:bCs/>
                <w:color w:val="000000"/>
                <w:szCs w:val="18"/>
              </w:rPr>
            </w:pPr>
            <w:r w:rsidRPr="003E4C97">
              <w:rPr>
                <w:rFonts w:asciiTheme="minorHAnsi" w:hAnsiTheme="minorHAnsi" w:cs="Arial"/>
                <w:b/>
                <w:color w:val="000000"/>
                <w:szCs w:val="18"/>
              </w:rPr>
              <w:t>SEMA</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E4C97" w:rsidRDefault="003C3269" w:rsidP="003C3269">
            <w:pPr>
              <w:spacing w:after="0"/>
              <w:rPr>
                <w:rFonts w:asciiTheme="minorHAnsi" w:hAnsiTheme="minorHAnsi" w:cs="Arial"/>
                <w:color w:val="000000"/>
                <w:szCs w:val="18"/>
              </w:rPr>
            </w:pPr>
            <w:r w:rsidRPr="003E4C97">
              <w:rPr>
                <w:rFonts w:asciiTheme="minorHAnsi" w:hAnsiTheme="minorHAnsi" w:cs="Arial"/>
                <w:color w:val="000000"/>
                <w:szCs w:val="18"/>
              </w:rPr>
              <w:t>1) RSP subarea comprising southeastern Massachusetts and Newport, Rhode Island</w:t>
            </w:r>
          </w:p>
          <w:p w:rsidR="003C3269" w:rsidRDefault="003C3269" w:rsidP="003C3269">
            <w:pPr>
              <w:spacing w:after="0"/>
              <w:rPr>
                <w:rFonts w:asciiTheme="minorHAnsi" w:hAnsiTheme="minorHAnsi" w:cs="Arial"/>
                <w:color w:val="000000"/>
                <w:szCs w:val="18"/>
              </w:rPr>
            </w:pPr>
            <w:r w:rsidRPr="003E4C97">
              <w:rPr>
                <w:rFonts w:asciiTheme="minorHAnsi" w:hAnsiTheme="minorHAnsi" w:cs="Arial"/>
                <w:color w:val="000000"/>
                <w:szCs w:val="18"/>
              </w:rPr>
              <w:t>2) Southeastern Massachusetts load zone</w:t>
            </w:r>
          </w:p>
          <w:p w:rsidR="00E83A1E" w:rsidRPr="003C3269" w:rsidRDefault="00E83A1E" w:rsidP="003C3269">
            <w:pPr>
              <w:spacing w:after="0"/>
              <w:rPr>
                <w:rFonts w:asciiTheme="minorHAnsi" w:hAnsiTheme="minorHAnsi" w:cs="Arial"/>
                <w:color w:val="000000"/>
                <w:szCs w:val="18"/>
              </w:rPr>
            </w:pPr>
            <w:r>
              <w:rPr>
                <w:rFonts w:asciiTheme="minorHAnsi" w:hAnsiTheme="minorHAnsi" w:cs="Arial"/>
                <w:color w:val="000000"/>
                <w:szCs w:val="18"/>
              </w:rPr>
              <w:t>3) active-demand-resource dispatch zone</w:t>
            </w:r>
          </w:p>
        </w:tc>
      </w:tr>
      <w:tr w:rsidR="003E4C97"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E4C97" w:rsidRPr="003E4C97" w:rsidRDefault="003E4C97" w:rsidP="003C3269">
            <w:pPr>
              <w:spacing w:after="0"/>
              <w:rPr>
                <w:rFonts w:asciiTheme="minorHAnsi" w:hAnsiTheme="minorHAnsi" w:cs="Arial"/>
                <w:b/>
                <w:color w:val="000000"/>
                <w:szCs w:val="18"/>
              </w:rPr>
            </w:pPr>
            <w:r>
              <w:rPr>
                <w:rFonts w:asciiTheme="minorHAnsi" w:hAnsiTheme="minorHAnsi" w:cs="Arial"/>
                <w:b/>
                <w:color w:val="000000"/>
                <w:szCs w:val="18"/>
              </w:rPr>
              <w:t>SEMA/RI</w:t>
            </w:r>
          </w:p>
        </w:tc>
        <w:tc>
          <w:tcPr>
            <w:tcW w:w="7037" w:type="dxa"/>
          </w:tcPr>
          <w:p w:rsidR="003E4C97" w:rsidRPr="003E4C97" w:rsidRDefault="003E4C97" w:rsidP="003E4C97">
            <w:pPr>
              <w:spacing w:after="0"/>
              <w:rPr>
                <w:rFonts w:asciiTheme="minorHAnsi" w:hAnsiTheme="minorHAnsi" w:cs="Arial"/>
                <w:color w:val="000000"/>
                <w:szCs w:val="18"/>
              </w:rPr>
            </w:pPr>
            <w:r>
              <w:rPr>
                <w:rFonts w:asciiTheme="minorHAnsi" w:hAnsiTheme="minorHAnsi" w:cs="Arial"/>
                <w:color w:val="000000"/>
                <w:szCs w:val="18"/>
              </w:rPr>
              <w:t xml:space="preserve">Southeastern Massachusetts/Rhode Island  capacity zone, </w:t>
            </w:r>
            <w:r w:rsidRPr="006760E1">
              <w:rPr>
                <w:rFonts w:asciiTheme="minorHAnsi" w:hAnsiTheme="minorHAnsi" w:cs="Arial"/>
                <w:color w:val="000000"/>
                <w:szCs w:val="18"/>
              </w:rPr>
              <w:t>the area within the SEMA/RI import interface, comprising the RSP “bubbles” for SEMA and RI</w:t>
            </w:r>
          </w:p>
        </w:tc>
      </w:tr>
      <w:tr w:rsidR="005C4D04"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E4C97" w:rsidRDefault="003C3269" w:rsidP="003C3269">
            <w:pPr>
              <w:spacing w:after="0"/>
              <w:rPr>
                <w:rFonts w:asciiTheme="minorHAnsi" w:hAnsiTheme="minorHAnsi" w:cs="Arial"/>
                <w:b/>
                <w:color w:val="000000"/>
                <w:szCs w:val="18"/>
              </w:rPr>
            </w:pPr>
            <w:r w:rsidRPr="003E4C97">
              <w:rPr>
                <w:rFonts w:asciiTheme="minorHAnsi" w:hAnsiTheme="minorHAnsi" w:cs="Arial"/>
                <w:b/>
                <w:color w:val="000000"/>
                <w:szCs w:val="18"/>
              </w:rPr>
              <w:lastRenderedPageBreak/>
              <w:t>S</w:t>
            </w:r>
            <w:r w:rsidR="002B419A" w:rsidRPr="003E4C97">
              <w:rPr>
                <w:rFonts w:asciiTheme="minorHAnsi" w:hAnsiTheme="minorHAnsi" w:cs="Arial"/>
                <w:b/>
                <w:color w:val="000000"/>
                <w:szCs w:val="18"/>
              </w:rPr>
              <w:t>ENE</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E4C97" w:rsidRDefault="003E4C97" w:rsidP="003E4C97">
            <w:pPr>
              <w:spacing w:after="0"/>
              <w:rPr>
                <w:rFonts w:asciiTheme="minorHAnsi" w:hAnsiTheme="minorHAnsi" w:cs="Arial"/>
                <w:color w:val="000000"/>
                <w:szCs w:val="18"/>
              </w:rPr>
            </w:pPr>
            <w:r w:rsidRPr="006760E1">
              <w:rPr>
                <w:rFonts w:asciiTheme="minorHAnsi" w:hAnsiTheme="minorHAnsi" w:cs="Arial"/>
                <w:color w:val="000000"/>
                <w:szCs w:val="18"/>
              </w:rPr>
              <w:t>S</w:t>
            </w:r>
            <w:r w:rsidR="002B419A" w:rsidRPr="003E4C97">
              <w:rPr>
                <w:rFonts w:asciiTheme="minorHAnsi" w:hAnsiTheme="minorHAnsi" w:cs="Arial"/>
                <w:color w:val="000000"/>
                <w:szCs w:val="18"/>
              </w:rPr>
              <w:t xml:space="preserve">outheastern New England </w:t>
            </w:r>
            <w:r w:rsidRPr="003E4C97">
              <w:rPr>
                <w:rFonts w:asciiTheme="minorHAnsi" w:hAnsiTheme="minorHAnsi" w:cs="Arial"/>
                <w:color w:val="000000"/>
                <w:szCs w:val="18"/>
              </w:rPr>
              <w:t xml:space="preserve"> import-constrained capacity zone, which includes the area within the Southeast New England interface, comprising the RSP ‘bubbles” for SEMA, RI, and BOSTON</w:t>
            </w:r>
          </w:p>
        </w:tc>
      </w:tr>
      <w:tr w:rsidR="005C4D04"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SMD</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Standard Market Design</w:t>
            </w:r>
          </w:p>
        </w:tc>
      </w:tr>
      <w:tr w:rsidR="005C4D04"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bCs/>
                <w:color w:val="000000"/>
                <w:szCs w:val="18"/>
              </w:rPr>
              <w:t>SME</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RSP subarea for southeastern Maine</w:t>
            </w:r>
          </w:p>
        </w:tc>
      </w:tr>
      <w:tr w:rsidR="005C4D04"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SO</w:t>
            </w:r>
            <w:r w:rsidRPr="003C3269">
              <w:rPr>
                <w:rFonts w:asciiTheme="minorHAnsi" w:hAnsiTheme="minorHAnsi" w:cs="Arial"/>
                <w:b/>
                <w:color w:val="000000"/>
                <w:szCs w:val="18"/>
                <w:vertAlign w:val="subscript"/>
              </w:rPr>
              <w:t>2</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sulfur dioxide</w:t>
            </w:r>
          </w:p>
        </w:tc>
      </w:tr>
      <w:tr w:rsidR="005C4D04"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SOEP</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Sable Offshore Energy Project</w:t>
            </w:r>
          </w:p>
        </w:tc>
      </w:tr>
      <w:tr w:rsidR="005C4D04"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SOR</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settlement-only resource</w:t>
            </w:r>
          </w:p>
        </w:tc>
      </w:tr>
      <w:tr w:rsidR="005C4D04"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2B419A" w:rsidRPr="003C3269" w:rsidRDefault="002B419A" w:rsidP="003C3269">
            <w:pPr>
              <w:spacing w:after="0"/>
              <w:rPr>
                <w:rFonts w:asciiTheme="minorHAnsi" w:hAnsiTheme="minorHAnsi" w:cs="Arial"/>
                <w:b/>
                <w:color w:val="000000"/>
                <w:szCs w:val="18"/>
              </w:rPr>
            </w:pPr>
            <w:r w:rsidRPr="002B419A">
              <w:rPr>
                <w:rFonts w:asciiTheme="minorHAnsi" w:hAnsiTheme="minorHAnsi" w:cs="Arial"/>
                <w:b/>
                <w:color w:val="000000"/>
                <w:szCs w:val="18"/>
              </w:rPr>
              <w:t>SP-15</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2B419A" w:rsidRPr="002B419A" w:rsidRDefault="002B419A">
            <w:pPr>
              <w:spacing w:after="0"/>
              <w:rPr>
                <w:rFonts w:asciiTheme="minorHAnsi" w:hAnsiTheme="minorHAnsi" w:cs="Arial"/>
                <w:color w:val="000000"/>
                <w:szCs w:val="18"/>
              </w:rPr>
            </w:pPr>
            <w:r w:rsidRPr="006760E1">
              <w:rPr>
                <w:rFonts w:ascii="Calibri" w:hAnsi="Calibri"/>
                <w:bCs/>
                <w:sz w:val="20"/>
                <w:szCs w:val="18"/>
              </w:rPr>
              <w:t>CAISO</w:t>
            </w:r>
            <w:r>
              <w:rPr>
                <w:rFonts w:ascii="Calibri" w:hAnsi="Calibri"/>
                <w:bCs/>
                <w:szCs w:val="18"/>
              </w:rPr>
              <w:t xml:space="preserve"> </w:t>
            </w:r>
            <w:r w:rsidRPr="006760E1">
              <w:rPr>
                <w:rFonts w:ascii="Calibri" w:hAnsi="Calibri"/>
                <w:bCs/>
                <w:sz w:val="20"/>
                <w:szCs w:val="18"/>
              </w:rPr>
              <w:t>zone covering southern California</w:t>
            </w:r>
          </w:p>
        </w:tc>
      </w:tr>
      <w:tr w:rsidR="005C4D04"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SPI</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Strategic Planning Initiative</w:t>
            </w:r>
          </w:p>
        </w:tc>
      </w:tr>
      <w:tr w:rsidR="00E83A1E"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E83A1E" w:rsidRPr="003C3269" w:rsidRDefault="00E83A1E" w:rsidP="003C3269">
            <w:pPr>
              <w:spacing w:after="0"/>
              <w:rPr>
                <w:rFonts w:asciiTheme="minorHAnsi" w:hAnsiTheme="minorHAnsi" w:cs="Arial"/>
                <w:b/>
                <w:color w:val="000000"/>
                <w:szCs w:val="18"/>
              </w:rPr>
            </w:pPr>
            <w:r>
              <w:rPr>
                <w:rFonts w:asciiTheme="minorHAnsi" w:hAnsiTheme="minorHAnsi" w:cs="Arial"/>
                <w:b/>
                <w:color w:val="000000"/>
                <w:szCs w:val="18"/>
              </w:rPr>
              <w:t>Springfield, MA</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E83A1E" w:rsidRPr="003C3269" w:rsidRDefault="00E83A1E" w:rsidP="003C3269">
            <w:pPr>
              <w:spacing w:after="0"/>
              <w:rPr>
                <w:rFonts w:asciiTheme="minorHAnsi" w:hAnsiTheme="minorHAnsi" w:cs="Arial"/>
                <w:color w:val="000000"/>
                <w:szCs w:val="18"/>
              </w:rPr>
            </w:pPr>
            <w:r>
              <w:rPr>
                <w:rFonts w:asciiTheme="minorHAnsi" w:hAnsiTheme="minorHAnsi" w:cs="Arial"/>
                <w:color w:val="000000"/>
                <w:szCs w:val="18"/>
              </w:rPr>
              <w:t>Springfield, Massachusetts, active-demand-resource dispatch zone</w:t>
            </w:r>
          </w:p>
        </w:tc>
      </w:tr>
      <w:tr w:rsidR="005C4D04"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SSCC</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summer seasonal claimed capability</w:t>
            </w:r>
          </w:p>
        </w:tc>
      </w:tr>
      <w:tr w:rsidR="005C4D04"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STATCOM</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static synchronous compensator</w:t>
            </w:r>
          </w:p>
        </w:tc>
      </w:tr>
      <w:tr w:rsidR="005C4D04"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SVC</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static voltage ampere reactive (VAR; V) compensator</w:t>
            </w:r>
          </w:p>
        </w:tc>
      </w:tr>
      <w:tr w:rsidR="005C4D04"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EB1DC1" w:rsidRDefault="003C3269" w:rsidP="003C3269">
            <w:pPr>
              <w:spacing w:after="0"/>
              <w:rPr>
                <w:rFonts w:asciiTheme="minorHAnsi" w:hAnsiTheme="minorHAnsi" w:cs="Arial"/>
                <w:b/>
                <w:bCs/>
                <w:color w:val="000000"/>
                <w:szCs w:val="18"/>
              </w:rPr>
            </w:pPr>
            <w:r w:rsidRPr="00EB1DC1">
              <w:rPr>
                <w:rFonts w:asciiTheme="minorHAnsi" w:hAnsiTheme="minorHAnsi" w:cs="Arial"/>
                <w:b/>
                <w:color w:val="000000"/>
                <w:szCs w:val="18"/>
              </w:rPr>
              <w:t>SWCT</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EB1DC1" w:rsidRDefault="003C3269" w:rsidP="003C3269">
            <w:pPr>
              <w:spacing w:after="0"/>
              <w:rPr>
                <w:rFonts w:asciiTheme="minorHAnsi" w:hAnsiTheme="minorHAnsi" w:cs="Arial"/>
                <w:color w:val="000000"/>
                <w:szCs w:val="18"/>
              </w:rPr>
            </w:pPr>
            <w:r w:rsidRPr="00EB1DC1">
              <w:rPr>
                <w:rFonts w:asciiTheme="minorHAnsi" w:hAnsiTheme="minorHAnsi" w:cs="Arial"/>
                <w:color w:val="000000"/>
                <w:szCs w:val="18"/>
              </w:rPr>
              <w:t>RSP subarea for southwestern Connecticut</w:t>
            </w:r>
          </w:p>
        </w:tc>
      </w:tr>
      <w:tr w:rsidR="005C4D04"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E406E5" w:rsidP="003C3269">
            <w:pPr>
              <w:spacing w:after="0"/>
              <w:rPr>
                <w:rFonts w:asciiTheme="minorHAnsi" w:hAnsiTheme="minorHAnsi" w:cs="Arial"/>
                <w:b/>
                <w:color w:val="000000"/>
                <w:szCs w:val="18"/>
              </w:rPr>
            </w:pPr>
            <w:r>
              <w:rPr>
                <w:rFonts w:asciiTheme="minorHAnsi" w:hAnsiTheme="minorHAnsi" w:cs="Arial"/>
                <w:b/>
                <w:color w:val="000000"/>
                <w:szCs w:val="18"/>
              </w:rPr>
              <w:t>TBD</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to be determined</w:t>
            </w:r>
          </w:p>
        </w:tc>
      </w:tr>
      <w:tr w:rsidR="005C4D04"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TC</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Transmission Committee</w:t>
            </w:r>
          </w:p>
        </w:tc>
      </w:tr>
      <w:tr w:rsidR="005C4D04"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tcf</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trillion cubic feet</w:t>
            </w:r>
          </w:p>
        </w:tc>
      </w:tr>
      <w:tr w:rsidR="005C4D04"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T</w:t>
            </w:r>
            <w:r w:rsidR="002B419A">
              <w:rPr>
                <w:rFonts w:asciiTheme="minorHAnsi" w:hAnsiTheme="minorHAnsi" w:cs="Arial"/>
                <w:b/>
                <w:color w:val="000000"/>
                <w:szCs w:val="18"/>
              </w:rPr>
              <w:t>echnical Guide</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2B419A" w:rsidP="003C3269">
            <w:pPr>
              <w:spacing w:after="0"/>
              <w:rPr>
                <w:rFonts w:asciiTheme="minorHAnsi" w:hAnsiTheme="minorHAnsi" w:cs="Arial"/>
                <w:color w:val="000000"/>
                <w:szCs w:val="18"/>
              </w:rPr>
            </w:pPr>
            <w:r>
              <w:rPr>
                <w:rFonts w:asciiTheme="minorHAnsi" w:hAnsiTheme="minorHAnsi" w:cs="Arial"/>
                <w:i/>
                <w:color w:val="000000"/>
                <w:szCs w:val="18"/>
              </w:rPr>
              <w:t xml:space="preserve"> </w:t>
            </w:r>
            <w:r w:rsidRPr="00426760">
              <w:rPr>
                <w:rFonts w:asciiTheme="minorHAnsi" w:hAnsiTheme="minorHAnsi" w:cs="Arial"/>
                <w:color w:val="000000"/>
                <w:szCs w:val="18"/>
              </w:rPr>
              <w:t>ISO New England’s</w:t>
            </w:r>
            <w:r>
              <w:rPr>
                <w:rFonts w:asciiTheme="minorHAnsi" w:hAnsiTheme="minorHAnsi" w:cs="Arial"/>
                <w:i/>
                <w:color w:val="000000"/>
                <w:szCs w:val="18"/>
              </w:rPr>
              <w:t xml:space="preserve"> </w:t>
            </w:r>
            <w:r w:rsidRPr="00426760">
              <w:rPr>
                <w:rFonts w:asciiTheme="minorHAnsi" w:hAnsiTheme="minorHAnsi" w:cs="Arial"/>
                <w:i/>
                <w:color w:val="000000"/>
                <w:szCs w:val="18"/>
              </w:rPr>
              <w:t>Transmission Planning Technical Guide</w:t>
            </w:r>
          </w:p>
        </w:tc>
      </w:tr>
      <w:tr w:rsidR="005C4D04"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TGP</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Tennessee Gas Pipeline</w:t>
            </w:r>
          </w:p>
        </w:tc>
      </w:tr>
      <w:tr w:rsidR="005C4D04"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T</w:t>
            </w:r>
            <w:r w:rsidR="002B419A">
              <w:rPr>
                <w:rFonts w:asciiTheme="minorHAnsi" w:hAnsiTheme="minorHAnsi" w:cs="Arial"/>
                <w:b/>
                <w:color w:val="000000"/>
                <w:szCs w:val="18"/>
              </w:rPr>
              <w:t>OPAC</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2B419A" w:rsidP="003C3269">
            <w:pPr>
              <w:spacing w:after="0"/>
              <w:rPr>
                <w:rFonts w:asciiTheme="minorHAnsi" w:hAnsiTheme="minorHAnsi" w:cs="Arial"/>
                <w:color w:val="000000"/>
                <w:szCs w:val="18"/>
              </w:rPr>
            </w:pPr>
            <w:r>
              <w:rPr>
                <w:rFonts w:asciiTheme="minorHAnsi" w:hAnsiTheme="minorHAnsi" w:cs="Arial"/>
                <w:color w:val="000000"/>
                <w:szCs w:val="18"/>
              </w:rPr>
              <w:t>Transmission Owner Planning Advisory Committee</w:t>
            </w:r>
          </w:p>
        </w:tc>
      </w:tr>
      <w:tr w:rsidR="005C4D04" w:rsidRPr="003C3269" w:rsidDel="001B15B5"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TOUT</w:t>
            </w:r>
          </w:p>
        </w:tc>
        <w:tc>
          <w:tcPr>
            <w:tcW w:w="7037" w:type="dxa"/>
          </w:tcPr>
          <w:p w:rsidR="003C3269" w:rsidRPr="003C3269" w:rsidRDefault="003C3269" w:rsidP="00A84788">
            <w:pPr>
              <w:spacing w:after="0"/>
              <w:rPr>
                <w:rFonts w:asciiTheme="minorHAnsi" w:hAnsiTheme="minorHAnsi" w:cs="Arial"/>
                <w:color w:val="000000"/>
                <w:szCs w:val="18"/>
              </w:rPr>
            </w:pPr>
            <w:r w:rsidRPr="003C3269">
              <w:rPr>
                <w:rFonts w:asciiTheme="minorHAnsi" w:hAnsiTheme="minorHAnsi" w:cs="Arial"/>
                <w:color w:val="000000"/>
                <w:szCs w:val="18"/>
              </w:rPr>
              <w:t>through-or-out service</w:t>
            </w:r>
          </w:p>
        </w:tc>
      </w:tr>
      <w:tr w:rsidR="005C4D04" w:rsidRPr="003C3269" w:rsidDel="001B15B5"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TQM</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A84788">
            <w:pPr>
              <w:spacing w:after="0"/>
              <w:rPr>
                <w:rFonts w:asciiTheme="minorHAnsi" w:hAnsiTheme="minorHAnsi" w:cs="Arial"/>
                <w:color w:val="000000"/>
                <w:szCs w:val="18"/>
              </w:rPr>
            </w:pPr>
            <w:r w:rsidRPr="003C3269">
              <w:rPr>
                <w:rFonts w:asciiTheme="minorHAnsi" w:hAnsiTheme="minorHAnsi" w:cs="Arial"/>
                <w:color w:val="000000"/>
                <w:szCs w:val="18"/>
              </w:rPr>
              <w:t xml:space="preserve">Trans-Québec and Maritimes </w:t>
            </w:r>
            <w:r w:rsidR="00A84788">
              <w:rPr>
                <w:rFonts w:asciiTheme="minorHAnsi" w:hAnsiTheme="minorHAnsi" w:cs="Arial"/>
                <w:color w:val="000000"/>
                <w:szCs w:val="18"/>
              </w:rPr>
              <w:t>P</w:t>
            </w:r>
            <w:r w:rsidRPr="003C3269">
              <w:rPr>
                <w:rFonts w:asciiTheme="minorHAnsi" w:hAnsiTheme="minorHAnsi" w:cs="Arial"/>
                <w:color w:val="000000"/>
                <w:szCs w:val="18"/>
              </w:rPr>
              <w:t>ipeline</w:t>
            </w:r>
          </w:p>
        </w:tc>
      </w:tr>
      <w:tr w:rsidR="005C4D04"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ULSD</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ultra-low-sulfur diesel</w:t>
            </w:r>
          </w:p>
        </w:tc>
      </w:tr>
      <w:tr w:rsidR="005C4D04"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US</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United States</w:t>
            </w:r>
          </w:p>
        </w:tc>
      </w:tr>
      <w:tr w:rsidR="005C4D04"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2B419A" w:rsidRPr="003C3269" w:rsidRDefault="002B419A" w:rsidP="003C3269">
            <w:pPr>
              <w:spacing w:after="0"/>
              <w:rPr>
                <w:rFonts w:asciiTheme="minorHAnsi" w:hAnsiTheme="minorHAnsi" w:cs="Arial"/>
                <w:b/>
                <w:color w:val="000000"/>
                <w:szCs w:val="18"/>
              </w:rPr>
            </w:pPr>
            <w:r>
              <w:rPr>
                <w:rFonts w:asciiTheme="minorHAnsi" w:hAnsiTheme="minorHAnsi" w:cs="Arial"/>
                <w:b/>
                <w:color w:val="000000"/>
                <w:szCs w:val="18"/>
              </w:rPr>
              <w:t>USA</w:t>
            </w:r>
          </w:p>
        </w:tc>
        <w:tc>
          <w:tcPr>
            <w:tcW w:w="7037" w:type="dxa"/>
          </w:tcPr>
          <w:p w:rsidR="002B419A" w:rsidRPr="003C3269" w:rsidRDefault="002B419A" w:rsidP="003C3269">
            <w:pPr>
              <w:spacing w:after="0"/>
              <w:rPr>
                <w:rFonts w:asciiTheme="minorHAnsi" w:hAnsiTheme="minorHAnsi" w:cs="Arial"/>
                <w:color w:val="000000"/>
                <w:szCs w:val="18"/>
              </w:rPr>
            </w:pPr>
            <w:r>
              <w:rPr>
                <w:rFonts w:asciiTheme="minorHAnsi" w:hAnsiTheme="minorHAnsi" w:cs="Arial"/>
                <w:color w:val="000000"/>
                <w:szCs w:val="18"/>
              </w:rPr>
              <w:t>United States of America</w:t>
            </w:r>
          </w:p>
        </w:tc>
      </w:tr>
      <w:tr w:rsidR="005C4D04"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USC</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United States Code</w:t>
            </w:r>
          </w:p>
        </w:tc>
      </w:tr>
      <w:tr w:rsidR="005C4D04"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USGS</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US Geological Survey</w:t>
            </w:r>
          </w:p>
        </w:tc>
      </w:tr>
      <w:tr w:rsidR="005C4D04"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VAR</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voltage-ampere reactive</w:t>
            </w:r>
          </w:p>
        </w:tc>
      </w:tr>
      <w:tr w:rsidR="005C4D04"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VELCO</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Vermont Electric Power Company</w:t>
            </w:r>
          </w:p>
        </w:tc>
      </w:tr>
      <w:tr w:rsidR="005C4D04"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VER</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variable energy resource</w:t>
            </w:r>
          </w:p>
        </w:tc>
      </w:tr>
      <w:tr w:rsidR="006760E1"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6760E1" w:rsidRPr="003C3269" w:rsidRDefault="006760E1" w:rsidP="003C3269">
            <w:pPr>
              <w:spacing w:after="0"/>
              <w:rPr>
                <w:rFonts w:asciiTheme="minorHAnsi" w:hAnsiTheme="minorHAnsi" w:cs="Arial"/>
                <w:b/>
                <w:bCs/>
                <w:color w:val="000000"/>
                <w:szCs w:val="18"/>
              </w:rPr>
            </w:pPr>
            <w:r>
              <w:rPr>
                <w:rFonts w:asciiTheme="minorHAnsi" w:hAnsiTheme="minorHAnsi" w:cs="Arial"/>
                <w:b/>
                <w:bCs/>
                <w:color w:val="000000"/>
                <w:szCs w:val="18"/>
              </w:rPr>
              <w:t>Vermont</w:t>
            </w:r>
          </w:p>
        </w:tc>
        <w:tc>
          <w:tcPr>
            <w:tcW w:w="7037" w:type="dxa"/>
          </w:tcPr>
          <w:p w:rsidR="006760E1" w:rsidRPr="003C3269" w:rsidRDefault="006760E1" w:rsidP="003C3269">
            <w:pPr>
              <w:spacing w:after="0"/>
              <w:rPr>
                <w:rFonts w:asciiTheme="minorHAnsi" w:hAnsiTheme="minorHAnsi" w:cs="Arial"/>
                <w:color w:val="000000"/>
                <w:szCs w:val="18"/>
              </w:rPr>
            </w:pPr>
            <w:r>
              <w:rPr>
                <w:rFonts w:asciiTheme="minorHAnsi" w:hAnsiTheme="minorHAnsi" w:cs="Arial"/>
                <w:color w:val="000000"/>
                <w:szCs w:val="18"/>
              </w:rPr>
              <w:t>a</w:t>
            </w:r>
            <w:r w:rsidRPr="00D03F59">
              <w:rPr>
                <w:rFonts w:asciiTheme="minorHAnsi" w:hAnsiTheme="minorHAnsi" w:cs="Arial"/>
                <w:color w:val="000000"/>
                <w:szCs w:val="18"/>
              </w:rPr>
              <w:t>ctive-demand-resource dispatch zone</w:t>
            </w:r>
          </w:p>
        </w:tc>
      </w:tr>
      <w:tr w:rsidR="005C4D04"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bCs/>
                <w:color w:val="000000"/>
                <w:szCs w:val="18"/>
              </w:rPr>
              <w:t>VSC</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voltage source converter</w:t>
            </w:r>
          </w:p>
        </w:tc>
      </w:tr>
      <w:tr w:rsidR="005C4D04"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A84788" w:rsidRDefault="003C3269" w:rsidP="003C3269">
            <w:pPr>
              <w:spacing w:after="0"/>
              <w:rPr>
                <w:rFonts w:asciiTheme="minorHAnsi" w:hAnsiTheme="minorHAnsi" w:cs="Arial"/>
                <w:b/>
                <w:bCs/>
                <w:color w:val="000000"/>
                <w:szCs w:val="18"/>
              </w:rPr>
            </w:pPr>
            <w:r w:rsidRPr="00A84788">
              <w:rPr>
                <w:rFonts w:asciiTheme="minorHAnsi" w:hAnsiTheme="minorHAnsi" w:cs="Arial"/>
                <w:b/>
                <w:bCs/>
                <w:color w:val="000000"/>
                <w:szCs w:val="18"/>
              </w:rPr>
              <w:t>VT</w:t>
            </w:r>
          </w:p>
        </w:tc>
        <w:tc>
          <w:tcPr>
            <w:tcW w:w="7037" w:type="dxa"/>
          </w:tcPr>
          <w:p w:rsidR="003C3269" w:rsidRPr="00A84788" w:rsidRDefault="003C3269" w:rsidP="003C3269">
            <w:pPr>
              <w:spacing w:after="0"/>
              <w:rPr>
                <w:rFonts w:asciiTheme="minorHAnsi" w:hAnsiTheme="minorHAnsi" w:cs="Arial"/>
                <w:color w:val="000000"/>
                <w:szCs w:val="18"/>
              </w:rPr>
            </w:pPr>
            <w:r w:rsidRPr="00A84788">
              <w:rPr>
                <w:rFonts w:asciiTheme="minorHAnsi" w:hAnsiTheme="minorHAnsi" w:cs="Arial"/>
                <w:color w:val="000000"/>
                <w:szCs w:val="18"/>
              </w:rPr>
              <w:t>1) State of Vermont</w:t>
            </w:r>
          </w:p>
          <w:p w:rsidR="003C3269" w:rsidRPr="00A84788" w:rsidRDefault="003C3269" w:rsidP="003C3269">
            <w:pPr>
              <w:spacing w:after="0"/>
              <w:rPr>
                <w:rFonts w:asciiTheme="minorHAnsi" w:hAnsiTheme="minorHAnsi" w:cs="Arial"/>
                <w:color w:val="000000"/>
                <w:szCs w:val="18"/>
              </w:rPr>
            </w:pPr>
            <w:r w:rsidRPr="00A84788">
              <w:rPr>
                <w:rFonts w:asciiTheme="minorHAnsi" w:hAnsiTheme="minorHAnsi" w:cs="Arial"/>
                <w:color w:val="000000"/>
                <w:szCs w:val="18"/>
              </w:rPr>
              <w:t>2) RSP subarea that includes Vermont and southwestern New Hampshire</w:t>
            </w:r>
          </w:p>
          <w:p w:rsidR="003C3269" w:rsidRPr="00A84788" w:rsidRDefault="003C3269" w:rsidP="003C3269">
            <w:pPr>
              <w:spacing w:after="0"/>
              <w:rPr>
                <w:rFonts w:asciiTheme="minorHAnsi" w:hAnsiTheme="minorHAnsi" w:cs="Arial"/>
                <w:bCs/>
                <w:color w:val="000000"/>
                <w:szCs w:val="18"/>
              </w:rPr>
            </w:pPr>
            <w:r w:rsidRPr="00A84788">
              <w:rPr>
                <w:rFonts w:asciiTheme="minorHAnsi" w:hAnsiTheme="minorHAnsi" w:cs="Arial"/>
                <w:bCs/>
                <w:color w:val="000000"/>
                <w:szCs w:val="18"/>
              </w:rPr>
              <w:t>3) Vermont load zone</w:t>
            </w:r>
          </w:p>
          <w:p w:rsidR="00A84788" w:rsidRPr="003C3269" w:rsidRDefault="00E83A1E" w:rsidP="003C3269">
            <w:pPr>
              <w:spacing w:after="0"/>
              <w:rPr>
                <w:rFonts w:asciiTheme="minorHAnsi" w:hAnsiTheme="minorHAnsi" w:cs="Arial"/>
                <w:color w:val="000000"/>
                <w:szCs w:val="18"/>
              </w:rPr>
            </w:pPr>
            <w:r>
              <w:rPr>
                <w:rFonts w:asciiTheme="minorHAnsi" w:hAnsiTheme="minorHAnsi" w:cs="Arial"/>
                <w:bCs/>
                <w:color w:val="000000"/>
                <w:szCs w:val="18"/>
              </w:rPr>
              <w:t>4) Vermont active-</w:t>
            </w:r>
            <w:r w:rsidR="00A84788" w:rsidRPr="00A84788">
              <w:rPr>
                <w:rFonts w:asciiTheme="minorHAnsi" w:hAnsiTheme="minorHAnsi" w:cs="Arial"/>
                <w:bCs/>
                <w:color w:val="000000"/>
                <w:szCs w:val="18"/>
              </w:rPr>
              <w:t>demand-resource dispatch zone</w:t>
            </w:r>
          </w:p>
        </w:tc>
      </w:tr>
      <w:tr w:rsidR="005C4D04"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2B419A" w:rsidRPr="003C3269" w:rsidRDefault="002B419A" w:rsidP="003C3269">
            <w:pPr>
              <w:spacing w:after="0"/>
              <w:rPr>
                <w:rFonts w:asciiTheme="minorHAnsi" w:hAnsiTheme="minorHAnsi" w:cs="Arial"/>
                <w:b/>
                <w:color w:val="000000"/>
                <w:szCs w:val="18"/>
              </w:rPr>
            </w:pPr>
            <w:r>
              <w:rPr>
                <w:rFonts w:asciiTheme="minorHAnsi" w:hAnsiTheme="minorHAnsi" w:cs="Arial"/>
                <w:b/>
                <w:color w:val="000000"/>
                <w:szCs w:val="18"/>
              </w:rPr>
              <w:t>VT DPS</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2B419A" w:rsidRPr="003C3269" w:rsidRDefault="002B419A" w:rsidP="002B419A">
            <w:pPr>
              <w:spacing w:after="0"/>
              <w:rPr>
                <w:rFonts w:asciiTheme="minorHAnsi" w:hAnsiTheme="minorHAnsi" w:cs="Arial"/>
                <w:color w:val="000000"/>
                <w:szCs w:val="18"/>
              </w:rPr>
            </w:pPr>
            <w:r>
              <w:rPr>
                <w:rFonts w:asciiTheme="minorHAnsi" w:hAnsiTheme="minorHAnsi" w:cs="Arial"/>
                <w:color w:val="000000"/>
                <w:szCs w:val="18"/>
              </w:rPr>
              <w:t>Vemont Department of Public Service</w:t>
            </w:r>
          </w:p>
        </w:tc>
      </w:tr>
      <w:tr w:rsidR="005C4D04"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V</w:t>
            </w:r>
            <w:r w:rsidR="002B419A">
              <w:rPr>
                <w:rFonts w:asciiTheme="minorHAnsi" w:hAnsiTheme="minorHAnsi" w:cs="Arial"/>
                <w:b/>
                <w:color w:val="000000"/>
                <w:szCs w:val="18"/>
              </w:rPr>
              <w:t>TWAC</w:t>
            </w:r>
          </w:p>
        </w:tc>
        <w:tc>
          <w:tcPr>
            <w:tcW w:w="7037" w:type="dxa"/>
          </w:tcPr>
          <w:p w:rsidR="003C3269" w:rsidRPr="003C3269" w:rsidRDefault="003C3269">
            <w:pPr>
              <w:spacing w:after="0"/>
              <w:rPr>
                <w:rFonts w:asciiTheme="minorHAnsi" w:hAnsiTheme="minorHAnsi" w:cs="Arial"/>
                <w:color w:val="000000"/>
                <w:szCs w:val="18"/>
              </w:rPr>
            </w:pPr>
            <w:r w:rsidRPr="003C3269">
              <w:rPr>
                <w:rFonts w:asciiTheme="minorHAnsi" w:hAnsiTheme="minorHAnsi" w:cs="Arial"/>
                <w:color w:val="000000"/>
                <w:szCs w:val="18"/>
              </w:rPr>
              <w:t xml:space="preserve">Vermont </w:t>
            </w:r>
            <w:r w:rsidR="002B419A" w:rsidRPr="002B419A">
              <w:rPr>
                <w:rFonts w:asciiTheme="minorHAnsi" w:hAnsiTheme="minorHAnsi" w:cs="Arial"/>
                <w:color w:val="000000"/>
                <w:szCs w:val="18"/>
              </w:rPr>
              <w:t>Weather Analytics Center</w:t>
            </w:r>
          </w:p>
        </w:tc>
      </w:tr>
      <w:tr w:rsidR="005C4D04"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E4C97" w:rsidRDefault="003C3269" w:rsidP="003C3269">
            <w:pPr>
              <w:spacing w:after="0"/>
              <w:rPr>
                <w:rFonts w:asciiTheme="minorHAnsi" w:hAnsiTheme="minorHAnsi" w:cs="Arial"/>
                <w:b/>
                <w:bCs/>
                <w:color w:val="000000"/>
                <w:szCs w:val="18"/>
              </w:rPr>
            </w:pPr>
            <w:r w:rsidRPr="003E4C97">
              <w:rPr>
                <w:rFonts w:asciiTheme="minorHAnsi" w:hAnsiTheme="minorHAnsi" w:cs="Arial"/>
                <w:b/>
                <w:color w:val="000000"/>
                <w:szCs w:val="18"/>
              </w:rPr>
              <w:t>WCMA</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E4C97">
              <w:rPr>
                <w:rFonts w:asciiTheme="minorHAnsi" w:hAnsiTheme="minorHAnsi" w:cs="Arial"/>
                <w:color w:val="000000"/>
                <w:szCs w:val="18"/>
              </w:rPr>
              <w:t>Western/Central Massachusetts load zone</w:t>
            </w:r>
          </w:p>
        </w:tc>
      </w:tr>
      <w:tr w:rsidR="0007152F" w:rsidRPr="003C3269" w:rsidTr="0018383B">
        <w:trPr>
          <w:cnfStyle w:val="000000010000" w:firstRow="0" w:lastRow="0" w:firstColumn="0" w:lastColumn="0" w:oddVBand="0" w:evenVBand="0" w:oddHBand="0" w:evenHBand="1" w:firstRowFirstColumn="0" w:firstRowLastColumn="0" w:lastRowFirstColumn="0" w:lastRowLastColumn="0"/>
          <w:trHeight w:val="308"/>
        </w:trPr>
        <w:tc>
          <w:tcPr>
            <w:tcW w:w="2079" w:type="dxa"/>
          </w:tcPr>
          <w:p w:rsidR="0007152F" w:rsidRDefault="0007152F" w:rsidP="003C3269">
            <w:pPr>
              <w:spacing w:after="0"/>
              <w:rPr>
                <w:rFonts w:asciiTheme="minorHAnsi" w:hAnsiTheme="minorHAnsi" w:cs="Arial"/>
                <w:b/>
                <w:color w:val="000000"/>
                <w:szCs w:val="18"/>
              </w:rPr>
            </w:pPr>
            <w:r>
              <w:rPr>
                <w:rFonts w:asciiTheme="minorHAnsi" w:hAnsiTheme="minorHAnsi" w:cs="Arial"/>
                <w:b/>
                <w:color w:val="000000"/>
                <w:szCs w:val="18"/>
              </w:rPr>
              <w:t>Western CT</w:t>
            </w:r>
          </w:p>
        </w:tc>
        <w:tc>
          <w:tcPr>
            <w:tcW w:w="7037" w:type="dxa"/>
          </w:tcPr>
          <w:p w:rsidR="0007152F" w:rsidRDefault="0007152F" w:rsidP="003C3269">
            <w:pPr>
              <w:spacing w:after="0"/>
              <w:rPr>
                <w:rFonts w:asciiTheme="minorHAnsi" w:hAnsiTheme="minorHAnsi" w:cs="Arial"/>
                <w:color w:val="000000"/>
                <w:szCs w:val="18"/>
              </w:rPr>
            </w:pPr>
            <w:r>
              <w:rPr>
                <w:rFonts w:asciiTheme="minorHAnsi" w:hAnsiTheme="minorHAnsi" w:cs="Arial"/>
                <w:color w:val="000000"/>
                <w:szCs w:val="18"/>
              </w:rPr>
              <w:t>Western Connecticut active-demand-resource dispatch zone</w:t>
            </w:r>
          </w:p>
        </w:tc>
      </w:tr>
      <w:tr w:rsidR="00E83A1E" w:rsidRPr="003C3269" w:rsidTr="003D4F3D">
        <w:trPr>
          <w:cnfStyle w:val="000000100000" w:firstRow="0" w:lastRow="0" w:firstColumn="0" w:lastColumn="0" w:oddVBand="0" w:evenVBand="0" w:oddHBand="1" w:evenHBand="0" w:firstRowFirstColumn="0" w:firstRowLastColumn="0" w:lastRowFirstColumn="0" w:lastRowLastColumn="0"/>
          <w:trHeight w:val="308"/>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E83A1E" w:rsidRPr="00EB1DC1" w:rsidRDefault="00E83A1E" w:rsidP="003C3269">
            <w:pPr>
              <w:spacing w:after="0"/>
              <w:rPr>
                <w:rFonts w:asciiTheme="minorHAnsi" w:hAnsiTheme="minorHAnsi" w:cs="Arial"/>
                <w:b/>
                <w:color w:val="000000"/>
                <w:szCs w:val="18"/>
              </w:rPr>
            </w:pPr>
            <w:r>
              <w:rPr>
                <w:rFonts w:asciiTheme="minorHAnsi" w:hAnsiTheme="minorHAnsi" w:cs="Arial"/>
                <w:b/>
                <w:color w:val="000000"/>
                <w:szCs w:val="18"/>
              </w:rPr>
              <w:t>Western MA</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E83A1E" w:rsidRPr="00EB1DC1" w:rsidRDefault="00E83A1E" w:rsidP="003C3269">
            <w:pPr>
              <w:spacing w:after="0"/>
              <w:rPr>
                <w:rFonts w:asciiTheme="minorHAnsi" w:hAnsiTheme="minorHAnsi" w:cs="Arial"/>
                <w:color w:val="000000"/>
                <w:szCs w:val="18"/>
              </w:rPr>
            </w:pPr>
            <w:r>
              <w:rPr>
                <w:rFonts w:asciiTheme="minorHAnsi" w:hAnsiTheme="minorHAnsi" w:cs="Arial"/>
                <w:color w:val="000000"/>
                <w:szCs w:val="18"/>
              </w:rPr>
              <w:t>Western Massachusetts active-demand-resource dispatch zone</w:t>
            </w:r>
          </w:p>
        </w:tc>
      </w:tr>
      <w:tr w:rsidR="005C4D04" w:rsidRPr="003C3269" w:rsidTr="0018383B">
        <w:trPr>
          <w:cnfStyle w:val="000000010000" w:firstRow="0" w:lastRow="0" w:firstColumn="0" w:lastColumn="0" w:oddVBand="0" w:evenVBand="0" w:oddHBand="0" w:evenHBand="1" w:firstRowFirstColumn="0" w:firstRowLastColumn="0" w:lastRowFirstColumn="0" w:lastRowLastColumn="0"/>
          <w:trHeight w:val="308"/>
        </w:trPr>
        <w:tc>
          <w:tcPr>
            <w:tcW w:w="2079" w:type="dxa"/>
          </w:tcPr>
          <w:p w:rsidR="003C3269" w:rsidRPr="00EB1DC1" w:rsidRDefault="003C3269" w:rsidP="003C3269">
            <w:pPr>
              <w:spacing w:after="0"/>
              <w:rPr>
                <w:rFonts w:asciiTheme="minorHAnsi" w:hAnsiTheme="minorHAnsi" w:cs="Arial"/>
                <w:b/>
                <w:bCs/>
                <w:color w:val="000000"/>
                <w:szCs w:val="18"/>
              </w:rPr>
            </w:pPr>
            <w:r w:rsidRPr="00EB1DC1">
              <w:rPr>
                <w:rFonts w:asciiTheme="minorHAnsi" w:hAnsiTheme="minorHAnsi" w:cs="Arial"/>
                <w:b/>
                <w:color w:val="000000"/>
                <w:szCs w:val="18"/>
              </w:rPr>
              <w:t>WMA</w:t>
            </w:r>
          </w:p>
        </w:tc>
        <w:tc>
          <w:tcPr>
            <w:tcW w:w="7037" w:type="dxa"/>
          </w:tcPr>
          <w:p w:rsidR="003C3269" w:rsidRPr="003C3269" w:rsidRDefault="003C3269" w:rsidP="003C3269">
            <w:pPr>
              <w:spacing w:after="0"/>
              <w:rPr>
                <w:rFonts w:asciiTheme="minorHAnsi" w:hAnsiTheme="minorHAnsi" w:cs="Arial"/>
                <w:color w:val="000000"/>
                <w:szCs w:val="18"/>
              </w:rPr>
            </w:pPr>
            <w:r w:rsidRPr="00EB1DC1">
              <w:rPr>
                <w:rFonts w:asciiTheme="minorHAnsi" w:hAnsiTheme="minorHAnsi" w:cs="Arial"/>
                <w:color w:val="000000"/>
                <w:szCs w:val="18"/>
              </w:rPr>
              <w:t>RSP subarea for western Massachusetts</w:t>
            </w:r>
          </w:p>
        </w:tc>
      </w:tr>
      <w:tr w:rsidR="005C4D04" w:rsidRPr="003C3269" w:rsidDel="001B15B5"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WMECO</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Western Massachusetts Electric Company</w:t>
            </w:r>
          </w:p>
        </w:tc>
      </w:tr>
      <w:tr w:rsidR="005C4D04" w:rsidRPr="003C3269" w:rsidDel="001B15B5"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Del="001B15B5"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WMPP</w:t>
            </w:r>
          </w:p>
        </w:tc>
        <w:tc>
          <w:tcPr>
            <w:tcW w:w="7037" w:type="dxa"/>
          </w:tcPr>
          <w:p w:rsidR="003C3269" w:rsidRPr="003C3269" w:rsidDel="001B15B5"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Wholesale Markets Project Plan</w:t>
            </w:r>
          </w:p>
        </w:tc>
      </w:tr>
      <w:tr w:rsidR="005C4D04"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XLS</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Microsoft Excel file</w:t>
            </w:r>
          </w:p>
        </w:tc>
      </w:tr>
      <w:tr w:rsidR="005C4D04"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lastRenderedPageBreak/>
              <w:t>yr</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year</w:t>
            </w:r>
          </w:p>
        </w:tc>
      </w:tr>
    </w:tbl>
    <w:p w:rsidR="003C3269" w:rsidRPr="003C3269" w:rsidRDefault="003C3269" w:rsidP="000973BC"/>
    <w:sectPr w:rsidR="003C3269" w:rsidRPr="003C3269" w:rsidSect="00806C40">
      <w:pgSz w:w="12240" w:h="15840"/>
      <w:pgMar w:top="1440" w:right="1440" w:bottom="1440" w:left="180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C063D" w:rsidRDefault="00CC063D" w:rsidP="00073277">
      <w:r>
        <w:separator/>
      </w:r>
    </w:p>
  </w:endnote>
  <w:endnote w:type="continuationSeparator" w:id="0">
    <w:p w:rsidR="00CC063D" w:rsidRDefault="00CC063D" w:rsidP="000732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imes New Roman Bold">
    <w:panose1 w:val="02020803070505020304"/>
    <w:charset w:val="00"/>
    <w:family w:val="roman"/>
    <w:notTrueType/>
    <w:pitch w:val="default"/>
    <w:sig w:usb0="00000003" w:usb1="00000000" w:usb2="00000000" w:usb3="00000000" w:csb0="00000001" w:csb1="00000000"/>
  </w:font>
  <w:font w:name="Tahoma">
    <w:panose1 w:val="020B0604030504040204"/>
    <w:charset w:val="00"/>
    <w:family w:val="swiss"/>
    <w:notTrueType/>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Whitney-Book">
    <w:altName w:val="Whitney Book"/>
    <w:panose1 w:val="00000000000000000000"/>
    <w:charset w:val="4D"/>
    <w:family w:val="auto"/>
    <w:notTrueType/>
    <w:pitch w:val="default"/>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Consolas">
    <w:panose1 w:val="020B0609020204030204"/>
    <w:charset w:val="00"/>
    <w:family w:val="modern"/>
    <w:pitch w:val="fixed"/>
    <w:sig w:usb0="E10002FF" w:usb1="4000FCFF" w:usb2="00000009" w:usb3="00000000" w:csb0="0000019F" w:csb1="00000000"/>
  </w:font>
  <w:font w:name="Arial Black">
    <w:panose1 w:val="020B0A04020102020204"/>
    <w:charset w:val="00"/>
    <w:family w:val="swiss"/>
    <w:pitch w:val="variable"/>
    <w:sig w:usb0="00000287" w:usb1="00000000" w:usb2="00000000" w:usb3="00000000" w:csb0="0000009F" w:csb1="00000000"/>
  </w:font>
  <w:font w:name="Helvetica 45 Light">
    <w:altName w:val="Times New Roman"/>
    <w:charset w:val="00"/>
    <w:family w:val="auto"/>
    <w:pitch w:val="default"/>
  </w:font>
  <w:font w:name="HelveticaNeue LightCond">
    <w:altName w:val="HelveticaNeue LightCond"/>
    <w:panose1 w:val="00000000000000000000"/>
    <w:charset w:val="00"/>
    <w:family w:val="swiss"/>
    <w:notTrueType/>
    <w:pitch w:val="default"/>
    <w:sig w:usb0="00000003" w:usb1="00000000" w:usb2="00000000" w:usb3="00000000" w:csb0="00000001" w:csb1="00000000"/>
  </w:font>
  <w:font w:name="Gotham Narrow Medium">
    <w:altName w:val="Gotham Narrow Medium"/>
    <w:panose1 w:val="00000000000000000000"/>
    <w:charset w:val="00"/>
    <w:family w:val="swiss"/>
    <w:notTrueType/>
    <w:pitch w:val="default"/>
    <w:sig w:usb0="00000003" w:usb1="00000000" w:usb2="00000000" w:usb3="00000000" w:csb0="00000001" w:csb1="00000000"/>
  </w:font>
  <w:font w:name="Arial Bold">
    <w:panose1 w:val="020B0704020202020204"/>
    <w:charset w:val="00"/>
    <w:family w:val="auto"/>
    <w:pitch w:val="variable"/>
    <w:sig w:usb0="00000003" w:usb1="00000000" w:usb2="00000000" w:usb3="00000000" w:csb0="00000001" w:csb1="00000000"/>
  </w:font>
  <w:font w:name="NeueHaasGroteskDisp Std Md">
    <w:altName w:val="NeueHaasGroteskDisp Std Md"/>
    <w:panose1 w:val="00000000000000000000"/>
    <w:charset w:val="00"/>
    <w:family w:val="swiss"/>
    <w:notTrueType/>
    <w:pitch w:val="default"/>
    <w:sig w:usb0="00000003" w:usb1="00000000" w:usb2="00000000" w:usb3="00000000" w:csb0="00000001" w:csb1="00000000"/>
  </w:font>
  <w:font w:name="OpenSans-Bold">
    <w:altName w:val="Open Sans"/>
    <w:panose1 w:val="00000000000000000000"/>
    <w:charset w:val="4D"/>
    <w:family w:val="auto"/>
    <w:notTrueType/>
    <w:pitch w:val="default"/>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22CD2" w:rsidRDefault="00222CD2">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22CD2" w:rsidRDefault="00222CD2">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22CD2" w:rsidRDefault="00222CD2">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346FE" w:rsidRPr="00945B03" w:rsidRDefault="006346FE" w:rsidP="00945B03">
    <w:pPr>
      <w:tabs>
        <w:tab w:val="center" w:pos="4500"/>
        <w:tab w:val="right" w:pos="9360"/>
      </w:tabs>
      <w:spacing w:line="240" w:lineRule="auto"/>
      <w:ind w:right="-360"/>
      <w:jc w:val="center"/>
      <w:rPr>
        <w:rFonts w:eastAsia="Times New Roman"/>
        <w:sz w:val="18"/>
        <w:szCs w:val="18"/>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346FE" w:rsidRPr="00945B03" w:rsidRDefault="006346FE" w:rsidP="00945B03">
    <w:pPr>
      <w:tabs>
        <w:tab w:val="left" w:pos="0"/>
        <w:tab w:val="center" w:pos="4680"/>
      </w:tabs>
      <w:spacing w:after="0" w:line="240" w:lineRule="auto"/>
      <w:ind w:right="-360"/>
      <w:jc w:val="both"/>
      <w:rPr>
        <w:rFonts w:eastAsia="Times New Roman"/>
        <w:sz w:val="18"/>
        <w:szCs w:val="18"/>
      </w:rPr>
    </w:pPr>
    <w:r w:rsidRPr="00945B03">
      <w:rPr>
        <w:rFonts w:eastAsia="Times New Roman"/>
        <w:i/>
        <w:sz w:val="18"/>
        <w:szCs w:val="18"/>
      </w:rPr>
      <w:t>RSP17 Public Meeting Draft</w:t>
    </w:r>
    <w:r w:rsidRPr="00945B03">
      <w:rPr>
        <w:rFonts w:eastAsia="Times New Roman"/>
        <w:i/>
        <w:sz w:val="18"/>
        <w:szCs w:val="18"/>
      </w:rPr>
      <w:tab/>
    </w:r>
    <w:r w:rsidRPr="00945B03">
      <w:rPr>
        <w:rFonts w:eastAsia="Times New Roman"/>
        <w:i/>
        <w:sz w:val="18"/>
        <w:szCs w:val="18"/>
      </w:rPr>
      <w:tab/>
    </w:r>
    <w:r w:rsidRPr="00945B03">
      <w:rPr>
        <w:rFonts w:eastAsia="Times New Roman"/>
        <w:i/>
        <w:sz w:val="18"/>
        <w:szCs w:val="18"/>
      </w:rPr>
      <w:tab/>
    </w:r>
    <w:r w:rsidRPr="00945B03">
      <w:rPr>
        <w:rFonts w:eastAsia="Times New Roman"/>
        <w:i/>
        <w:sz w:val="18"/>
        <w:szCs w:val="18"/>
      </w:rPr>
      <w:tab/>
    </w:r>
    <w:r w:rsidRPr="00945B03">
      <w:rPr>
        <w:rFonts w:eastAsia="Times New Roman"/>
        <w:i/>
        <w:sz w:val="18"/>
        <w:szCs w:val="18"/>
      </w:rPr>
      <w:tab/>
    </w:r>
    <w:r w:rsidRPr="00945B03">
      <w:rPr>
        <w:rFonts w:eastAsia="Times New Roman"/>
        <w:i/>
        <w:sz w:val="18"/>
        <w:szCs w:val="18"/>
      </w:rPr>
      <w:tab/>
      <w:t xml:space="preserve">                    </w:t>
    </w:r>
    <w:r w:rsidRPr="00945B03">
      <w:rPr>
        <w:rFonts w:eastAsia="Times New Roman"/>
        <w:sz w:val="18"/>
        <w:szCs w:val="18"/>
      </w:rPr>
      <w:t xml:space="preserve">Page </w:t>
    </w:r>
    <w:r w:rsidRPr="00945B03">
      <w:rPr>
        <w:rFonts w:eastAsia="Times New Roman"/>
        <w:sz w:val="18"/>
        <w:szCs w:val="18"/>
      </w:rPr>
      <w:fldChar w:fldCharType="begin"/>
    </w:r>
    <w:r w:rsidRPr="00945B03">
      <w:rPr>
        <w:rFonts w:eastAsia="Times New Roman"/>
        <w:sz w:val="18"/>
        <w:szCs w:val="18"/>
      </w:rPr>
      <w:instrText xml:space="preserve"> PAGE </w:instrText>
    </w:r>
    <w:r w:rsidRPr="00945B03">
      <w:rPr>
        <w:rFonts w:eastAsia="Times New Roman"/>
        <w:sz w:val="18"/>
        <w:szCs w:val="18"/>
      </w:rPr>
      <w:fldChar w:fldCharType="separate"/>
    </w:r>
    <w:r w:rsidR="00222CD2">
      <w:rPr>
        <w:rFonts w:eastAsia="Times New Roman"/>
        <w:noProof/>
        <w:sz w:val="18"/>
        <w:szCs w:val="18"/>
      </w:rPr>
      <w:t>iii</w:t>
    </w:r>
    <w:r w:rsidRPr="00945B03">
      <w:rPr>
        <w:rFonts w:eastAsia="Times New Roman"/>
        <w:sz w:val="18"/>
        <w:szCs w:val="18"/>
      </w:rPr>
      <w:fldChar w:fldCharType="end"/>
    </w:r>
  </w:p>
  <w:p w:rsidR="006346FE" w:rsidRPr="00945B03" w:rsidRDefault="006346FE" w:rsidP="00945B03">
    <w:pPr>
      <w:tabs>
        <w:tab w:val="center" w:pos="4500"/>
        <w:tab w:val="right" w:pos="9360"/>
      </w:tabs>
      <w:spacing w:line="240" w:lineRule="auto"/>
      <w:ind w:right="-360"/>
      <w:jc w:val="center"/>
      <w:rPr>
        <w:rFonts w:eastAsia="Times New Roman"/>
        <w:sz w:val="18"/>
        <w:szCs w:val="18"/>
      </w:rPr>
    </w:pPr>
    <w:r w:rsidRPr="00945B03">
      <w:rPr>
        <w:rFonts w:eastAsia="Calibri"/>
        <w:color w:val="000000"/>
      </w:rPr>
      <w:t>ISO-NE PUBLIC</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346FE" w:rsidRPr="003C3269" w:rsidRDefault="006346FE" w:rsidP="00A35E2B">
    <w:pPr>
      <w:jc w:val="center"/>
      <w:rPr>
        <w:sz w:val="18"/>
        <w:szCs w:val="18"/>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346FE" w:rsidRPr="005A7AD8" w:rsidRDefault="006346FE" w:rsidP="009F766E">
    <w:pPr>
      <w:tabs>
        <w:tab w:val="left" w:pos="0"/>
        <w:tab w:val="center" w:pos="4680"/>
      </w:tabs>
      <w:spacing w:after="0" w:line="240" w:lineRule="auto"/>
      <w:ind w:right="-360"/>
      <w:jc w:val="both"/>
      <w:rPr>
        <w:rFonts w:eastAsia="Times New Roman"/>
        <w:sz w:val="18"/>
        <w:szCs w:val="18"/>
      </w:rPr>
    </w:pPr>
    <w:r w:rsidRPr="005A7AD8">
      <w:rPr>
        <w:rFonts w:eastAsia="Times New Roman"/>
        <w:i/>
        <w:sz w:val="18"/>
        <w:szCs w:val="18"/>
      </w:rPr>
      <w:t>R</w:t>
    </w:r>
    <w:r>
      <w:rPr>
        <w:rFonts w:eastAsia="Times New Roman"/>
        <w:i/>
        <w:sz w:val="18"/>
        <w:szCs w:val="18"/>
      </w:rPr>
      <w:t>SP17 Public Meeting Draft</w:t>
    </w:r>
    <w:r w:rsidRPr="005A7AD8">
      <w:rPr>
        <w:rFonts w:eastAsia="Times New Roman"/>
        <w:i/>
        <w:sz w:val="18"/>
        <w:szCs w:val="18"/>
      </w:rPr>
      <w:tab/>
    </w:r>
    <w:r w:rsidRPr="005A7AD8">
      <w:rPr>
        <w:rFonts w:eastAsia="Times New Roman"/>
        <w:i/>
        <w:sz w:val="18"/>
        <w:szCs w:val="18"/>
      </w:rPr>
      <w:tab/>
    </w:r>
    <w:r w:rsidRPr="005A7AD8">
      <w:rPr>
        <w:rFonts w:eastAsia="Times New Roman"/>
        <w:i/>
        <w:sz w:val="18"/>
        <w:szCs w:val="18"/>
      </w:rPr>
      <w:tab/>
    </w:r>
    <w:r w:rsidRPr="005A7AD8">
      <w:rPr>
        <w:rFonts w:eastAsia="Times New Roman"/>
        <w:i/>
        <w:sz w:val="18"/>
        <w:szCs w:val="18"/>
      </w:rPr>
      <w:tab/>
    </w:r>
    <w:r w:rsidRPr="005A7AD8">
      <w:rPr>
        <w:rFonts w:eastAsia="Times New Roman"/>
        <w:i/>
        <w:sz w:val="18"/>
        <w:szCs w:val="18"/>
      </w:rPr>
      <w:tab/>
    </w:r>
    <w:r w:rsidRPr="005A7AD8">
      <w:rPr>
        <w:rFonts w:eastAsia="Times New Roman"/>
        <w:i/>
        <w:sz w:val="18"/>
        <w:szCs w:val="18"/>
      </w:rPr>
      <w:tab/>
      <w:t xml:space="preserve">                    </w:t>
    </w:r>
    <w:r w:rsidRPr="005A7AD8">
      <w:rPr>
        <w:rFonts w:eastAsia="Times New Roman"/>
        <w:sz w:val="18"/>
        <w:szCs w:val="18"/>
      </w:rPr>
      <w:t xml:space="preserve">Page </w:t>
    </w:r>
    <w:r w:rsidRPr="005A7AD8">
      <w:rPr>
        <w:rFonts w:eastAsia="Times New Roman"/>
        <w:sz w:val="18"/>
        <w:szCs w:val="18"/>
      </w:rPr>
      <w:fldChar w:fldCharType="begin"/>
    </w:r>
    <w:r w:rsidRPr="005A7AD8">
      <w:rPr>
        <w:rFonts w:eastAsia="Times New Roman"/>
        <w:sz w:val="18"/>
        <w:szCs w:val="18"/>
      </w:rPr>
      <w:instrText xml:space="preserve"> PAGE </w:instrText>
    </w:r>
    <w:r w:rsidRPr="005A7AD8">
      <w:rPr>
        <w:rFonts w:eastAsia="Times New Roman"/>
        <w:sz w:val="18"/>
        <w:szCs w:val="18"/>
      </w:rPr>
      <w:fldChar w:fldCharType="separate"/>
    </w:r>
    <w:r w:rsidR="00222CD2">
      <w:rPr>
        <w:rFonts w:eastAsia="Times New Roman"/>
        <w:noProof/>
        <w:sz w:val="18"/>
        <w:szCs w:val="18"/>
      </w:rPr>
      <w:t>xi</w:t>
    </w:r>
    <w:r w:rsidRPr="005A7AD8">
      <w:rPr>
        <w:rFonts w:eastAsia="Times New Roman"/>
        <w:sz w:val="18"/>
        <w:szCs w:val="18"/>
      </w:rPr>
      <w:fldChar w:fldCharType="end"/>
    </w:r>
  </w:p>
  <w:p w:rsidR="006346FE" w:rsidRDefault="006346FE" w:rsidP="009F766E">
    <w:pPr>
      <w:pStyle w:val="Footer"/>
      <w:jc w:val="center"/>
      <w:rPr>
        <w:szCs w:val="18"/>
      </w:rPr>
    </w:pPr>
    <w:r w:rsidRPr="005A7AD8">
      <w:rPr>
        <w:rFonts w:eastAsia="Calibri"/>
        <w:color w:val="000000"/>
        <w:sz w:val="20"/>
        <w:szCs w:val="20"/>
      </w:rPr>
      <w:t xml:space="preserve">ISO-NE </w:t>
    </w:r>
    <w:r>
      <w:rPr>
        <w:rFonts w:eastAsia="Calibri"/>
        <w:color w:val="000000"/>
        <w:sz w:val="20"/>
        <w:szCs w:val="20"/>
      </w:rPr>
      <w:t>PUBLIC</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346FE" w:rsidRDefault="006346FE" w:rsidP="009F766E">
    <w:pPr>
      <w:pStyle w:val="Footer"/>
      <w:jc w:val="center"/>
      <w:rPr>
        <w:szCs w:val="18"/>
      </w:rP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346FE" w:rsidRPr="005A7AD8" w:rsidRDefault="006346FE" w:rsidP="009F766E">
    <w:pPr>
      <w:tabs>
        <w:tab w:val="left" w:pos="0"/>
        <w:tab w:val="center" w:pos="4680"/>
      </w:tabs>
      <w:spacing w:after="0" w:line="240" w:lineRule="auto"/>
      <w:ind w:right="-360"/>
      <w:jc w:val="both"/>
      <w:rPr>
        <w:rFonts w:eastAsia="Times New Roman"/>
        <w:sz w:val="18"/>
        <w:szCs w:val="18"/>
      </w:rPr>
    </w:pPr>
    <w:r w:rsidRPr="005A7AD8">
      <w:rPr>
        <w:rFonts w:eastAsia="Times New Roman"/>
        <w:i/>
        <w:sz w:val="18"/>
        <w:szCs w:val="18"/>
      </w:rPr>
      <w:t>R</w:t>
    </w:r>
    <w:r>
      <w:rPr>
        <w:rFonts w:eastAsia="Times New Roman"/>
        <w:i/>
        <w:sz w:val="18"/>
        <w:szCs w:val="18"/>
      </w:rPr>
      <w:t>SP17 Public Meeting Draft</w:t>
    </w:r>
    <w:r>
      <w:rPr>
        <w:rFonts w:eastAsia="Times New Roman"/>
        <w:i/>
        <w:sz w:val="18"/>
        <w:szCs w:val="18"/>
      </w:rPr>
      <w:tab/>
    </w:r>
    <w:r>
      <w:rPr>
        <w:rFonts w:eastAsia="Times New Roman"/>
        <w:i/>
        <w:sz w:val="18"/>
        <w:szCs w:val="18"/>
      </w:rPr>
      <w:tab/>
    </w:r>
    <w:r>
      <w:rPr>
        <w:rFonts w:eastAsia="Times New Roman"/>
        <w:i/>
        <w:sz w:val="18"/>
        <w:szCs w:val="18"/>
      </w:rPr>
      <w:tab/>
    </w:r>
    <w:r>
      <w:rPr>
        <w:rFonts w:eastAsia="Times New Roman"/>
        <w:i/>
        <w:sz w:val="18"/>
        <w:szCs w:val="18"/>
      </w:rPr>
      <w:tab/>
    </w:r>
    <w:r>
      <w:rPr>
        <w:rFonts w:eastAsia="Times New Roman"/>
        <w:i/>
        <w:sz w:val="18"/>
        <w:szCs w:val="18"/>
      </w:rPr>
      <w:tab/>
    </w:r>
    <w:r w:rsidRPr="005A7AD8">
      <w:rPr>
        <w:rFonts w:eastAsia="Times New Roman"/>
        <w:i/>
        <w:sz w:val="18"/>
        <w:szCs w:val="18"/>
      </w:rPr>
      <w:t xml:space="preserve">                   </w:t>
    </w:r>
    <w:r>
      <w:rPr>
        <w:rFonts w:eastAsia="Times New Roman"/>
        <w:sz w:val="18"/>
        <w:szCs w:val="18"/>
      </w:rPr>
      <w:tab/>
    </w:r>
    <w:r w:rsidRPr="005A7AD8">
      <w:rPr>
        <w:rFonts w:eastAsia="Times New Roman"/>
        <w:sz w:val="18"/>
        <w:szCs w:val="18"/>
      </w:rPr>
      <w:t xml:space="preserve">Page </w:t>
    </w:r>
    <w:r w:rsidRPr="005A7AD8">
      <w:rPr>
        <w:rFonts w:eastAsia="Times New Roman"/>
        <w:sz w:val="18"/>
        <w:szCs w:val="18"/>
      </w:rPr>
      <w:fldChar w:fldCharType="begin"/>
    </w:r>
    <w:r w:rsidRPr="005A7AD8">
      <w:rPr>
        <w:rFonts w:eastAsia="Times New Roman"/>
        <w:sz w:val="18"/>
        <w:szCs w:val="18"/>
      </w:rPr>
      <w:instrText xml:space="preserve"> PAGE </w:instrText>
    </w:r>
    <w:r w:rsidRPr="005A7AD8">
      <w:rPr>
        <w:rFonts w:eastAsia="Times New Roman"/>
        <w:sz w:val="18"/>
        <w:szCs w:val="18"/>
      </w:rPr>
      <w:fldChar w:fldCharType="separate"/>
    </w:r>
    <w:r w:rsidR="00222CD2">
      <w:rPr>
        <w:rFonts w:eastAsia="Times New Roman"/>
        <w:noProof/>
        <w:sz w:val="18"/>
        <w:szCs w:val="18"/>
      </w:rPr>
      <w:t>154</w:t>
    </w:r>
    <w:r w:rsidRPr="005A7AD8">
      <w:rPr>
        <w:rFonts w:eastAsia="Times New Roman"/>
        <w:sz w:val="18"/>
        <w:szCs w:val="18"/>
      </w:rPr>
      <w:fldChar w:fldCharType="end"/>
    </w:r>
  </w:p>
  <w:p w:rsidR="006346FE" w:rsidRDefault="006346FE" w:rsidP="009F766E">
    <w:pPr>
      <w:pStyle w:val="Footer"/>
      <w:tabs>
        <w:tab w:val="clear" w:pos="4500"/>
        <w:tab w:val="clear" w:pos="9360"/>
        <w:tab w:val="left" w:pos="0"/>
        <w:tab w:val="center" w:pos="4680"/>
      </w:tabs>
      <w:spacing w:after="0"/>
      <w:ind w:right="0"/>
      <w:jc w:val="center"/>
      <w:rPr>
        <w:szCs w:val="18"/>
      </w:rPr>
    </w:pPr>
    <w:r w:rsidRPr="005A7AD8">
      <w:rPr>
        <w:rFonts w:eastAsia="Calibri"/>
        <w:color w:val="000000"/>
        <w:sz w:val="20"/>
        <w:szCs w:val="20"/>
      </w:rPr>
      <w:t xml:space="preserve">ISO-NE </w:t>
    </w:r>
    <w:r>
      <w:rPr>
        <w:rFonts w:eastAsia="Calibri"/>
        <w:color w:val="000000"/>
        <w:sz w:val="20"/>
        <w:szCs w:val="20"/>
      </w:rPr>
      <w:t>PUBLIC</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C063D" w:rsidRDefault="00CC063D" w:rsidP="00BA5816">
      <w:pPr>
        <w:spacing w:after="0" w:line="240" w:lineRule="auto"/>
      </w:pPr>
      <w:r>
        <w:separator/>
      </w:r>
    </w:p>
  </w:footnote>
  <w:footnote w:type="continuationSeparator" w:id="0">
    <w:p w:rsidR="00CC063D" w:rsidRDefault="00CC063D" w:rsidP="00BA5816">
      <w:pPr>
        <w:spacing w:after="0" w:line="240" w:lineRule="auto"/>
      </w:pPr>
      <w:r>
        <w:continuationSeparator/>
      </w:r>
    </w:p>
  </w:footnote>
  <w:footnote w:type="continuationNotice" w:id="1">
    <w:p w:rsidR="00CC063D" w:rsidRPr="005B6D77" w:rsidRDefault="00CC063D" w:rsidP="00BA5816">
      <w:pPr>
        <w:pStyle w:val="Footer"/>
        <w:spacing w:after="0"/>
        <w:ind w:right="0"/>
      </w:pPr>
    </w:p>
  </w:footnote>
  <w:footnote w:id="2">
    <w:p w:rsidR="006346FE" w:rsidRPr="00A43ABC" w:rsidRDefault="006346FE" w:rsidP="00E7286C">
      <w:pPr>
        <w:pStyle w:val="FootnoteText"/>
        <w:rPr>
          <w:szCs w:val="18"/>
          <w:highlight w:val="green"/>
        </w:rPr>
      </w:pPr>
      <w:r w:rsidRPr="00A43ABC">
        <w:rPr>
          <w:rStyle w:val="FootnoteReference"/>
          <w:sz w:val="18"/>
          <w:szCs w:val="18"/>
        </w:rPr>
        <w:footnoteRef/>
      </w:r>
      <w:r w:rsidRPr="00A43ABC">
        <w:rPr>
          <w:szCs w:val="18"/>
        </w:rPr>
        <w:t xml:space="preserve"> The ISO considers a </w:t>
      </w:r>
      <w:r w:rsidRPr="00A43ABC">
        <w:rPr>
          <w:i/>
          <w:szCs w:val="18"/>
        </w:rPr>
        <w:t>hybrid grid</w:t>
      </w:r>
      <w:r w:rsidRPr="00A43ABC">
        <w:rPr>
          <w:szCs w:val="18"/>
        </w:rPr>
        <w:t xml:space="preserve"> to be a power system where large generators and other power resources connected to the regional transmission system meet electricity needs, in combination with thousands of small resources connected “behind the meter” (BTM) directly to retail customer sites or local distribution utilities. This type of grid must include fast, flexible power plants ready to balance the variable output of energy from wind and solar resources, which in New England will likely be natural-gas-fired generators in the near term because of their ability to turn on and off quickly. </w:t>
      </w:r>
    </w:p>
  </w:footnote>
  <w:footnote w:id="3">
    <w:p w:rsidR="006346FE" w:rsidRPr="00A43ABC" w:rsidRDefault="006346FE">
      <w:pPr>
        <w:pStyle w:val="FootnoteText"/>
        <w:rPr>
          <w:szCs w:val="18"/>
        </w:rPr>
      </w:pPr>
      <w:r w:rsidRPr="00BC5DA9">
        <w:rPr>
          <w:rStyle w:val="FootnoteReference"/>
          <w:sz w:val="18"/>
          <w:szCs w:val="18"/>
        </w:rPr>
        <w:footnoteRef/>
      </w:r>
      <w:r w:rsidRPr="00BC5DA9">
        <w:rPr>
          <w:szCs w:val="18"/>
        </w:rPr>
        <w:t xml:space="preserve"> </w:t>
      </w:r>
      <w:r w:rsidRPr="00545F8F">
        <w:rPr>
          <w:szCs w:val="18"/>
        </w:rPr>
        <w:t xml:space="preserve">State </w:t>
      </w:r>
      <w:r w:rsidRPr="00070FA5">
        <w:rPr>
          <w:szCs w:val="18"/>
        </w:rPr>
        <w:t>sponsorships</w:t>
      </w:r>
      <w:r w:rsidRPr="00545F8F">
        <w:rPr>
          <w:szCs w:val="18"/>
        </w:rPr>
        <w:t xml:space="preserve"> of resources</w:t>
      </w:r>
      <w:r w:rsidRPr="00070FA5">
        <w:rPr>
          <w:szCs w:val="18"/>
        </w:rPr>
        <w:t xml:space="preserve"> reflect</w:t>
      </w:r>
      <w:r w:rsidRPr="00A43ABC">
        <w:rPr>
          <w:szCs w:val="18"/>
        </w:rPr>
        <w:t xml:space="preserve"> policies supporting renewable resources and long-term contracts not available to other types of resources. See the ISO’s “New England’s Capacity Markets and a Renewable Energy Future,” discussion paper (June 3, 2015</w:t>
      </w:r>
      <w:r>
        <w:rPr>
          <w:szCs w:val="18"/>
        </w:rPr>
        <w:t>),</w:t>
      </w:r>
      <w:r w:rsidRPr="00A43ABC">
        <w:rPr>
          <w:szCs w:val="18"/>
        </w:rPr>
        <w:t xml:space="preserve"> </w:t>
      </w:r>
      <w:hyperlink r:id="rId1" w:history="1">
        <w:r w:rsidRPr="00A43ABC">
          <w:rPr>
            <w:rStyle w:val="Hyperlink"/>
            <w:szCs w:val="18"/>
          </w:rPr>
          <w:t>https://www.iso-ne.com/static-assets/documents/2015/06/iso_ne_capacity_mkt_discussion_paper_06_03_2015.pdf</w:t>
        </w:r>
      </w:hyperlink>
      <w:r w:rsidRPr="00A43ABC">
        <w:rPr>
          <w:szCs w:val="18"/>
        </w:rPr>
        <w:t>.</w:t>
      </w:r>
    </w:p>
  </w:footnote>
  <w:footnote w:id="4">
    <w:p w:rsidR="006346FE" w:rsidRDefault="006346FE" w:rsidP="00936B54">
      <w:pPr>
        <w:pStyle w:val="FootnoteText"/>
      </w:pPr>
      <w:r w:rsidRPr="00A43ABC">
        <w:rPr>
          <w:rStyle w:val="FootnoteReference"/>
          <w:sz w:val="18"/>
          <w:szCs w:val="18"/>
        </w:rPr>
        <w:footnoteRef/>
      </w:r>
      <w:r w:rsidRPr="00A43ABC">
        <w:rPr>
          <w:szCs w:val="18"/>
        </w:rPr>
        <w:t xml:space="preserve"> ISO New England, “Competitive Auctions with Subsidized Policy Resources,” discussion paper (April 2017), </w:t>
      </w:r>
      <w:hyperlink r:id="rId2" w:history="1">
        <w:r w:rsidRPr="00A43ABC">
          <w:rPr>
            <w:rStyle w:val="Hyperlink"/>
            <w:szCs w:val="18"/>
          </w:rPr>
          <w:t>https://www.iso-ne.com/static-assets/documents/2017/04/caspr_discussion_paper_april_14_2017.pdf</w:t>
        </w:r>
      </w:hyperlink>
      <w:r w:rsidRPr="00070FA5">
        <w:rPr>
          <w:szCs w:val="18"/>
        </w:rPr>
        <w:t>.</w:t>
      </w:r>
      <w:r w:rsidRPr="00070FA5">
        <w:t xml:space="preserve"> Note that the resources had initially been </w:t>
      </w:r>
      <w:r>
        <w:t xml:space="preserve">described as </w:t>
      </w:r>
      <w:r w:rsidRPr="00070FA5">
        <w:t>“subsidized” and not “sponsored.</w:t>
      </w:r>
      <w:r w:rsidRPr="00545F8F">
        <w:t>”</w:t>
      </w:r>
    </w:p>
  </w:footnote>
  <w:footnote w:id="5">
    <w:p w:rsidR="006346FE" w:rsidRDefault="006346FE">
      <w:pPr>
        <w:pStyle w:val="FootnoteText"/>
      </w:pPr>
      <w:r w:rsidRPr="00387034">
        <w:rPr>
          <w:rStyle w:val="FootnoteReference"/>
        </w:rPr>
        <w:footnoteRef/>
      </w:r>
      <w:r w:rsidRPr="00387034">
        <w:t xml:space="preserve"> </w:t>
      </w:r>
      <w:r w:rsidRPr="00387034">
        <w:rPr>
          <w:i/>
        </w:rPr>
        <w:t>Asynchronous resources</w:t>
      </w:r>
      <w:r w:rsidRPr="00387034">
        <w:t xml:space="preserve"> include</w:t>
      </w:r>
      <w:r>
        <w:t xml:space="preserve"> inverter-based technologies, such as</w:t>
      </w:r>
      <w:r w:rsidRPr="00387034">
        <w:t xml:space="preserve"> photovoltaics, wind, </w:t>
      </w:r>
      <w:r>
        <w:t xml:space="preserve">battery storage, </w:t>
      </w:r>
      <w:r w:rsidRPr="00387034">
        <w:t>and imports over high-voltage direct-current (HVDC) facilities.</w:t>
      </w:r>
    </w:p>
  </w:footnote>
  <w:footnote w:id="6">
    <w:p w:rsidR="006346FE" w:rsidRPr="00245BA8" w:rsidRDefault="006346FE" w:rsidP="005239A4">
      <w:pPr>
        <w:spacing w:after="80" w:line="240" w:lineRule="auto"/>
        <w:rPr>
          <w:sz w:val="18"/>
          <w:szCs w:val="18"/>
        </w:rPr>
      </w:pPr>
      <w:r w:rsidRPr="00620FBF">
        <w:rPr>
          <w:rStyle w:val="FootnoteReference"/>
          <w:sz w:val="18"/>
          <w:szCs w:val="18"/>
        </w:rPr>
        <w:footnoteRef/>
      </w:r>
      <w:r w:rsidRPr="00620FBF">
        <w:rPr>
          <w:sz w:val="18"/>
          <w:szCs w:val="18"/>
        </w:rPr>
        <w:t xml:space="preserve"> The actual load has been near or above the 50/50 forecast 11 times during the last 25 years because of weather conditions; six of these 11 times, the load has been near or has exceeded the 90/10 forecast.</w:t>
      </w:r>
    </w:p>
  </w:footnote>
  <w:footnote w:id="7">
    <w:p w:rsidR="006346FE" w:rsidRPr="00245BA8" w:rsidRDefault="006346FE" w:rsidP="005239A4">
      <w:pPr>
        <w:spacing w:after="80" w:line="240" w:lineRule="auto"/>
        <w:rPr>
          <w:sz w:val="18"/>
          <w:szCs w:val="18"/>
        </w:rPr>
      </w:pPr>
      <w:r w:rsidRPr="00245BA8">
        <w:rPr>
          <w:rStyle w:val="FootnoteReference"/>
          <w:sz w:val="18"/>
          <w:szCs w:val="18"/>
        </w:rPr>
        <w:footnoteRef/>
      </w:r>
      <w:r w:rsidRPr="00245BA8">
        <w:rPr>
          <w:sz w:val="18"/>
          <w:szCs w:val="18"/>
        </w:rPr>
        <w:t xml:space="preserve"> The mix of capacity resources could change. Updates are included in the ISO’s monthly chief operating officer (COO) report to the NEPOOL Participants Committee; </w:t>
      </w:r>
      <w:hyperlink r:id="rId3" w:history="1">
        <w:r w:rsidRPr="00245BA8">
          <w:rPr>
            <w:rStyle w:val="Hyperlink"/>
            <w:sz w:val="18"/>
            <w:szCs w:val="18"/>
          </w:rPr>
          <w:t>http://www.iso-ne.com/committees/comm_wkgrps/prtcpnts_comm/prtcpnts/mtrls/index.html.</w:t>
        </w:r>
      </w:hyperlink>
    </w:p>
  </w:footnote>
  <w:footnote w:id="8">
    <w:p w:rsidR="006346FE" w:rsidRPr="00AD4891" w:rsidRDefault="006346FE" w:rsidP="00C31960">
      <w:pPr>
        <w:pStyle w:val="FootnoteText"/>
        <w:rPr>
          <w:szCs w:val="18"/>
        </w:rPr>
      </w:pPr>
      <w:r w:rsidRPr="00AD4891">
        <w:rPr>
          <w:rStyle w:val="FootnoteReference"/>
          <w:sz w:val="18"/>
          <w:szCs w:val="18"/>
        </w:rPr>
        <w:footnoteRef/>
      </w:r>
      <w:r w:rsidRPr="00AD4891">
        <w:rPr>
          <w:szCs w:val="18"/>
        </w:rPr>
        <w:t xml:space="preserve"> ISO New England, Planning Procedure No. 3, </w:t>
      </w:r>
      <w:r w:rsidRPr="00AD4891">
        <w:rPr>
          <w:i/>
          <w:szCs w:val="18"/>
        </w:rPr>
        <w:t>Reliability Standards for the New England Area Pool Transmission Facilities</w:t>
      </w:r>
      <w:r w:rsidRPr="00AD4891">
        <w:rPr>
          <w:szCs w:val="18"/>
        </w:rPr>
        <w:t xml:space="preserve"> (February 10, 2017), </w:t>
      </w:r>
      <w:hyperlink r:id="rId4" w:history="1">
        <w:r w:rsidRPr="00AD4891">
          <w:rPr>
            <w:rStyle w:val="Hyperlink"/>
            <w:szCs w:val="18"/>
          </w:rPr>
          <w:t>https://www.iso-ne.com/static-assets/documents/2017/02/pp3_rev7.pdf</w:t>
        </w:r>
      </w:hyperlink>
      <w:r w:rsidRPr="00AD4891">
        <w:rPr>
          <w:szCs w:val="18"/>
        </w:rPr>
        <w:t>.</w:t>
      </w:r>
    </w:p>
  </w:footnote>
  <w:footnote w:id="9">
    <w:p w:rsidR="006346FE" w:rsidRPr="00AD4891" w:rsidRDefault="006346FE">
      <w:pPr>
        <w:pStyle w:val="FootnoteText"/>
        <w:rPr>
          <w:szCs w:val="18"/>
        </w:rPr>
      </w:pPr>
      <w:r w:rsidRPr="00AD4891">
        <w:rPr>
          <w:rStyle w:val="FootnoteReference"/>
          <w:sz w:val="18"/>
          <w:szCs w:val="18"/>
        </w:rPr>
        <w:footnoteRef/>
      </w:r>
      <w:r w:rsidRPr="00AD4891">
        <w:rPr>
          <w:szCs w:val="18"/>
        </w:rPr>
        <w:t xml:space="preserve"> ISO New England, </w:t>
      </w:r>
      <w:r w:rsidRPr="00AD4891">
        <w:rPr>
          <w:i/>
          <w:szCs w:val="18"/>
        </w:rPr>
        <w:t>Transmission Planning Technical Guide</w:t>
      </w:r>
      <w:r w:rsidRPr="00AD4891">
        <w:rPr>
          <w:szCs w:val="18"/>
        </w:rPr>
        <w:t xml:space="preserve"> (March 24, 2017), </w:t>
      </w:r>
      <w:hyperlink r:id="rId5" w:history="1">
        <w:r w:rsidRPr="00AD4891">
          <w:rPr>
            <w:rStyle w:val="Hyperlink"/>
            <w:szCs w:val="18"/>
          </w:rPr>
          <w:t>https://www.iso-ne.com/static-assets/documents/2017/03/planning_technical_guide_3_24_2017.pdf</w:t>
        </w:r>
      </w:hyperlink>
      <w:r w:rsidRPr="00AD4891">
        <w:rPr>
          <w:szCs w:val="18"/>
        </w:rPr>
        <w:t xml:space="preserve">. Additional information about NPCC is available at </w:t>
      </w:r>
      <w:hyperlink r:id="rId6" w:history="1">
        <w:r w:rsidRPr="00AD4891">
          <w:rPr>
            <w:rStyle w:val="Hyperlink"/>
            <w:szCs w:val="18"/>
          </w:rPr>
          <w:t>https://www.npcc.org/default.aspx</w:t>
        </w:r>
      </w:hyperlink>
      <w:r w:rsidRPr="00AD4891">
        <w:rPr>
          <w:szCs w:val="18"/>
        </w:rPr>
        <w:t>.</w:t>
      </w:r>
    </w:p>
  </w:footnote>
  <w:footnote w:id="10">
    <w:p w:rsidR="006346FE" w:rsidRPr="00AD4891" w:rsidRDefault="006346FE">
      <w:pPr>
        <w:pStyle w:val="FootnoteText"/>
        <w:rPr>
          <w:szCs w:val="18"/>
        </w:rPr>
      </w:pPr>
      <w:r w:rsidRPr="00AD4891">
        <w:rPr>
          <w:rStyle w:val="FootnoteReference"/>
          <w:sz w:val="18"/>
          <w:szCs w:val="18"/>
        </w:rPr>
        <w:footnoteRef/>
      </w:r>
      <w:r w:rsidRPr="00AD4891">
        <w:rPr>
          <w:szCs w:val="18"/>
        </w:rPr>
        <w:t xml:space="preserve"> FERC, “Order No. 1000—Transmission Planning and Cost Allocation,” website (October 26, 2016), </w:t>
      </w:r>
      <w:hyperlink r:id="rId7" w:history="1">
        <w:r w:rsidRPr="00AD4891">
          <w:rPr>
            <w:rStyle w:val="Hyperlink"/>
            <w:szCs w:val="18"/>
          </w:rPr>
          <w:t>https://www.ferc.gov/industries/electric/indus-act/trans-plan.asp</w:t>
        </w:r>
      </w:hyperlink>
      <w:r w:rsidRPr="00AD4891">
        <w:rPr>
          <w:szCs w:val="18"/>
        </w:rPr>
        <w:t xml:space="preserve">. </w:t>
      </w:r>
    </w:p>
  </w:footnote>
  <w:footnote w:id="11">
    <w:p w:rsidR="006346FE" w:rsidRDefault="006346FE">
      <w:pPr>
        <w:pStyle w:val="FootnoteText"/>
      </w:pPr>
      <w:r w:rsidRPr="00AD4891">
        <w:rPr>
          <w:rStyle w:val="FootnoteReference"/>
          <w:sz w:val="18"/>
          <w:szCs w:val="18"/>
        </w:rPr>
        <w:footnoteRef/>
      </w:r>
      <w:r w:rsidRPr="00AD4891">
        <w:rPr>
          <w:szCs w:val="18"/>
        </w:rPr>
        <w:t xml:space="preserve"> ISO New England, </w:t>
      </w:r>
      <w:r w:rsidRPr="00AD4891">
        <w:rPr>
          <w:i/>
          <w:szCs w:val="18"/>
          <w:u w:val="single"/>
        </w:rPr>
        <w:t>Transmission Planning Process Guide</w:t>
      </w:r>
      <w:r w:rsidRPr="00AD4891">
        <w:rPr>
          <w:szCs w:val="18"/>
        </w:rPr>
        <w:t xml:space="preserve"> (April 6, 2017), </w:t>
      </w:r>
      <w:hyperlink r:id="rId8" w:history="1">
        <w:r w:rsidRPr="00AD4891">
          <w:rPr>
            <w:rStyle w:val="Hyperlink"/>
            <w:szCs w:val="18"/>
          </w:rPr>
          <w:t>https://www.iso-ne.com/static-assets/documents/2017/04/transmission_planning_process_guide_4_6_2017.pdf</w:t>
        </w:r>
      </w:hyperlink>
      <w:r w:rsidRPr="00AD4891">
        <w:rPr>
          <w:szCs w:val="18"/>
        </w:rPr>
        <w:t>.</w:t>
      </w:r>
    </w:p>
  </w:footnote>
  <w:footnote w:id="12">
    <w:p w:rsidR="006346FE" w:rsidRPr="008D5D5B" w:rsidRDefault="006346FE" w:rsidP="005239A4">
      <w:pPr>
        <w:pStyle w:val="FootnoteText"/>
        <w:rPr>
          <w:szCs w:val="18"/>
        </w:rPr>
      </w:pPr>
      <w:r w:rsidRPr="00F8256F">
        <w:rPr>
          <w:rStyle w:val="FootnoteReference"/>
          <w:szCs w:val="18"/>
        </w:rPr>
        <w:footnoteRef/>
      </w:r>
      <w:r w:rsidRPr="00F8256F">
        <w:rPr>
          <w:szCs w:val="18"/>
        </w:rPr>
        <w:t xml:space="preserve"> NCPC is a make-whole (i.e., </w:t>
      </w:r>
      <w:r w:rsidRPr="003443E7">
        <w:rPr>
          <w:i/>
          <w:szCs w:val="18"/>
        </w:rPr>
        <w:t>uplift</w:t>
      </w:r>
      <w:r w:rsidRPr="00F8256F">
        <w:rPr>
          <w:szCs w:val="18"/>
        </w:rPr>
        <w:t>) payment to a supply resource that responded to the ISO’s dispatch</w:t>
      </w:r>
      <w:r w:rsidRPr="008D5D5B">
        <w:rPr>
          <w:szCs w:val="18"/>
        </w:rPr>
        <w:t xml:space="preserve"> instructions but did not fully recover its start-up and operating costs in either the Day-Ahead or Real-Time Energy Markets.</w:t>
      </w:r>
    </w:p>
  </w:footnote>
  <w:footnote w:id="13">
    <w:p w:rsidR="006346FE" w:rsidRDefault="006346FE">
      <w:pPr>
        <w:pStyle w:val="FootnoteText"/>
      </w:pPr>
      <w:r w:rsidRPr="008E1191">
        <w:rPr>
          <w:rStyle w:val="FootnoteReference"/>
        </w:rPr>
        <w:footnoteRef/>
      </w:r>
      <w:r w:rsidRPr="008E1191">
        <w:t xml:space="preserve"> ISO New England, </w:t>
      </w:r>
      <w:r w:rsidRPr="008E1191">
        <w:rPr>
          <w:i/>
        </w:rPr>
        <w:t>2015 Regional System Plan</w:t>
      </w:r>
      <w:r w:rsidRPr="008E1191">
        <w:t xml:space="preserve"> (November 5, 2015), </w:t>
      </w:r>
      <w:hyperlink r:id="rId9" w:history="1">
        <w:r w:rsidRPr="008E1191">
          <w:rPr>
            <w:rStyle w:val="Hyperlink"/>
          </w:rPr>
          <w:t>https://www.iso-ne.com/static-assets/documents/2015/11/rsp15_final_110515.docx</w:t>
        </w:r>
      </w:hyperlink>
      <w:r>
        <w:t>.</w:t>
      </w:r>
    </w:p>
  </w:footnote>
  <w:footnote w:id="14">
    <w:p w:rsidR="006346FE" w:rsidRDefault="006346FE" w:rsidP="00EF1A1F">
      <w:pPr>
        <w:pStyle w:val="FootnoteText"/>
      </w:pPr>
      <w:r w:rsidRPr="004C478F">
        <w:rPr>
          <w:rStyle w:val="FootnoteReference"/>
        </w:rPr>
        <w:footnoteRef/>
      </w:r>
      <w:r w:rsidRPr="004C478F">
        <w:t xml:space="preserve"> The </w:t>
      </w:r>
      <w:r w:rsidRPr="004C478F">
        <w:rPr>
          <w:i/>
        </w:rPr>
        <w:t>Northeastern ISO/RTO Planning Coordination Protocol</w:t>
      </w:r>
      <w:r w:rsidRPr="004C478F">
        <w:t xml:space="preserve"> (2012) is available at </w:t>
      </w:r>
      <w:hyperlink r:id="rId10" w:history="1">
        <w:r w:rsidRPr="00C430CB">
          <w:rPr>
            <w:rStyle w:val="Hyperlink"/>
          </w:rPr>
          <w:t>https://www.iso-ne.com/static-assets/documents/committees/comm_wkgrps/othr/ipsac/rto_plan_prot/planning_protocol.pdf</w:t>
        </w:r>
      </w:hyperlink>
      <w:r>
        <w:t>.</w:t>
      </w:r>
      <w:r w:rsidRPr="004C478F">
        <w:t xml:space="preserve"> </w:t>
      </w:r>
    </w:p>
  </w:footnote>
  <w:footnote w:id="15">
    <w:p w:rsidR="006346FE" w:rsidRDefault="006346FE" w:rsidP="00EF1A1F">
      <w:pPr>
        <w:spacing w:after="80" w:line="240" w:lineRule="auto"/>
      </w:pPr>
      <w:r w:rsidRPr="00652E2D">
        <w:rPr>
          <w:rStyle w:val="FootnoteReference"/>
        </w:rPr>
        <w:footnoteRef/>
      </w:r>
      <w:r w:rsidRPr="00652E2D">
        <w:t xml:space="preserve"> </w:t>
      </w:r>
      <w:r w:rsidRPr="00652E2D">
        <w:rPr>
          <w:sz w:val="18"/>
          <w:szCs w:val="18"/>
        </w:rPr>
        <w:t>PJM is the RTO for all or parts of Delaware, Illinois, Indiana, Kentucky, Maryland, Michigan, New Jersey, North Carolina, Ohio, Pennsylvania, Tennessee, Virginia, West Virginia, and the District of Columbia.</w:t>
      </w:r>
    </w:p>
  </w:footnote>
  <w:footnote w:id="16">
    <w:p w:rsidR="006346FE" w:rsidRDefault="006346FE" w:rsidP="004C524E">
      <w:pPr>
        <w:pStyle w:val="FootnoteText"/>
      </w:pPr>
      <w:r w:rsidRPr="00070FA5">
        <w:rPr>
          <w:rStyle w:val="FootnoteReference"/>
        </w:rPr>
        <w:footnoteRef/>
      </w:r>
      <w:r w:rsidRPr="00070FA5">
        <w:t xml:space="preserve"> </w:t>
      </w:r>
      <w:r w:rsidRPr="002D30C2">
        <w:t>The percentages reflect the mix of native generation resources in the region. During 2016, net energy imports (i.e., gross imports minus gross exports) equaled 20,769 GWh, which represents 17% of the 2016 system net energy for load of 124,372 GWh.</w:t>
      </w:r>
      <w:r w:rsidRPr="00070FA5">
        <w:t xml:space="preserve"> See </w:t>
      </w:r>
      <w:r w:rsidRPr="002D30C2">
        <w:rPr>
          <w:i/>
        </w:rPr>
        <w:t>New England 2017 Regional System Plan (RSP17) Load, Energy and Capacity Resource Overview</w:t>
      </w:r>
      <w:r w:rsidRPr="002D30C2">
        <w:t xml:space="preserve"> (April 2017), </w:t>
      </w:r>
      <w:hyperlink r:id="rId11" w:history="1">
        <w:r w:rsidRPr="002D30C2">
          <w:rPr>
            <w:rStyle w:val="Hyperlink"/>
          </w:rPr>
          <w:t>https://www.iso-ne.com/static-assets/documents/2017/05/rsp17_load_energy_capacity_resource_overview.pdf</w:t>
        </w:r>
      </w:hyperlink>
      <w:r w:rsidRPr="002D30C2">
        <w:t>.</w:t>
      </w:r>
    </w:p>
    <w:p w:rsidR="006346FE" w:rsidRDefault="006346FE">
      <w:pPr>
        <w:pStyle w:val="FootnoteText"/>
      </w:pPr>
    </w:p>
  </w:footnote>
  <w:footnote w:id="17">
    <w:p w:rsidR="006346FE" w:rsidRDefault="006346FE">
      <w:pPr>
        <w:pStyle w:val="FootnoteText"/>
      </w:pPr>
      <w:r>
        <w:rPr>
          <w:rStyle w:val="FootnoteReference"/>
        </w:rPr>
        <w:footnoteRef/>
      </w:r>
      <w:r>
        <w:t xml:space="preserve"> As of February 2017, </w:t>
      </w:r>
      <w:r w:rsidRPr="00E318CA">
        <w:t xml:space="preserve">Spectra </w:t>
      </w:r>
      <w:r>
        <w:t xml:space="preserve">Energy </w:t>
      </w:r>
      <w:r w:rsidRPr="00E318CA">
        <w:t>became Enbridge</w:t>
      </w:r>
      <w:r>
        <w:t>.</w:t>
      </w:r>
    </w:p>
  </w:footnote>
  <w:footnote w:id="18">
    <w:p w:rsidR="006346FE" w:rsidRDefault="006346FE" w:rsidP="00895580">
      <w:pPr>
        <w:pStyle w:val="FootnoteText"/>
      </w:pPr>
      <w:r>
        <w:rPr>
          <w:rStyle w:val="FootnoteReference"/>
        </w:rPr>
        <w:footnoteRef/>
      </w:r>
      <w:r>
        <w:t xml:space="preserve"> </w:t>
      </w:r>
      <w:r w:rsidRPr="00C87390">
        <w:t>“ISO New England Study on Regional Fuel Security is Underway,</w:t>
      </w:r>
      <w:r>
        <w:t>”</w:t>
      </w:r>
      <w:r w:rsidRPr="00C87390">
        <w:t xml:space="preserve"> public statement (May 2017), </w:t>
      </w:r>
      <w:hyperlink r:id="rId12" w:history="1">
        <w:r w:rsidRPr="00C87390">
          <w:rPr>
            <w:rStyle w:val="Hyperlink"/>
          </w:rPr>
          <w:t>https://www.iso-ne.com/static-assets/documents/2017/05/20170522_fuel_security_study_update_final.pdf</w:t>
        </w:r>
      </w:hyperlink>
      <w:r w:rsidRPr="00C87390">
        <w:t>.</w:t>
      </w:r>
    </w:p>
  </w:footnote>
  <w:footnote w:id="19">
    <w:p w:rsidR="006346FE" w:rsidRPr="007259EE" w:rsidRDefault="006346FE">
      <w:pPr>
        <w:pStyle w:val="FootnoteText"/>
      </w:pPr>
      <w:r w:rsidRPr="007259EE">
        <w:rPr>
          <w:rStyle w:val="FootnoteReference"/>
        </w:rPr>
        <w:footnoteRef/>
      </w:r>
      <w:r w:rsidRPr="007259EE">
        <w:t xml:space="preserve"> EPA, </w:t>
      </w:r>
      <w:r w:rsidRPr="007259EE">
        <w:rPr>
          <w:i/>
        </w:rPr>
        <w:t xml:space="preserve">National Ambient Air Quality Standards for Ozone, </w:t>
      </w:r>
      <w:r w:rsidRPr="007259EE">
        <w:t xml:space="preserve">final rule, 80 FR 65292 (October 26, 2015), </w:t>
      </w:r>
      <w:hyperlink r:id="rId13" w:history="1">
        <w:r w:rsidRPr="007259EE">
          <w:rPr>
            <w:rStyle w:val="Hyperlink"/>
          </w:rPr>
          <w:t>http://www.gpo.gov/fdsys/pkg/FR-2015-10-26/pdf/2015-26594.pdf</w:t>
        </w:r>
      </w:hyperlink>
      <w:r w:rsidRPr="007259EE">
        <w:t xml:space="preserve">; and </w:t>
      </w:r>
      <w:r w:rsidRPr="007259EE">
        <w:rPr>
          <w:i/>
        </w:rPr>
        <w:t xml:space="preserve">Fine Particulate Matter National Ambient Air Quality Standards: State Implementation Plan Requirements, </w:t>
      </w:r>
      <w:r w:rsidRPr="007259EE">
        <w:t xml:space="preserve">final rule, 81 FR 58010 (August 24, 2016). </w:t>
      </w:r>
    </w:p>
  </w:footnote>
  <w:footnote w:id="20">
    <w:p w:rsidR="006346FE" w:rsidRDefault="006346FE">
      <w:pPr>
        <w:pStyle w:val="FootnoteText"/>
      </w:pPr>
      <w:r w:rsidRPr="007259EE">
        <w:rPr>
          <w:rStyle w:val="FootnoteReference"/>
        </w:rPr>
        <w:footnoteRef/>
      </w:r>
      <w:r w:rsidRPr="007259EE">
        <w:t xml:space="preserve"> EPA, </w:t>
      </w:r>
      <w:r w:rsidRPr="007259EE">
        <w:rPr>
          <w:i/>
        </w:rPr>
        <w:t xml:space="preserve">National Emissions Standards for Hazardous Air Pollutants From Coal- and Oil-Fired Electric Utility Steam Generating Units and Standards of Performance for Fossil-Fuel-Fired Electric Utility, Industrial-Commercial-Institutional, and Small Industrial-Commercial-Institutional Steam Generating Units, </w:t>
      </w:r>
      <w:r w:rsidRPr="007259EE">
        <w:t>final rule, 77 FR 9304 (February</w:t>
      </w:r>
      <w:r>
        <w:t> </w:t>
      </w:r>
      <w:r w:rsidRPr="007259EE">
        <w:t xml:space="preserve">16, 2012), </w:t>
      </w:r>
      <w:hyperlink r:id="rId14" w:history="1">
        <w:r w:rsidRPr="00554AFC">
          <w:rPr>
            <w:rStyle w:val="Hyperlink"/>
          </w:rPr>
          <w:t>https://www.federalregister.gov/d/2012-806</w:t>
        </w:r>
      </w:hyperlink>
      <w:r w:rsidRPr="007259EE">
        <w:t xml:space="preserve">. </w:t>
      </w:r>
    </w:p>
  </w:footnote>
  <w:footnote w:id="21">
    <w:p w:rsidR="006346FE" w:rsidRDefault="006346FE">
      <w:pPr>
        <w:pStyle w:val="FootnoteText"/>
      </w:pPr>
      <w:r w:rsidRPr="007259EE">
        <w:rPr>
          <w:rStyle w:val="FootnoteReference"/>
        </w:rPr>
        <w:footnoteRef/>
      </w:r>
      <w:r w:rsidRPr="007259EE">
        <w:t xml:space="preserve"> EPA, </w:t>
      </w:r>
      <w:r w:rsidRPr="00FC33ED">
        <w:rPr>
          <w:i/>
        </w:rPr>
        <w:t xml:space="preserve">Carbon Pollution Emission Guidelines for Existing Stationary Sources: Electric Utility Generating Units, </w:t>
      </w:r>
      <w:r w:rsidRPr="007259EE">
        <w:t>final rule</w:t>
      </w:r>
      <w:r>
        <w:t xml:space="preserve">, 80 FR 64662 (October 23, 2015), </w:t>
      </w:r>
      <w:hyperlink r:id="rId15" w:history="1">
        <w:r w:rsidRPr="00751E29">
          <w:rPr>
            <w:rStyle w:val="Hyperlink"/>
          </w:rPr>
          <w:t>https://www.federalregister.gov/d/2015-22842</w:t>
        </w:r>
      </w:hyperlink>
      <w:r>
        <w:t xml:space="preserve">; and </w:t>
      </w:r>
      <w:r w:rsidRPr="00FC33ED">
        <w:rPr>
          <w:i/>
        </w:rPr>
        <w:t xml:space="preserve">Standards of Performance for Greenhouse Gas Emissions From New, Modified, and Reconstructed Stationary Sources: Electric Utility Generating Units, </w:t>
      </w:r>
      <w:r w:rsidRPr="007259EE">
        <w:t>final rule</w:t>
      </w:r>
      <w:r>
        <w:t xml:space="preserve">, </w:t>
      </w:r>
      <w:r w:rsidRPr="00DF533B">
        <w:t xml:space="preserve">80 FR 64509 </w:t>
      </w:r>
      <w:r>
        <w:t xml:space="preserve">(October 23, 2015), </w:t>
      </w:r>
      <w:hyperlink r:id="rId16" w:history="1">
        <w:r w:rsidRPr="00751E29">
          <w:rPr>
            <w:rStyle w:val="Hyperlink"/>
          </w:rPr>
          <w:t>https://www.federalregister.gov/d/2015-22837</w:t>
        </w:r>
      </w:hyperlink>
      <w:r>
        <w:t xml:space="preserve">. More information </w:t>
      </w:r>
      <w:r w:rsidRPr="007259EE">
        <w:t>about the Regional Greenhouse Gas Initiative CO</w:t>
      </w:r>
      <w:r w:rsidRPr="007259EE">
        <w:rPr>
          <w:vertAlign w:val="subscript"/>
        </w:rPr>
        <w:t>2</w:t>
      </w:r>
      <w:r w:rsidRPr="007259EE">
        <w:t xml:space="preserve"> budget trading programs of Connecticut, Delaware, Maine, Maryland, Massachusetts, New Hampshire, New York, Rhode Island</w:t>
      </w:r>
      <w:r>
        <w:t>,</w:t>
      </w:r>
      <w:r w:rsidRPr="007259EE">
        <w:t xml:space="preserve"> and Vermont is available at </w:t>
      </w:r>
      <w:hyperlink r:id="rId17" w:history="1">
        <w:r w:rsidRPr="007259EE">
          <w:rPr>
            <w:rStyle w:val="Hyperlink"/>
          </w:rPr>
          <w:t>http://www.rggi.org/</w:t>
        </w:r>
      </w:hyperlink>
      <w:r w:rsidRPr="007259EE">
        <w:t>.</w:t>
      </w:r>
      <w:r>
        <w:t xml:space="preserve"> </w:t>
      </w:r>
      <w:r w:rsidRPr="00A43092">
        <w:rPr>
          <w:i/>
        </w:rPr>
        <w:t>An Act Establishing the Global Warming Solutions Act</w:t>
      </w:r>
      <w:r w:rsidRPr="00E34C09">
        <w:t xml:space="preserve"> </w:t>
      </w:r>
      <w:r>
        <w:t>(</w:t>
      </w:r>
      <w:r w:rsidRPr="00E34C09">
        <w:t xml:space="preserve">Chapter 298 of the </w:t>
      </w:r>
      <w:r>
        <w:t xml:space="preserve">Massachusetts </w:t>
      </w:r>
      <w:r w:rsidRPr="00E34C09">
        <w:t>Acts of 2008; S.2540</w:t>
      </w:r>
      <w:r>
        <w:t>) (August 7, 2008),</w:t>
      </w:r>
      <w:r w:rsidRPr="00E34C09">
        <w:t xml:space="preserve"> </w:t>
      </w:r>
      <w:hyperlink r:id="rId18" w:history="1">
        <w:r w:rsidRPr="00B27D01">
          <w:t>http://www.mass.gov/legis/laws/seslaw08/sl080298.htm</w:t>
        </w:r>
      </w:hyperlink>
      <w:r>
        <w:t>.</w:t>
      </w:r>
    </w:p>
  </w:footnote>
  <w:footnote w:id="22">
    <w:p w:rsidR="006346FE" w:rsidRDefault="006346FE">
      <w:pPr>
        <w:pStyle w:val="FootnoteText"/>
      </w:pPr>
      <w:r w:rsidRPr="00387034">
        <w:rPr>
          <w:rStyle w:val="FootnoteReference"/>
        </w:rPr>
        <w:footnoteRef/>
      </w:r>
      <w:r w:rsidRPr="00387034">
        <w:t xml:space="preserve"> State of Massachusetts, </w:t>
      </w:r>
      <w:r w:rsidRPr="00387034">
        <w:rPr>
          <w:i/>
        </w:rPr>
        <w:t>Adopt new 310 CMR 7.74: Reducing CO</w:t>
      </w:r>
      <w:r w:rsidRPr="00387034">
        <w:rPr>
          <w:i/>
          <w:vertAlign w:val="subscript"/>
        </w:rPr>
        <w:t>2</w:t>
      </w:r>
      <w:r w:rsidRPr="00387034">
        <w:rPr>
          <w:i/>
        </w:rPr>
        <w:t xml:space="preserve"> Emissions from Electricity Generating Facilities</w:t>
      </w:r>
      <w:r w:rsidRPr="00387034">
        <w:t xml:space="preserve">, final regulation, (August 11, 2017), </w:t>
      </w:r>
      <w:hyperlink r:id="rId19" w:history="1">
        <w:r w:rsidRPr="00387034">
          <w:rPr>
            <w:rStyle w:val="Hyperlink"/>
          </w:rPr>
          <w:t>http://www.mass.gov/eea/docs/dep/air/climate/3dregf-electricity.pdf</w:t>
        </w:r>
      </w:hyperlink>
      <w:r w:rsidRPr="00387034">
        <w:t xml:space="preserve"> and </w:t>
      </w:r>
      <w:hyperlink r:id="rId20" w:history="1">
        <w:r w:rsidRPr="00387034">
          <w:rPr>
            <w:rStyle w:val="Hyperlink"/>
          </w:rPr>
          <w:t>http://www.mass.gov/eea/agencies/massdep/air/climate/section3d-comments.html</w:t>
        </w:r>
      </w:hyperlink>
      <w:r w:rsidRPr="00387034">
        <w:t>.</w:t>
      </w:r>
    </w:p>
  </w:footnote>
  <w:footnote w:id="23">
    <w:p w:rsidR="006346FE" w:rsidRDefault="006346FE">
      <w:pPr>
        <w:pStyle w:val="FootnoteText"/>
      </w:pPr>
      <w:r>
        <w:rPr>
          <w:rStyle w:val="FootnoteReference"/>
        </w:rPr>
        <w:footnoteRef/>
      </w:r>
      <w:r>
        <w:t xml:space="preserve"> ISO New England, Comments on the Massachusetts Department of Environmental Protection’s proposed regulations on the </w:t>
      </w:r>
      <w:r w:rsidRPr="00D82F2A">
        <w:rPr>
          <w:i/>
        </w:rPr>
        <w:t>Global Warming Solutions Act</w:t>
      </w:r>
      <w:r>
        <w:t xml:space="preserve"> (February 20, 2017), </w:t>
      </w:r>
      <w:hyperlink w:history="1"/>
      <w:hyperlink r:id="rId21" w:history="1">
        <w:r w:rsidRPr="00AA4F95">
          <w:rPr>
            <w:rStyle w:val="Hyperlink"/>
          </w:rPr>
          <w:t>https://www.iso-ne.com/static-assets/documents/2017/02/iso_dep_comments_022017.pdf</w:t>
        </w:r>
      </w:hyperlink>
      <w:r>
        <w:rPr>
          <w:rStyle w:val="Hyperlink"/>
        </w:rPr>
        <w:t>.</w:t>
      </w:r>
    </w:p>
  </w:footnote>
  <w:footnote w:id="24">
    <w:p w:rsidR="006346FE" w:rsidRDefault="006346FE">
      <w:pPr>
        <w:pStyle w:val="FootnoteText"/>
      </w:pPr>
      <w:r w:rsidRPr="007C23B0">
        <w:rPr>
          <w:rStyle w:val="FootnoteReference"/>
        </w:rPr>
        <w:footnoteRef/>
      </w:r>
      <w:r w:rsidRPr="007C23B0">
        <w:t xml:space="preserve"> The Mount Tom and Salem Harbor unit #3 retirements, mild weather, and the relatively inexpensive price of</w:t>
      </w:r>
      <w:r w:rsidRPr="00C87390">
        <w:t xml:space="preserve"> natural gas</w:t>
      </w:r>
      <w:r>
        <w:t xml:space="preserve"> reduced the energy production by coal units</w:t>
      </w:r>
      <w:r w:rsidRPr="00C87390">
        <w:t>.</w:t>
      </w:r>
    </w:p>
  </w:footnote>
  <w:footnote w:id="25">
    <w:p w:rsidR="006346FE" w:rsidRPr="00554AFC" w:rsidRDefault="006346FE" w:rsidP="008D5DE2">
      <w:pPr>
        <w:pStyle w:val="FootnoteText"/>
      </w:pPr>
      <w:r w:rsidRPr="00554AFC">
        <w:rPr>
          <w:rStyle w:val="FootnoteReference"/>
        </w:rPr>
        <w:footnoteRef/>
      </w:r>
      <w:r w:rsidRPr="00554AFC">
        <w:t xml:space="preserve"> An abstract of </w:t>
      </w:r>
      <w:r w:rsidRPr="00FA699F">
        <w:rPr>
          <w:i/>
        </w:rPr>
        <w:t>1547-2003—IEEE Standard for Interconnecting Distributed Resources with Electric Power Systems</w:t>
      </w:r>
      <w:r>
        <w:t xml:space="preserve"> </w:t>
      </w:r>
      <w:r w:rsidRPr="00554AFC">
        <w:t xml:space="preserve">is available at </w:t>
      </w:r>
      <w:hyperlink r:id="rId22" w:history="1">
        <w:r w:rsidRPr="000F0D44">
          <w:rPr>
            <w:rStyle w:val="Hyperlink"/>
          </w:rPr>
          <w:t>http://ieeexplore.ieee.org/document/1225051/?reload=true</w:t>
        </w:r>
      </w:hyperlink>
      <w:r w:rsidRPr="00554AFC">
        <w:t xml:space="preserve"> (2017).</w:t>
      </w:r>
    </w:p>
  </w:footnote>
  <w:footnote w:id="26">
    <w:p w:rsidR="006346FE" w:rsidRDefault="006346FE" w:rsidP="008D5DE2">
      <w:pPr>
        <w:pStyle w:val="FootnoteText"/>
      </w:pPr>
      <w:r w:rsidRPr="00554AFC">
        <w:rPr>
          <w:rStyle w:val="FootnoteReference"/>
        </w:rPr>
        <w:footnoteRef/>
      </w:r>
      <w:r w:rsidRPr="00554AFC">
        <w:t xml:space="preserve"> ISO New England, </w:t>
      </w:r>
      <w:r w:rsidRPr="00554AFC">
        <w:rPr>
          <w:i/>
        </w:rPr>
        <w:t xml:space="preserve">Strategic Transmission Analysis: Wind Integration Study </w:t>
      </w:r>
      <w:r w:rsidRPr="00554AFC">
        <w:t>(December 18, 2013),</w:t>
      </w:r>
      <w:r w:rsidRPr="00554AFC">
        <w:rPr>
          <w:i/>
        </w:rPr>
        <w:t xml:space="preserve"> </w:t>
      </w:r>
      <w:hyperlink r:id="rId23" w:history="1">
        <w:r w:rsidRPr="00554AFC">
          <w:rPr>
            <w:rStyle w:val="Hyperlink"/>
          </w:rPr>
          <w:t>https://smd.iso-ne.com/committees/comm_wkgrps/prtcpnts_comm/pac/ceii/mtrls/2013/dec182013/a4_wind_study.pdf</w:t>
        </w:r>
      </w:hyperlink>
      <w:r w:rsidRPr="00554AFC">
        <w:t xml:space="preserve">. </w:t>
      </w:r>
    </w:p>
  </w:footnote>
  <w:footnote w:id="27">
    <w:p w:rsidR="006346FE" w:rsidRPr="00276133" w:rsidRDefault="006346FE">
      <w:pPr>
        <w:pStyle w:val="FootnoteText"/>
      </w:pPr>
      <w:r w:rsidRPr="00554AFC">
        <w:rPr>
          <w:rStyle w:val="FootnoteReference"/>
        </w:rPr>
        <w:footnoteRef/>
      </w:r>
      <w:r w:rsidRPr="00554AFC">
        <w:t xml:space="preserve"> ISO New England, </w:t>
      </w:r>
      <w:r w:rsidRPr="000E6B78">
        <w:rPr>
          <w:i/>
        </w:rPr>
        <w:t>2015 Economic Study— Evaluation of Increasing the Keene Road Export Limit</w:t>
      </w:r>
      <w:r w:rsidRPr="00554AFC">
        <w:t xml:space="preserve"> (September 2, 2016), </w:t>
      </w:r>
      <w:hyperlink r:id="rId24" w:history="1">
        <w:r w:rsidRPr="00554AFC">
          <w:rPr>
            <w:rStyle w:val="Hyperlink"/>
          </w:rPr>
          <w:t>https://www.iso-ne.com/static-assets/documents/2016/09/2015_economic_study_keene_road_increased_export_limits_fina.docx</w:t>
        </w:r>
      </w:hyperlink>
      <w:r w:rsidRPr="00554AFC">
        <w:t xml:space="preserve">; </w:t>
      </w:r>
      <w:r w:rsidRPr="000E6B78">
        <w:rPr>
          <w:i/>
        </w:rPr>
        <w:t>2015 Economic Study—Evaluation of Offshore Wind Deployment</w:t>
      </w:r>
      <w:r w:rsidRPr="00554AFC">
        <w:t xml:space="preserve"> (September 2, 2016), </w:t>
      </w:r>
      <w:hyperlink r:id="rId25" w:history="1">
        <w:r w:rsidRPr="00554AFC">
          <w:rPr>
            <w:rStyle w:val="Hyperlink"/>
          </w:rPr>
          <w:t>https://www.iso-ne.com/static-assets/documents/2016/09/2015_economic_study_offshore_wind_development_final.docx</w:t>
        </w:r>
      </w:hyperlink>
      <w:r w:rsidRPr="00554AFC">
        <w:t xml:space="preserve">; </w:t>
      </w:r>
      <w:r w:rsidRPr="000E6B78">
        <w:rPr>
          <w:i/>
        </w:rPr>
        <w:t>2015 Economic Study— Strategic Transmission Analysis—Onshore Wind Integration</w:t>
      </w:r>
      <w:r w:rsidRPr="00554AFC">
        <w:t xml:space="preserve"> (September 2, 2016), </w:t>
      </w:r>
      <w:hyperlink r:id="rId26" w:history="1">
        <w:r w:rsidRPr="00554AFC">
          <w:rPr>
            <w:rStyle w:val="Hyperlink"/>
          </w:rPr>
          <w:t>https://www.iso-ne.com/static-assets/documents/2016/09/2015_economic_study_onshore_wind_integration_final.docx</w:t>
        </w:r>
      </w:hyperlink>
      <w:r w:rsidRPr="00554AFC">
        <w:t>.</w:t>
      </w:r>
    </w:p>
  </w:footnote>
  <w:footnote w:id="28">
    <w:p w:rsidR="006346FE" w:rsidRDefault="006346FE">
      <w:pPr>
        <w:pStyle w:val="FootnoteText"/>
      </w:pPr>
      <w:r w:rsidRPr="00554AFC">
        <w:rPr>
          <w:rStyle w:val="FootnoteReference"/>
        </w:rPr>
        <w:footnoteRef/>
      </w:r>
      <w:r w:rsidRPr="00554AFC">
        <w:t xml:space="preserve"> </w:t>
      </w:r>
      <w:r w:rsidRPr="00A51F1B">
        <w:rPr>
          <w:i/>
        </w:rPr>
        <w:t>Draft 2016 Economic Study: NEPOOL Scenario Analysis</w:t>
      </w:r>
      <w:r>
        <w:t xml:space="preserve"> (July 24, 2017, </w:t>
      </w:r>
      <w:r w:rsidRPr="00A51F1B">
        <w:t xml:space="preserve"> </w:t>
      </w:r>
      <w:hyperlink r:id="rId27" w:history="1">
        <w:r w:rsidRPr="00A51F1B">
          <w:rPr>
            <w:rStyle w:val="Hyperlink"/>
          </w:rPr>
          <w:t>https://www.iso-ne.com/static-assets/documents/2017/07/draft_2016_phase1_nepool_scenario_analysis_report.docx</w:t>
        </w:r>
      </w:hyperlink>
      <w:r>
        <w:t>.</w:t>
      </w:r>
    </w:p>
  </w:footnote>
  <w:footnote w:id="29">
    <w:p w:rsidR="006346FE" w:rsidRPr="001655D0" w:rsidRDefault="006346FE" w:rsidP="00F273F3">
      <w:pPr>
        <w:pStyle w:val="FoonoteText"/>
        <w:spacing w:after="80" w:line="240" w:lineRule="auto"/>
        <w:rPr>
          <w:sz w:val="18"/>
          <w:szCs w:val="18"/>
        </w:rPr>
      </w:pPr>
      <w:r w:rsidRPr="001655D0">
        <w:rPr>
          <w:rStyle w:val="FootnoteReference"/>
          <w:sz w:val="18"/>
          <w:szCs w:val="18"/>
        </w:rPr>
        <w:footnoteRef/>
      </w:r>
      <w:r w:rsidRPr="001655D0">
        <w:rPr>
          <w:sz w:val="18"/>
          <w:szCs w:val="18"/>
        </w:rPr>
        <w:t xml:space="preserve"> Likewise, the markets and market changes may help meet future system needs by providing incentives for the development of new resources. Market changes are subject to a different stakeholder process and are described in the ISO’s Annual Markets Report (AMR) (accessible at </w:t>
      </w:r>
      <w:hyperlink r:id="rId28" w:history="1">
        <w:r w:rsidRPr="001655D0">
          <w:rPr>
            <w:rStyle w:val="Hyperlink"/>
            <w:color w:val="auto"/>
            <w:sz w:val="18"/>
            <w:szCs w:val="18"/>
          </w:rPr>
          <w:t>http://www.iso-ne.com/markets-operations/market-monitoring-mitigation/internal-monitor</w:t>
        </w:r>
      </w:hyperlink>
      <w:r w:rsidRPr="001655D0">
        <w:rPr>
          <w:sz w:val="18"/>
          <w:szCs w:val="18"/>
        </w:rPr>
        <w:t>) and Wholesale Markets Project Plan (WMPP) (</w:t>
      </w:r>
      <w:hyperlink r:id="rId29" w:history="1">
        <w:r w:rsidRPr="001655D0">
          <w:rPr>
            <w:rStyle w:val="Hyperlink"/>
            <w:color w:val="auto"/>
            <w:sz w:val="18"/>
            <w:szCs w:val="18"/>
          </w:rPr>
          <w:t>http://www.iso-ne.com/markets-operations/markets-development/wholesale-markets-project-plan</w:t>
        </w:r>
      </w:hyperlink>
      <w:r w:rsidRPr="001655D0">
        <w:rPr>
          <w:sz w:val="18"/>
          <w:szCs w:val="18"/>
        </w:rPr>
        <w:t>).</w:t>
      </w:r>
    </w:p>
  </w:footnote>
  <w:footnote w:id="30">
    <w:p w:rsidR="006346FE" w:rsidRPr="001655D0" w:rsidRDefault="006346FE" w:rsidP="00F273F3">
      <w:pPr>
        <w:spacing w:after="80" w:line="240" w:lineRule="auto"/>
        <w:rPr>
          <w:sz w:val="18"/>
          <w:szCs w:val="18"/>
        </w:rPr>
      </w:pPr>
      <w:r w:rsidRPr="001655D0">
        <w:rPr>
          <w:rStyle w:val="FootnoteReference"/>
          <w:sz w:val="18"/>
          <w:szCs w:val="18"/>
        </w:rPr>
        <w:footnoteRef/>
      </w:r>
      <w:r w:rsidRPr="001655D0">
        <w:rPr>
          <w:sz w:val="18"/>
          <w:szCs w:val="18"/>
        </w:rPr>
        <w:t xml:space="preserve"> </w:t>
      </w:r>
      <w:r w:rsidRPr="001655D0">
        <w:rPr>
          <w:i/>
          <w:sz w:val="18"/>
          <w:szCs w:val="18"/>
        </w:rPr>
        <w:t>ISO New England Inc. Transmission, Markets, and Services Tariff</w:t>
      </w:r>
      <w:r w:rsidRPr="001655D0">
        <w:rPr>
          <w:sz w:val="18"/>
          <w:szCs w:val="18"/>
        </w:rPr>
        <w:t xml:space="preserve"> (ISO tariff) (201</w:t>
      </w:r>
      <w:r>
        <w:rPr>
          <w:sz w:val="18"/>
          <w:szCs w:val="18"/>
        </w:rPr>
        <w:t>7</w:t>
      </w:r>
      <w:r w:rsidRPr="001655D0">
        <w:rPr>
          <w:sz w:val="18"/>
          <w:szCs w:val="18"/>
        </w:rPr>
        <w:t xml:space="preserve">), </w:t>
      </w:r>
      <w:hyperlink r:id="rId30" w:history="1">
        <w:r w:rsidRPr="001655D0">
          <w:rPr>
            <w:rStyle w:val="Hyperlink"/>
            <w:color w:val="auto"/>
            <w:sz w:val="18"/>
            <w:szCs w:val="18"/>
          </w:rPr>
          <w:t>http://www.iso-ne.com/regulatory/tariff/index.html</w:t>
        </w:r>
      </w:hyperlink>
      <w:r w:rsidRPr="001655D0">
        <w:rPr>
          <w:sz w:val="18"/>
          <w:szCs w:val="18"/>
        </w:rPr>
        <w:t xml:space="preserve">, including Section II. </w:t>
      </w:r>
      <w:r w:rsidRPr="001655D0">
        <w:rPr>
          <w:i/>
          <w:sz w:val="18"/>
          <w:szCs w:val="18"/>
        </w:rPr>
        <w:t>ISO New England Open Access Transmission Tariff</w:t>
      </w:r>
      <w:r w:rsidRPr="001655D0">
        <w:rPr>
          <w:sz w:val="18"/>
          <w:szCs w:val="18"/>
        </w:rPr>
        <w:t xml:space="preserve">, </w:t>
      </w:r>
      <w:hyperlink r:id="rId31" w:history="1">
        <w:r w:rsidRPr="003206C3">
          <w:rPr>
            <w:rStyle w:val="Hyperlink"/>
            <w:sz w:val="18"/>
            <w:szCs w:val="18"/>
          </w:rPr>
          <w:t>https://www.iso-ne.com/participate/rules-procedures/tariff/oatt</w:t>
        </w:r>
      </w:hyperlink>
      <w:r w:rsidRPr="001655D0">
        <w:rPr>
          <w:sz w:val="18"/>
          <w:szCs w:val="18"/>
        </w:rPr>
        <w:t>.</w:t>
      </w:r>
    </w:p>
  </w:footnote>
  <w:footnote w:id="31">
    <w:p w:rsidR="006346FE" w:rsidRPr="000E4CCF" w:rsidRDefault="006346FE" w:rsidP="00F273F3">
      <w:pPr>
        <w:spacing w:after="80" w:line="240" w:lineRule="auto"/>
        <w:rPr>
          <w:sz w:val="18"/>
          <w:szCs w:val="18"/>
        </w:rPr>
      </w:pPr>
      <w:r w:rsidRPr="000E4CCF">
        <w:rPr>
          <w:rStyle w:val="FootnoteReference"/>
          <w:sz w:val="18"/>
          <w:szCs w:val="18"/>
        </w:rPr>
        <w:footnoteRef/>
      </w:r>
      <w:r w:rsidRPr="000E4CCF">
        <w:rPr>
          <w:sz w:val="18"/>
          <w:szCs w:val="18"/>
        </w:rPr>
        <w:t xml:space="preserve"> </w:t>
      </w:r>
      <w:r w:rsidRPr="00273B73">
        <w:rPr>
          <w:i/>
          <w:sz w:val="18"/>
          <w:szCs w:val="18"/>
        </w:rPr>
        <w:t xml:space="preserve">Demand response </w:t>
      </w:r>
      <w:r w:rsidRPr="00722CD0">
        <w:rPr>
          <w:sz w:val="18"/>
          <w:szCs w:val="18"/>
        </w:rPr>
        <w:t xml:space="preserve">occurs through resources that can reduce the demand of end-use customers. </w:t>
      </w:r>
      <w:r w:rsidRPr="00273B73">
        <w:rPr>
          <w:sz w:val="18"/>
          <w:szCs w:val="18"/>
        </w:rPr>
        <w:t>Demand-response resources</w:t>
      </w:r>
      <w:r w:rsidRPr="00722CD0">
        <w:rPr>
          <w:sz w:val="18"/>
          <w:szCs w:val="18"/>
        </w:rPr>
        <w:t xml:space="preserve"> may offer demand reductions into the ISO’s energy markets, and some may participate in the ISO’s capacity markets. Some capacity </w:t>
      </w:r>
      <w:r>
        <w:rPr>
          <w:sz w:val="18"/>
          <w:szCs w:val="18"/>
        </w:rPr>
        <w:t xml:space="preserve">“active” </w:t>
      </w:r>
      <w:r w:rsidRPr="00722CD0">
        <w:rPr>
          <w:sz w:val="18"/>
          <w:szCs w:val="18"/>
        </w:rPr>
        <w:t xml:space="preserve">demand resources </w:t>
      </w:r>
      <w:r>
        <w:rPr>
          <w:sz w:val="18"/>
          <w:szCs w:val="18"/>
        </w:rPr>
        <w:t xml:space="preserve">(ADRs) </w:t>
      </w:r>
      <w:r w:rsidRPr="00722CD0">
        <w:rPr>
          <w:sz w:val="18"/>
          <w:szCs w:val="18"/>
        </w:rPr>
        <w:t xml:space="preserve">offer to reduce load quickly in response to price signals in </w:t>
      </w:r>
      <w:r>
        <w:rPr>
          <w:sz w:val="18"/>
          <w:szCs w:val="18"/>
        </w:rPr>
        <w:t xml:space="preserve">the </w:t>
      </w:r>
      <w:r w:rsidRPr="00722CD0">
        <w:rPr>
          <w:sz w:val="18"/>
          <w:szCs w:val="18"/>
        </w:rPr>
        <w:t xml:space="preserve">ISO’s markets. Other capacity </w:t>
      </w:r>
      <w:r>
        <w:rPr>
          <w:sz w:val="18"/>
          <w:szCs w:val="18"/>
        </w:rPr>
        <w:t xml:space="preserve">“passive” </w:t>
      </w:r>
      <w:r w:rsidRPr="00722CD0">
        <w:rPr>
          <w:sz w:val="18"/>
          <w:szCs w:val="18"/>
        </w:rPr>
        <w:t xml:space="preserve">demand resources </w:t>
      </w:r>
      <w:r>
        <w:rPr>
          <w:sz w:val="18"/>
          <w:szCs w:val="18"/>
        </w:rPr>
        <w:t xml:space="preserve">(PDRs) </w:t>
      </w:r>
      <w:r w:rsidRPr="00722CD0">
        <w:rPr>
          <w:sz w:val="18"/>
          <w:szCs w:val="18"/>
        </w:rPr>
        <w:t>are nondispatchable and may reduce the total amount of electrical energy consumed during peak times or seasons through installed measures (e.g., products, equipment, systems, services, practices</w:t>
      </w:r>
      <w:r>
        <w:rPr>
          <w:sz w:val="18"/>
          <w:szCs w:val="18"/>
        </w:rPr>
        <w:t xml:space="preserve">, </w:t>
      </w:r>
      <w:r w:rsidRPr="00722CD0">
        <w:rPr>
          <w:sz w:val="18"/>
          <w:szCs w:val="18"/>
        </w:rPr>
        <w:t>or strategies) on end-use</w:t>
      </w:r>
      <w:r>
        <w:rPr>
          <w:sz w:val="18"/>
          <w:szCs w:val="18"/>
        </w:rPr>
        <w:t>-</w:t>
      </w:r>
      <w:r w:rsidRPr="00722CD0">
        <w:rPr>
          <w:sz w:val="18"/>
          <w:szCs w:val="18"/>
        </w:rPr>
        <w:t xml:space="preserve">customer facilities (e.g., </w:t>
      </w:r>
      <w:r>
        <w:rPr>
          <w:sz w:val="18"/>
          <w:szCs w:val="18"/>
        </w:rPr>
        <w:t>e</w:t>
      </w:r>
      <w:r w:rsidRPr="00722CD0">
        <w:rPr>
          <w:sz w:val="18"/>
          <w:szCs w:val="18"/>
        </w:rPr>
        <w:t xml:space="preserve">nergy </w:t>
      </w:r>
      <w:r>
        <w:rPr>
          <w:sz w:val="18"/>
          <w:szCs w:val="18"/>
        </w:rPr>
        <w:t>e</w:t>
      </w:r>
      <w:r w:rsidRPr="00722CD0">
        <w:rPr>
          <w:sz w:val="18"/>
          <w:szCs w:val="18"/>
        </w:rPr>
        <w:t xml:space="preserve">fficiency, </w:t>
      </w:r>
      <w:r>
        <w:rPr>
          <w:sz w:val="18"/>
          <w:szCs w:val="18"/>
        </w:rPr>
        <w:t>l</w:t>
      </w:r>
      <w:r w:rsidRPr="00722CD0">
        <w:rPr>
          <w:sz w:val="18"/>
          <w:szCs w:val="18"/>
        </w:rPr>
        <w:t xml:space="preserve">oad </w:t>
      </w:r>
      <w:r>
        <w:rPr>
          <w:sz w:val="18"/>
          <w:szCs w:val="18"/>
        </w:rPr>
        <w:t>m</w:t>
      </w:r>
      <w:r w:rsidRPr="00722CD0">
        <w:rPr>
          <w:sz w:val="18"/>
          <w:szCs w:val="18"/>
        </w:rPr>
        <w:t xml:space="preserve">anagement, and </w:t>
      </w:r>
      <w:r>
        <w:rPr>
          <w:sz w:val="18"/>
          <w:szCs w:val="18"/>
        </w:rPr>
        <w:t>d</w:t>
      </w:r>
      <w:r w:rsidRPr="00722CD0">
        <w:rPr>
          <w:sz w:val="18"/>
          <w:szCs w:val="18"/>
        </w:rPr>
        <w:t xml:space="preserve">istributed </w:t>
      </w:r>
      <w:r>
        <w:rPr>
          <w:sz w:val="18"/>
          <w:szCs w:val="18"/>
        </w:rPr>
        <w:t>g</w:t>
      </w:r>
      <w:r w:rsidRPr="00722CD0">
        <w:rPr>
          <w:sz w:val="18"/>
          <w:szCs w:val="18"/>
        </w:rPr>
        <w:t xml:space="preserve">eneration). </w:t>
      </w:r>
      <w:r>
        <w:rPr>
          <w:rFonts w:eastAsia="Calibri" w:cstheme="minorBidi"/>
          <w:sz w:val="18"/>
          <w:szCs w:val="18"/>
        </w:rPr>
        <w:t xml:space="preserve">Some </w:t>
      </w:r>
      <w:r w:rsidRPr="000E4CCF">
        <w:rPr>
          <w:rFonts w:cstheme="minorBidi"/>
          <w:sz w:val="18"/>
          <w:szCs w:val="18"/>
        </w:rPr>
        <w:t xml:space="preserve">“behind-the meter” (on-site) </w:t>
      </w:r>
      <w:r w:rsidRPr="000E4CCF">
        <w:rPr>
          <w:rFonts w:cstheme="minorBidi"/>
          <w:i/>
          <w:sz w:val="18"/>
          <w:szCs w:val="18"/>
        </w:rPr>
        <w:t>distributed generation</w:t>
      </w:r>
      <w:r w:rsidRPr="000E4CCF">
        <w:rPr>
          <w:rFonts w:cstheme="minorBidi"/>
          <w:sz w:val="18"/>
          <w:szCs w:val="18"/>
        </w:rPr>
        <w:t xml:space="preserve"> (DG) </w:t>
      </w:r>
      <w:r>
        <w:rPr>
          <w:rFonts w:cstheme="minorBidi"/>
          <w:sz w:val="18"/>
          <w:szCs w:val="18"/>
        </w:rPr>
        <w:t xml:space="preserve">is located with </w:t>
      </w:r>
      <w:r w:rsidRPr="000E4CCF">
        <w:rPr>
          <w:rFonts w:cstheme="minorBidi"/>
          <w:sz w:val="18"/>
          <w:szCs w:val="18"/>
        </w:rPr>
        <w:t xml:space="preserve">net metering (see more on DG below). </w:t>
      </w:r>
      <w:r w:rsidRPr="000E4CCF">
        <w:rPr>
          <w:i/>
          <w:sz w:val="18"/>
          <w:szCs w:val="18"/>
        </w:rPr>
        <w:t>Net metering</w:t>
      </w:r>
      <w:r w:rsidRPr="000E4CCF">
        <w:rPr>
          <w:sz w:val="18"/>
          <w:szCs w:val="18"/>
        </w:rPr>
        <w:t xml:space="preserve"> allows power customers who generate their own electricity, such as from wind or solar power, to feed their unused electricity back into the grid.</w:t>
      </w:r>
      <w:r w:rsidRPr="004D34D9">
        <w:rPr>
          <w:sz w:val="18"/>
          <w:szCs w:val="18"/>
        </w:rPr>
        <w:t xml:space="preserve"> </w:t>
      </w:r>
    </w:p>
  </w:footnote>
  <w:footnote w:id="32">
    <w:p w:rsidR="006346FE" w:rsidRPr="001655D0" w:rsidRDefault="006346FE" w:rsidP="00F273F3">
      <w:pPr>
        <w:pStyle w:val="FootnoteText"/>
        <w:rPr>
          <w:szCs w:val="18"/>
        </w:rPr>
      </w:pPr>
      <w:r w:rsidRPr="001655D0">
        <w:rPr>
          <w:rStyle w:val="FootnoteReference"/>
          <w:sz w:val="18"/>
          <w:szCs w:val="18"/>
        </w:rPr>
        <w:footnoteRef/>
      </w:r>
      <w:r w:rsidRPr="001655D0">
        <w:rPr>
          <w:szCs w:val="18"/>
        </w:rPr>
        <w:t xml:space="preserve"> A </w:t>
      </w:r>
      <w:r w:rsidRPr="001655D0">
        <w:rPr>
          <w:i/>
          <w:szCs w:val="18"/>
        </w:rPr>
        <w:t>merchant transmission facility</w:t>
      </w:r>
      <w:r w:rsidRPr="001655D0">
        <w:rPr>
          <w:szCs w:val="18"/>
        </w:rPr>
        <w:t xml:space="preserve"> is an independently developed and funded facility subject to the operational control of the ISO, pursuant to an operating agreement specific to each facility.</w:t>
      </w:r>
      <w:r>
        <w:rPr>
          <w:szCs w:val="18"/>
        </w:rPr>
        <w:t xml:space="preserve"> </w:t>
      </w:r>
    </w:p>
  </w:footnote>
  <w:footnote w:id="33">
    <w:p w:rsidR="006346FE" w:rsidRPr="001655D0" w:rsidRDefault="006346FE" w:rsidP="00F273F3">
      <w:pPr>
        <w:pStyle w:val="FoonoteText"/>
        <w:spacing w:after="80" w:line="240" w:lineRule="auto"/>
        <w:rPr>
          <w:sz w:val="18"/>
          <w:szCs w:val="18"/>
        </w:rPr>
      </w:pPr>
      <w:r w:rsidRPr="001655D0">
        <w:rPr>
          <w:rStyle w:val="FootnoteReference"/>
          <w:rFonts w:eastAsiaTheme="majorEastAsia"/>
          <w:sz w:val="18"/>
          <w:szCs w:val="18"/>
        </w:rPr>
        <w:footnoteRef/>
      </w:r>
      <w:r w:rsidRPr="001655D0">
        <w:rPr>
          <w:sz w:val="18"/>
          <w:szCs w:val="18"/>
        </w:rPr>
        <w:t xml:space="preserve"> See the OATT, Section II.B, Attachment N, “Procedures for Regional System Plan Upgrades,”</w:t>
      </w:r>
      <w:r w:rsidRPr="001655D0">
        <w:rPr>
          <w:sz w:val="18"/>
          <w:szCs w:val="18"/>
        </w:rPr>
        <w:br/>
      </w:r>
      <w:hyperlink r:id="rId32" w:history="1">
        <w:r w:rsidRPr="001655D0">
          <w:rPr>
            <w:rStyle w:val="Hyperlink"/>
            <w:color w:val="auto"/>
            <w:sz w:val="18"/>
            <w:szCs w:val="18"/>
          </w:rPr>
          <w:t>http://www.iso-ne.com/static-assets/documents/regulatory/tariff/sect_2/oatt/sect_ii.pdf</w:t>
        </w:r>
      </w:hyperlink>
      <w:r w:rsidRPr="001655D0">
        <w:rPr>
          <w:sz w:val="18"/>
          <w:szCs w:val="18"/>
        </w:rPr>
        <w:t>.</w:t>
      </w:r>
    </w:p>
  </w:footnote>
  <w:footnote w:id="34">
    <w:p w:rsidR="006346FE" w:rsidRPr="00AA4F95" w:rsidRDefault="006346FE" w:rsidP="00F273F3">
      <w:pPr>
        <w:spacing w:before="240" w:after="80" w:line="240" w:lineRule="auto"/>
        <w:rPr>
          <w:sz w:val="18"/>
          <w:szCs w:val="18"/>
        </w:rPr>
      </w:pPr>
      <w:r w:rsidRPr="00AA4F95">
        <w:rPr>
          <w:rStyle w:val="FootnoteReference"/>
          <w:sz w:val="18"/>
          <w:szCs w:val="18"/>
        </w:rPr>
        <w:footnoteRef/>
      </w:r>
      <w:r w:rsidRPr="00AA4F95">
        <w:rPr>
          <w:sz w:val="18"/>
          <w:szCs w:val="18"/>
        </w:rPr>
        <w:t xml:space="preserve"> FERC, </w:t>
      </w:r>
      <w:r w:rsidRPr="00AA4F95">
        <w:rPr>
          <w:i/>
          <w:sz w:val="18"/>
          <w:szCs w:val="18"/>
        </w:rPr>
        <w:t>ISO New England Inc.</w:t>
      </w:r>
      <w:r w:rsidRPr="00AA4F95">
        <w:rPr>
          <w:sz w:val="18"/>
          <w:szCs w:val="18"/>
        </w:rPr>
        <w:t xml:space="preserve"> </w:t>
      </w:r>
      <w:r w:rsidRPr="00AA4F95">
        <w:rPr>
          <w:i/>
          <w:sz w:val="18"/>
          <w:szCs w:val="18"/>
        </w:rPr>
        <w:t>Order on Compliance Filings</w:t>
      </w:r>
      <w:r w:rsidRPr="00AA4F95">
        <w:rPr>
          <w:sz w:val="18"/>
          <w:szCs w:val="18"/>
        </w:rPr>
        <w:t xml:space="preserve"> (May 17, 2013), </w:t>
      </w:r>
      <w:hyperlink r:id="rId33" w:history="1">
        <w:r w:rsidRPr="00AA4F95">
          <w:rPr>
            <w:rStyle w:val="Hyperlink"/>
            <w:sz w:val="18"/>
            <w:szCs w:val="18"/>
          </w:rPr>
          <w:t>https://www.iso-ne.com/static-assets/documents/regulatory/ferc/orders/2013/may/er13_193_er13_196_5_17_13_order_on_order_1000_compliance_filings.pdf</w:t>
        </w:r>
      </w:hyperlink>
      <w:r w:rsidRPr="00AA4F95">
        <w:rPr>
          <w:sz w:val="18"/>
          <w:szCs w:val="18"/>
        </w:rPr>
        <w:t xml:space="preserve">. Also see “Order No. 1000—Transmission Planning and Cost Allocation,” FERC webpage (2016), </w:t>
      </w:r>
      <w:hyperlink r:id="rId34" w:history="1">
        <w:r w:rsidRPr="00AA4F95">
          <w:rPr>
            <w:rStyle w:val="Hyperlink"/>
            <w:color w:val="auto"/>
            <w:sz w:val="18"/>
            <w:szCs w:val="18"/>
          </w:rPr>
          <w:t>http://www.ferc.gov/industries/electric/indus-act/trans-plan.asp</w:t>
        </w:r>
      </w:hyperlink>
      <w:r w:rsidRPr="00AA4F95">
        <w:rPr>
          <w:sz w:val="18"/>
          <w:szCs w:val="18"/>
        </w:rPr>
        <w:t>.</w:t>
      </w:r>
    </w:p>
  </w:footnote>
  <w:footnote w:id="35">
    <w:p w:rsidR="006346FE" w:rsidRPr="001655D0" w:rsidRDefault="006346FE" w:rsidP="00F273F3">
      <w:pPr>
        <w:pStyle w:val="FoonoteText"/>
        <w:spacing w:after="80" w:line="240" w:lineRule="auto"/>
        <w:rPr>
          <w:sz w:val="18"/>
          <w:szCs w:val="18"/>
        </w:rPr>
      </w:pPr>
      <w:r w:rsidRPr="001655D0">
        <w:rPr>
          <w:rStyle w:val="FootnoteReference"/>
          <w:rFonts w:eastAsiaTheme="majorEastAsia"/>
          <w:sz w:val="18"/>
          <w:szCs w:val="18"/>
        </w:rPr>
        <w:footnoteRef/>
      </w:r>
      <w:r w:rsidRPr="001655D0">
        <w:rPr>
          <w:sz w:val="18"/>
          <w:szCs w:val="18"/>
        </w:rPr>
        <w:t xml:space="preserve"> The Network-Capability Interconnection Standard is an energy-only standard that includes the minimum criteria required to permit a generator to connect to the transmission system so that it has no adverse impacts on the reliability, stability, or operation of the system, including the degradation of transfer capability for interfaces affected by the generating facility. The Capacity-Capability Interconnection Standard is a capacity and energy standard that includes the same criteria as the Network-Capability Interconnection Standard</w:t>
      </w:r>
      <w:r w:rsidRPr="001655D0">
        <w:rPr>
          <w:i/>
          <w:sz w:val="18"/>
          <w:szCs w:val="18"/>
        </w:rPr>
        <w:t xml:space="preserve"> </w:t>
      </w:r>
      <w:r w:rsidRPr="001655D0">
        <w:rPr>
          <w:sz w:val="18"/>
          <w:szCs w:val="18"/>
        </w:rPr>
        <w:t>but also includes criteria to ensure intrazonal deliverability by avoiding the redispatch of other capacity network resources.</w:t>
      </w:r>
      <w:r>
        <w:rPr>
          <w:sz w:val="18"/>
          <w:szCs w:val="18"/>
        </w:rPr>
        <w:t xml:space="preserve"> </w:t>
      </w:r>
      <w:r w:rsidRPr="001655D0">
        <w:rPr>
          <w:sz w:val="18"/>
          <w:szCs w:val="18"/>
        </w:rPr>
        <w:t xml:space="preserve">The OATT, Section 22, defines the standards; </w:t>
      </w:r>
      <w:hyperlink r:id="rId35" w:history="1">
        <w:r w:rsidRPr="00AA4F95">
          <w:rPr>
            <w:rStyle w:val="Hyperlink"/>
            <w:color w:val="auto"/>
            <w:sz w:val="18"/>
            <w:szCs w:val="18"/>
          </w:rPr>
          <w:t>http://www.iso-ne.com/static-assets/documents/regulatory/tariff/sect_2/sch22/sch_22_lgip.pdf</w:t>
        </w:r>
      </w:hyperlink>
      <w:r w:rsidRPr="00AA4F95">
        <w:rPr>
          <w:sz w:val="18"/>
          <w:szCs w:val="18"/>
        </w:rPr>
        <w:t>. Also see Schedule 23 for small generator interconnections and applications for new interconnections</w:t>
      </w:r>
      <w:hyperlink r:id="rId36" w:history="1">
        <w:r w:rsidRPr="00AA4F95">
          <w:rPr>
            <w:rStyle w:val="Hyperlink"/>
            <w:sz w:val="18"/>
            <w:szCs w:val="18"/>
          </w:rPr>
          <w:t xml:space="preserve">; </w:t>
        </w:r>
      </w:hyperlink>
      <w:hyperlink r:id="rId37" w:history="1">
        <w:r w:rsidRPr="00AA4F95">
          <w:rPr>
            <w:rStyle w:val="Hyperlink"/>
            <w:sz w:val="18"/>
            <w:szCs w:val="18"/>
          </w:rPr>
          <w:t>https://www.iso-ne.com/static-assets/documents/regulatory/tariff/sect_2/sch23/sch_23_sgip.pdf</w:t>
        </w:r>
      </w:hyperlink>
      <w:r w:rsidRPr="00AA4F95">
        <w:rPr>
          <w:sz w:val="18"/>
          <w:szCs w:val="18"/>
        </w:rPr>
        <w:t>.</w:t>
      </w:r>
    </w:p>
  </w:footnote>
  <w:footnote w:id="36">
    <w:p w:rsidR="006346FE" w:rsidRPr="008D5D5B" w:rsidRDefault="006346FE" w:rsidP="001A1874">
      <w:pPr>
        <w:pStyle w:val="FootnoteText"/>
        <w:rPr>
          <w:szCs w:val="18"/>
        </w:rPr>
      </w:pPr>
      <w:r w:rsidRPr="008D5D5B">
        <w:rPr>
          <w:rStyle w:val="FootnoteReference"/>
          <w:sz w:val="18"/>
          <w:szCs w:val="18"/>
        </w:rPr>
        <w:footnoteRef/>
      </w:r>
      <w:r w:rsidRPr="008D5D5B">
        <w:rPr>
          <w:szCs w:val="18"/>
        </w:rPr>
        <w:t xml:space="preserve"> </w:t>
      </w:r>
      <w:r w:rsidRPr="001655D0">
        <w:rPr>
          <w:i/>
          <w:szCs w:val="18"/>
        </w:rPr>
        <w:t>Pool transmission facilities</w:t>
      </w:r>
      <w:r w:rsidRPr="001655D0">
        <w:rPr>
          <w:szCs w:val="18"/>
        </w:rPr>
        <w:t xml:space="preserve"> are the facilities rated 69 kilovolts (kV) or above owned by the participating transmission owners, over which the ISO has operating authority in accordance with the terms set forth in the </w:t>
      </w:r>
      <w:r w:rsidRPr="00055AEF">
        <w:rPr>
          <w:szCs w:val="18"/>
        </w:rPr>
        <w:t xml:space="preserve">Transmission Operating Agreements. Refer to the OATT, Section II.49, 109, for additional specifications, </w:t>
      </w:r>
      <w:hyperlink r:id="rId38" w:history="1">
        <w:r w:rsidRPr="00055AEF">
          <w:rPr>
            <w:rStyle w:val="Hyperlink"/>
            <w:color w:val="auto"/>
            <w:szCs w:val="18"/>
          </w:rPr>
          <w:t>http://www.iso-ne.com/static-assets/documents/regulatory/tariff/sect_2/oatt/sect_ii.pdf</w:t>
        </w:r>
      </w:hyperlink>
      <w:r w:rsidRPr="00055AEF">
        <w:rPr>
          <w:rStyle w:val="Hyperlink"/>
          <w:color w:val="auto"/>
          <w:szCs w:val="18"/>
        </w:rPr>
        <w:t xml:space="preserve">. See Schedule </w:t>
      </w:r>
      <w:r w:rsidRPr="00A01253">
        <w:rPr>
          <w:rStyle w:val="Hyperlink"/>
          <w:color w:val="auto"/>
          <w:szCs w:val="18"/>
        </w:rPr>
        <w:t>25</w:t>
      </w:r>
      <w:r w:rsidRPr="00055AEF">
        <w:rPr>
          <w:rStyle w:val="Hyperlink"/>
          <w:color w:val="auto"/>
          <w:szCs w:val="18"/>
        </w:rPr>
        <w:t xml:space="preserve"> of the OATT for additional information on ETUs.</w:t>
      </w:r>
      <w:r>
        <w:rPr>
          <w:rStyle w:val="Hyperlink"/>
          <w:color w:val="auto"/>
          <w:szCs w:val="18"/>
        </w:rPr>
        <w:t xml:space="preserve"> </w:t>
      </w:r>
    </w:p>
  </w:footnote>
  <w:footnote w:id="37">
    <w:p w:rsidR="006346FE" w:rsidRPr="008D5D5B" w:rsidRDefault="006346FE" w:rsidP="00F273F3">
      <w:pPr>
        <w:pStyle w:val="FootnoteText"/>
        <w:rPr>
          <w:szCs w:val="18"/>
        </w:rPr>
      </w:pPr>
      <w:r w:rsidRPr="008D5D5B">
        <w:rPr>
          <w:rStyle w:val="FootnoteReference"/>
          <w:sz w:val="18"/>
          <w:szCs w:val="18"/>
        </w:rPr>
        <w:footnoteRef/>
      </w:r>
      <w:r w:rsidRPr="008D5D5B">
        <w:rPr>
          <w:szCs w:val="18"/>
        </w:rPr>
        <w:t xml:space="preserve"> The filing for the addition or modification to the transmission upgrade must be in accordance with the OATT, </w:t>
      </w:r>
      <w:r w:rsidRPr="00DA4FB3">
        <w:rPr>
          <w:szCs w:val="18"/>
        </w:rPr>
        <w:t xml:space="preserve">Section II.47.2, on a date after the </w:t>
      </w:r>
      <w:r w:rsidRPr="00DA4FB3">
        <w:rPr>
          <w:i/>
          <w:szCs w:val="18"/>
        </w:rPr>
        <w:t xml:space="preserve">RSP Project List </w:t>
      </w:r>
      <w:r w:rsidRPr="00DA4FB3">
        <w:rPr>
          <w:szCs w:val="18"/>
        </w:rPr>
        <w:t>(as of the date of that application) already has documented the</w:t>
      </w:r>
      <w:r w:rsidRPr="008D5D5B">
        <w:rPr>
          <w:szCs w:val="18"/>
        </w:rPr>
        <w:t xml:space="preserve"> </w:t>
      </w:r>
      <w:r w:rsidRPr="002B0664">
        <w:rPr>
          <w:szCs w:val="18"/>
        </w:rPr>
        <w:t xml:space="preserve">addition or modification, other than as an elective transmission upgrade. (See Section </w:t>
      </w:r>
      <w:r w:rsidRPr="002B0664">
        <w:rPr>
          <w:szCs w:val="18"/>
        </w:rPr>
        <w:fldChar w:fldCharType="begin"/>
      </w:r>
      <w:r w:rsidRPr="002B0664">
        <w:rPr>
          <w:szCs w:val="18"/>
        </w:rPr>
        <w:instrText xml:space="preserve"> REF _Ref485718934 \r \h </w:instrText>
      </w:r>
      <w:r>
        <w:rPr>
          <w:szCs w:val="18"/>
        </w:rPr>
        <w:instrText xml:space="preserve"> \* MERGEFORMAT </w:instrText>
      </w:r>
      <w:r w:rsidRPr="002B0664">
        <w:rPr>
          <w:szCs w:val="18"/>
        </w:rPr>
      </w:r>
      <w:r w:rsidRPr="002B0664">
        <w:rPr>
          <w:szCs w:val="18"/>
        </w:rPr>
        <w:fldChar w:fldCharType="separate"/>
      </w:r>
      <w:r>
        <w:rPr>
          <w:szCs w:val="18"/>
        </w:rPr>
        <w:t>2.1.6</w:t>
      </w:r>
      <w:r w:rsidRPr="002B0664">
        <w:rPr>
          <w:szCs w:val="18"/>
        </w:rPr>
        <w:fldChar w:fldCharType="end"/>
      </w:r>
      <w:r w:rsidRPr="002B0664">
        <w:rPr>
          <w:szCs w:val="18"/>
        </w:rPr>
        <w:t xml:space="preserve"> for more on the </w:t>
      </w:r>
      <w:r w:rsidRPr="002B0664">
        <w:rPr>
          <w:i/>
          <w:szCs w:val="18"/>
        </w:rPr>
        <w:t>RSP</w:t>
      </w:r>
      <w:r w:rsidRPr="008D5D5B">
        <w:rPr>
          <w:i/>
          <w:szCs w:val="18"/>
        </w:rPr>
        <w:t xml:space="preserve"> Project List</w:t>
      </w:r>
      <w:r w:rsidRPr="008D5D5B">
        <w:rPr>
          <w:szCs w:val="18"/>
        </w:rPr>
        <w:t>.)</w:t>
      </w:r>
    </w:p>
  </w:footnote>
  <w:footnote w:id="38">
    <w:p w:rsidR="006346FE" w:rsidRPr="00055AEF" w:rsidRDefault="006346FE">
      <w:pPr>
        <w:pStyle w:val="FootnoteText"/>
      </w:pPr>
      <w:r w:rsidRPr="00055AEF">
        <w:rPr>
          <w:rStyle w:val="FootnoteReference"/>
        </w:rPr>
        <w:footnoteRef/>
      </w:r>
      <w:r w:rsidRPr="00055AEF">
        <w:t xml:space="preserve"> </w:t>
      </w:r>
      <w:r w:rsidRPr="00A01253">
        <w:rPr>
          <w:rStyle w:val="Hyperlink"/>
          <w:color w:val="auto"/>
          <w:szCs w:val="18"/>
        </w:rPr>
        <w:t xml:space="preserve">An </w:t>
      </w:r>
      <w:r w:rsidRPr="00A01253">
        <w:rPr>
          <w:rStyle w:val="Hyperlink"/>
          <w:i/>
          <w:color w:val="auto"/>
          <w:szCs w:val="18"/>
        </w:rPr>
        <w:t xml:space="preserve">internal ETU </w:t>
      </w:r>
      <w:r w:rsidRPr="00A01253">
        <w:rPr>
          <w:rStyle w:val="Hyperlink"/>
          <w:color w:val="auto"/>
          <w:szCs w:val="18"/>
        </w:rPr>
        <w:t>is a</w:t>
      </w:r>
      <w:r w:rsidRPr="00A01253">
        <w:rPr>
          <w:color w:val="000000"/>
        </w:rPr>
        <w:t xml:space="preserve"> transmission facility with interconnection points located solely within the New England Control Area; it would receive a right to interconnect to the system subject to meeting all the requirements specified in an Interconnection Agreement (e.g., completing the upgrades required to accommodate the requested interconnection). An </w:t>
      </w:r>
      <w:r w:rsidRPr="00A01253">
        <w:rPr>
          <w:i/>
          <w:color w:val="000000"/>
        </w:rPr>
        <w:t>external ETU</w:t>
      </w:r>
      <w:r w:rsidRPr="00A01253">
        <w:rPr>
          <w:color w:val="000000"/>
        </w:rPr>
        <w:t xml:space="preserve"> is a transmission facility that will interconnect the New England Control Area with another control area.</w:t>
      </w:r>
      <w:r w:rsidRPr="00A01253">
        <w:t xml:space="preserve"> E</w:t>
      </w:r>
      <w:r w:rsidRPr="00A01253">
        <w:rPr>
          <w:color w:val="000000"/>
        </w:rPr>
        <w:t xml:space="preserve">xternal ETUs can receive Capacity Network Resource Interconnection Service (CNRIS) for capacity or Network Resource Interconnection Service (NRIS) for energy if they complete all the required milestones. </w:t>
      </w:r>
      <w:r w:rsidRPr="00A01253">
        <w:t xml:space="preserve">For more information, refer to </w:t>
      </w:r>
      <w:r w:rsidRPr="00A01253">
        <w:rPr>
          <w:i/>
        </w:rPr>
        <w:t>Elective Transmission Upgrade Project</w:t>
      </w:r>
      <w:r w:rsidRPr="00A01253">
        <w:t xml:space="preserve">, Reliability Committee presentation (October 21, 2014), </w:t>
      </w:r>
      <w:hyperlink r:id="rId39" w:history="1">
        <w:r w:rsidRPr="00A01253">
          <w:rPr>
            <w:rStyle w:val="Hyperlink"/>
          </w:rPr>
          <w:t>https://www.iso-ne.com/static-assets/documents/2014/10/a7_etu_conforming_changes_rev1.pdf</w:t>
        </w:r>
      </w:hyperlink>
      <w:r w:rsidRPr="00A01253">
        <w:rPr>
          <w:color w:val="000000"/>
        </w:rPr>
        <w:t>.</w:t>
      </w:r>
    </w:p>
  </w:footnote>
  <w:footnote w:id="39">
    <w:p w:rsidR="006346FE" w:rsidRDefault="006346FE" w:rsidP="00F273F3">
      <w:pPr>
        <w:pStyle w:val="FootnoteText"/>
      </w:pPr>
      <w:r w:rsidRPr="00055AEF">
        <w:rPr>
          <w:rStyle w:val="FootnoteReference"/>
        </w:rPr>
        <w:footnoteRef/>
      </w:r>
      <w:r w:rsidRPr="00055AEF">
        <w:t xml:space="preserve"> </w:t>
      </w:r>
      <w:r w:rsidRPr="00055AEF">
        <w:rPr>
          <w:szCs w:val="18"/>
        </w:rPr>
        <w:t xml:space="preserve">The </w:t>
      </w:r>
      <w:r w:rsidRPr="00055AEF">
        <w:rPr>
          <w:i/>
          <w:szCs w:val="18"/>
        </w:rPr>
        <w:t>ISO’s  Interconnection Request Queue</w:t>
      </w:r>
      <w:r w:rsidRPr="00055AEF">
        <w:rPr>
          <w:szCs w:val="18"/>
        </w:rPr>
        <w:t xml:space="preserve"> lists the status of requests for the interconnection of new or uprated (i.e., increased capacity) generating facilities to the ISO New England-administered transmission system; see Section </w:t>
      </w:r>
      <w:r w:rsidRPr="00055AEF">
        <w:rPr>
          <w:szCs w:val="18"/>
        </w:rPr>
        <w:fldChar w:fldCharType="begin"/>
      </w:r>
      <w:r w:rsidRPr="00055AEF">
        <w:rPr>
          <w:szCs w:val="18"/>
        </w:rPr>
        <w:instrText xml:space="preserve"> REF _Ref329080869 \r \h </w:instrText>
      </w:r>
      <w:r>
        <w:rPr>
          <w:szCs w:val="18"/>
        </w:rPr>
        <w:instrText xml:space="preserve"> \* MERGEFORMAT </w:instrText>
      </w:r>
      <w:r w:rsidRPr="00055AEF">
        <w:rPr>
          <w:szCs w:val="18"/>
        </w:rPr>
      </w:r>
      <w:r w:rsidRPr="00055AEF">
        <w:rPr>
          <w:szCs w:val="18"/>
        </w:rPr>
        <w:fldChar w:fldCharType="separate"/>
      </w:r>
      <w:r w:rsidRPr="00055AEF">
        <w:rPr>
          <w:szCs w:val="18"/>
        </w:rPr>
        <w:t>4.5.4</w:t>
      </w:r>
      <w:r w:rsidRPr="00055AEF">
        <w:rPr>
          <w:szCs w:val="18"/>
        </w:rPr>
        <w:fldChar w:fldCharType="end"/>
      </w:r>
      <w:r w:rsidRPr="00055AEF">
        <w:rPr>
          <w:szCs w:val="18"/>
        </w:rPr>
        <w:t>. It also includes elective transmission upgrades and transmission service requests.</w:t>
      </w:r>
    </w:p>
  </w:footnote>
  <w:footnote w:id="40">
    <w:p w:rsidR="006346FE" w:rsidRPr="00D64F3A" w:rsidRDefault="006346FE" w:rsidP="00F273F3">
      <w:pPr>
        <w:spacing w:after="80" w:line="240" w:lineRule="auto"/>
        <w:rPr>
          <w:sz w:val="18"/>
          <w:szCs w:val="18"/>
        </w:rPr>
      </w:pPr>
      <w:r w:rsidRPr="00D64F3A">
        <w:rPr>
          <w:rStyle w:val="FootnoteReference"/>
          <w:sz w:val="18"/>
          <w:szCs w:val="18"/>
        </w:rPr>
        <w:footnoteRef/>
      </w:r>
      <w:r w:rsidRPr="00D64F3A">
        <w:rPr>
          <w:sz w:val="18"/>
          <w:szCs w:val="18"/>
        </w:rPr>
        <w:t xml:space="preserve"> OATT, Attachment K, </w:t>
      </w:r>
      <w:hyperlink r:id="rId40" w:history="1">
        <w:r w:rsidRPr="001655D0">
          <w:rPr>
            <w:rStyle w:val="Hyperlink"/>
            <w:color w:val="auto"/>
            <w:sz w:val="18"/>
            <w:szCs w:val="18"/>
          </w:rPr>
          <w:t>http://www.iso-ne.com/static-assets/documents/regulatory/tariff/sect_2/oatt/sect_ii.pdf</w:t>
        </w:r>
      </w:hyperlink>
      <w:hyperlink w:history="1"/>
      <w:r w:rsidRPr="00D64F3A">
        <w:rPr>
          <w:sz w:val="18"/>
          <w:szCs w:val="18"/>
        </w:rPr>
        <w:t xml:space="preserve">. </w:t>
      </w:r>
    </w:p>
  </w:footnote>
  <w:footnote w:id="41">
    <w:p w:rsidR="006346FE" w:rsidRPr="00C512A9" w:rsidRDefault="006346FE" w:rsidP="00F273F3">
      <w:pPr>
        <w:pStyle w:val="FootnoteText"/>
        <w:rPr>
          <w:szCs w:val="18"/>
        </w:rPr>
      </w:pPr>
      <w:r w:rsidRPr="00D64F3A">
        <w:rPr>
          <w:rStyle w:val="FootnoteReference"/>
          <w:sz w:val="18"/>
          <w:szCs w:val="18"/>
        </w:rPr>
        <w:footnoteRef/>
      </w:r>
      <w:r w:rsidRPr="00D64F3A">
        <w:rPr>
          <w:szCs w:val="18"/>
        </w:rPr>
        <w:t xml:space="preserve"> </w:t>
      </w:r>
      <w:r w:rsidRPr="00D64F3A">
        <w:rPr>
          <w:i/>
          <w:szCs w:val="18"/>
        </w:rPr>
        <w:t xml:space="preserve">Transmission Planning Process Guide </w:t>
      </w:r>
      <w:r w:rsidRPr="00D64F3A">
        <w:rPr>
          <w:szCs w:val="18"/>
        </w:rPr>
        <w:t>(</w:t>
      </w:r>
      <w:r>
        <w:rPr>
          <w:szCs w:val="18"/>
        </w:rPr>
        <w:t>April 6</w:t>
      </w:r>
      <w:r w:rsidRPr="00D64F3A">
        <w:rPr>
          <w:szCs w:val="18"/>
        </w:rPr>
        <w:t>, 201</w:t>
      </w:r>
      <w:r>
        <w:rPr>
          <w:szCs w:val="18"/>
        </w:rPr>
        <w:t>7</w:t>
      </w:r>
      <w:r w:rsidRPr="00D64F3A">
        <w:rPr>
          <w:szCs w:val="18"/>
        </w:rPr>
        <w:t xml:space="preserve">), </w:t>
      </w:r>
      <w:hyperlink r:id="rId41" w:history="1">
        <w:r w:rsidRPr="00C512A9">
          <w:rPr>
            <w:rStyle w:val="Hyperlink"/>
            <w:color w:val="auto"/>
          </w:rPr>
          <w:t>http://www.iso-ne.com/system-planning/transmission-planning/transmission-planning-guides</w:t>
        </w:r>
      </w:hyperlink>
      <w:r w:rsidRPr="00C512A9">
        <w:t>.</w:t>
      </w:r>
      <w:r w:rsidRPr="00C512A9">
        <w:rPr>
          <w:rStyle w:val="Hyperlink"/>
          <w:color w:val="auto"/>
          <w:szCs w:val="18"/>
        </w:rPr>
        <w:t xml:space="preserve"> </w:t>
      </w:r>
    </w:p>
  </w:footnote>
  <w:footnote w:id="42">
    <w:p w:rsidR="006346FE" w:rsidRDefault="006346FE" w:rsidP="00F273F3">
      <w:pPr>
        <w:pStyle w:val="FootnoteText"/>
      </w:pPr>
      <w:r w:rsidRPr="00C512A9">
        <w:rPr>
          <w:rStyle w:val="FootnoteReference"/>
        </w:rPr>
        <w:footnoteRef/>
      </w:r>
      <w:r w:rsidRPr="00C512A9">
        <w:t xml:space="preserve"> Any entity that intends to submit a proposal in response to an ISO-identified need for a reliability transmission upgrade, market-efficiency transmission upgrade, public policy transmission upgrade, or a backstop transmission solution must first be recognized by the ISO as a </w:t>
      </w:r>
      <w:r w:rsidRPr="00C512A9">
        <w:rPr>
          <w:i/>
        </w:rPr>
        <w:t>qualified transmission project sponsor</w:t>
      </w:r>
      <w:r w:rsidRPr="00C512A9">
        <w:t xml:space="preserve">, in accordance with the OATT, Attachment K, Section 4B. </w:t>
      </w:r>
    </w:p>
  </w:footnote>
  <w:footnote w:id="43">
    <w:p w:rsidR="006346FE" w:rsidRPr="00D64F3A" w:rsidRDefault="006346FE" w:rsidP="00F273F3">
      <w:pPr>
        <w:pStyle w:val="FootnoteText"/>
        <w:rPr>
          <w:szCs w:val="18"/>
        </w:rPr>
      </w:pPr>
      <w:r w:rsidRPr="00D64F3A">
        <w:rPr>
          <w:rStyle w:val="FootnoteReference"/>
          <w:sz w:val="18"/>
          <w:szCs w:val="18"/>
        </w:rPr>
        <w:footnoteRef/>
      </w:r>
      <w:r w:rsidRPr="00D64F3A">
        <w:rPr>
          <w:szCs w:val="18"/>
        </w:rPr>
        <w:t xml:space="preserve"> </w:t>
      </w:r>
      <w:r w:rsidRPr="00D64F3A">
        <w:rPr>
          <w:i/>
          <w:szCs w:val="18"/>
        </w:rPr>
        <w:t>Transmission Planning Technical Guide</w:t>
      </w:r>
      <w:r w:rsidRPr="00D64F3A">
        <w:rPr>
          <w:szCs w:val="18"/>
        </w:rPr>
        <w:t>, (</w:t>
      </w:r>
      <w:r>
        <w:rPr>
          <w:szCs w:val="18"/>
        </w:rPr>
        <w:t>March 24</w:t>
      </w:r>
      <w:r w:rsidRPr="00D64F3A">
        <w:rPr>
          <w:szCs w:val="18"/>
        </w:rPr>
        <w:t>, 201</w:t>
      </w:r>
      <w:r>
        <w:rPr>
          <w:szCs w:val="18"/>
        </w:rPr>
        <w:t>7</w:t>
      </w:r>
      <w:r w:rsidRPr="00D64F3A">
        <w:rPr>
          <w:szCs w:val="18"/>
        </w:rPr>
        <w:t xml:space="preserve">), </w:t>
      </w:r>
      <w:hyperlink r:id="rId42" w:history="1">
        <w:r w:rsidRPr="00D64F3A">
          <w:rPr>
            <w:rStyle w:val="Hyperlink"/>
            <w:color w:val="auto"/>
          </w:rPr>
          <w:t>http://www.iso-ne.com/system-planning/transmission-planning/transmission-planning-guides</w:t>
        </w:r>
      </w:hyperlink>
      <w:r w:rsidRPr="00D64F3A">
        <w:rPr>
          <w:szCs w:val="18"/>
        </w:rPr>
        <w:t>.</w:t>
      </w:r>
    </w:p>
  </w:footnote>
  <w:footnote w:id="44">
    <w:p w:rsidR="006346FE" w:rsidRPr="001655D0" w:rsidRDefault="006346FE" w:rsidP="00F273F3">
      <w:pPr>
        <w:spacing w:after="80" w:line="240" w:lineRule="auto"/>
        <w:rPr>
          <w:sz w:val="18"/>
          <w:szCs w:val="18"/>
        </w:rPr>
      </w:pPr>
      <w:r w:rsidRPr="00E83059">
        <w:rPr>
          <w:rStyle w:val="FootnoteReference"/>
          <w:sz w:val="18"/>
          <w:szCs w:val="18"/>
        </w:rPr>
        <w:footnoteRef/>
      </w:r>
      <w:r w:rsidRPr="00E83059">
        <w:rPr>
          <w:sz w:val="18"/>
          <w:szCs w:val="18"/>
        </w:rPr>
        <w:t xml:space="preserve"> A </w:t>
      </w:r>
      <w:r w:rsidRPr="00E83059">
        <w:rPr>
          <w:i/>
          <w:sz w:val="18"/>
          <w:szCs w:val="18"/>
        </w:rPr>
        <w:t>critical load level</w:t>
      </w:r>
      <w:r w:rsidRPr="00E83059">
        <w:rPr>
          <w:sz w:val="18"/>
          <w:szCs w:val="18"/>
        </w:rPr>
        <w:t xml:space="preserve"> is the load level at which a system problem could occur and therefore a solution would be needed. Refer to the OATT, Attachment K, Section 4.1 and 4.2 for complete definitions for needs assessments and solutions studies; </w:t>
      </w:r>
      <w:hyperlink r:id="rId43" w:history="1">
        <w:r w:rsidRPr="00E83059">
          <w:rPr>
            <w:rStyle w:val="Hyperlink"/>
            <w:sz w:val="18"/>
            <w:szCs w:val="18"/>
          </w:rPr>
          <w:t>https://www.iso-ne.com/static-assets/documents/regulatory/tariff/sect_2/oatt/sect_ii.pdf</w:t>
        </w:r>
      </w:hyperlink>
      <w:r w:rsidRPr="001655D0">
        <w:rPr>
          <w:sz w:val="18"/>
          <w:szCs w:val="18"/>
        </w:rPr>
        <w:t xml:space="preserve">. </w:t>
      </w:r>
    </w:p>
  </w:footnote>
  <w:footnote w:id="45">
    <w:p w:rsidR="006346FE" w:rsidRDefault="006346FE">
      <w:pPr>
        <w:pStyle w:val="FootnoteText"/>
      </w:pPr>
      <w:r w:rsidRPr="006100CB">
        <w:rPr>
          <w:rStyle w:val="FootnoteReference"/>
        </w:rPr>
        <w:footnoteRef/>
      </w:r>
      <w:r w:rsidRPr="006100CB">
        <w:t xml:space="preserve"> </w:t>
      </w:r>
      <w:r w:rsidRPr="00C512A9">
        <w:t xml:space="preserve">The </w:t>
      </w:r>
      <w:r w:rsidRPr="00C512A9">
        <w:rPr>
          <w:i/>
        </w:rPr>
        <w:t>Eastern Interconnection</w:t>
      </w:r>
      <w:r w:rsidRPr="006100CB">
        <w:t xml:space="preserve"> </w:t>
      </w:r>
      <w:r w:rsidRPr="00C512A9">
        <w:t>is o</w:t>
      </w:r>
      <w:r w:rsidRPr="006100CB">
        <w:t>ne of two major AC power grids in North America spanning from central Canada eastward to the Atlantic coast (excluding Qu</w:t>
      </w:r>
      <w:r>
        <w:t>é</w:t>
      </w:r>
      <w:r w:rsidRPr="006100CB">
        <w:t xml:space="preserve">bec), south to Florida, and west to the foot of the Rocky Mountains (excluding most of Texas—the portion in the Electric Reliability Corporation of Texas) that, during normal system conditions, interconnects transmission and distribution infrastructure and operates at a synchronized frequency of 60 Hz average. The Eastern Interconnection is tied to the Western Interconnection, the Texas Interconnection, and the Quebec Interconnection generally through numerous </w:t>
      </w:r>
      <w:r>
        <w:t>HV</w:t>
      </w:r>
      <w:r w:rsidRPr="006100CB">
        <w:t>DC transmission lines.</w:t>
      </w:r>
    </w:p>
  </w:footnote>
  <w:footnote w:id="46">
    <w:p w:rsidR="006346FE" w:rsidRPr="00BF7C6E" w:rsidRDefault="006346FE" w:rsidP="00F273F3">
      <w:pPr>
        <w:spacing w:after="80" w:line="240" w:lineRule="auto"/>
        <w:rPr>
          <w:sz w:val="18"/>
          <w:szCs w:val="18"/>
        </w:rPr>
      </w:pPr>
      <w:r w:rsidRPr="00C512A9">
        <w:rPr>
          <w:rStyle w:val="FootnoteReference"/>
          <w:sz w:val="18"/>
          <w:szCs w:val="18"/>
        </w:rPr>
        <w:footnoteRef/>
      </w:r>
      <w:r w:rsidRPr="00C512A9">
        <w:rPr>
          <w:sz w:val="18"/>
          <w:szCs w:val="18"/>
        </w:rPr>
        <w:t xml:space="preserve"> A </w:t>
      </w:r>
      <w:r w:rsidRPr="00C512A9">
        <w:rPr>
          <w:i/>
          <w:sz w:val="18"/>
          <w:szCs w:val="18"/>
        </w:rPr>
        <w:t>distributed generation</w:t>
      </w:r>
      <w:r w:rsidRPr="00C512A9">
        <w:rPr>
          <w:sz w:val="18"/>
          <w:szCs w:val="18"/>
        </w:rPr>
        <w:t xml:space="preserve"> resource is generation provided by a relatively small, on-site installation directly connected to a distribution facility or retail customer facility to serve load at the point of consumption rather than the regional power system (i.e., it is behind the meter). </w:t>
      </w:r>
      <w:r w:rsidRPr="00C512A9">
        <w:rPr>
          <w:i/>
          <w:sz w:val="18"/>
          <w:szCs w:val="18"/>
        </w:rPr>
        <w:t>Distributed energy resources</w:t>
      </w:r>
      <w:r w:rsidRPr="00C512A9">
        <w:rPr>
          <w:sz w:val="18"/>
          <w:szCs w:val="18"/>
        </w:rPr>
        <w:t xml:space="preserve"> are sources and aggregated sources of electric power not directly connected to a bulk power system. DERs include generators and energy-storage technologies capable of exporting active power to an electric power system. A distributed generator is a type of distributed energy resource.</w:t>
      </w:r>
    </w:p>
  </w:footnote>
  <w:footnote w:id="47">
    <w:p w:rsidR="006346FE" w:rsidRPr="001655D0" w:rsidRDefault="006346FE" w:rsidP="00F273F3">
      <w:pPr>
        <w:pStyle w:val="FoonoteText"/>
        <w:spacing w:after="80" w:line="240" w:lineRule="auto"/>
        <w:rPr>
          <w:sz w:val="18"/>
          <w:szCs w:val="18"/>
        </w:rPr>
      </w:pPr>
      <w:r w:rsidRPr="001655D0">
        <w:rPr>
          <w:rStyle w:val="FootnoteReference"/>
          <w:sz w:val="18"/>
          <w:szCs w:val="18"/>
        </w:rPr>
        <w:footnoteRef/>
      </w:r>
      <w:r w:rsidRPr="001655D0">
        <w:rPr>
          <w:sz w:val="18"/>
          <w:szCs w:val="18"/>
        </w:rPr>
        <w:t xml:space="preserve"> Any stakeholder can designate a representative to the PAC by providing written notice to the ISO. PAC materials (200</w:t>
      </w:r>
      <w:r>
        <w:rPr>
          <w:sz w:val="18"/>
          <w:szCs w:val="18"/>
        </w:rPr>
        <w:t>7</w:t>
      </w:r>
      <w:r w:rsidRPr="001655D0">
        <w:rPr>
          <w:sz w:val="18"/>
          <w:szCs w:val="18"/>
        </w:rPr>
        <w:t>–201</w:t>
      </w:r>
      <w:r>
        <w:rPr>
          <w:sz w:val="18"/>
          <w:szCs w:val="18"/>
        </w:rPr>
        <w:t>7</w:t>
      </w:r>
      <w:r w:rsidRPr="001655D0">
        <w:rPr>
          <w:sz w:val="18"/>
          <w:szCs w:val="18"/>
        </w:rPr>
        <w:t xml:space="preserve">) are available at </w:t>
      </w:r>
      <w:hyperlink r:id="rId44" w:history="1">
        <w:r w:rsidRPr="001655D0">
          <w:rPr>
            <w:rStyle w:val="Hyperlink"/>
            <w:color w:val="auto"/>
            <w:sz w:val="18"/>
            <w:szCs w:val="18"/>
          </w:rPr>
          <w:t>http://www.iso-ne.com/committees/comm_wkgrps/prtcpnts_comm/pac/index.html</w:t>
        </w:r>
      </w:hyperlink>
      <w:r w:rsidRPr="001655D0">
        <w:rPr>
          <w:sz w:val="18"/>
          <w:szCs w:val="18"/>
        </w:rPr>
        <w:t xml:space="preserve">. PAC agendas; minutes; materials; draft reports, including stakeholder questions and ISO responses; and final reports are posted on the ISO website. </w:t>
      </w:r>
    </w:p>
  </w:footnote>
  <w:footnote w:id="48">
    <w:p w:rsidR="006346FE" w:rsidRPr="001655D0" w:rsidRDefault="006346FE" w:rsidP="00F273F3">
      <w:pPr>
        <w:pStyle w:val="FoonoteText"/>
        <w:spacing w:after="80" w:line="240" w:lineRule="auto"/>
        <w:rPr>
          <w:sz w:val="18"/>
          <w:szCs w:val="18"/>
        </w:rPr>
      </w:pPr>
      <w:r w:rsidRPr="001655D0">
        <w:rPr>
          <w:rStyle w:val="FootnoteReference"/>
          <w:sz w:val="18"/>
          <w:szCs w:val="18"/>
        </w:rPr>
        <w:footnoteRef/>
      </w:r>
      <w:r w:rsidRPr="001655D0">
        <w:rPr>
          <w:sz w:val="18"/>
          <w:szCs w:val="18"/>
        </w:rPr>
        <w:t xml:space="preserve"> NEPOOL members serve as ISO stakeholders and market participants. More information on NEPOOL participants is available at </w:t>
      </w:r>
      <w:hyperlink r:id="rId45" w:history="1">
        <w:r w:rsidRPr="001655D0">
          <w:rPr>
            <w:rStyle w:val="Hyperlink"/>
            <w:color w:val="auto"/>
            <w:sz w:val="18"/>
            <w:szCs w:val="18"/>
          </w:rPr>
          <w:t>http://www.iso-ne.com/participate/governing-agreements/nepool-agreement</w:t>
        </w:r>
      </w:hyperlink>
      <w:r w:rsidRPr="001655D0">
        <w:rPr>
          <w:sz w:val="18"/>
          <w:szCs w:val="18"/>
        </w:rPr>
        <w:t>.</w:t>
      </w:r>
    </w:p>
  </w:footnote>
  <w:footnote w:id="49">
    <w:p w:rsidR="006346FE" w:rsidRPr="001655D0" w:rsidRDefault="006346FE" w:rsidP="00F273F3">
      <w:pPr>
        <w:spacing w:after="80" w:line="240" w:lineRule="auto"/>
        <w:rPr>
          <w:sz w:val="18"/>
          <w:szCs w:val="18"/>
        </w:rPr>
      </w:pPr>
      <w:r w:rsidRPr="001655D0">
        <w:rPr>
          <w:rStyle w:val="FootnoteReference"/>
          <w:sz w:val="18"/>
          <w:szCs w:val="18"/>
        </w:rPr>
        <w:footnoteRef/>
      </w:r>
      <w:r w:rsidRPr="001655D0">
        <w:rPr>
          <w:sz w:val="18"/>
          <w:szCs w:val="18"/>
        </w:rPr>
        <w:t xml:space="preserve"> A </w:t>
      </w:r>
      <w:r w:rsidRPr="001655D0">
        <w:rPr>
          <w:i/>
          <w:sz w:val="18"/>
          <w:szCs w:val="18"/>
        </w:rPr>
        <w:t>Transmission Operating Agreement</w:t>
      </w:r>
      <w:r w:rsidRPr="001655D0">
        <w:rPr>
          <w:sz w:val="18"/>
          <w:szCs w:val="18"/>
        </w:rPr>
        <w:t xml:space="preserve"> is an agreement between a Regional Transmission Operator and a transmission-providing utility whereby the RTO pays the utility for its transmission system costs in exchange for control of the transmission.</w:t>
      </w:r>
    </w:p>
  </w:footnote>
  <w:footnote w:id="50">
    <w:p w:rsidR="006346FE" w:rsidRPr="001655D0" w:rsidRDefault="006346FE" w:rsidP="00F273F3">
      <w:pPr>
        <w:pStyle w:val="FoonoteText"/>
        <w:spacing w:after="80" w:line="240" w:lineRule="auto"/>
        <w:rPr>
          <w:sz w:val="18"/>
          <w:szCs w:val="18"/>
        </w:rPr>
      </w:pPr>
      <w:r w:rsidRPr="001655D0">
        <w:rPr>
          <w:rStyle w:val="FootnoteReference"/>
          <w:sz w:val="18"/>
          <w:szCs w:val="18"/>
        </w:rPr>
        <w:footnoteRef/>
      </w:r>
      <w:r w:rsidRPr="001655D0">
        <w:rPr>
          <w:sz w:val="18"/>
          <w:szCs w:val="18"/>
        </w:rPr>
        <w:t xml:space="preserve"> </w:t>
      </w:r>
      <w:r w:rsidRPr="001655D0">
        <w:rPr>
          <w:i/>
          <w:sz w:val="18"/>
          <w:szCs w:val="18"/>
        </w:rPr>
        <w:t>Market Rule 1</w:t>
      </w:r>
      <w:r w:rsidRPr="001655D0">
        <w:rPr>
          <w:sz w:val="18"/>
          <w:szCs w:val="18"/>
        </w:rPr>
        <w:t xml:space="preserve"> (ISO tariff, Section III)</w:t>
      </w:r>
      <w:r>
        <w:rPr>
          <w:sz w:val="18"/>
          <w:szCs w:val="18"/>
        </w:rPr>
        <w:t xml:space="preserve"> (2017), </w:t>
      </w:r>
      <w:hyperlink r:id="rId46" w:history="1">
        <w:r w:rsidRPr="001655D0">
          <w:rPr>
            <w:rStyle w:val="Hyperlink"/>
            <w:color w:val="auto"/>
            <w:sz w:val="18"/>
            <w:szCs w:val="18"/>
          </w:rPr>
          <w:t>http://www.iso-ne.com/regulatory/tariff/sect_3/index.html</w:t>
        </w:r>
      </w:hyperlink>
      <w:r w:rsidRPr="001655D0">
        <w:rPr>
          <w:sz w:val="18"/>
          <w:szCs w:val="18"/>
        </w:rPr>
        <w:t>.</w:t>
      </w:r>
    </w:p>
  </w:footnote>
  <w:footnote w:id="51">
    <w:p w:rsidR="006346FE" w:rsidRPr="008D5D5B" w:rsidRDefault="006346FE" w:rsidP="00F273F3">
      <w:pPr>
        <w:pStyle w:val="FootnoteText"/>
        <w:rPr>
          <w:szCs w:val="18"/>
        </w:rPr>
      </w:pPr>
      <w:r w:rsidRPr="008D5D5B">
        <w:rPr>
          <w:rStyle w:val="FootnoteReference"/>
          <w:sz w:val="18"/>
          <w:szCs w:val="18"/>
        </w:rPr>
        <w:footnoteRef/>
      </w:r>
      <w:r w:rsidRPr="008D5D5B">
        <w:rPr>
          <w:szCs w:val="18"/>
        </w:rPr>
        <w:t xml:space="preserve"> </w:t>
      </w:r>
      <w:r w:rsidRPr="001655D0">
        <w:rPr>
          <w:szCs w:val="18"/>
        </w:rPr>
        <w:t xml:space="preserve">The current list is available at </w:t>
      </w:r>
      <w:hyperlink r:id="rId47" w:history="1">
        <w:r w:rsidRPr="001655D0">
          <w:rPr>
            <w:rStyle w:val="Hyperlink"/>
            <w:color w:val="auto"/>
            <w:szCs w:val="18"/>
          </w:rPr>
          <w:t>http://www.iso-ne.com/system-planning/system-plans-studies/rsp</w:t>
        </w:r>
      </w:hyperlink>
      <w:r w:rsidRPr="001655D0">
        <w:rPr>
          <w:szCs w:val="18"/>
        </w:rPr>
        <w:t xml:space="preserve"> (filters: Regional System Plan document type; XLS file type).</w:t>
      </w:r>
    </w:p>
  </w:footnote>
  <w:footnote w:id="52">
    <w:p w:rsidR="006346FE" w:rsidRPr="001655D0" w:rsidRDefault="006346FE" w:rsidP="00F273F3">
      <w:pPr>
        <w:pStyle w:val="FoonoteText"/>
        <w:spacing w:after="80" w:line="240" w:lineRule="auto"/>
        <w:rPr>
          <w:sz w:val="18"/>
          <w:szCs w:val="18"/>
        </w:rPr>
      </w:pPr>
      <w:r w:rsidRPr="001655D0">
        <w:rPr>
          <w:rStyle w:val="FootnoteReference"/>
          <w:sz w:val="18"/>
          <w:szCs w:val="18"/>
        </w:rPr>
        <w:footnoteRef/>
      </w:r>
      <w:r w:rsidRPr="001655D0">
        <w:rPr>
          <w:sz w:val="18"/>
          <w:szCs w:val="18"/>
        </w:rPr>
        <w:t xml:space="preserve"> Recent and archived RSP materials are available at </w:t>
      </w:r>
      <w:hyperlink r:id="rId48" w:history="1">
        <w:r w:rsidRPr="001655D0">
          <w:rPr>
            <w:rStyle w:val="Hyperlink"/>
            <w:color w:val="auto"/>
            <w:sz w:val="18"/>
            <w:szCs w:val="18"/>
          </w:rPr>
          <w:t>http://www.iso-ne.com/trans/rsp/index.html</w:t>
        </w:r>
      </w:hyperlink>
      <w:r w:rsidRPr="001655D0">
        <w:rPr>
          <w:sz w:val="18"/>
          <w:szCs w:val="18"/>
        </w:rPr>
        <w:t xml:space="preserve">. The latest and archived editions of the REO, AMR, and WMPP are available at </w:t>
      </w:r>
      <w:hyperlink r:id="rId49" w:history="1">
        <w:r w:rsidRPr="00C94068">
          <w:rPr>
            <w:rStyle w:val="Hyperlink"/>
            <w:sz w:val="18"/>
            <w:szCs w:val="18"/>
          </w:rPr>
          <w:t>https://www.iso-ne.com/about/regional-electricity-outlook</w:t>
        </w:r>
      </w:hyperlink>
      <w:r w:rsidRPr="001655D0">
        <w:rPr>
          <w:sz w:val="18"/>
          <w:szCs w:val="18"/>
        </w:rPr>
        <w:t xml:space="preserve">, </w:t>
      </w:r>
      <w:hyperlink r:id="rId50" w:history="1">
        <w:r w:rsidRPr="001655D0">
          <w:rPr>
            <w:rStyle w:val="Hyperlink"/>
            <w:color w:val="auto"/>
            <w:sz w:val="18"/>
            <w:szCs w:val="18"/>
          </w:rPr>
          <w:t>http://www.iso-ne.com/markets/mkt_anlys_rpts/annl_mkt_rpts/</w:t>
        </w:r>
      </w:hyperlink>
      <w:r w:rsidRPr="001655D0">
        <w:rPr>
          <w:rStyle w:val="Hyperlink"/>
          <w:color w:val="auto"/>
          <w:sz w:val="18"/>
          <w:szCs w:val="18"/>
        </w:rPr>
        <w:t xml:space="preserve">, and </w:t>
      </w:r>
      <w:hyperlink r:id="rId51" w:history="1">
        <w:r w:rsidRPr="001655D0">
          <w:rPr>
            <w:rStyle w:val="Hyperlink"/>
            <w:color w:val="auto"/>
            <w:sz w:val="18"/>
            <w:szCs w:val="18"/>
          </w:rPr>
          <w:t>http://www.iso-ne.com/markets-operations/markets-development/wholesale-markets-project-plan</w:t>
        </w:r>
      </w:hyperlink>
      <w:r w:rsidRPr="001655D0">
        <w:rPr>
          <w:sz w:val="18"/>
          <w:szCs w:val="18"/>
        </w:rPr>
        <w:t xml:space="preserve">. The needs assessments and solutions studies presented to the PAC and posted on the ISO website can be obtained by contacting ISO Customer Service at 413-540-4220. </w:t>
      </w:r>
    </w:p>
  </w:footnote>
  <w:footnote w:id="53">
    <w:p w:rsidR="006346FE" w:rsidRPr="001655D0" w:rsidRDefault="006346FE" w:rsidP="00F273F3">
      <w:pPr>
        <w:pStyle w:val="FoonoteText"/>
        <w:spacing w:after="80" w:line="240" w:lineRule="auto"/>
        <w:rPr>
          <w:sz w:val="18"/>
          <w:szCs w:val="18"/>
        </w:rPr>
      </w:pPr>
      <w:r w:rsidRPr="001655D0">
        <w:rPr>
          <w:rStyle w:val="FootnoteReference"/>
          <w:sz w:val="18"/>
          <w:szCs w:val="18"/>
        </w:rPr>
        <w:footnoteRef/>
      </w:r>
      <w:r w:rsidRPr="001655D0">
        <w:rPr>
          <w:sz w:val="18"/>
          <w:szCs w:val="18"/>
        </w:rPr>
        <w:t xml:space="preserve"> Stakeholders also can obtain publicly available models of the transmission system network through the FERC 715 process, which requires transmitting utilities that operate facilities rated at or above 100 kV to submit information to FERC annually; see </w:t>
      </w:r>
      <w:hyperlink r:id="rId52" w:history="1">
        <w:r w:rsidRPr="001655D0">
          <w:rPr>
            <w:rStyle w:val="Hyperlink"/>
            <w:color w:val="auto"/>
            <w:sz w:val="18"/>
            <w:szCs w:val="18"/>
          </w:rPr>
          <w:t>http://www.ferc.gov/docs-filing/forms/form-715/overview.asp</w:t>
        </w:r>
      </w:hyperlink>
      <w:r w:rsidRPr="001655D0">
        <w:rPr>
          <w:sz w:val="18"/>
          <w:szCs w:val="18"/>
        </w:rPr>
        <w:t xml:space="preserve">. </w:t>
      </w:r>
      <w:r w:rsidRPr="001655D0">
        <w:rPr>
          <w:i/>
          <w:sz w:val="18"/>
          <w:szCs w:val="18"/>
        </w:rPr>
        <w:t>ISO New England Information Policy</w:t>
      </w:r>
      <w:r w:rsidRPr="001655D0">
        <w:rPr>
          <w:sz w:val="18"/>
          <w:szCs w:val="18"/>
        </w:rPr>
        <w:t xml:space="preserve"> (ISO tariff, Attachment D) (2014) contains the requirements for controlling the disclosure of CEII and confidential information; see </w:t>
      </w:r>
      <w:hyperlink r:id="rId53" w:history="1">
        <w:r w:rsidRPr="001655D0">
          <w:rPr>
            <w:rStyle w:val="Hyperlink"/>
            <w:color w:val="auto"/>
            <w:sz w:val="18"/>
            <w:szCs w:val="18"/>
          </w:rPr>
          <w:t>http://www.iso-ne.com/static-assets/documents/regulatory/tariff/attach_d/attachment_d.pdf</w:t>
        </w:r>
      </w:hyperlink>
      <w:r w:rsidRPr="001655D0">
        <w:rPr>
          <w:sz w:val="18"/>
          <w:szCs w:val="18"/>
        </w:rPr>
        <w:t xml:space="preserve">. </w:t>
      </w:r>
    </w:p>
  </w:footnote>
  <w:footnote w:id="54">
    <w:p w:rsidR="006346FE" w:rsidRPr="001655D0" w:rsidRDefault="006346FE" w:rsidP="00F273F3">
      <w:pPr>
        <w:pStyle w:val="FoonoteText"/>
        <w:spacing w:after="80" w:line="240" w:lineRule="auto"/>
        <w:rPr>
          <w:sz w:val="18"/>
          <w:szCs w:val="18"/>
        </w:rPr>
      </w:pPr>
      <w:r w:rsidRPr="001655D0">
        <w:rPr>
          <w:rStyle w:val="FootnoteReference"/>
          <w:sz w:val="18"/>
          <w:szCs w:val="18"/>
        </w:rPr>
        <w:footnoteRef/>
      </w:r>
      <w:r w:rsidRPr="001655D0">
        <w:rPr>
          <w:sz w:val="18"/>
          <w:szCs w:val="18"/>
        </w:rPr>
        <w:t xml:space="preserve"> ISO New England, “Rules and Procedures” webpage, </w:t>
      </w:r>
      <w:hyperlink r:id="rId54" w:history="1">
        <w:r w:rsidRPr="001655D0">
          <w:rPr>
            <w:rStyle w:val="Hyperlink"/>
            <w:color w:val="auto"/>
            <w:sz w:val="18"/>
            <w:szCs w:val="18"/>
          </w:rPr>
          <w:t>http://www.iso-ne.com/participate/rules-procedures</w:t>
        </w:r>
      </w:hyperlink>
      <w:r w:rsidRPr="001655D0">
        <w:rPr>
          <w:sz w:val="18"/>
          <w:szCs w:val="18"/>
        </w:rPr>
        <w:t xml:space="preserve">. FERC, </w:t>
      </w:r>
      <w:r w:rsidRPr="008D5D5B">
        <w:rPr>
          <w:rStyle w:val="FoonoteTextChar"/>
          <w:rFonts w:eastAsiaTheme="minorHAnsi"/>
          <w:i/>
        </w:rPr>
        <w:t>Preventing Undue Discrimination and Preference in Transmission Service</w:t>
      </w:r>
      <w:r w:rsidRPr="008D5D5B">
        <w:rPr>
          <w:rStyle w:val="FoonoteTextChar"/>
          <w:rFonts w:eastAsiaTheme="minorHAnsi"/>
        </w:rPr>
        <w:t xml:space="preserve">, 18 CFR Parts 35 and 37, Order No. 890 (February 16, 2007), </w:t>
      </w:r>
      <w:hyperlink r:id="rId55" w:history="1">
        <w:r w:rsidRPr="001655D0">
          <w:rPr>
            <w:rStyle w:val="Hyperlink"/>
            <w:color w:val="auto"/>
            <w:sz w:val="18"/>
            <w:szCs w:val="18"/>
          </w:rPr>
          <w:t>http://www.ferc.gov/whats-new/comm-meet/2007/021507/E-1.pdf</w:t>
        </w:r>
      </w:hyperlink>
      <w:r w:rsidRPr="001655D0">
        <w:rPr>
          <w:sz w:val="18"/>
          <w:szCs w:val="18"/>
        </w:rPr>
        <w:t xml:space="preserve">. NERC Reliability </w:t>
      </w:r>
      <w:r w:rsidRPr="00FE53A8">
        <w:rPr>
          <w:sz w:val="18"/>
          <w:szCs w:val="18"/>
        </w:rPr>
        <w:t xml:space="preserve">Standards (2016), </w:t>
      </w:r>
      <w:hyperlink r:id="rId56" w:history="1">
        <w:r w:rsidRPr="00FE53A8">
          <w:rPr>
            <w:rStyle w:val="Hyperlink"/>
            <w:sz w:val="18"/>
            <w:szCs w:val="18"/>
          </w:rPr>
          <w:t>http://www.nerc.com/pa/Stand/Pages/ReliabilityStandards.aspx</w:t>
        </w:r>
      </w:hyperlink>
      <w:r w:rsidRPr="00FE53A8">
        <w:rPr>
          <w:sz w:val="18"/>
          <w:szCs w:val="18"/>
        </w:rPr>
        <w:t>. NPCC</w:t>
      </w:r>
      <w:r w:rsidRPr="001655D0">
        <w:rPr>
          <w:sz w:val="18"/>
          <w:szCs w:val="18"/>
        </w:rPr>
        <w:t xml:space="preserve"> Regional Standards (201</w:t>
      </w:r>
      <w:r>
        <w:rPr>
          <w:sz w:val="18"/>
          <w:szCs w:val="18"/>
        </w:rPr>
        <w:t>7</w:t>
      </w:r>
      <w:r w:rsidRPr="001655D0">
        <w:rPr>
          <w:sz w:val="18"/>
          <w:szCs w:val="18"/>
        </w:rPr>
        <w:t xml:space="preserve">), </w:t>
      </w:r>
      <w:hyperlink r:id="rId57" w:history="1">
        <w:r w:rsidRPr="001655D0">
          <w:rPr>
            <w:rStyle w:val="Hyperlink"/>
            <w:color w:val="auto"/>
            <w:sz w:val="18"/>
            <w:szCs w:val="18"/>
          </w:rPr>
          <w:t>https://www.npcc.org/Standards/default.aspx</w:t>
        </w:r>
      </w:hyperlink>
      <w:r w:rsidRPr="001655D0">
        <w:rPr>
          <w:sz w:val="18"/>
          <w:szCs w:val="18"/>
        </w:rPr>
        <w:t>.</w:t>
      </w:r>
    </w:p>
  </w:footnote>
  <w:footnote w:id="55">
    <w:p w:rsidR="006346FE" w:rsidRPr="001655D0" w:rsidRDefault="006346FE" w:rsidP="00F273F3">
      <w:pPr>
        <w:spacing w:after="80" w:line="240" w:lineRule="auto"/>
        <w:rPr>
          <w:sz w:val="18"/>
          <w:szCs w:val="18"/>
        </w:rPr>
      </w:pPr>
      <w:r w:rsidRPr="001655D0">
        <w:rPr>
          <w:rStyle w:val="FootnoteReference"/>
          <w:sz w:val="18"/>
          <w:szCs w:val="18"/>
        </w:rPr>
        <w:footnoteRef/>
      </w:r>
      <w:r w:rsidRPr="001655D0">
        <w:rPr>
          <w:sz w:val="18"/>
          <w:szCs w:val="18"/>
        </w:rPr>
        <w:t xml:space="preserve"> “Transmission Operating Agreements” webpage, </w:t>
      </w:r>
      <w:hyperlink r:id="rId58" w:history="1">
        <w:r w:rsidRPr="001655D0">
          <w:rPr>
            <w:rStyle w:val="Hyperlink"/>
            <w:color w:val="auto"/>
            <w:sz w:val="18"/>
            <w:szCs w:val="18"/>
          </w:rPr>
          <w:t>http://www.iso-ne.com/regulatory/toa/index.html</w:t>
        </w:r>
      </w:hyperlink>
      <w:r w:rsidRPr="001655D0">
        <w:rPr>
          <w:sz w:val="18"/>
          <w:szCs w:val="18"/>
        </w:rPr>
        <w:t>.</w:t>
      </w:r>
    </w:p>
  </w:footnote>
  <w:footnote w:id="56">
    <w:p w:rsidR="006346FE" w:rsidRPr="00A1128D" w:rsidRDefault="006346FE" w:rsidP="00F273F3">
      <w:pPr>
        <w:pStyle w:val="FoonoteText"/>
        <w:spacing w:after="80" w:line="240" w:lineRule="auto"/>
        <w:rPr>
          <w:sz w:val="18"/>
          <w:szCs w:val="18"/>
        </w:rPr>
      </w:pPr>
      <w:r w:rsidRPr="0010591A">
        <w:rPr>
          <w:rStyle w:val="FootnoteReference"/>
          <w:sz w:val="18"/>
          <w:szCs w:val="18"/>
        </w:rPr>
        <w:footnoteRef/>
      </w:r>
      <w:r w:rsidRPr="0010591A">
        <w:rPr>
          <w:sz w:val="18"/>
          <w:szCs w:val="18"/>
        </w:rPr>
        <w:t xml:space="preserve"> The ISO is not responsible for portions of northern and eastern Maine. The Northern</w:t>
      </w:r>
      <w:r w:rsidRPr="008B2DCA">
        <w:rPr>
          <w:sz w:val="18"/>
          <w:szCs w:val="18"/>
        </w:rPr>
        <w:t xml:space="preserve"> Maine Independent System Administrator, Inc. (NMISA) is a nonprofit entity responsible for the administration of the northern Maine</w:t>
      </w:r>
      <w:r w:rsidRPr="00975050">
        <w:rPr>
          <w:sz w:val="18"/>
          <w:szCs w:val="18"/>
        </w:rPr>
        <w:t xml:space="preserve"> </w:t>
      </w:r>
      <w:r w:rsidRPr="004F006A">
        <w:rPr>
          <w:sz w:val="18"/>
          <w:szCs w:val="18"/>
        </w:rPr>
        <w:t xml:space="preserve">transmission system and electric power markets in Aroostook and Washington counties. The 2017 peak load forecast for NMISA is approximately 136 MW. NMISA, </w:t>
      </w:r>
      <w:r w:rsidRPr="004F006A">
        <w:rPr>
          <w:i/>
          <w:sz w:val="18"/>
          <w:szCs w:val="18"/>
        </w:rPr>
        <w:t>Seven-Year Outlook: An Assessment of the Adequacy of Generation and Transmission Facilities on the Northern Maine Transmission System</w:t>
      </w:r>
      <w:r w:rsidRPr="004F006A">
        <w:rPr>
          <w:sz w:val="18"/>
          <w:szCs w:val="18"/>
        </w:rPr>
        <w:t xml:space="preserve"> (April 2017), p. 3, </w:t>
      </w:r>
      <w:hyperlink r:id="rId59" w:history="1">
        <w:r w:rsidRPr="004F006A">
          <w:rPr>
            <w:rStyle w:val="Hyperlink"/>
            <w:sz w:val="18"/>
            <w:szCs w:val="18"/>
          </w:rPr>
          <w:t>http://nmisa.com/docs/041917-Final-2017-Seven-Year-Outlook.pdf</w:t>
        </w:r>
      </w:hyperlink>
      <w:r>
        <w:rPr>
          <w:rStyle w:val="Hyperlink"/>
          <w:sz w:val="18"/>
          <w:szCs w:val="18"/>
        </w:rPr>
        <w:t>.</w:t>
      </w:r>
      <w:hyperlink w:history="1"/>
    </w:p>
  </w:footnote>
  <w:footnote w:id="57">
    <w:p w:rsidR="006346FE" w:rsidRDefault="006346FE" w:rsidP="001960BA">
      <w:pPr>
        <w:pStyle w:val="FootnoteText"/>
      </w:pPr>
      <w:r w:rsidRPr="003D5C12">
        <w:rPr>
          <w:rStyle w:val="FootnoteReference"/>
        </w:rPr>
        <w:footnoteRef/>
      </w:r>
      <w:r w:rsidRPr="003D5C12">
        <w:t xml:space="preserve"> </w:t>
      </w:r>
      <w:r w:rsidRPr="003D5C12">
        <w:rPr>
          <w:i/>
        </w:rPr>
        <w:t>Real power</w:t>
      </w:r>
      <w:r w:rsidRPr="003D5C12">
        <w:t xml:space="preserve"> or active power is the rate at which energy is expended to do work, measured in kilowatts or magawatts. Reactive power supports the magnetic and electric fields necessary to operate power system equipment in an alternating current power system. It is measured in volt-ampere reactive (VAR) and megavolt-ampere reactive (MVAR) units. </w:t>
      </w:r>
    </w:p>
  </w:footnote>
  <w:footnote w:id="58">
    <w:p w:rsidR="006346FE" w:rsidRPr="00975050" w:rsidRDefault="006346FE" w:rsidP="00F273F3">
      <w:pPr>
        <w:pStyle w:val="FoonoteText"/>
        <w:spacing w:after="80" w:line="240" w:lineRule="auto"/>
        <w:rPr>
          <w:sz w:val="18"/>
          <w:szCs w:val="18"/>
        </w:rPr>
      </w:pPr>
      <w:r w:rsidRPr="00FA7F24">
        <w:rPr>
          <w:rStyle w:val="FootnoteReference"/>
          <w:sz w:val="18"/>
          <w:szCs w:val="18"/>
        </w:rPr>
        <w:footnoteRef/>
      </w:r>
      <w:r w:rsidRPr="00FA7F24">
        <w:rPr>
          <w:sz w:val="18"/>
          <w:szCs w:val="18"/>
          <w:vertAlign w:val="superscript"/>
        </w:rPr>
        <w:t xml:space="preserve"> </w:t>
      </w:r>
      <w:r w:rsidRPr="00FA7F24">
        <w:rPr>
          <w:sz w:val="18"/>
          <w:szCs w:val="18"/>
        </w:rPr>
        <w:t xml:space="preserve">For more information on New England wholesale electricity markets, see the ISO’s </w:t>
      </w:r>
      <w:r w:rsidRPr="00FA7F24">
        <w:rPr>
          <w:i/>
          <w:sz w:val="18"/>
          <w:szCs w:val="18"/>
        </w:rPr>
        <w:t>2016 Annual Markets Report</w:t>
      </w:r>
      <w:r w:rsidRPr="00FA7F24">
        <w:rPr>
          <w:sz w:val="18"/>
          <w:szCs w:val="18"/>
        </w:rPr>
        <w:t xml:space="preserve"> (AMR1</w:t>
      </w:r>
      <w:r>
        <w:rPr>
          <w:sz w:val="18"/>
          <w:szCs w:val="18"/>
        </w:rPr>
        <w:t>6</w:t>
      </w:r>
      <w:r w:rsidRPr="00FA7F24">
        <w:rPr>
          <w:sz w:val="18"/>
          <w:szCs w:val="18"/>
        </w:rPr>
        <w:t xml:space="preserve">) (May 30, 2017), </w:t>
      </w:r>
      <w:hyperlink r:id="rId60" w:history="1">
        <w:r w:rsidRPr="00FA7F24">
          <w:rPr>
            <w:rStyle w:val="Hyperlink"/>
            <w:sz w:val="18"/>
            <w:szCs w:val="18"/>
          </w:rPr>
          <w:t>https://www.iso-ne.com/static-assets/documents/2017/05/annual_markets_report_2016.pdf</w:t>
        </w:r>
      </w:hyperlink>
      <w:r>
        <w:rPr>
          <w:rStyle w:val="Hyperlink"/>
          <w:color w:val="auto"/>
          <w:sz w:val="18"/>
          <w:szCs w:val="18"/>
        </w:rPr>
        <w:t>.</w:t>
      </w:r>
    </w:p>
  </w:footnote>
  <w:footnote w:id="59">
    <w:p w:rsidR="006346FE" w:rsidRPr="001655D0" w:rsidRDefault="006346FE" w:rsidP="00F273F3">
      <w:pPr>
        <w:pStyle w:val="FoonoteText"/>
        <w:spacing w:after="80" w:line="240" w:lineRule="auto"/>
        <w:rPr>
          <w:sz w:val="18"/>
          <w:szCs w:val="18"/>
        </w:rPr>
      </w:pPr>
      <w:r w:rsidRPr="001655D0">
        <w:rPr>
          <w:rStyle w:val="FootnoteReference"/>
          <w:sz w:val="18"/>
          <w:szCs w:val="18"/>
        </w:rPr>
        <w:footnoteRef/>
      </w:r>
      <w:r w:rsidRPr="001655D0">
        <w:rPr>
          <w:sz w:val="18"/>
          <w:szCs w:val="18"/>
        </w:rPr>
        <w:t xml:space="preserve"> </w:t>
      </w:r>
      <w:r w:rsidRPr="001655D0">
        <w:rPr>
          <w:i/>
          <w:iCs/>
          <w:sz w:val="18"/>
          <w:szCs w:val="18"/>
        </w:rPr>
        <w:t>Installed capacity</w:t>
      </w:r>
      <w:r w:rsidRPr="001655D0">
        <w:rPr>
          <w:sz w:val="18"/>
          <w:szCs w:val="18"/>
        </w:rPr>
        <w:t xml:space="preserve"> is the megawatt capability of a generating unit, dispatchable load, external resource or transaction, or demand resource that qualifies as a participant in the ISO’s Forward Capacity Market according to the market rules. Additional information is available at </w:t>
      </w:r>
      <w:hyperlink r:id="rId61" w:history="1">
        <w:r w:rsidRPr="001655D0">
          <w:rPr>
            <w:rStyle w:val="Hyperlink"/>
            <w:color w:val="auto"/>
            <w:sz w:val="18"/>
            <w:szCs w:val="18"/>
          </w:rPr>
          <w:t>http://www.iso-ne.com/markets-operations/markets/forward-capacity-market</w:t>
        </w:r>
      </w:hyperlink>
      <w:r w:rsidRPr="001655D0">
        <w:rPr>
          <w:sz w:val="18"/>
          <w:szCs w:val="18"/>
        </w:rPr>
        <w:t>.</w:t>
      </w:r>
    </w:p>
  </w:footnote>
  <w:footnote w:id="60">
    <w:p w:rsidR="006346FE" w:rsidRPr="001655D0" w:rsidRDefault="006346FE" w:rsidP="00F273F3">
      <w:pPr>
        <w:pStyle w:val="FoonoteText"/>
        <w:spacing w:after="80" w:line="240" w:lineRule="auto"/>
        <w:rPr>
          <w:sz w:val="18"/>
          <w:szCs w:val="18"/>
        </w:rPr>
      </w:pPr>
      <w:r w:rsidRPr="001655D0">
        <w:rPr>
          <w:rStyle w:val="FootnoteReference"/>
          <w:sz w:val="18"/>
          <w:szCs w:val="18"/>
        </w:rPr>
        <w:footnoteRef/>
      </w:r>
      <w:r w:rsidRPr="001655D0">
        <w:rPr>
          <w:sz w:val="18"/>
          <w:szCs w:val="18"/>
        </w:rPr>
        <w:t xml:space="preserve"> </w:t>
      </w:r>
      <w:r w:rsidRPr="001655D0">
        <w:rPr>
          <w:i/>
          <w:sz w:val="18"/>
          <w:szCs w:val="18"/>
        </w:rPr>
        <w:t>Regulation</w:t>
      </w:r>
      <w:r w:rsidRPr="001655D0">
        <w:rPr>
          <w:sz w:val="18"/>
          <w:szCs w:val="18"/>
        </w:rPr>
        <w:t xml:space="preserve"> is the capability of specially equipped generators to increase or decrease their generation output every four seconds in response to signals they receive from the ISO to control slight changes on the system.</w:t>
      </w:r>
    </w:p>
  </w:footnote>
  <w:footnote w:id="61">
    <w:p w:rsidR="006346FE" w:rsidRPr="001655D0" w:rsidRDefault="006346FE" w:rsidP="00F273F3">
      <w:pPr>
        <w:pStyle w:val="FoonoteText"/>
        <w:spacing w:after="80" w:line="240" w:lineRule="auto"/>
        <w:rPr>
          <w:sz w:val="18"/>
          <w:szCs w:val="18"/>
        </w:rPr>
      </w:pPr>
      <w:r w:rsidRPr="001655D0">
        <w:rPr>
          <w:rStyle w:val="FootnoteReference"/>
          <w:sz w:val="18"/>
          <w:szCs w:val="18"/>
        </w:rPr>
        <w:footnoteRef/>
      </w:r>
      <w:r w:rsidRPr="001655D0">
        <w:rPr>
          <w:sz w:val="18"/>
          <w:szCs w:val="18"/>
        </w:rPr>
        <w:t xml:space="preserve"> According to NERC, NPCC, and ISO criteria, a </w:t>
      </w:r>
      <w:r w:rsidRPr="001655D0">
        <w:rPr>
          <w:i/>
          <w:iCs/>
          <w:sz w:val="18"/>
          <w:szCs w:val="18"/>
        </w:rPr>
        <w:t>contingency</w:t>
      </w:r>
      <w:r w:rsidRPr="001655D0">
        <w:rPr>
          <w:sz w:val="18"/>
          <w:szCs w:val="18"/>
        </w:rPr>
        <w:t xml:space="preserve"> is the sudden loss of a generation or transmission resource. A system’s </w:t>
      </w:r>
      <w:r w:rsidRPr="001655D0">
        <w:rPr>
          <w:i/>
          <w:iCs/>
          <w:sz w:val="18"/>
          <w:szCs w:val="18"/>
        </w:rPr>
        <w:t>first contingency</w:t>
      </w:r>
      <w:r w:rsidRPr="001655D0">
        <w:rPr>
          <w:sz w:val="18"/>
          <w:szCs w:val="18"/>
        </w:rPr>
        <w:t xml:space="preserve"> (N−1) is when the power element (facility) with the largest impact on system reliability is lost. A </w:t>
      </w:r>
      <w:r w:rsidRPr="001655D0">
        <w:rPr>
          <w:i/>
          <w:iCs/>
          <w:sz w:val="18"/>
          <w:szCs w:val="18"/>
        </w:rPr>
        <w:t>second contingency</w:t>
      </w:r>
      <w:r w:rsidRPr="001655D0">
        <w:rPr>
          <w:iCs/>
          <w:sz w:val="18"/>
          <w:szCs w:val="18"/>
        </w:rPr>
        <w:t xml:space="preserve"> </w:t>
      </w:r>
      <w:r w:rsidRPr="001655D0">
        <w:rPr>
          <w:sz w:val="18"/>
          <w:szCs w:val="18"/>
        </w:rPr>
        <w:t>(N−1−1) takes place after a first contingency has occurred and is the loss of the facility that</w:t>
      </w:r>
      <w:r>
        <w:rPr>
          <w:sz w:val="18"/>
          <w:szCs w:val="18"/>
        </w:rPr>
        <w:t>,</w:t>
      </w:r>
      <w:r w:rsidRPr="001655D0">
        <w:rPr>
          <w:sz w:val="18"/>
          <w:szCs w:val="18"/>
        </w:rPr>
        <w:t xml:space="preserve"> at that time</w:t>
      </w:r>
      <w:r>
        <w:rPr>
          <w:sz w:val="18"/>
          <w:szCs w:val="18"/>
        </w:rPr>
        <w:t>,</w:t>
      </w:r>
      <w:r w:rsidRPr="001655D0">
        <w:rPr>
          <w:sz w:val="18"/>
          <w:szCs w:val="18"/>
        </w:rPr>
        <w:t xml:space="preserve"> has the largest impact on the system. A </w:t>
      </w:r>
      <w:r w:rsidRPr="001655D0">
        <w:rPr>
          <w:i/>
          <w:sz w:val="18"/>
          <w:szCs w:val="18"/>
        </w:rPr>
        <w:t>forced outage</w:t>
      </w:r>
      <w:r w:rsidRPr="001655D0">
        <w:rPr>
          <w:sz w:val="18"/>
          <w:szCs w:val="18"/>
        </w:rPr>
        <w:t xml:space="preserve"> is a type of unplanned outage or unexpected removal from service of a generating unit, transmission facility, or other facility or portion of a facility because of an emergency failure or the discovery of a problem that needs to be repaired as soon as crews, equipment, or corrective dispatch actions can perform the work. </w:t>
      </w:r>
    </w:p>
  </w:footnote>
  <w:footnote w:id="62">
    <w:p w:rsidR="006346FE" w:rsidRPr="001655D0" w:rsidRDefault="006346FE" w:rsidP="00F273F3">
      <w:pPr>
        <w:spacing w:after="80" w:line="240" w:lineRule="auto"/>
        <w:rPr>
          <w:sz w:val="18"/>
          <w:szCs w:val="18"/>
        </w:rPr>
      </w:pPr>
      <w:r w:rsidRPr="001655D0">
        <w:rPr>
          <w:rStyle w:val="FootnoteReference"/>
          <w:sz w:val="18"/>
          <w:szCs w:val="18"/>
        </w:rPr>
        <w:footnoteRef/>
      </w:r>
      <w:r w:rsidRPr="001655D0">
        <w:rPr>
          <w:sz w:val="18"/>
          <w:szCs w:val="18"/>
        </w:rPr>
        <w:t xml:space="preserve"> </w:t>
      </w:r>
      <w:r w:rsidRPr="001655D0">
        <w:rPr>
          <w:i/>
          <w:sz w:val="18"/>
          <w:szCs w:val="18"/>
        </w:rPr>
        <w:t>Fast-start resources</w:t>
      </w:r>
      <w:r w:rsidRPr="001655D0">
        <w:rPr>
          <w:sz w:val="18"/>
          <w:szCs w:val="18"/>
        </w:rPr>
        <w:t xml:space="preserve"> can be electrically synchronized to the system quickly and reach </w:t>
      </w:r>
      <w:r w:rsidRPr="001655D0">
        <w:rPr>
          <w:i/>
          <w:sz w:val="18"/>
          <w:szCs w:val="18"/>
        </w:rPr>
        <w:t>claimed capability</w:t>
      </w:r>
      <w:r w:rsidRPr="001655D0">
        <w:rPr>
          <w:sz w:val="18"/>
          <w:szCs w:val="18"/>
        </w:rPr>
        <w:t xml:space="preserve"> (i.e., a generator’s maximum production or output) within 10 to 30 minutes to respond to a contingency and serve demand.</w:t>
      </w:r>
    </w:p>
  </w:footnote>
  <w:footnote w:id="63">
    <w:p w:rsidR="006346FE" w:rsidRPr="00FA7F24" w:rsidRDefault="006346FE" w:rsidP="00F273F3">
      <w:pPr>
        <w:spacing w:after="80" w:line="240" w:lineRule="auto"/>
        <w:rPr>
          <w:sz w:val="18"/>
          <w:szCs w:val="18"/>
        </w:rPr>
      </w:pPr>
      <w:r w:rsidRPr="00FA7F24">
        <w:rPr>
          <w:rStyle w:val="FootnoteReference"/>
          <w:sz w:val="18"/>
          <w:szCs w:val="18"/>
        </w:rPr>
        <w:footnoteRef/>
      </w:r>
      <w:r w:rsidRPr="00FA7F24">
        <w:rPr>
          <w:sz w:val="18"/>
          <w:szCs w:val="18"/>
        </w:rPr>
        <w:t xml:space="preserve"> See the ISO’s Wholesale Markets Project Plans at </w:t>
      </w:r>
      <w:hyperlink r:id="rId62" w:history="1">
        <w:r w:rsidRPr="00FA7F24">
          <w:rPr>
            <w:rStyle w:val="Hyperlink"/>
            <w:sz w:val="18"/>
            <w:szCs w:val="18"/>
          </w:rPr>
          <w:t>https://www.iso-ne.com/markets-operations/markets-development/wholesale-markets-project-plan</w:t>
        </w:r>
      </w:hyperlink>
      <w:r w:rsidRPr="00FA7F24">
        <w:rPr>
          <w:sz w:val="18"/>
          <w:szCs w:val="18"/>
        </w:rPr>
        <w:t xml:space="preserve">. </w:t>
      </w:r>
    </w:p>
  </w:footnote>
  <w:footnote w:id="64">
    <w:p w:rsidR="006346FE" w:rsidRPr="001655D0" w:rsidRDefault="006346FE" w:rsidP="00F273F3">
      <w:pPr>
        <w:pStyle w:val="FoonoteText"/>
        <w:spacing w:after="80" w:line="240" w:lineRule="auto"/>
        <w:rPr>
          <w:sz w:val="18"/>
          <w:szCs w:val="18"/>
        </w:rPr>
      </w:pPr>
      <w:r w:rsidRPr="001655D0">
        <w:rPr>
          <w:rStyle w:val="FootnoteReference"/>
          <w:sz w:val="18"/>
          <w:szCs w:val="18"/>
        </w:rPr>
        <w:footnoteRef/>
      </w:r>
      <w:r w:rsidRPr="001655D0">
        <w:rPr>
          <w:sz w:val="18"/>
          <w:szCs w:val="18"/>
        </w:rPr>
        <w:t xml:space="preserve"> The ISO tariff allows loads that meet specified requirements to request and receive nodal pricing.</w:t>
      </w:r>
    </w:p>
  </w:footnote>
  <w:footnote w:id="65">
    <w:p w:rsidR="006346FE" w:rsidRPr="001655D0" w:rsidRDefault="006346FE" w:rsidP="00F273F3">
      <w:pPr>
        <w:pStyle w:val="FoonoteText"/>
        <w:spacing w:after="80" w:line="240" w:lineRule="auto"/>
        <w:rPr>
          <w:sz w:val="18"/>
          <w:szCs w:val="18"/>
        </w:rPr>
      </w:pPr>
      <w:r w:rsidRPr="001655D0">
        <w:rPr>
          <w:rStyle w:val="FootnoteReference"/>
          <w:sz w:val="18"/>
          <w:szCs w:val="18"/>
        </w:rPr>
        <w:footnoteRef/>
      </w:r>
      <w:r w:rsidRPr="001655D0">
        <w:rPr>
          <w:sz w:val="18"/>
          <w:szCs w:val="18"/>
        </w:rPr>
        <w:t xml:space="preserve"> See </w:t>
      </w:r>
      <w:r w:rsidRPr="001655D0">
        <w:rPr>
          <w:i/>
          <w:sz w:val="18"/>
          <w:szCs w:val="18"/>
        </w:rPr>
        <w:t>Market Rule 1</w:t>
      </w:r>
      <w:r w:rsidRPr="001655D0">
        <w:rPr>
          <w:sz w:val="18"/>
          <w:szCs w:val="18"/>
        </w:rPr>
        <w:t xml:space="preserve">, Section III.2.7, of the ISO tariff, </w:t>
      </w:r>
      <w:hyperlink r:id="rId63" w:history="1">
        <w:r w:rsidRPr="001655D0">
          <w:rPr>
            <w:rStyle w:val="Hyperlink"/>
            <w:color w:val="auto"/>
            <w:sz w:val="18"/>
            <w:szCs w:val="18"/>
          </w:rPr>
          <w:t>http://www.iso-ne.com/participate/rules-procedures/tariff/market-rule-1</w:t>
        </w:r>
      </w:hyperlink>
      <w:hyperlink w:history="1"/>
      <w:r w:rsidRPr="001655D0">
        <w:rPr>
          <w:sz w:val="18"/>
          <w:szCs w:val="18"/>
        </w:rPr>
        <w:t>.</w:t>
      </w:r>
    </w:p>
  </w:footnote>
  <w:footnote w:id="66">
    <w:p w:rsidR="006346FE" w:rsidRPr="001655D0" w:rsidRDefault="006346FE" w:rsidP="00F273F3">
      <w:pPr>
        <w:pStyle w:val="FoonoteText"/>
        <w:spacing w:after="80" w:line="240" w:lineRule="auto"/>
        <w:rPr>
          <w:sz w:val="18"/>
          <w:szCs w:val="18"/>
        </w:rPr>
      </w:pPr>
      <w:r w:rsidRPr="001655D0">
        <w:rPr>
          <w:rStyle w:val="FootnoteReference"/>
          <w:sz w:val="18"/>
          <w:szCs w:val="18"/>
        </w:rPr>
        <w:footnoteRef/>
      </w:r>
      <w:r w:rsidRPr="001655D0">
        <w:rPr>
          <w:sz w:val="18"/>
          <w:szCs w:val="18"/>
        </w:rPr>
        <w:t xml:space="preserve"> RTDRs are demand resources that must curtail electrical usage within 30 minutes of receiving a dispatch instruction from the ISO. </w:t>
      </w:r>
      <w:r w:rsidRPr="001655D0">
        <w:rPr>
          <w:i/>
          <w:sz w:val="18"/>
          <w:szCs w:val="18"/>
        </w:rPr>
        <w:t>Real-time emergency generation</w:t>
      </w:r>
      <w:r w:rsidRPr="001655D0">
        <w:rPr>
          <w:sz w:val="18"/>
          <w:szCs w:val="18"/>
        </w:rPr>
        <w:t xml:space="preserve"> is distributed generation the ISO calls on to operate during certain voltage-reduction or more severe actions but must limit its operation to 600 MW to comply with the generation’s federal, state, or local air quality permit(s), as well as the ISO’s market rules. RTEG operations result in curtailing load on the grid, as the distributed energy provided by the emergency generator begins serving demand. </w:t>
      </w:r>
      <w:r>
        <w:rPr>
          <w:sz w:val="18"/>
          <w:szCs w:val="18"/>
        </w:rPr>
        <w:t xml:space="preserve">RTDRs </w:t>
      </w:r>
      <w:r w:rsidRPr="00722CD0">
        <w:rPr>
          <w:sz w:val="18"/>
          <w:szCs w:val="18"/>
        </w:rPr>
        <w:t>will become demand-response capacity resources and active demand capacity resources after June 1, 2018</w:t>
      </w:r>
      <w:r>
        <w:rPr>
          <w:sz w:val="18"/>
          <w:szCs w:val="18"/>
        </w:rPr>
        <w:t>,</w:t>
      </w:r>
      <w:r w:rsidRPr="00722CD0">
        <w:rPr>
          <w:sz w:val="18"/>
          <w:szCs w:val="18"/>
        </w:rPr>
        <w:t xml:space="preserve"> at which point RTEGs will no longer be eligible</w:t>
      </w:r>
      <w:r>
        <w:rPr>
          <w:sz w:val="18"/>
          <w:szCs w:val="18"/>
        </w:rPr>
        <w:t xml:space="preserve"> </w:t>
      </w:r>
      <w:r w:rsidRPr="00361210">
        <w:t xml:space="preserve">(see Section </w:t>
      </w:r>
      <w:r w:rsidRPr="00361210">
        <w:fldChar w:fldCharType="begin"/>
      </w:r>
      <w:r w:rsidRPr="00361210">
        <w:instrText xml:space="preserve"> REF _Ref485997234 \r \h  \* MERGEFORMAT </w:instrText>
      </w:r>
      <w:r w:rsidRPr="00361210">
        <w:fldChar w:fldCharType="separate"/>
      </w:r>
      <w:r>
        <w:t>10.3.3.1</w:t>
      </w:r>
      <w:r w:rsidRPr="00361210">
        <w:fldChar w:fldCharType="end"/>
      </w:r>
      <w:r w:rsidRPr="00361210">
        <w:t>).</w:t>
      </w:r>
    </w:p>
  </w:footnote>
  <w:footnote w:id="67">
    <w:p w:rsidR="006346FE" w:rsidRPr="001655D0" w:rsidRDefault="006346FE" w:rsidP="00DB6EC8">
      <w:pPr>
        <w:pStyle w:val="FoonoteText"/>
        <w:spacing w:after="80" w:line="240" w:lineRule="auto"/>
        <w:rPr>
          <w:sz w:val="18"/>
          <w:szCs w:val="18"/>
        </w:rPr>
      </w:pPr>
      <w:r w:rsidRPr="001655D0">
        <w:rPr>
          <w:rStyle w:val="FootnoteReference"/>
          <w:sz w:val="18"/>
          <w:szCs w:val="18"/>
        </w:rPr>
        <w:footnoteRef/>
      </w:r>
      <w:r w:rsidRPr="001655D0">
        <w:rPr>
          <w:sz w:val="18"/>
          <w:szCs w:val="18"/>
        </w:rPr>
        <w:t xml:space="preserve"> The ISO’s </w:t>
      </w:r>
      <w:r w:rsidRPr="001655D0">
        <w:rPr>
          <w:i/>
          <w:sz w:val="18"/>
          <w:szCs w:val="18"/>
        </w:rPr>
        <w:t>Capacity, Energy, Load, and Transmission</w:t>
      </w:r>
      <w:r w:rsidRPr="001655D0">
        <w:rPr>
          <w:sz w:val="18"/>
          <w:szCs w:val="18"/>
        </w:rPr>
        <w:t xml:space="preserve"> (CELT) Reports and associated documentation contain more details on the short-run and long-run forecast methodologies, models, and inputs; weather normalization; regional, state, subarea, and load-zone forecasts of annual electric energy use and peak loads; high- and low-forecast bandwidths; and retail electricity prices. They are available at the “CELT Reports,” webpage, </w:t>
      </w:r>
      <w:hyperlink r:id="rId64" w:history="1">
        <w:r w:rsidRPr="00506153">
          <w:rPr>
            <w:rStyle w:val="Hyperlink"/>
            <w:sz w:val="18"/>
            <w:szCs w:val="18"/>
          </w:rPr>
          <w:t>https://www.iso-ne.com/system-planning/system-plans-studies/celt</w:t>
        </w:r>
      </w:hyperlink>
      <w:r w:rsidRPr="001655D0">
        <w:rPr>
          <w:sz w:val="18"/>
          <w:szCs w:val="18"/>
        </w:rPr>
        <w:t>. Also see the 201</w:t>
      </w:r>
      <w:r>
        <w:rPr>
          <w:sz w:val="18"/>
          <w:szCs w:val="18"/>
        </w:rPr>
        <w:t>7</w:t>
      </w:r>
      <w:r w:rsidRPr="001655D0">
        <w:rPr>
          <w:sz w:val="18"/>
          <w:szCs w:val="18"/>
        </w:rPr>
        <w:t xml:space="preserve"> CELT Report</w:t>
      </w:r>
      <w:r>
        <w:rPr>
          <w:sz w:val="18"/>
          <w:szCs w:val="18"/>
        </w:rPr>
        <w:t xml:space="preserve"> at the same </w:t>
      </w:r>
      <w:r w:rsidRPr="002525D1">
        <w:rPr>
          <w:sz w:val="18"/>
          <w:szCs w:val="18"/>
        </w:rPr>
        <w:t xml:space="preserve">link and the </w:t>
      </w:r>
      <w:r w:rsidRPr="002525D1">
        <w:rPr>
          <w:i/>
          <w:sz w:val="18"/>
          <w:szCs w:val="18"/>
        </w:rPr>
        <w:t xml:space="preserve">ISO NE Seasonal Peaks since 1980 </w:t>
      </w:r>
      <w:r w:rsidRPr="002525D1">
        <w:rPr>
          <w:sz w:val="18"/>
          <w:szCs w:val="18"/>
        </w:rPr>
        <w:t xml:space="preserve">(April 25, 2017), which can be accessed at </w:t>
      </w:r>
      <w:hyperlink r:id="rId65" w:history="1">
        <w:r w:rsidRPr="002525D1">
          <w:rPr>
            <w:rStyle w:val="Hyperlink"/>
            <w:sz w:val="18"/>
            <w:szCs w:val="18"/>
          </w:rPr>
          <w:t>https://www.iso-ne.com/static-assets/documents/2014/10/seasonal_peak_data_summary.xls</w:t>
        </w:r>
      </w:hyperlink>
      <w:r w:rsidRPr="002525D1">
        <w:rPr>
          <w:sz w:val="18"/>
          <w:szCs w:val="18"/>
        </w:rPr>
        <w:t>.</w:t>
      </w:r>
    </w:p>
  </w:footnote>
  <w:footnote w:id="68">
    <w:p w:rsidR="006346FE" w:rsidRPr="00170D65" w:rsidRDefault="006346FE" w:rsidP="00DB6EC8">
      <w:pPr>
        <w:pStyle w:val="FootnoteText"/>
        <w:rPr>
          <w:szCs w:val="18"/>
        </w:rPr>
      </w:pPr>
      <w:r w:rsidRPr="001C5F59">
        <w:rPr>
          <w:rStyle w:val="FootnoteReference"/>
          <w:sz w:val="18"/>
          <w:szCs w:val="18"/>
        </w:rPr>
        <w:footnoteRef/>
      </w:r>
      <w:r w:rsidRPr="00170D65">
        <w:rPr>
          <w:szCs w:val="18"/>
        </w:rPr>
        <w:t xml:space="preserve"> </w:t>
      </w:r>
      <w:r>
        <w:rPr>
          <w:szCs w:val="18"/>
        </w:rPr>
        <w:t>Compared with distributed PV, n</w:t>
      </w:r>
      <w:r w:rsidRPr="00170D65">
        <w:rPr>
          <w:szCs w:val="18"/>
        </w:rPr>
        <w:t>on-PV distributed generation has been growing</w:t>
      </w:r>
      <w:r>
        <w:rPr>
          <w:szCs w:val="18"/>
        </w:rPr>
        <w:t xml:space="preserve"> much more modestly and somewhat consistently with its historical growth trend</w:t>
      </w:r>
      <w:r w:rsidRPr="00170D65">
        <w:rPr>
          <w:szCs w:val="18"/>
        </w:rPr>
        <w:t xml:space="preserve">. </w:t>
      </w:r>
      <w:r>
        <w:rPr>
          <w:i/>
          <w:szCs w:val="18"/>
        </w:rPr>
        <w:t>August 2016</w:t>
      </w:r>
      <w:r w:rsidRPr="003914FA">
        <w:rPr>
          <w:i/>
          <w:szCs w:val="18"/>
        </w:rPr>
        <w:t xml:space="preserve"> Distributed Generation Survey Results</w:t>
      </w:r>
      <w:r w:rsidRPr="003914FA">
        <w:rPr>
          <w:szCs w:val="18"/>
        </w:rPr>
        <w:t xml:space="preserve">, </w:t>
      </w:r>
      <w:r w:rsidRPr="00170D65">
        <w:rPr>
          <w:szCs w:val="18"/>
        </w:rPr>
        <w:t xml:space="preserve">Distributed Generation Forecast Working Group (DGFWG) </w:t>
      </w:r>
      <w:r w:rsidRPr="003914FA">
        <w:rPr>
          <w:szCs w:val="18"/>
        </w:rPr>
        <w:t>presentation (</w:t>
      </w:r>
      <w:r>
        <w:rPr>
          <w:szCs w:val="18"/>
        </w:rPr>
        <w:t>December 16, 2016</w:t>
      </w:r>
      <w:r w:rsidRPr="003914FA">
        <w:rPr>
          <w:szCs w:val="18"/>
        </w:rPr>
        <w:t xml:space="preserve">), </w:t>
      </w:r>
      <w:r w:rsidRPr="00DE52FB">
        <w:t>https://www.iso-ne.com/static-assets/documents/2016/12/august2016_dgsurveyresults_20161216.pdf</w:t>
      </w:r>
      <w:r w:rsidRPr="003914FA">
        <w:rPr>
          <w:szCs w:val="18"/>
        </w:rPr>
        <w:t>.</w:t>
      </w:r>
    </w:p>
  </w:footnote>
  <w:footnote w:id="69">
    <w:p w:rsidR="006346FE" w:rsidRPr="001655D0" w:rsidRDefault="006346FE" w:rsidP="00DB6EC8">
      <w:pPr>
        <w:spacing w:after="80" w:line="240" w:lineRule="auto"/>
        <w:rPr>
          <w:sz w:val="18"/>
          <w:szCs w:val="18"/>
        </w:rPr>
      </w:pPr>
      <w:r w:rsidRPr="00170D65">
        <w:rPr>
          <w:rStyle w:val="FootnoteReference"/>
          <w:sz w:val="18"/>
          <w:szCs w:val="18"/>
        </w:rPr>
        <w:footnoteRef/>
      </w:r>
      <w:r w:rsidRPr="00170D65">
        <w:rPr>
          <w:sz w:val="18"/>
          <w:szCs w:val="18"/>
        </w:rPr>
        <w:t xml:space="preserve"> </w:t>
      </w:r>
      <w:r w:rsidRPr="002A3CD6">
        <w:rPr>
          <w:i/>
          <w:iCs/>
          <w:sz w:val="18"/>
          <w:szCs w:val="18"/>
        </w:rPr>
        <w:t>Draft 2017 CELT ISO-NE Annual Energy and Summer Peak Forecast,</w:t>
      </w:r>
      <w:r w:rsidRPr="002A3CD6">
        <w:rPr>
          <w:sz w:val="18"/>
          <w:szCs w:val="18"/>
        </w:rPr>
        <w:t xml:space="preserve"> PAC presentation (March 22, 2017), </w:t>
      </w:r>
      <w:hyperlink r:id="rId66" w:history="1">
        <w:r w:rsidRPr="002A3CD6">
          <w:rPr>
            <w:rStyle w:val="Hyperlink"/>
            <w:sz w:val="18"/>
            <w:szCs w:val="18"/>
          </w:rPr>
          <w:t>https://www.iso-ne.com/static-assets/documents/2017/03/a2_new_england_energy_efficiency_pv_and_load_forecast_update.pdf</w:t>
        </w:r>
      </w:hyperlink>
      <w:r>
        <w:rPr>
          <w:sz w:val="18"/>
          <w:szCs w:val="18"/>
        </w:rPr>
        <w:t>.</w:t>
      </w:r>
    </w:p>
  </w:footnote>
  <w:footnote w:id="70">
    <w:p w:rsidR="006346FE" w:rsidRPr="001655D0" w:rsidRDefault="006346FE" w:rsidP="00DB6EC8">
      <w:pPr>
        <w:pStyle w:val="FoonoteText"/>
        <w:spacing w:after="80" w:line="240" w:lineRule="auto"/>
        <w:rPr>
          <w:sz w:val="18"/>
          <w:szCs w:val="18"/>
        </w:rPr>
      </w:pPr>
      <w:r w:rsidRPr="001655D0">
        <w:rPr>
          <w:rStyle w:val="FootnoteReference"/>
          <w:sz w:val="18"/>
          <w:szCs w:val="18"/>
        </w:rPr>
        <w:footnoteRef/>
      </w:r>
      <w:r w:rsidRPr="001655D0">
        <w:rPr>
          <w:sz w:val="18"/>
          <w:szCs w:val="18"/>
        </w:rPr>
        <w:t xml:space="preserve"> The 50/50 “reference” case peak loads have a 50% chance of being exceeded because of weather conditions. For the reference case, the summer peak load is expected to occur at a weighted New England-wide temperature of 90.2°F, and the winter peak load is expected to occur at 7.0°F. The 90/10 “extreme” case peak loads have a 10% chance of being exceeded because of weather. For the extreme case, the summer peak is expected to occur at a temperature of 94.2°F, and the winter peak is expected to occur at a temperature of 1.6°F.</w:t>
      </w:r>
    </w:p>
  </w:footnote>
  <w:footnote w:id="71">
    <w:p w:rsidR="006346FE" w:rsidRPr="001655D0" w:rsidRDefault="006346FE" w:rsidP="00DB6EC8">
      <w:pPr>
        <w:spacing w:after="80" w:line="240" w:lineRule="auto"/>
        <w:rPr>
          <w:sz w:val="18"/>
          <w:szCs w:val="18"/>
        </w:rPr>
      </w:pPr>
      <w:r w:rsidRPr="001655D0">
        <w:rPr>
          <w:rStyle w:val="FootnoteReference"/>
          <w:sz w:val="18"/>
          <w:szCs w:val="18"/>
        </w:rPr>
        <w:footnoteRef/>
      </w:r>
      <w:r w:rsidRPr="001655D0">
        <w:rPr>
          <w:sz w:val="18"/>
          <w:szCs w:val="18"/>
        </w:rPr>
        <w:t xml:space="preserve"> </w:t>
      </w:r>
      <w:r w:rsidRPr="002A3CD6">
        <w:rPr>
          <w:i/>
          <w:sz w:val="18"/>
          <w:szCs w:val="18"/>
        </w:rPr>
        <w:t>Preliminary ISO-NE Annual Energy and Seasonal Peak Forecast 2015-2024</w:t>
      </w:r>
      <w:r w:rsidRPr="002A3CD6">
        <w:rPr>
          <w:sz w:val="18"/>
          <w:szCs w:val="18"/>
        </w:rPr>
        <w:t xml:space="preserve">, PAC presentation (February 18, 2015), </w:t>
      </w:r>
      <w:hyperlink r:id="rId67" w:history="1">
        <w:r w:rsidRPr="002A3CD6">
          <w:rPr>
            <w:rStyle w:val="Hyperlink"/>
            <w:sz w:val="18"/>
            <w:szCs w:val="18"/>
          </w:rPr>
          <w:t>http://www.iso-ne.com/static-assets/documents/2015/02/a5_new_england_load_forecast_update.pdf</w:t>
        </w:r>
      </w:hyperlink>
      <w:r w:rsidRPr="002A3CD6">
        <w:rPr>
          <w:sz w:val="18"/>
          <w:szCs w:val="18"/>
        </w:rPr>
        <w:t xml:space="preserve"> (Preliminary Forecast 2015–2024).</w:t>
      </w:r>
    </w:p>
  </w:footnote>
  <w:footnote w:id="72">
    <w:p w:rsidR="006346FE" w:rsidRPr="001655D0" w:rsidRDefault="006346FE" w:rsidP="00DB6EC8">
      <w:pPr>
        <w:spacing w:after="80" w:line="240" w:lineRule="auto"/>
        <w:rPr>
          <w:sz w:val="18"/>
          <w:szCs w:val="18"/>
        </w:rPr>
      </w:pPr>
      <w:r w:rsidRPr="001655D0">
        <w:rPr>
          <w:rStyle w:val="FootnoteReference"/>
          <w:sz w:val="18"/>
          <w:szCs w:val="18"/>
        </w:rPr>
        <w:footnoteRef/>
      </w:r>
      <w:r w:rsidRPr="001655D0">
        <w:rPr>
          <w:sz w:val="18"/>
          <w:szCs w:val="18"/>
        </w:rPr>
        <w:t xml:space="preserve"> The generation output includes output from </w:t>
      </w:r>
      <w:r w:rsidRPr="001655D0">
        <w:rPr>
          <w:i/>
          <w:iCs/>
          <w:sz w:val="18"/>
          <w:szCs w:val="18"/>
        </w:rPr>
        <w:t>settlement-only resources</w:t>
      </w:r>
      <w:r w:rsidRPr="001655D0">
        <w:rPr>
          <w:sz w:val="18"/>
          <w:szCs w:val="18"/>
        </w:rPr>
        <w:t xml:space="preserve"> (SORs), which are less than 5 MW but not centrally dispatched by the ISO control room and not monitored in real time.</w:t>
      </w:r>
      <w:r>
        <w:rPr>
          <w:sz w:val="18"/>
          <w:szCs w:val="18"/>
        </w:rPr>
        <w:t xml:space="preserve"> NEL = Total ISO generator energy production + imports – exports – pumped storage load.</w:t>
      </w:r>
    </w:p>
  </w:footnote>
  <w:footnote w:id="73">
    <w:p w:rsidR="006346FE" w:rsidRPr="001655D0" w:rsidRDefault="006346FE" w:rsidP="00DB6EC8">
      <w:pPr>
        <w:pStyle w:val="FoonoteText"/>
        <w:spacing w:after="80" w:line="240" w:lineRule="auto"/>
        <w:rPr>
          <w:sz w:val="18"/>
          <w:szCs w:val="18"/>
        </w:rPr>
      </w:pPr>
      <w:r w:rsidRPr="001655D0">
        <w:rPr>
          <w:rStyle w:val="FootnoteReference"/>
          <w:sz w:val="18"/>
          <w:szCs w:val="18"/>
        </w:rPr>
        <w:footnoteRef/>
      </w:r>
      <w:r w:rsidRPr="001655D0">
        <w:rPr>
          <w:sz w:val="18"/>
          <w:szCs w:val="18"/>
        </w:rPr>
        <w:t xml:space="preserve"> The compound annual growth rate (CAGR) is calculated as follows:</w:t>
      </w:r>
    </w:p>
    <w:p w:rsidR="006346FE" w:rsidRPr="001655D0" w:rsidRDefault="006346FE" w:rsidP="00DB6EC8">
      <w:pPr>
        <w:pStyle w:val="FoonoteText"/>
        <w:spacing w:after="80" w:line="240" w:lineRule="auto"/>
        <w:rPr>
          <w:sz w:val="18"/>
          <w:szCs w:val="18"/>
        </w:rPr>
      </w:pPr>
      <w:r w:rsidRPr="001655D0">
        <w:rPr>
          <w:noProof/>
          <w:sz w:val="18"/>
          <w:szCs w:val="18"/>
        </w:rPr>
        <w:drawing>
          <wp:inline distT="0" distB="0" distL="0" distR="0" wp14:anchorId="1A988ED1" wp14:editId="69AB9A5A">
            <wp:extent cx="3233420" cy="450850"/>
            <wp:effectExtent l="0" t="0" r="0" b="0"/>
            <wp:docPr id="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a:srcRect/>
                    <a:stretch>
                      <a:fillRect/>
                    </a:stretch>
                  </pic:blipFill>
                  <pic:spPr bwMode="auto">
                    <a:xfrm>
                      <a:off x="0" y="0"/>
                      <a:ext cx="3233420" cy="450850"/>
                    </a:xfrm>
                    <a:prstGeom prst="rect">
                      <a:avLst/>
                    </a:prstGeom>
                    <a:noFill/>
                    <a:ln w="9525">
                      <a:noFill/>
                      <a:miter lim="800000"/>
                      <a:headEnd/>
                      <a:tailEnd/>
                    </a:ln>
                  </pic:spPr>
                </pic:pic>
              </a:graphicData>
            </a:graphic>
          </wp:inline>
        </w:drawing>
      </w:r>
    </w:p>
  </w:footnote>
  <w:footnote w:id="74">
    <w:p w:rsidR="006346FE" w:rsidRPr="001655D0" w:rsidRDefault="006346FE" w:rsidP="00DB6EC8">
      <w:pPr>
        <w:pStyle w:val="FoonoteText"/>
        <w:spacing w:after="80" w:line="240" w:lineRule="auto"/>
        <w:rPr>
          <w:sz w:val="18"/>
          <w:szCs w:val="18"/>
        </w:rPr>
      </w:pPr>
      <w:r w:rsidRPr="001655D0">
        <w:rPr>
          <w:rStyle w:val="FootnoteReference"/>
          <w:sz w:val="18"/>
          <w:szCs w:val="18"/>
        </w:rPr>
        <w:footnoteRef/>
      </w:r>
      <w:r w:rsidRPr="001655D0">
        <w:rPr>
          <w:sz w:val="18"/>
          <w:szCs w:val="18"/>
        </w:rPr>
        <w:t xml:space="preserve"> OP 4 actions implemented during a capacity deficiency include the dispatch of </w:t>
      </w:r>
      <w:r>
        <w:rPr>
          <w:sz w:val="18"/>
          <w:szCs w:val="18"/>
        </w:rPr>
        <w:t>active d</w:t>
      </w:r>
      <w:r w:rsidRPr="001655D0">
        <w:rPr>
          <w:sz w:val="18"/>
          <w:szCs w:val="18"/>
        </w:rPr>
        <w:t xml:space="preserve">emand resources. Operating Procedure No. 4, </w:t>
      </w:r>
      <w:r w:rsidRPr="001655D0">
        <w:rPr>
          <w:i/>
          <w:sz w:val="18"/>
          <w:szCs w:val="18"/>
        </w:rPr>
        <w:t>Action during a Capacity Deficiency</w:t>
      </w:r>
      <w:r w:rsidRPr="001655D0">
        <w:rPr>
          <w:sz w:val="18"/>
          <w:szCs w:val="18"/>
        </w:rPr>
        <w:t xml:space="preserve"> (August 12, 2014), </w:t>
      </w:r>
      <w:hyperlink r:id="rId69" w:history="1">
        <w:r w:rsidRPr="001655D0">
          <w:rPr>
            <w:rStyle w:val="Hyperlink"/>
            <w:color w:val="auto"/>
            <w:sz w:val="18"/>
            <w:szCs w:val="18"/>
          </w:rPr>
          <w:t>http://www.iso-ne.com/static-assets/documents/rules_proceds/operating/isone/op4/op4_rto_final.pdf</w:t>
        </w:r>
      </w:hyperlink>
      <w:r w:rsidRPr="001655D0">
        <w:rPr>
          <w:sz w:val="18"/>
          <w:szCs w:val="18"/>
        </w:rPr>
        <w:t>.</w:t>
      </w:r>
    </w:p>
  </w:footnote>
  <w:footnote w:id="75">
    <w:p w:rsidR="006346FE" w:rsidRPr="001655D0" w:rsidRDefault="006346FE" w:rsidP="00DB6EC8">
      <w:pPr>
        <w:spacing w:after="80" w:line="240" w:lineRule="auto"/>
        <w:rPr>
          <w:sz w:val="18"/>
          <w:szCs w:val="18"/>
        </w:rPr>
      </w:pPr>
      <w:r w:rsidRPr="001655D0">
        <w:rPr>
          <w:rStyle w:val="FootnoteReference"/>
          <w:sz w:val="18"/>
          <w:szCs w:val="18"/>
        </w:rPr>
        <w:footnoteRef/>
      </w:r>
      <w:r w:rsidRPr="001655D0">
        <w:rPr>
          <w:sz w:val="18"/>
          <w:szCs w:val="18"/>
        </w:rPr>
        <w:t xml:space="preserve"> Weather conditions during the actual peak summer loads were slightly below the expected 90/10 weather conditions for 1994, 1999, 2001, and 2002, and weather conditions were slightly above the expected 90/10 weather during the 2006, 2011, and 201</w:t>
      </w:r>
      <w:r>
        <w:rPr>
          <w:sz w:val="18"/>
          <w:szCs w:val="18"/>
        </w:rPr>
        <w:t>3</w:t>
      </w:r>
      <w:r w:rsidRPr="001655D0">
        <w:rPr>
          <w:sz w:val="18"/>
          <w:szCs w:val="18"/>
        </w:rPr>
        <w:t xml:space="preserve"> peaks. A spreadsheet containing historical annual peak loads and associated weather conditions since 1980 is available at </w:t>
      </w:r>
      <w:hyperlink r:id="rId70" w:history="1">
        <w:r w:rsidRPr="001655D0">
          <w:rPr>
            <w:rStyle w:val="Hyperlink"/>
            <w:color w:val="auto"/>
            <w:sz w:val="18"/>
            <w:szCs w:val="18"/>
          </w:rPr>
          <w:t>http://www.iso-ne.com/isoexpress/web/reports/load-and-demand/-/tree/net-ener-peak-load</w:t>
        </w:r>
      </w:hyperlink>
      <w:r w:rsidRPr="001655D0">
        <w:rPr>
          <w:sz w:val="18"/>
          <w:szCs w:val="18"/>
        </w:rPr>
        <w:t>.</w:t>
      </w:r>
    </w:p>
  </w:footnote>
  <w:footnote w:id="76">
    <w:p w:rsidR="006346FE" w:rsidRDefault="006346FE">
      <w:pPr>
        <w:pStyle w:val="FootnoteText"/>
      </w:pPr>
      <w:r w:rsidRPr="00DF295A">
        <w:rPr>
          <w:rStyle w:val="FootnoteReference"/>
        </w:rPr>
        <w:footnoteRef/>
      </w:r>
      <w:r w:rsidRPr="00DF295A">
        <w:t xml:space="preserve"> </w:t>
      </w:r>
      <w:r w:rsidRPr="00DF295A">
        <w:rPr>
          <w:szCs w:val="18"/>
        </w:rPr>
        <w:t xml:space="preserve">A </w:t>
      </w:r>
      <w:r w:rsidRPr="00DB6C36">
        <w:rPr>
          <w:i/>
          <w:szCs w:val="18"/>
        </w:rPr>
        <w:t>capacity supply obligation</w:t>
      </w:r>
      <w:r w:rsidRPr="00DF295A">
        <w:rPr>
          <w:szCs w:val="18"/>
        </w:rPr>
        <w:t xml:space="preserve"> is a</w:t>
      </w:r>
      <w:r w:rsidRPr="001655D0">
        <w:rPr>
          <w:szCs w:val="18"/>
        </w:rPr>
        <w:t xml:space="preserve"> requirement for a resource to provide capacity to </w:t>
      </w:r>
      <w:r w:rsidRPr="00F73CF5">
        <w:rPr>
          <w:szCs w:val="18"/>
        </w:rPr>
        <w:t>meet NPCC’s and the ISO’s bulk power system reliability planning criteria</w:t>
      </w:r>
      <w:r>
        <w:rPr>
          <w:szCs w:val="18"/>
        </w:rPr>
        <w:t xml:space="preserve">. A CSO is </w:t>
      </w:r>
      <w:r w:rsidRPr="00675268">
        <w:rPr>
          <w:szCs w:val="18"/>
        </w:rPr>
        <w:t>acquired through a Forward Capacity Auction, a</w:t>
      </w:r>
      <w:r w:rsidRPr="001655D0">
        <w:rPr>
          <w:szCs w:val="18"/>
        </w:rPr>
        <w:t xml:space="preserve"> reconfiguration auction, or a CSO bilateral contract through which a market participant may transfer all or part of its CSO to another entity</w:t>
      </w:r>
      <w:r>
        <w:rPr>
          <w:szCs w:val="18"/>
        </w:rPr>
        <w:t xml:space="preserve"> (see Section </w:t>
      </w:r>
      <w:r>
        <w:rPr>
          <w:szCs w:val="18"/>
        </w:rPr>
        <w:fldChar w:fldCharType="begin"/>
      </w:r>
      <w:r>
        <w:rPr>
          <w:szCs w:val="18"/>
        </w:rPr>
        <w:instrText xml:space="preserve"> REF _Ref327866184 \r \h </w:instrText>
      </w:r>
      <w:r>
        <w:rPr>
          <w:szCs w:val="18"/>
        </w:rPr>
      </w:r>
      <w:r>
        <w:rPr>
          <w:szCs w:val="18"/>
        </w:rPr>
        <w:fldChar w:fldCharType="separate"/>
      </w:r>
      <w:r>
        <w:rPr>
          <w:szCs w:val="18"/>
        </w:rPr>
        <w:t>4.1</w:t>
      </w:r>
      <w:r>
        <w:rPr>
          <w:szCs w:val="18"/>
        </w:rPr>
        <w:fldChar w:fldCharType="end"/>
      </w:r>
      <w:r>
        <w:rPr>
          <w:szCs w:val="18"/>
        </w:rPr>
        <w:t>)</w:t>
      </w:r>
      <w:r w:rsidRPr="001655D0">
        <w:rPr>
          <w:szCs w:val="18"/>
        </w:rPr>
        <w:t xml:space="preserve">. </w:t>
      </w:r>
      <w:r w:rsidRPr="001655D0">
        <w:rPr>
          <w:rFonts w:cs="Arial"/>
          <w:szCs w:val="18"/>
        </w:rPr>
        <w:t>FCM reconfiguration auctions take place before and during the capacity commitment period to allow participants to buy and sell capacity obligations and adjust their positions.</w:t>
      </w:r>
    </w:p>
  </w:footnote>
  <w:footnote w:id="77">
    <w:p w:rsidR="006346FE" w:rsidRPr="00BC0A58" w:rsidRDefault="006346FE" w:rsidP="00DB6EC8">
      <w:pPr>
        <w:spacing w:after="80" w:line="240" w:lineRule="auto"/>
        <w:rPr>
          <w:sz w:val="18"/>
          <w:szCs w:val="18"/>
        </w:rPr>
      </w:pPr>
      <w:r w:rsidRPr="00BC0A58">
        <w:rPr>
          <w:rStyle w:val="FootnoteReference"/>
          <w:sz w:val="18"/>
          <w:szCs w:val="18"/>
        </w:rPr>
        <w:footnoteRef/>
      </w:r>
      <w:r w:rsidRPr="00BC0A58">
        <w:rPr>
          <w:sz w:val="18"/>
          <w:szCs w:val="18"/>
        </w:rPr>
        <w:t xml:space="preserve"> State-sponsored EE programs consist of various efforts designed to reduce energy consumption. These efforts generally are funded by multiple sources, including a system benefits charge (SBC</w:t>
      </w:r>
      <w:r w:rsidRPr="009F5FA2">
        <w:rPr>
          <w:sz w:val="18"/>
          <w:szCs w:val="18"/>
        </w:rPr>
        <w:t>) that electricity providers apply</w:t>
      </w:r>
      <w:r w:rsidRPr="00BC0A58">
        <w:rPr>
          <w:sz w:val="18"/>
          <w:szCs w:val="18"/>
        </w:rPr>
        <w:t xml:space="preserve"> to </w:t>
      </w:r>
      <w:r w:rsidRPr="00AB066D">
        <w:rPr>
          <w:sz w:val="18"/>
          <w:szCs w:val="18"/>
        </w:rPr>
        <w:t xml:space="preserve">customer bills, the Regional Greenhouse Gas Initiative (RGGI) auction revenues (see Section </w:t>
      </w:r>
      <w:r w:rsidRPr="00AB066D">
        <w:rPr>
          <w:sz w:val="18"/>
          <w:szCs w:val="18"/>
        </w:rPr>
        <w:fldChar w:fldCharType="begin"/>
      </w:r>
      <w:r w:rsidRPr="00AB066D">
        <w:rPr>
          <w:sz w:val="18"/>
          <w:szCs w:val="18"/>
        </w:rPr>
        <w:instrText xml:space="preserve"> REF _Ref485720823 \r \h </w:instrText>
      </w:r>
      <w:r>
        <w:rPr>
          <w:sz w:val="18"/>
          <w:szCs w:val="18"/>
        </w:rPr>
        <w:instrText xml:space="preserve"> \* MERGEFORMAT </w:instrText>
      </w:r>
      <w:r w:rsidRPr="00AB066D">
        <w:rPr>
          <w:sz w:val="18"/>
          <w:szCs w:val="18"/>
        </w:rPr>
      </w:r>
      <w:r w:rsidRPr="00AB066D">
        <w:rPr>
          <w:sz w:val="18"/>
          <w:szCs w:val="18"/>
        </w:rPr>
        <w:fldChar w:fldCharType="separate"/>
      </w:r>
      <w:r>
        <w:rPr>
          <w:sz w:val="18"/>
          <w:szCs w:val="18"/>
        </w:rPr>
        <w:t>8.1.2.5</w:t>
      </w:r>
      <w:r w:rsidRPr="00AB066D">
        <w:rPr>
          <w:sz w:val="18"/>
          <w:szCs w:val="18"/>
        </w:rPr>
        <w:fldChar w:fldCharType="end"/>
      </w:r>
      <w:r w:rsidRPr="00AB066D">
        <w:rPr>
          <w:sz w:val="18"/>
          <w:szCs w:val="18"/>
        </w:rPr>
        <w:t>), and state</w:t>
      </w:r>
      <w:r w:rsidRPr="00BC0A58">
        <w:rPr>
          <w:sz w:val="18"/>
          <w:szCs w:val="18"/>
        </w:rPr>
        <w:t xml:space="preserve"> EE </w:t>
      </w:r>
      <w:r w:rsidRPr="00967772">
        <w:rPr>
          <w:sz w:val="18"/>
          <w:szCs w:val="18"/>
        </w:rPr>
        <w:t xml:space="preserve">policy funds. More information on the methodology used to develop the EE forecast is available at the ISO’s “Energy-Efficiency Forecast Working Group,” webpage, </w:t>
      </w:r>
      <w:hyperlink r:id="rId71" w:history="1">
        <w:r w:rsidRPr="00967772">
          <w:rPr>
            <w:rStyle w:val="Hyperlink"/>
            <w:color w:val="auto"/>
            <w:sz w:val="18"/>
            <w:szCs w:val="18"/>
          </w:rPr>
          <w:t>http://www.iso-ne.com/committees/planning/energy-efficiency-forecast</w:t>
        </w:r>
      </w:hyperlink>
      <w:r w:rsidRPr="00967772">
        <w:rPr>
          <w:sz w:val="18"/>
          <w:szCs w:val="18"/>
        </w:rPr>
        <w:t xml:space="preserve">. </w:t>
      </w:r>
      <w:r w:rsidRPr="00967772">
        <w:rPr>
          <w:i/>
          <w:sz w:val="18"/>
          <w:szCs w:val="18"/>
        </w:rPr>
        <w:t>ISO New England Energy-Efficiency Forecast for 2021–2026</w:t>
      </w:r>
      <w:r w:rsidRPr="00967772">
        <w:rPr>
          <w:sz w:val="18"/>
          <w:szCs w:val="18"/>
        </w:rPr>
        <w:t xml:space="preserve"> (May 1, 2017), https://www.iso-ne.com/static-assets/documents/2017/05/final_eef_2017_v2.pdf.</w:t>
      </w:r>
    </w:p>
  </w:footnote>
  <w:footnote w:id="78">
    <w:p w:rsidR="006346FE" w:rsidRPr="0071542A" w:rsidRDefault="006346FE" w:rsidP="00DB6EC8">
      <w:pPr>
        <w:spacing w:after="80" w:line="240" w:lineRule="auto"/>
        <w:rPr>
          <w:sz w:val="18"/>
          <w:szCs w:val="18"/>
        </w:rPr>
      </w:pPr>
      <w:r w:rsidRPr="00BC0A58">
        <w:rPr>
          <w:rStyle w:val="FootnoteReference"/>
          <w:sz w:val="18"/>
          <w:szCs w:val="18"/>
        </w:rPr>
        <w:footnoteRef/>
      </w:r>
      <w:r w:rsidRPr="00BC0A58">
        <w:rPr>
          <w:sz w:val="18"/>
          <w:szCs w:val="18"/>
        </w:rPr>
        <w:t xml:space="preserve"> The DGFWG</w:t>
      </w:r>
      <w:r>
        <w:rPr>
          <w:sz w:val="18"/>
          <w:szCs w:val="18"/>
        </w:rPr>
        <w:t>,</w:t>
      </w:r>
      <w:r w:rsidRPr="00BC0A58">
        <w:rPr>
          <w:sz w:val="18"/>
          <w:szCs w:val="18"/>
        </w:rPr>
        <w:t xml:space="preserve"> chaired by a representative of the ISO</w:t>
      </w:r>
      <w:r>
        <w:rPr>
          <w:sz w:val="18"/>
          <w:szCs w:val="18"/>
        </w:rPr>
        <w:t>,</w:t>
      </w:r>
      <w:r w:rsidRPr="00BC0A58">
        <w:rPr>
          <w:sz w:val="18"/>
          <w:szCs w:val="18"/>
        </w:rPr>
        <w:t xml:space="preserve"> is not a formal NEPOOL committee or subcommittee. More </w:t>
      </w:r>
      <w:r w:rsidRPr="0071542A">
        <w:rPr>
          <w:sz w:val="18"/>
          <w:szCs w:val="18"/>
        </w:rPr>
        <w:t xml:space="preserve">information on the DGFWG, including the group’s scope of work (September 25, 2013) is available at </w:t>
      </w:r>
      <w:hyperlink r:id="rId72" w:history="1">
        <w:r w:rsidRPr="0071542A">
          <w:rPr>
            <w:rStyle w:val="Hyperlink"/>
            <w:color w:val="auto"/>
            <w:sz w:val="18"/>
            <w:szCs w:val="18"/>
          </w:rPr>
          <w:t>http://www.iso-ne.com/static-assets/documents/committees/comm_wkgrps/othr/distributed_generation_frcst/2013mtrls/sep302013/draft_dgfwg_scope_of_work.pdf</w:t>
        </w:r>
      </w:hyperlink>
      <w:r w:rsidRPr="0071542A">
        <w:rPr>
          <w:sz w:val="18"/>
          <w:szCs w:val="18"/>
        </w:rPr>
        <w:t xml:space="preserve">. </w:t>
      </w:r>
    </w:p>
  </w:footnote>
  <w:footnote w:id="79">
    <w:p w:rsidR="006346FE" w:rsidRDefault="006346FE" w:rsidP="00DB6EC8">
      <w:pPr>
        <w:pStyle w:val="FootnoteText"/>
      </w:pPr>
      <w:r w:rsidRPr="00DB1F55">
        <w:rPr>
          <w:rStyle w:val="FootnoteReference"/>
        </w:rPr>
        <w:footnoteRef/>
      </w:r>
      <w:r w:rsidRPr="00DB1F55">
        <w:t xml:space="preserve"> </w:t>
      </w:r>
      <w:r w:rsidRPr="00DB1F55">
        <w:rPr>
          <w:szCs w:val="18"/>
        </w:rPr>
        <w:t>Existing and future DG with obligations in the FCM are considered resources and contribute to meeting New England’s ICR. Load reductions from the remainder of existing DG (i.e., installations that do not participate in the wholesale markets) are embedded in the historical loads used to develop the ISO’s 10-year load forecast. Compared with distributed PV, non-PV distributed generation has been growing much more modestly and similar to historical trends. More</w:t>
      </w:r>
      <w:r w:rsidRPr="0071542A">
        <w:rPr>
          <w:szCs w:val="18"/>
        </w:rPr>
        <w:t xml:space="preserve"> information is available in the </w:t>
      </w:r>
      <w:r w:rsidRPr="0071542A">
        <w:rPr>
          <w:i/>
          <w:szCs w:val="18"/>
        </w:rPr>
        <w:t>August 2016 Distributed Generation Survey Results</w:t>
      </w:r>
      <w:r w:rsidRPr="0071542A">
        <w:rPr>
          <w:szCs w:val="18"/>
        </w:rPr>
        <w:t xml:space="preserve">, Distributed Generation Forecast Working Group presentation (December 16, 2016), </w:t>
      </w:r>
      <w:r w:rsidRPr="0071542A">
        <w:t>https://www.iso-ne.com/static-assets/documents/2016/12/august2016_dgsurveyresults_20161216.pdf</w:t>
      </w:r>
      <w:r w:rsidRPr="0071542A">
        <w:rPr>
          <w:szCs w:val="18"/>
        </w:rPr>
        <w:t>.</w:t>
      </w:r>
    </w:p>
  </w:footnote>
  <w:footnote w:id="80">
    <w:p w:rsidR="006346FE" w:rsidRPr="00BC0A58" w:rsidRDefault="006346FE" w:rsidP="00DB6EC8">
      <w:pPr>
        <w:spacing w:after="80" w:line="240" w:lineRule="auto"/>
        <w:rPr>
          <w:sz w:val="18"/>
          <w:szCs w:val="18"/>
        </w:rPr>
      </w:pPr>
      <w:r w:rsidRPr="00BC0A58">
        <w:rPr>
          <w:rStyle w:val="FootnoteReference"/>
          <w:sz w:val="18"/>
          <w:szCs w:val="18"/>
        </w:rPr>
        <w:footnoteRef/>
      </w:r>
      <w:r w:rsidRPr="00BC0A58">
        <w:rPr>
          <w:sz w:val="18"/>
          <w:szCs w:val="18"/>
        </w:rPr>
        <w:t xml:space="preserve"> A full explanation of the </w:t>
      </w:r>
      <w:r>
        <w:rPr>
          <w:sz w:val="18"/>
          <w:szCs w:val="18"/>
        </w:rPr>
        <w:t>methodology used for</w:t>
      </w:r>
      <w:r w:rsidRPr="00BC0A58">
        <w:rPr>
          <w:sz w:val="18"/>
          <w:szCs w:val="18"/>
        </w:rPr>
        <w:t xml:space="preserve"> the PV forecast </w:t>
      </w:r>
      <w:r>
        <w:rPr>
          <w:sz w:val="18"/>
          <w:szCs w:val="18"/>
        </w:rPr>
        <w:t>is</w:t>
      </w:r>
      <w:r w:rsidRPr="00BC0A58">
        <w:rPr>
          <w:sz w:val="18"/>
          <w:szCs w:val="18"/>
        </w:rPr>
        <w:t xml:space="preserve"> available at</w:t>
      </w:r>
      <w:r>
        <w:rPr>
          <w:sz w:val="18"/>
          <w:szCs w:val="18"/>
        </w:rPr>
        <w:t xml:space="preserve"> </w:t>
      </w:r>
      <w:r w:rsidRPr="007250C3">
        <w:rPr>
          <w:sz w:val="18"/>
          <w:szCs w:val="18"/>
        </w:rPr>
        <w:t>https://www.iso-ne.com/static-assets/documents/2017/05/2017_solar_forecast_details_final.pdf</w:t>
      </w:r>
      <w:r w:rsidRPr="00BC0A58">
        <w:rPr>
          <w:rStyle w:val="Hyperlink"/>
          <w:color w:val="auto"/>
          <w:sz w:val="18"/>
          <w:szCs w:val="18"/>
        </w:rPr>
        <w:t>.</w:t>
      </w:r>
      <w:r>
        <w:rPr>
          <w:rStyle w:val="Hyperlink"/>
          <w:color w:val="auto"/>
          <w:sz w:val="18"/>
          <w:szCs w:val="18"/>
        </w:rPr>
        <w:t xml:space="preserve"> </w:t>
      </w:r>
    </w:p>
  </w:footnote>
  <w:footnote w:id="81">
    <w:p w:rsidR="006346FE" w:rsidRDefault="006346FE" w:rsidP="00DB6EC8">
      <w:pPr>
        <w:pStyle w:val="FootnoteText"/>
      </w:pPr>
      <w:r w:rsidRPr="002C6A15">
        <w:rPr>
          <w:rStyle w:val="FootnoteReference"/>
        </w:rPr>
        <w:footnoteRef/>
      </w:r>
      <w:r w:rsidRPr="002C6A15">
        <w:t xml:space="preserve"> The forecast reflects distributed generation PV, which includes projects that are typically 5 MW or less in nameplate capacity; therefore, the forecast does not include policy drivers for larger-scale projects, which are generally accounted for as part of ISO’s interconnection process and participate in wholesale markets.</w:t>
      </w:r>
      <w:r>
        <w:t xml:space="preserve"> </w:t>
      </w:r>
    </w:p>
  </w:footnote>
  <w:footnote w:id="82">
    <w:p w:rsidR="006346FE" w:rsidRPr="008D5D5B" w:rsidRDefault="006346FE" w:rsidP="00DB6EC8">
      <w:pPr>
        <w:pStyle w:val="FootnoteText"/>
        <w:rPr>
          <w:szCs w:val="18"/>
        </w:rPr>
      </w:pPr>
      <w:r w:rsidRPr="008D5D5B">
        <w:rPr>
          <w:rStyle w:val="FootnoteReference"/>
          <w:sz w:val="18"/>
          <w:szCs w:val="18"/>
        </w:rPr>
        <w:footnoteRef/>
      </w:r>
      <w:r w:rsidRPr="008D5D5B">
        <w:rPr>
          <w:szCs w:val="18"/>
        </w:rPr>
        <w:t xml:space="preserve"> </w:t>
      </w:r>
      <w:r w:rsidRPr="00BC0A58">
        <w:rPr>
          <w:szCs w:val="18"/>
        </w:rPr>
        <w:t>Settlement-only resources and non-FCM generators, as defined in Operating Procedure No. 14 (OP</w:t>
      </w:r>
      <w:r>
        <w:rPr>
          <w:szCs w:val="18"/>
        </w:rPr>
        <w:t xml:space="preserve"> </w:t>
      </w:r>
      <w:r w:rsidRPr="00BC0A58">
        <w:rPr>
          <w:szCs w:val="18"/>
        </w:rPr>
        <w:t xml:space="preserve">14), </w:t>
      </w:r>
      <w:r w:rsidRPr="00BC0A58">
        <w:rPr>
          <w:i/>
          <w:szCs w:val="18"/>
        </w:rPr>
        <w:t>Technical Requirements for Generators, Demand Resources, Asset-Related Demands, and Alternative Technology Regulation Resources</w:t>
      </w:r>
      <w:r w:rsidRPr="00BC0A58">
        <w:rPr>
          <w:szCs w:val="18"/>
        </w:rPr>
        <w:t>,</w:t>
      </w:r>
      <w:r w:rsidRPr="00BC0A58">
        <w:rPr>
          <w:i/>
          <w:szCs w:val="18"/>
        </w:rPr>
        <w:t xml:space="preserve"> </w:t>
      </w:r>
      <w:r w:rsidRPr="00BC0A58">
        <w:rPr>
          <w:szCs w:val="18"/>
        </w:rPr>
        <w:t xml:space="preserve">are included in this market type. Refer to OP 14 </w:t>
      </w:r>
      <w:r w:rsidRPr="006E0AB2">
        <w:rPr>
          <w:szCs w:val="18"/>
        </w:rPr>
        <w:t xml:space="preserve">(January 17, 2017), at </w:t>
      </w:r>
      <w:hyperlink r:id="rId73" w:history="1">
        <w:r w:rsidRPr="006E0AB2">
          <w:rPr>
            <w:rStyle w:val="Hyperlink"/>
            <w:color w:val="auto"/>
            <w:szCs w:val="18"/>
          </w:rPr>
          <w:t>http://www.iso-ne.com/static-assets/documents/rules_proceds/operating/isone/op14/op14_rto_final.pdf</w:t>
        </w:r>
      </w:hyperlink>
      <w:r w:rsidRPr="006E0AB2">
        <w:rPr>
          <w:szCs w:val="18"/>
        </w:rPr>
        <w:t>.</w:t>
      </w:r>
      <w:r w:rsidRPr="00BC0A58">
        <w:rPr>
          <w:szCs w:val="18"/>
        </w:rPr>
        <w:t xml:space="preserve"> </w:t>
      </w:r>
    </w:p>
  </w:footnote>
  <w:footnote w:id="83">
    <w:p w:rsidR="006346FE" w:rsidRDefault="006346FE" w:rsidP="00DB6EC8">
      <w:pPr>
        <w:pStyle w:val="FootnoteText"/>
      </w:pPr>
      <w:r w:rsidRPr="00D63283">
        <w:rPr>
          <w:rStyle w:val="FootnoteReference"/>
        </w:rPr>
        <w:footnoteRef/>
      </w:r>
      <w:r w:rsidRPr="00D63283">
        <w:t xml:space="preserve"> ISO’s detailed analysis and resulting methodology is available as an appendix in </w:t>
      </w:r>
      <w:r>
        <w:t>“</w:t>
      </w:r>
      <w:r w:rsidRPr="00D63283">
        <w:t>2016 Final PV Forecast,</w:t>
      </w:r>
      <w:r>
        <w:t>”</w:t>
      </w:r>
      <w:r w:rsidRPr="00D63283">
        <w:t xml:space="preserve"> available at </w:t>
      </w:r>
      <w:hyperlink r:id="rId74" w:history="1">
        <w:r w:rsidRPr="00D63283">
          <w:rPr>
            <w:rStyle w:val="Hyperlink"/>
            <w:rFonts w:eastAsia="Times New Roman"/>
          </w:rPr>
          <w:t>https://www.iso-ne.com/static-assets/documents/2016/09/2016_solar_forecast_details_final.pdf</w:t>
        </w:r>
      </w:hyperlink>
      <w:r w:rsidRPr="00D63283">
        <w:t>.</w:t>
      </w:r>
    </w:p>
  </w:footnote>
  <w:footnote w:id="84">
    <w:p w:rsidR="006346FE" w:rsidRPr="005E27D8" w:rsidRDefault="006346FE" w:rsidP="00B47695">
      <w:pPr>
        <w:pStyle w:val="FoonoteText"/>
        <w:spacing w:after="80" w:line="240" w:lineRule="auto"/>
        <w:rPr>
          <w:sz w:val="18"/>
          <w:szCs w:val="18"/>
        </w:rPr>
      </w:pPr>
      <w:r w:rsidRPr="005E27D8">
        <w:rPr>
          <w:rStyle w:val="FootnoteReference"/>
          <w:sz w:val="18"/>
          <w:szCs w:val="18"/>
        </w:rPr>
        <w:footnoteRef/>
      </w:r>
      <w:r w:rsidRPr="005E27D8">
        <w:rPr>
          <w:sz w:val="18"/>
          <w:szCs w:val="18"/>
        </w:rPr>
        <w:t xml:space="preserve"> </w:t>
      </w:r>
      <w:r w:rsidRPr="005E27D8">
        <w:rPr>
          <w:i/>
          <w:sz w:val="18"/>
          <w:szCs w:val="18"/>
        </w:rPr>
        <w:t>Deterministic analyses</w:t>
      </w:r>
      <w:r w:rsidRPr="005E27D8">
        <w:rPr>
          <w:sz w:val="18"/>
          <w:szCs w:val="18"/>
        </w:rPr>
        <w:t xml:space="preserve"> are snapshots of assumed specific conditions that do not quantify the likelihood that these conditions will actually materialize. The results are based on analyzing the assumed set of conditions representing a specific scenario.</w:t>
      </w:r>
    </w:p>
  </w:footnote>
  <w:footnote w:id="85">
    <w:p w:rsidR="006346FE" w:rsidRDefault="006346FE" w:rsidP="00B47695">
      <w:pPr>
        <w:pStyle w:val="FootnoteText"/>
      </w:pPr>
      <w:r>
        <w:rPr>
          <w:rStyle w:val="FootnoteReference"/>
        </w:rPr>
        <w:footnoteRef/>
      </w:r>
      <w:r>
        <w:t xml:space="preserve"> </w:t>
      </w:r>
      <w:r w:rsidRPr="001507A3">
        <w:t xml:space="preserve">Established ICR values refer to the </w:t>
      </w:r>
      <w:r>
        <w:t xml:space="preserve">FERC-approved </w:t>
      </w:r>
      <w:r w:rsidRPr="001507A3">
        <w:t>values. Representative net ICR values are the representative ICRs for the region, minus the tie-reliability benefits associated with the Hydro-Québec Interconnection Capability Credits (HQICCs). (As defined in the ISO’s tariff, the HQICC is a monthly value that reflects the annual installed capacity benefits of the HQ Interconnection, as determined by the ISO using a standard methodology on file with FERC.) The ISO calculates representative net ICR values solely to inform New England stakeholders; it does not file these values with FERC for approval. The values for FCA #12 for the 2021/2022 capacity commitment period are scheduled to be filed with FERC in November 2017. For additional information about ICRs, see the ISO’s “Installed Capacity Requirements,” webpage at http://www.iso-ne.com/system-planning/resource-planning/installed-capacity-requirements.</w:t>
      </w:r>
    </w:p>
  </w:footnote>
  <w:footnote w:id="86">
    <w:p w:rsidR="006346FE" w:rsidRDefault="006346FE" w:rsidP="00B47695">
      <w:pPr>
        <w:pStyle w:val="FootnoteText"/>
      </w:pPr>
      <w:r>
        <w:rPr>
          <w:rStyle w:val="FootnoteReference"/>
        </w:rPr>
        <w:footnoteRef/>
      </w:r>
      <w:r>
        <w:t xml:space="preserve"> </w:t>
      </w:r>
      <w:r w:rsidRPr="001507A3">
        <w:t xml:space="preserve">ISO New England, </w:t>
      </w:r>
      <w:r w:rsidRPr="006F5365">
        <w:rPr>
          <w:i/>
        </w:rPr>
        <w:t>2016–2025 Forecast Report of Capacity, Energy, Loads, and Transmission</w:t>
      </w:r>
      <w:r w:rsidRPr="001507A3">
        <w:t xml:space="preserve"> (May 2016), https://www.iso-ne.com/static-assets/documents/2016/05/2016_celt_report.xls.</w:t>
      </w:r>
    </w:p>
  </w:footnote>
  <w:footnote w:id="87">
    <w:p w:rsidR="006346FE" w:rsidRDefault="006346FE" w:rsidP="00B47695">
      <w:pPr>
        <w:pStyle w:val="FootnoteText"/>
      </w:pPr>
      <w:r>
        <w:rPr>
          <w:rStyle w:val="FootnoteReference"/>
        </w:rPr>
        <w:footnoteRef/>
      </w:r>
      <w:r>
        <w:t xml:space="preserve"> </w:t>
      </w:r>
      <w:r w:rsidRPr="003749C9">
        <w:t xml:space="preserve">Based on the representative net ICR values presented to the PAC in May 2017, </w:t>
      </w:r>
      <w:r w:rsidRPr="00407398">
        <w:t>https://www.iso-ne.com/static-assets/documents/2017/05/a6_representative_icr_values_2022_2026.pdf</w:t>
      </w:r>
      <w:r>
        <w:t>.</w:t>
      </w:r>
    </w:p>
  </w:footnote>
  <w:footnote w:id="88">
    <w:p w:rsidR="006346FE" w:rsidRDefault="006346FE" w:rsidP="00B47695">
      <w:pPr>
        <w:pStyle w:val="FootnoteText"/>
      </w:pPr>
      <w:r>
        <w:rPr>
          <w:rStyle w:val="FootnoteReference"/>
        </w:rPr>
        <w:footnoteRef/>
      </w:r>
      <w:r>
        <w:t xml:space="preserve"> </w:t>
      </w:r>
      <w:r w:rsidRPr="001507A3">
        <w:t xml:space="preserve">ISO New England, </w:t>
      </w:r>
      <w:r w:rsidRPr="006F5365">
        <w:rPr>
          <w:i/>
        </w:rPr>
        <w:t>2017–2026 Forecast Report of Capacity, Energy, Loads, and Transmission</w:t>
      </w:r>
      <w:r w:rsidRPr="001507A3">
        <w:t xml:space="preserve"> (May 2017), </w:t>
      </w:r>
      <w:r w:rsidRPr="00407398">
        <w:t>https://www.iso-ne.com/static-assets/documents/2017/05/2017_celt_report.xls</w:t>
      </w:r>
      <w:r>
        <w:t>.</w:t>
      </w:r>
    </w:p>
  </w:footnote>
  <w:footnote w:id="89">
    <w:p w:rsidR="006346FE" w:rsidRDefault="006346FE" w:rsidP="00B47695">
      <w:pPr>
        <w:pStyle w:val="FootnoteText"/>
      </w:pPr>
      <w:r>
        <w:rPr>
          <w:rStyle w:val="FootnoteReference"/>
        </w:rPr>
        <w:footnoteRef/>
      </w:r>
      <w:r>
        <w:t xml:space="preserve"> </w:t>
      </w:r>
      <w:r w:rsidRPr="001507A3">
        <w:t>ISO New England Inc. and New England Power Pool Participants Committee, 155 FERC ¶ 61,319 (2016)</w:t>
      </w:r>
      <w:r>
        <w:t xml:space="preserve">. </w:t>
      </w:r>
      <w:r w:rsidRPr="001507A3">
        <w:t>In its order,</w:t>
      </w:r>
      <w:r>
        <w:t xml:space="preserve"> FERC </w:t>
      </w:r>
      <w:r w:rsidRPr="001507A3">
        <w:t xml:space="preserve">accepted the new demand curve design as well as a transition mechanism for the </w:t>
      </w:r>
      <w:r>
        <w:t>s</w:t>
      </w:r>
      <w:r w:rsidRPr="001507A3">
        <w:t>ystem</w:t>
      </w:r>
      <w:r>
        <w:t>w</w:t>
      </w:r>
      <w:r w:rsidRPr="001507A3">
        <w:t xml:space="preserve">ide </w:t>
      </w:r>
      <w:r>
        <w:t>c</w:t>
      </w:r>
      <w:r w:rsidRPr="001507A3">
        <w:t xml:space="preserve">apacity </w:t>
      </w:r>
      <w:r>
        <w:t>d</w:t>
      </w:r>
      <w:r w:rsidRPr="001507A3">
        <w:t xml:space="preserve">emand </w:t>
      </w:r>
      <w:r>
        <w:t>c</w:t>
      </w:r>
      <w:r w:rsidRPr="001507A3">
        <w:t>urve</w:t>
      </w:r>
      <w:r>
        <w:t xml:space="preserve">. </w:t>
      </w:r>
      <w:r w:rsidRPr="001507A3">
        <w:t>The transition curve is a hybrid of the previous linear demand curve design and the new MRI-based design.</w:t>
      </w:r>
      <w:r w:rsidRPr="00B211A7">
        <w:t xml:space="preserve"> </w:t>
      </w:r>
      <w:r w:rsidRPr="001507A3">
        <w:t xml:space="preserve">While systemwide capacity demand curves were developed for </w:t>
      </w:r>
      <w:r>
        <w:t xml:space="preserve">FCA #9 and FCA #10, </w:t>
      </w:r>
      <w:r w:rsidRPr="001507A3">
        <w:t>a linear methodology was used to develop th</w:t>
      </w:r>
      <w:r>
        <w:t xml:space="preserve">e </w:t>
      </w:r>
      <w:r w:rsidRPr="001507A3">
        <w:t>demand curves</w:t>
      </w:r>
      <w:r>
        <w:t xml:space="preserve"> for these auctions</w:t>
      </w:r>
      <w:r w:rsidRPr="001507A3">
        <w:t>.</w:t>
      </w:r>
    </w:p>
  </w:footnote>
  <w:footnote w:id="90">
    <w:p w:rsidR="006346FE" w:rsidRDefault="006346FE" w:rsidP="00B47695">
      <w:pPr>
        <w:pStyle w:val="FootnoteText"/>
      </w:pPr>
      <w:r>
        <w:rPr>
          <w:rStyle w:val="FootnoteReference"/>
        </w:rPr>
        <w:footnoteRef/>
      </w:r>
      <w:r>
        <w:t xml:space="preserve"> </w:t>
      </w:r>
      <w:r w:rsidRPr="003749C9">
        <w:t>Resulting reserves are the amount of capacity in excess of the forecast 50/50 peak load. Percentage resulting reserves = [{(Net ICR − 50/50 peak load) ÷ 50/50 peak load} × 100].</w:t>
      </w:r>
    </w:p>
  </w:footnote>
  <w:footnote w:id="91">
    <w:p w:rsidR="006346FE" w:rsidRPr="00DB6C36" w:rsidRDefault="006346FE" w:rsidP="00476449">
      <w:pPr>
        <w:pStyle w:val="FootnoteText"/>
        <w:rPr>
          <w:szCs w:val="18"/>
        </w:rPr>
      </w:pPr>
      <w:r w:rsidRPr="00DB6C36">
        <w:rPr>
          <w:rStyle w:val="FootnoteReference"/>
          <w:sz w:val="18"/>
          <w:szCs w:val="18"/>
        </w:rPr>
        <w:footnoteRef/>
      </w:r>
      <w:r w:rsidRPr="00DB6C36">
        <w:rPr>
          <w:szCs w:val="18"/>
        </w:rPr>
        <w:t xml:space="preserve"> The </w:t>
      </w:r>
      <w:r w:rsidRPr="00B01489">
        <w:rPr>
          <w:i/>
          <w:szCs w:val="18"/>
        </w:rPr>
        <w:t>LOLE analysis</w:t>
      </w:r>
      <w:r w:rsidRPr="00DB6C36">
        <w:rPr>
          <w:szCs w:val="18"/>
        </w:rPr>
        <w:t xml:space="preserve"> is a </w:t>
      </w:r>
      <w:r w:rsidRPr="00B01489">
        <w:rPr>
          <w:szCs w:val="18"/>
        </w:rPr>
        <w:t>probabilistic analysis</w:t>
      </w:r>
      <w:r w:rsidRPr="00DB6C36">
        <w:rPr>
          <w:szCs w:val="18"/>
        </w:rPr>
        <w:t xml:space="preserve"> used to identify the amount of </w:t>
      </w:r>
      <w:r w:rsidRPr="00B01489">
        <w:rPr>
          <w:szCs w:val="18"/>
        </w:rPr>
        <w:t>installed capacity</w:t>
      </w:r>
      <w:r w:rsidRPr="00DB6C36">
        <w:rPr>
          <w:szCs w:val="18"/>
        </w:rPr>
        <w:t xml:space="preserve"> (in MW) the system needs to meet the NPCC and ISO </w:t>
      </w:r>
      <w:r w:rsidRPr="00B01489">
        <w:rPr>
          <w:szCs w:val="18"/>
        </w:rPr>
        <w:t>resource adequacy</w:t>
      </w:r>
      <w:r w:rsidRPr="00DB6C36">
        <w:rPr>
          <w:szCs w:val="18"/>
        </w:rPr>
        <w:t xml:space="preserve"> planning criterion to not disconnect firm </w:t>
      </w:r>
      <w:r w:rsidRPr="00E97AB2">
        <w:rPr>
          <w:szCs w:val="18"/>
        </w:rPr>
        <w:t>load</w:t>
      </w:r>
      <w:r w:rsidRPr="00DB6C36">
        <w:rPr>
          <w:szCs w:val="18"/>
        </w:rPr>
        <w:t xml:space="preserve"> more than one day in 10 years.</w:t>
      </w:r>
    </w:p>
  </w:footnote>
  <w:footnote w:id="92">
    <w:p w:rsidR="006346FE" w:rsidRPr="001655D0" w:rsidRDefault="006346FE" w:rsidP="00B47695">
      <w:pPr>
        <w:spacing w:after="80" w:line="240" w:lineRule="auto"/>
        <w:rPr>
          <w:sz w:val="18"/>
          <w:szCs w:val="18"/>
        </w:rPr>
      </w:pPr>
      <w:r w:rsidRPr="001655D0">
        <w:rPr>
          <w:rStyle w:val="FootnoteReference"/>
          <w:sz w:val="18"/>
          <w:szCs w:val="18"/>
        </w:rPr>
        <w:footnoteRef/>
      </w:r>
      <w:r w:rsidRPr="001655D0">
        <w:rPr>
          <w:sz w:val="18"/>
          <w:szCs w:val="18"/>
        </w:rPr>
        <w:t xml:space="preserve"> LSRs and MCLs are based on network models using transmission facilities that will be in service no later than the first day of the relevant capacity commitment period.</w:t>
      </w:r>
    </w:p>
  </w:footnote>
  <w:footnote w:id="93">
    <w:p w:rsidR="006346FE" w:rsidRPr="001655D0" w:rsidRDefault="006346FE" w:rsidP="00B47695">
      <w:pPr>
        <w:pStyle w:val="FoonoteText"/>
        <w:keepNext/>
        <w:spacing w:after="0" w:line="240" w:lineRule="auto"/>
        <w:rPr>
          <w:sz w:val="18"/>
          <w:szCs w:val="18"/>
        </w:rPr>
      </w:pPr>
      <w:r w:rsidRPr="001655D0">
        <w:rPr>
          <w:rStyle w:val="FootnoteReference"/>
          <w:sz w:val="18"/>
          <w:szCs w:val="18"/>
        </w:rPr>
        <w:footnoteRef/>
      </w:r>
      <w:r w:rsidRPr="001655D0">
        <w:rPr>
          <w:sz w:val="18"/>
          <w:szCs w:val="18"/>
        </w:rPr>
        <w:t xml:space="preserve"> The ICR </w:t>
      </w:r>
      <w:r w:rsidRPr="005621CF">
        <w:rPr>
          <w:sz w:val="18"/>
          <w:szCs w:val="18"/>
        </w:rPr>
        <w:t xml:space="preserve">requirements for </w:t>
      </w:r>
      <w:r w:rsidRPr="009E7948">
        <w:rPr>
          <w:sz w:val="18"/>
          <w:szCs w:val="18"/>
        </w:rPr>
        <w:t xml:space="preserve">2017/2018 through the 2020/2021 </w:t>
      </w:r>
      <w:r w:rsidRPr="00D175C8">
        <w:rPr>
          <w:sz w:val="18"/>
          <w:szCs w:val="18"/>
        </w:rPr>
        <w:t>are available in the FERC filings at</w:t>
      </w:r>
      <w:r>
        <w:rPr>
          <w:sz w:val="18"/>
          <w:szCs w:val="18"/>
        </w:rPr>
        <w:t xml:space="preserve"> </w:t>
      </w:r>
      <w:hyperlink r:id="rId75" w:history="1">
        <w:r w:rsidRPr="00D175C8">
          <w:rPr>
            <w:sz w:val="18"/>
            <w:szCs w:val="18"/>
          </w:rPr>
          <w:t>http://www.iso-ne.com/regulatory/ferc/filings/2013/nov/er14-328-000_11-5-13__icr_2017-2018_.pdf</w:t>
        </w:r>
      </w:hyperlink>
      <w:r>
        <w:rPr>
          <w:sz w:val="18"/>
          <w:szCs w:val="18"/>
        </w:rPr>
        <w:t xml:space="preserve">, </w:t>
      </w:r>
      <w:hyperlink r:id="rId76" w:history="1">
        <w:r w:rsidRPr="001655D0">
          <w:rPr>
            <w:sz w:val="18"/>
            <w:szCs w:val="18"/>
          </w:rPr>
          <w:t>http://www.iso-ne.com/static-assets/documents/2014/11/er15</w:t>
        </w:r>
        <w:r w:rsidRPr="00DE7A0D">
          <w:rPr>
            <w:sz w:val="18"/>
            <w:szCs w:val="18"/>
          </w:rPr>
          <w:t>-___-</w:t>
        </w:r>
        <w:r w:rsidRPr="001655D0">
          <w:rPr>
            <w:sz w:val="18"/>
            <w:szCs w:val="18"/>
          </w:rPr>
          <w:t>000_11-6-14_2018-2019_icr_filing.pdf</w:t>
        </w:r>
      </w:hyperlink>
      <w:r>
        <w:rPr>
          <w:sz w:val="18"/>
          <w:szCs w:val="18"/>
        </w:rPr>
        <w:t xml:space="preserve">, </w:t>
      </w:r>
      <w:hyperlink r:id="rId77" w:history="1">
        <w:r w:rsidRPr="002C2820">
          <w:rPr>
            <w:rStyle w:val="Hyperlink"/>
            <w:sz w:val="18"/>
            <w:szCs w:val="18"/>
          </w:rPr>
          <w:t>https://www.iso-ne.com/static-assets/documents/2015/11/icr_values_2019-2020_ccp.pdf</w:t>
        </w:r>
      </w:hyperlink>
      <w:r>
        <w:rPr>
          <w:rStyle w:val="Hyperlink"/>
          <w:sz w:val="18"/>
          <w:szCs w:val="18"/>
        </w:rPr>
        <w:t xml:space="preserve">, and </w:t>
      </w:r>
      <w:hyperlink r:id="rId78" w:history="1">
        <w:r w:rsidRPr="00850662">
          <w:rPr>
            <w:rStyle w:val="Hyperlink"/>
            <w:sz w:val="18"/>
            <w:szCs w:val="18"/>
          </w:rPr>
          <w:t>https://www.iso-ne.com/static-assets/documents/2016/11/icr_filing_for_2020-2021_ccp.pdf</w:t>
        </w:r>
      </w:hyperlink>
      <w:r>
        <w:rPr>
          <w:sz w:val="18"/>
          <w:szCs w:val="18"/>
        </w:rPr>
        <w:t>.</w:t>
      </w:r>
    </w:p>
  </w:footnote>
  <w:footnote w:id="94">
    <w:p w:rsidR="006346FE" w:rsidRPr="008D5D5B" w:rsidRDefault="006346FE" w:rsidP="00B47695">
      <w:pPr>
        <w:pStyle w:val="FootnoteText"/>
        <w:rPr>
          <w:szCs w:val="18"/>
        </w:rPr>
      </w:pPr>
      <w:r w:rsidRPr="009607CD">
        <w:rPr>
          <w:rStyle w:val="FootnoteReference"/>
          <w:sz w:val="18"/>
          <w:szCs w:val="18"/>
        </w:rPr>
        <w:footnoteRef/>
      </w:r>
      <w:r w:rsidRPr="009607CD">
        <w:rPr>
          <w:szCs w:val="18"/>
        </w:rPr>
        <w:t xml:space="preserve"> A </w:t>
      </w:r>
      <w:r w:rsidRPr="009607CD">
        <w:rPr>
          <w:i/>
          <w:szCs w:val="18"/>
        </w:rPr>
        <w:t>dual-fuel</w:t>
      </w:r>
      <w:r w:rsidRPr="009607CD">
        <w:rPr>
          <w:szCs w:val="18"/>
        </w:rPr>
        <w:t xml:space="preserve"> unit is a gas generator that can switch to burning oil.</w:t>
      </w:r>
      <w:r w:rsidRPr="009607CD">
        <w:t xml:space="preserve"> The three generators include Burrillville Energy</w:t>
      </w:r>
      <w:r>
        <w:t xml:space="preserve"> Center (485 MW), Bridgeport Harbor 5 (484 MW), and Canal 3 (333 MW). T</w:t>
      </w:r>
      <w:r w:rsidRPr="00435575">
        <w:t>wo</w:t>
      </w:r>
      <w:r>
        <w:t xml:space="preserve"> of the three</w:t>
      </w:r>
      <w:r w:rsidRPr="00435575">
        <w:t xml:space="preserve"> are in the former Southeast Massachusetts/Rhode Island </w:t>
      </w:r>
      <w:r>
        <w:t xml:space="preserve">capacity </w:t>
      </w:r>
      <w:r w:rsidRPr="00435575">
        <w:t xml:space="preserve">zone, where a capacity shortfall materialized </w:t>
      </w:r>
      <w:r>
        <w:t>in</w:t>
      </w:r>
      <w:r w:rsidRPr="00435575">
        <w:t xml:space="preserve"> </w:t>
      </w:r>
      <w:r>
        <w:t>FCA #9 for the 2018/</w:t>
      </w:r>
      <w:r w:rsidRPr="00435575">
        <w:t>2019</w:t>
      </w:r>
      <w:r>
        <w:t xml:space="preserve"> capacity commitment period.</w:t>
      </w:r>
      <w:r w:rsidRPr="00EE4205">
        <w:t xml:space="preserve"> </w:t>
      </w:r>
    </w:p>
  </w:footnote>
  <w:footnote w:id="95">
    <w:p w:rsidR="006346FE" w:rsidRDefault="006346FE" w:rsidP="00B47695">
      <w:pPr>
        <w:pStyle w:val="FootnoteText"/>
      </w:pPr>
      <w:r w:rsidRPr="000D73CE">
        <w:rPr>
          <w:rStyle w:val="FootnoteReference"/>
        </w:rPr>
        <w:footnoteRef/>
      </w:r>
      <w:r w:rsidRPr="000D73CE">
        <w:t xml:space="preserve"> Due to changes in EPA rules, real-time emergency generators (RTEG</w:t>
      </w:r>
      <w:r>
        <w:t>s</w:t>
      </w:r>
      <w:r w:rsidRPr="000D73CE">
        <w:t xml:space="preserve">) have exited the FCM or have modified their facilities such that they can operate as real-time demand response </w:t>
      </w:r>
      <w:r w:rsidRPr="00414022">
        <w:t>(RTDR</w:t>
      </w:r>
      <w:r w:rsidRPr="00361210">
        <w:t>) or demand-response capacity resources  (DRCRs)</w:t>
      </w:r>
      <w:r>
        <w:t xml:space="preserve"> </w:t>
      </w:r>
      <w:r w:rsidRPr="00361210">
        <w:t xml:space="preserve">after June 1, 2018, when a new price-responsive demand structure will go into effect in the New England wholesale electricity markets (see Section </w:t>
      </w:r>
      <w:r w:rsidRPr="00361210">
        <w:fldChar w:fldCharType="begin"/>
      </w:r>
      <w:r w:rsidRPr="00361210">
        <w:instrText xml:space="preserve"> REF _Ref485997234 \r \h  \* MERGEFORMAT </w:instrText>
      </w:r>
      <w:r w:rsidRPr="00361210">
        <w:fldChar w:fldCharType="separate"/>
      </w:r>
      <w:r>
        <w:t>10.3.3.1</w:t>
      </w:r>
      <w:r w:rsidRPr="00361210">
        <w:fldChar w:fldCharType="end"/>
      </w:r>
      <w:r w:rsidRPr="00361210">
        <w:t>).</w:t>
      </w:r>
    </w:p>
  </w:footnote>
  <w:footnote w:id="96">
    <w:p w:rsidR="006346FE" w:rsidRPr="006D3BFB" w:rsidRDefault="006346FE" w:rsidP="00B47695">
      <w:pPr>
        <w:spacing w:after="80" w:line="240" w:lineRule="auto"/>
        <w:rPr>
          <w:szCs w:val="18"/>
        </w:rPr>
      </w:pPr>
      <w:r w:rsidRPr="001454EE">
        <w:rPr>
          <w:rStyle w:val="FootnoteReference"/>
          <w:sz w:val="18"/>
          <w:szCs w:val="18"/>
        </w:rPr>
        <w:footnoteRef/>
      </w:r>
      <w:r w:rsidRPr="001454EE">
        <w:rPr>
          <w:sz w:val="18"/>
          <w:szCs w:val="18"/>
        </w:rPr>
        <w:t xml:space="preserve"> A </w:t>
      </w:r>
      <w:r w:rsidRPr="001454EE">
        <w:rPr>
          <w:i/>
          <w:sz w:val="18"/>
          <w:szCs w:val="18"/>
        </w:rPr>
        <w:t xml:space="preserve">delist bid </w:t>
      </w:r>
      <w:r w:rsidRPr="001454EE">
        <w:rPr>
          <w:sz w:val="18"/>
          <w:szCs w:val="18"/>
        </w:rPr>
        <w:t xml:space="preserve">is a submission in an FCA for an existing FCM resource indicating that the resource wants to opt of the auction before the deadline for qualifying its existing capacity and does not want a CSO below a certain price. </w:t>
      </w:r>
      <w:r>
        <w:rPr>
          <w:sz w:val="18"/>
          <w:szCs w:val="18"/>
        </w:rPr>
        <w:t xml:space="preserve">The </w:t>
      </w:r>
      <w:r w:rsidRPr="001454EE">
        <w:rPr>
          <w:sz w:val="18"/>
          <w:szCs w:val="18"/>
        </w:rPr>
        <w:t>ISO reviews all delist bids</w:t>
      </w:r>
      <w:r>
        <w:rPr>
          <w:sz w:val="18"/>
          <w:szCs w:val="18"/>
        </w:rPr>
        <w:t xml:space="preserve"> </w:t>
      </w:r>
      <w:r w:rsidRPr="00932017">
        <w:rPr>
          <w:sz w:val="18"/>
          <w:szCs w:val="18"/>
        </w:rPr>
        <w:t>for reliability impacts</w:t>
      </w:r>
      <w:r>
        <w:rPr>
          <w:sz w:val="18"/>
          <w:szCs w:val="18"/>
        </w:rPr>
        <w:t>, and b</w:t>
      </w:r>
      <w:r w:rsidRPr="00932017">
        <w:rPr>
          <w:sz w:val="18"/>
          <w:szCs w:val="18"/>
        </w:rPr>
        <w:t xml:space="preserve">eginning with FCA #11, the way in which retirement requests were submitted changed. Specifically, a resource that wants to retire, in full or part, must submit a </w:t>
      </w:r>
      <w:r w:rsidRPr="00801A07">
        <w:rPr>
          <w:sz w:val="18"/>
          <w:szCs w:val="18"/>
        </w:rPr>
        <w:t>p</w:t>
      </w:r>
      <w:r w:rsidRPr="00932017">
        <w:rPr>
          <w:sz w:val="18"/>
          <w:szCs w:val="18"/>
        </w:rPr>
        <w:t xml:space="preserve">riced </w:t>
      </w:r>
      <w:r w:rsidRPr="00801A07">
        <w:rPr>
          <w:sz w:val="18"/>
          <w:szCs w:val="18"/>
        </w:rPr>
        <w:t>r</w:t>
      </w:r>
      <w:r w:rsidRPr="00932017">
        <w:rPr>
          <w:sz w:val="18"/>
          <w:szCs w:val="18"/>
        </w:rPr>
        <w:t xml:space="preserve">etirement </w:t>
      </w:r>
      <w:r w:rsidRPr="00801A07">
        <w:rPr>
          <w:sz w:val="18"/>
          <w:szCs w:val="18"/>
        </w:rPr>
        <w:t>d</w:t>
      </w:r>
      <w:r w:rsidRPr="00932017">
        <w:rPr>
          <w:sz w:val="18"/>
          <w:szCs w:val="18"/>
        </w:rPr>
        <w:t xml:space="preserve">elist bid quantifying its exit price, which in turn must be approved by the </w:t>
      </w:r>
      <w:r>
        <w:rPr>
          <w:sz w:val="18"/>
          <w:szCs w:val="18"/>
        </w:rPr>
        <w:t>i</w:t>
      </w:r>
      <w:r w:rsidRPr="00932017">
        <w:rPr>
          <w:sz w:val="18"/>
          <w:szCs w:val="18"/>
        </w:rPr>
        <w:t xml:space="preserve">nternal </w:t>
      </w:r>
      <w:r>
        <w:rPr>
          <w:sz w:val="18"/>
          <w:szCs w:val="18"/>
        </w:rPr>
        <w:t>m</w:t>
      </w:r>
      <w:r w:rsidRPr="00932017">
        <w:rPr>
          <w:sz w:val="18"/>
          <w:szCs w:val="18"/>
        </w:rPr>
        <w:t xml:space="preserve">arket </w:t>
      </w:r>
      <w:r>
        <w:rPr>
          <w:sz w:val="18"/>
          <w:szCs w:val="18"/>
        </w:rPr>
        <w:t>m</w:t>
      </w:r>
      <w:r w:rsidRPr="00932017">
        <w:rPr>
          <w:sz w:val="18"/>
          <w:szCs w:val="18"/>
        </w:rPr>
        <w:t xml:space="preserve">onitor. Like </w:t>
      </w:r>
      <w:r w:rsidRPr="00801A07">
        <w:rPr>
          <w:sz w:val="18"/>
          <w:szCs w:val="18"/>
        </w:rPr>
        <w:t xml:space="preserve">a </w:t>
      </w:r>
      <w:r w:rsidRPr="00932017">
        <w:rPr>
          <w:sz w:val="18"/>
          <w:szCs w:val="18"/>
        </w:rPr>
        <w:t xml:space="preserve">nonpriced retirement request, a </w:t>
      </w:r>
      <w:r w:rsidRPr="00801A07">
        <w:rPr>
          <w:sz w:val="18"/>
          <w:szCs w:val="18"/>
        </w:rPr>
        <w:t>p</w:t>
      </w:r>
      <w:r w:rsidRPr="00932017">
        <w:rPr>
          <w:sz w:val="18"/>
          <w:szCs w:val="18"/>
        </w:rPr>
        <w:t xml:space="preserve">riced </w:t>
      </w:r>
      <w:r w:rsidRPr="00801A07">
        <w:rPr>
          <w:sz w:val="18"/>
          <w:szCs w:val="18"/>
        </w:rPr>
        <w:t>r</w:t>
      </w:r>
      <w:r w:rsidRPr="00932017">
        <w:rPr>
          <w:sz w:val="18"/>
          <w:szCs w:val="18"/>
        </w:rPr>
        <w:t xml:space="preserve">etirement </w:t>
      </w:r>
      <w:r w:rsidRPr="00801A07">
        <w:rPr>
          <w:sz w:val="18"/>
          <w:szCs w:val="18"/>
        </w:rPr>
        <w:t>d</w:t>
      </w:r>
      <w:r w:rsidRPr="00932017">
        <w:rPr>
          <w:sz w:val="18"/>
          <w:szCs w:val="18"/>
        </w:rPr>
        <w:t xml:space="preserve">elist </w:t>
      </w:r>
      <w:r w:rsidRPr="00801A07">
        <w:rPr>
          <w:sz w:val="18"/>
          <w:szCs w:val="18"/>
        </w:rPr>
        <w:t>b</w:t>
      </w:r>
      <w:r w:rsidRPr="00932017">
        <w:rPr>
          <w:sz w:val="18"/>
          <w:szCs w:val="18"/>
        </w:rPr>
        <w:t xml:space="preserve">id is irrevocable and </w:t>
      </w:r>
      <w:r w:rsidRPr="00695A03">
        <w:rPr>
          <w:sz w:val="18"/>
          <w:szCs w:val="18"/>
        </w:rPr>
        <w:t xml:space="preserve">subject to an ISO review for reliability impacts. </w:t>
      </w:r>
      <w:r w:rsidRPr="00801A07">
        <w:rPr>
          <w:sz w:val="18"/>
          <w:szCs w:val="18"/>
        </w:rPr>
        <w:t>R</w:t>
      </w:r>
      <w:r w:rsidRPr="00695A03">
        <w:rPr>
          <w:sz w:val="18"/>
          <w:szCs w:val="18"/>
        </w:rPr>
        <w:t>eliability determinations for retirement</w:t>
      </w:r>
      <w:r>
        <w:rPr>
          <w:sz w:val="18"/>
          <w:szCs w:val="18"/>
        </w:rPr>
        <w:t xml:space="preserve"> requests </w:t>
      </w:r>
      <w:r w:rsidRPr="00932017">
        <w:rPr>
          <w:sz w:val="18"/>
          <w:szCs w:val="18"/>
        </w:rPr>
        <w:t xml:space="preserve">are available at </w:t>
      </w:r>
      <w:hyperlink r:id="rId79" w:history="1">
        <w:r w:rsidRPr="00932017">
          <w:rPr>
            <w:rStyle w:val="Hyperlink"/>
            <w:color w:val="auto"/>
            <w:sz w:val="18"/>
            <w:szCs w:val="18"/>
          </w:rPr>
          <w:t>http://www.iso-ne.com/system-planning/resource-planning/nonprice-retirement</w:t>
        </w:r>
      </w:hyperlink>
      <w:r w:rsidRPr="00932017">
        <w:rPr>
          <w:sz w:val="18"/>
          <w:szCs w:val="18"/>
        </w:rPr>
        <w:t>.</w:t>
      </w:r>
      <w:r>
        <w:rPr>
          <w:sz w:val="18"/>
          <w:szCs w:val="18"/>
        </w:rPr>
        <w:t xml:space="preserve"> </w:t>
      </w:r>
    </w:p>
  </w:footnote>
  <w:footnote w:id="97">
    <w:p w:rsidR="006346FE" w:rsidRPr="001655D0" w:rsidRDefault="006346FE" w:rsidP="00B47695">
      <w:pPr>
        <w:spacing w:after="80" w:line="240" w:lineRule="auto"/>
        <w:rPr>
          <w:sz w:val="18"/>
          <w:szCs w:val="18"/>
        </w:rPr>
      </w:pPr>
      <w:r w:rsidRPr="001655D0">
        <w:rPr>
          <w:rStyle w:val="FootnoteReference"/>
          <w:sz w:val="18"/>
          <w:szCs w:val="18"/>
        </w:rPr>
        <w:footnoteRef/>
      </w:r>
      <w:r w:rsidRPr="001655D0">
        <w:rPr>
          <w:sz w:val="18"/>
          <w:szCs w:val="18"/>
        </w:rPr>
        <w:t xml:space="preserve"> Planning Procedure No. 10, </w:t>
      </w:r>
      <w:r w:rsidRPr="001655D0">
        <w:rPr>
          <w:i/>
          <w:sz w:val="18"/>
          <w:szCs w:val="18"/>
        </w:rPr>
        <w:t>Planning Procedure to Support the Forward Capacity Market</w:t>
      </w:r>
      <w:r w:rsidRPr="001655D0">
        <w:rPr>
          <w:sz w:val="18"/>
          <w:szCs w:val="18"/>
        </w:rPr>
        <w:t xml:space="preserve">, (January 13, 2015), </w:t>
      </w:r>
      <w:hyperlink r:id="rId80" w:history="1">
        <w:r w:rsidRPr="001655D0">
          <w:rPr>
            <w:rStyle w:val="Hyperlink"/>
            <w:color w:val="auto"/>
            <w:sz w:val="18"/>
            <w:szCs w:val="18"/>
          </w:rPr>
          <w:t>http://www.iso-ne.com/static-assets/documents/rules_proceds/isone_plan/pp10/pp10.pdf</w:t>
        </w:r>
      </w:hyperlink>
      <w:r w:rsidRPr="001655D0">
        <w:rPr>
          <w:sz w:val="18"/>
          <w:szCs w:val="18"/>
        </w:rPr>
        <w:t>.</w:t>
      </w:r>
    </w:p>
  </w:footnote>
  <w:footnote w:id="98">
    <w:p w:rsidR="006346FE" w:rsidRPr="00AD1603" w:rsidRDefault="006346FE" w:rsidP="00B47695">
      <w:pPr>
        <w:spacing w:after="80" w:line="240" w:lineRule="auto"/>
        <w:rPr>
          <w:sz w:val="18"/>
          <w:szCs w:val="18"/>
        </w:rPr>
      </w:pPr>
      <w:r w:rsidRPr="001655D0">
        <w:rPr>
          <w:rStyle w:val="FootnoteReference"/>
          <w:sz w:val="18"/>
          <w:szCs w:val="18"/>
        </w:rPr>
        <w:footnoteRef/>
      </w:r>
      <w:r w:rsidRPr="001655D0">
        <w:rPr>
          <w:sz w:val="18"/>
          <w:szCs w:val="18"/>
        </w:rPr>
        <w:t xml:space="preserve"> A </w:t>
      </w:r>
      <w:r w:rsidRPr="001655D0">
        <w:rPr>
          <w:i/>
          <w:sz w:val="18"/>
          <w:szCs w:val="18"/>
        </w:rPr>
        <w:t xml:space="preserve">static delist bid </w:t>
      </w:r>
      <w:r w:rsidRPr="001655D0">
        <w:rPr>
          <w:sz w:val="18"/>
          <w:szCs w:val="18"/>
        </w:rPr>
        <w:t xml:space="preserve">is submitted for a resource before an FCA—and that cannot be changed during the auction—requesting for the resource to opt out of </w:t>
      </w:r>
      <w:r>
        <w:rPr>
          <w:sz w:val="18"/>
          <w:szCs w:val="18"/>
        </w:rPr>
        <w:t xml:space="preserve">receiving </w:t>
      </w:r>
      <w:r w:rsidRPr="001655D0">
        <w:rPr>
          <w:sz w:val="18"/>
          <w:szCs w:val="18"/>
        </w:rPr>
        <w:t xml:space="preserve">a CSO </w:t>
      </w:r>
      <w:r>
        <w:rPr>
          <w:sz w:val="18"/>
          <w:szCs w:val="18"/>
        </w:rPr>
        <w:t xml:space="preserve">at a certain price </w:t>
      </w:r>
      <w:r w:rsidRPr="001655D0">
        <w:rPr>
          <w:sz w:val="18"/>
          <w:szCs w:val="18"/>
        </w:rPr>
        <w:t xml:space="preserve">and reflecting either the cost of the resource or a reduction in ratings as a result of ambient air conditions. </w:t>
      </w:r>
      <w:r w:rsidRPr="00AD1603">
        <w:rPr>
          <w:sz w:val="18"/>
          <w:szCs w:val="18"/>
        </w:rPr>
        <w:t xml:space="preserve">A </w:t>
      </w:r>
      <w:r w:rsidRPr="00AD1603">
        <w:rPr>
          <w:i/>
          <w:sz w:val="18"/>
          <w:szCs w:val="18"/>
        </w:rPr>
        <w:t>dynamic delist bid</w:t>
      </w:r>
      <w:r w:rsidRPr="00AD1603">
        <w:rPr>
          <w:sz w:val="18"/>
          <w:szCs w:val="18"/>
        </w:rPr>
        <w:t xml:space="preserve"> </w:t>
      </w:r>
      <w:r>
        <w:rPr>
          <w:sz w:val="18"/>
          <w:szCs w:val="18"/>
        </w:rPr>
        <w:t xml:space="preserve">is submitted during the auction and </w:t>
      </w:r>
      <w:r w:rsidRPr="00AD1603">
        <w:rPr>
          <w:sz w:val="18"/>
          <w:szCs w:val="18"/>
        </w:rPr>
        <w:t xml:space="preserve">indicates that a resource wants to opt out of </w:t>
      </w:r>
      <w:r>
        <w:rPr>
          <w:sz w:val="18"/>
          <w:szCs w:val="18"/>
        </w:rPr>
        <w:t xml:space="preserve">receiving </w:t>
      </w:r>
      <w:r w:rsidRPr="00AD1603">
        <w:rPr>
          <w:sz w:val="18"/>
          <w:szCs w:val="18"/>
        </w:rPr>
        <w:t>a CSO below a certain price</w:t>
      </w:r>
      <w:r>
        <w:rPr>
          <w:sz w:val="18"/>
          <w:szCs w:val="18"/>
        </w:rPr>
        <w:t>.</w:t>
      </w:r>
    </w:p>
  </w:footnote>
  <w:footnote w:id="99">
    <w:p w:rsidR="006346FE" w:rsidRDefault="006346FE" w:rsidP="00B47695">
      <w:pPr>
        <w:pStyle w:val="FootnoteText"/>
      </w:pPr>
      <w:r>
        <w:rPr>
          <w:rStyle w:val="FootnoteReference"/>
        </w:rPr>
        <w:footnoteRef/>
      </w:r>
      <w:r>
        <w:t xml:space="preserve"> Capacity r</w:t>
      </w:r>
      <w:r w:rsidRPr="00BE41A4">
        <w:rPr>
          <w:szCs w:val="18"/>
        </w:rPr>
        <w:t>etirements to date</w:t>
      </w:r>
      <w:r>
        <w:rPr>
          <w:szCs w:val="18"/>
        </w:rPr>
        <w:t xml:space="preserve"> and future retirements</w:t>
      </w:r>
      <w:r w:rsidRPr="00BE41A4">
        <w:rPr>
          <w:szCs w:val="18"/>
        </w:rPr>
        <w:t xml:space="preserve"> include Salem Harbor Station (749 MW</w:t>
      </w:r>
      <w:r>
        <w:rPr>
          <w:szCs w:val="18"/>
        </w:rPr>
        <w:t>, retired 2011 and 2014</w:t>
      </w:r>
      <w:r w:rsidRPr="00BE41A4">
        <w:rPr>
          <w:szCs w:val="18"/>
        </w:rPr>
        <w:t xml:space="preserve">); </w:t>
      </w:r>
      <w:r>
        <w:rPr>
          <w:szCs w:val="18"/>
        </w:rPr>
        <w:t xml:space="preserve">Norwalk Harbor Station (342 MW, retired 2013); Mount Tom Station (143 MW, retired 2014); </w:t>
      </w:r>
      <w:r w:rsidRPr="00BE41A4">
        <w:rPr>
          <w:szCs w:val="18"/>
        </w:rPr>
        <w:t>Vermont Yankee (604 MW</w:t>
      </w:r>
      <w:r>
        <w:rPr>
          <w:szCs w:val="18"/>
        </w:rPr>
        <w:t>, retired 2014</w:t>
      </w:r>
      <w:r w:rsidRPr="00BE41A4">
        <w:rPr>
          <w:szCs w:val="18"/>
        </w:rPr>
        <w:t xml:space="preserve">); </w:t>
      </w:r>
      <w:r w:rsidRPr="00374A81">
        <w:rPr>
          <w:szCs w:val="18"/>
        </w:rPr>
        <w:t>Brayton Point Station (</w:t>
      </w:r>
      <w:r w:rsidRPr="00CC0BCB">
        <w:rPr>
          <w:szCs w:val="18"/>
        </w:rPr>
        <w:t>1,5</w:t>
      </w:r>
      <w:r>
        <w:rPr>
          <w:szCs w:val="18"/>
        </w:rPr>
        <w:t>3</w:t>
      </w:r>
      <w:r w:rsidRPr="00CC0BCB">
        <w:rPr>
          <w:szCs w:val="18"/>
        </w:rPr>
        <w:t>5</w:t>
      </w:r>
      <w:r w:rsidRPr="00374A81">
        <w:rPr>
          <w:szCs w:val="18"/>
        </w:rPr>
        <w:t xml:space="preserve"> MW</w:t>
      </w:r>
      <w:r>
        <w:rPr>
          <w:szCs w:val="18"/>
        </w:rPr>
        <w:t>, retired 2017</w:t>
      </w:r>
      <w:r w:rsidRPr="00374A81">
        <w:rPr>
          <w:szCs w:val="18"/>
        </w:rPr>
        <w:t>); Pilgrim Nuclear Power Station (67</w:t>
      </w:r>
      <w:r>
        <w:rPr>
          <w:szCs w:val="18"/>
        </w:rPr>
        <w:t>7</w:t>
      </w:r>
      <w:r w:rsidRPr="00374A81">
        <w:rPr>
          <w:szCs w:val="18"/>
        </w:rPr>
        <w:t xml:space="preserve"> MW</w:t>
      </w:r>
      <w:r>
        <w:rPr>
          <w:szCs w:val="18"/>
        </w:rPr>
        <w:t>, to be retired in 2019</w:t>
      </w:r>
      <w:r w:rsidRPr="00374A81">
        <w:rPr>
          <w:szCs w:val="18"/>
        </w:rPr>
        <w:t>)</w:t>
      </w:r>
      <w:r w:rsidRPr="002F79E6">
        <w:rPr>
          <w:szCs w:val="18"/>
        </w:rPr>
        <w:t xml:space="preserve">; </w:t>
      </w:r>
      <w:r>
        <w:rPr>
          <w:szCs w:val="18"/>
        </w:rPr>
        <w:t xml:space="preserve">approximately 190 MW of smaller generating resources; </w:t>
      </w:r>
      <w:r w:rsidRPr="002F79E6">
        <w:rPr>
          <w:szCs w:val="18"/>
        </w:rPr>
        <w:t>and approximately 1,100</w:t>
      </w:r>
      <w:r>
        <w:rPr>
          <w:szCs w:val="18"/>
        </w:rPr>
        <w:t> </w:t>
      </w:r>
      <w:r w:rsidRPr="002F79E6">
        <w:rPr>
          <w:szCs w:val="18"/>
        </w:rPr>
        <w:t>MW of a</w:t>
      </w:r>
      <w:r w:rsidRPr="002C042F">
        <w:rPr>
          <w:szCs w:val="18"/>
        </w:rPr>
        <w:t xml:space="preserve">ctive </w:t>
      </w:r>
      <w:r w:rsidRPr="000E3275">
        <w:rPr>
          <w:szCs w:val="18"/>
        </w:rPr>
        <w:t>demand-response resources.</w:t>
      </w:r>
      <w:r>
        <w:rPr>
          <w:szCs w:val="18"/>
        </w:rPr>
        <w:t xml:space="preserve"> Bridgeport Harbor Unit 3 (383 MW) has announced its retirement effective FCA #12 (2021). Other FCA #12 retirements will be known by November 2017.</w:t>
      </w:r>
    </w:p>
  </w:footnote>
  <w:footnote w:id="100">
    <w:p w:rsidR="006346FE" w:rsidRPr="001655D0" w:rsidRDefault="006346FE" w:rsidP="00B47695">
      <w:pPr>
        <w:pStyle w:val="CommentText"/>
        <w:spacing w:after="80"/>
        <w:rPr>
          <w:sz w:val="18"/>
          <w:szCs w:val="18"/>
        </w:rPr>
      </w:pPr>
      <w:r w:rsidRPr="001655D0">
        <w:rPr>
          <w:rStyle w:val="FootnoteReference"/>
          <w:sz w:val="18"/>
          <w:szCs w:val="18"/>
        </w:rPr>
        <w:footnoteRef/>
      </w:r>
      <w:r w:rsidRPr="001655D0">
        <w:rPr>
          <w:sz w:val="18"/>
          <w:szCs w:val="18"/>
        </w:rPr>
        <w:t xml:space="preserve"> The delisting includes </w:t>
      </w:r>
      <w:r>
        <w:rPr>
          <w:sz w:val="18"/>
          <w:szCs w:val="18"/>
        </w:rPr>
        <w:t xml:space="preserve">retirement, </w:t>
      </w:r>
      <w:r w:rsidRPr="001655D0">
        <w:rPr>
          <w:sz w:val="18"/>
          <w:szCs w:val="18"/>
        </w:rPr>
        <w:t xml:space="preserve">permanent, static, and dynamic delist bids. A </w:t>
      </w:r>
      <w:r w:rsidRPr="001655D0">
        <w:rPr>
          <w:i/>
          <w:sz w:val="18"/>
          <w:szCs w:val="18"/>
        </w:rPr>
        <w:t xml:space="preserve">permanent delist bid </w:t>
      </w:r>
      <w:r w:rsidRPr="001655D0">
        <w:rPr>
          <w:sz w:val="18"/>
          <w:szCs w:val="18"/>
        </w:rPr>
        <w:t>prohibits a resource from participating in any future FCA or assuming any CSO unless it qualifies for and clears as a new resource in a subsequent FCA.</w:t>
      </w:r>
      <w:r w:rsidRPr="001655D0">
        <w:rPr>
          <w:i/>
          <w:sz w:val="18"/>
          <w:szCs w:val="18"/>
        </w:rPr>
        <w:t xml:space="preserve"> </w:t>
      </w:r>
    </w:p>
  </w:footnote>
  <w:footnote w:id="101">
    <w:p w:rsidR="006346FE" w:rsidRPr="00F749EA" w:rsidRDefault="006346FE" w:rsidP="00F749EA">
      <w:pPr>
        <w:pStyle w:val="Default"/>
        <w:spacing w:after="80"/>
        <w:rPr>
          <w:rFonts w:asciiTheme="majorHAnsi" w:hAnsiTheme="majorHAnsi"/>
          <w:sz w:val="18"/>
          <w:szCs w:val="18"/>
        </w:rPr>
      </w:pPr>
      <w:r w:rsidRPr="00F749EA">
        <w:rPr>
          <w:rStyle w:val="FootnoteReference"/>
          <w:rFonts w:asciiTheme="majorHAnsi" w:hAnsiTheme="majorHAnsi"/>
          <w:sz w:val="18"/>
          <w:szCs w:val="18"/>
        </w:rPr>
        <w:footnoteRef/>
      </w:r>
      <w:r w:rsidRPr="00F749EA">
        <w:rPr>
          <w:rFonts w:asciiTheme="majorHAnsi" w:hAnsiTheme="majorHAnsi"/>
          <w:sz w:val="18"/>
          <w:szCs w:val="18"/>
        </w:rPr>
        <w:t xml:space="preserve"> </w:t>
      </w:r>
      <w:r w:rsidRPr="00F749EA">
        <w:rPr>
          <w:rFonts w:asciiTheme="majorHAnsi" w:hAnsiTheme="majorHAnsi" w:cstheme="minorBidi"/>
          <w:i/>
          <w:color w:val="auto"/>
          <w:sz w:val="18"/>
          <w:szCs w:val="18"/>
        </w:rPr>
        <w:t xml:space="preserve">Forward Capacity Auction 12 Transmission Transfer Capabilities &amp; Capacity Zone Development </w:t>
      </w:r>
      <w:r w:rsidRPr="00F749EA">
        <w:rPr>
          <w:rFonts w:asciiTheme="majorHAnsi" w:hAnsiTheme="majorHAnsi"/>
          <w:sz w:val="18"/>
          <w:szCs w:val="18"/>
        </w:rPr>
        <w:t xml:space="preserve">PAC presentation (March 22, 2017), </w:t>
      </w:r>
      <w:hyperlink r:id="rId81" w:history="1">
        <w:r w:rsidRPr="00F749EA">
          <w:rPr>
            <w:rStyle w:val="Hyperlink"/>
            <w:rFonts w:asciiTheme="majorHAnsi" w:hAnsiTheme="majorHAnsi"/>
            <w:sz w:val="18"/>
            <w:szCs w:val="18"/>
          </w:rPr>
          <w:t>https://smd.iso-ne.com/operations-services/ceii/pac/2017/03/a8_fca_12_zonal_boundary_determination.pdf</w:t>
        </w:r>
      </w:hyperlink>
      <w:r w:rsidRPr="00F749EA">
        <w:rPr>
          <w:rFonts w:asciiTheme="majorHAnsi" w:hAnsiTheme="majorHAnsi"/>
          <w:sz w:val="18"/>
          <w:szCs w:val="18"/>
        </w:rPr>
        <w:t>.</w:t>
      </w:r>
    </w:p>
  </w:footnote>
  <w:footnote w:id="102">
    <w:p w:rsidR="006346FE" w:rsidRPr="00B57937" w:rsidRDefault="006346FE" w:rsidP="002F74EF">
      <w:pPr>
        <w:pStyle w:val="FootnoteText"/>
        <w:rPr>
          <w:szCs w:val="18"/>
        </w:rPr>
      </w:pPr>
      <w:r w:rsidRPr="00B57937">
        <w:rPr>
          <w:rStyle w:val="FootnoteReference"/>
          <w:sz w:val="18"/>
          <w:szCs w:val="18"/>
        </w:rPr>
        <w:footnoteRef/>
      </w:r>
      <w:r w:rsidRPr="00B57937">
        <w:rPr>
          <w:szCs w:val="18"/>
        </w:rPr>
        <w:t xml:space="preserve"> </w:t>
      </w:r>
      <w:r w:rsidRPr="00B57937">
        <w:rPr>
          <w:i/>
          <w:szCs w:val="18"/>
        </w:rPr>
        <w:t>Forward Capacity Auction #12 Transmission Transfer Capabilities and Capacity Zone Development</w:t>
      </w:r>
      <w:r w:rsidRPr="00B57937">
        <w:rPr>
          <w:szCs w:val="18"/>
        </w:rPr>
        <w:t xml:space="preserve">, PAC presentation (March 22, 2017), </w:t>
      </w:r>
      <w:hyperlink r:id="rId82" w:history="1">
        <w:r w:rsidRPr="00B57937">
          <w:rPr>
            <w:rStyle w:val="Hyperlink"/>
            <w:szCs w:val="18"/>
          </w:rPr>
          <w:t>https://smd.iso-ne.com/operations-services/ceii/pac/2017/03/a8_fca_12_zonal_boundary_determination.pdf</w:t>
        </w:r>
      </w:hyperlink>
      <w:r w:rsidRPr="00B57937">
        <w:rPr>
          <w:rStyle w:val="Hyperlink"/>
          <w:szCs w:val="18"/>
        </w:rPr>
        <w:t xml:space="preserve"> and Zonal Modeling for FCA #12, Power Supply Planning Committee Meeting (May 18, 2017), </w:t>
      </w:r>
      <w:hyperlink r:id="rId83" w:history="1">
        <w:r w:rsidRPr="00B57937">
          <w:rPr>
            <w:rStyle w:val="Hyperlink"/>
            <w:szCs w:val="18"/>
          </w:rPr>
          <w:t>https://www.iso-ne.com/static-assets/documents/2017/05/a5-fca-12-zone-formation-pspc.pdf</w:t>
        </w:r>
      </w:hyperlink>
      <w:r w:rsidRPr="00B57937">
        <w:rPr>
          <w:szCs w:val="18"/>
        </w:rPr>
        <w:t xml:space="preserve"> . </w:t>
      </w:r>
    </w:p>
  </w:footnote>
  <w:footnote w:id="103">
    <w:p w:rsidR="006346FE" w:rsidRPr="00B57937" w:rsidRDefault="006346FE" w:rsidP="00B47695">
      <w:pPr>
        <w:pStyle w:val="FootnoteText"/>
        <w:rPr>
          <w:szCs w:val="18"/>
        </w:rPr>
      </w:pPr>
      <w:r w:rsidRPr="00B57937">
        <w:rPr>
          <w:rStyle w:val="FootnoteReference"/>
          <w:sz w:val="18"/>
          <w:szCs w:val="18"/>
        </w:rPr>
        <w:footnoteRef/>
      </w:r>
      <w:r w:rsidRPr="00B57937">
        <w:rPr>
          <w:szCs w:val="18"/>
        </w:rPr>
        <w:t xml:space="preserve"> Tie benefits are an example of capacity relief obtainable from </w:t>
      </w:r>
      <w:r w:rsidRPr="00BA2A26">
        <w:rPr>
          <w:szCs w:val="18"/>
        </w:rPr>
        <w:t>implementation of OP 4.</w:t>
      </w:r>
    </w:p>
  </w:footnote>
  <w:footnote w:id="104">
    <w:p w:rsidR="006346FE" w:rsidRPr="00B57937" w:rsidRDefault="006346FE" w:rsidP="00B47695">
      <w:pPr>
        <w:pStyle w:val="FoonoteText"/>
        <w:spacing w:after="80" w:line="240" w:lineRule="auto"/>
        <w:rPr>
          <w:sz w:val="18"/>
          <w:szCs w:val="18"/>
        </w:rPr>
      </w:pPr>
      <w:r w:rsidRPr="00B57937">
        <w:rPr>
          <w:rStyle w:val="FootnoteReference"/>
          <w:sz w:val="18"/>
          <w:szCs w:val="18"/>
        </w:rPr>
        <w:footnoteRef/>
      </w:r>
      <w:r w:rsidRPr="00B57937">
        <w:rPr>
          <w:sz w:val="18"/>
          <w:szCs w:val="18"/>
        </w:rPr>
        <w:t xml:space="preserve"> Operating Procedure No. 4, </w:t>
      </w:r>
      <w:r w:rsidRPr="00B57937">
        <w:rPr>
          <w:i/>
          <w:sz w:val="18"/>
          <w:szCs w:val="18"/>
        </w:rPr>
        <w:t>Action during a Capacity Deficiency</w:t>
      </w:r>
      <w:r w:rsidRPr="00B57937">
        <w:rPr>
          <w:sz w:val="18"/>
          <w:szCs w:val="18"/>
        </w:rPr>
        <w:t xml:space="preserve"> (May 11, 2017), and </w:t>
      </w:r>
      <w:hyperlink w:history="1"/>
      <w:r w:rsidRPr="00B57937">
        <w:rPr>
          <w:sz w:val="18"/>
          <w:szCs w:val="18"/>
        </w:rPr>
        <w:t xml:space="preserve">Operating Procedure No. 7, </w:t>
      </w:r>
      <w:r w:rsidRPr="00B57937">
        <w:rPr>
          <w:i/>
          <w:sz w:val="18"/>
          <w:szCs w:val="18"/>
        </w:rPr>
        <w:t>Action in an Emergency</w:t>
      </w:r>
      <w:r w:rsidRPr="00B57937">
        <w:rPr>
          <w:sz w:val="18"/>
          <w:szCs w:val="18"/>
        </w:rPr>
        <w:t xml:space="preserve"> (May 11, 2017), </w:t>
      </w:r>
      <w:hyperlink w:history="1"/>
      <w:hyperlink r:id="rId84" w:history="1">
        <w:r w:rsidRPr="00B57937">
          <w:rPr>
            <w:rStyle w:val="Hyperlink"/>
            <w:color w:val="auto"/>
            <w:sz w:val="18"/>
            <w:szCs w:val="18"/>
          </w:rPr>
          <w:t>http://www.iso-ne.com/participate/rules-procedures/operating-procedures</w:t>
        </w:r>
      </w:hyperlink>
      <w:r w:rsidRPr="00B57937">
        <w:rPr>
          <w:sz w:val="18"/>
          <w:szCs w:val="18"/>
        </w:rPr>
        <w:t>.</w:t>
      </w:r>
    </w:p>
  </w:footnote>
  <w:footnote w:id="105">
    <w:p w:rsidR="006346FE" w:rsidRPr="00490424" w:rsidRDefault="006346FE" w:rsidP="00B47695">
      <w:pPr>
        <w:pStyle w:val="FoonoteText"/>
        <w:spacing w:after="80" w:line="240" w:lineRule="auto"/>
        <w:rPr>
          <w:sz w:val="18"/>
          <w:szCs w:val="18"/>
        </w:rPr>
      </w:pPr>
      <w:r w:rsidRPr="00490424">
        <w:rPr>
          <w:rStyle w:val="FootnoteReference"/>
          <w:sz w:val="18"/>
          <w:szCs w:val="18"/>
        </w:rPr>
        <w:footnoteRef/>
      </w:r>
      <w:r w:rsidRPr="00490424">
        <w:rPr>
          <w:sz w:val="18"/>
          <w:szCs w:val="18"/>
        </w:rPr>
        <w:t xml:space="preserve"> ISO Operating Procedure No. 8, </w:t>
      </w:r>
      <w:r w:rsidRPr="00490424">
        <w:rPr>
          <w:i/>
          <w:sz w:val="18"/>
          <w:szCs w:val="18"/>
        </w:rPr>
        <w:t>Operating Reserve and Regulation</w:t>
      </w:r>
      <w:r w:rsidRPr="00490424">
        <w:rPr>
          <w:sz w:val="18"/>
          <w:szCs w:val="18"/>
        </w:rPr>
        <w:t xml:space="preserve"> (January 17, 2017), </w:t>
      </w:r>
      <w:hyperlink r:id="rId85" w:history="1">
        <w:r w:rsidRPr="00490424">
          <w:rPr>
            <w:rStyle w:val="Hyperlink"/>
            <w:sz w:val="18"/>
            <w:szCs w:val="18"/>
          </w:rPr>
          <w:t>https://www.iso-ne.com/static-assets/documents/rules_proceds/operating/isone/op8/op8_rto_final.pdf</w:t>
        </w:r>
      </w:hyperlink>
      <w:r w:rsidRPr="00490424">
        <w:rPr>
          <w:sz w:val="18"/>
          <w:szCs w:val="18"/>
        </w:rPr>
        <w:t>.</w:t>
      </w:r>
    </w:p>
  </w:footnote>
  <w:footnote w:id="106">
    <w:p w:rsidR="006346FE" w:rsidRPr="00490424" w:rsidRDefault="006346FE" w:rsidP="00B47695">
      <w:pPr>
        <w:pStyle w:val="FootnoteText"/>
        <w:rPr>
          <w:szCs w:val="18"/>
        </w:rPr>
      </w:pPr>
      <w:r w:rsidRPr="00490424">
        <w:rPr>
          <w:rStyle w:val="FootnoteReference"/>
          <w:sz w:val="18"/>
          <w:szCs w:val="18"/>
        </w:rPr>
        <w:footnoteRef/>
      </w:r>
      <w:r w:rsidRPr="00490424">
        <w:rPr>
          <w:szCs w:val="18"/>
        </w:rPr>
        <w:t xml:space="preserve"> </w:t>
      </w:r>
      <w:r w:rsidRPr="00490424">
        <w:rPr>
          <w:i/>
          <w:szCs w:val="18"/>
        </w:rPr>
        <w:t xml:space="preserve">Ramping up </w:t>
      </w:r>
      <w:r w:rsidRPr="00490424">
        <w:rPr>
          <w:szCs w:val="18"/>
        </w:rPr>
        <w:t xml:space="preserve">and </w:t>
      </w:r>
      <w:r w:rsidRPr="00490424">
        <w:rPr>
          <w:i/>
          <w:szCs w:val="18"/>
        </w:rPr>
        <w:t>ramping down</w:t>
      </w:r>
      <w:r w:rsidRPr="00490424">
        <w:rPr>
          <w:szCs w:val="18"/>
        </w:rPr>
        <w:t xml:space="preserve"> refer to generators’ increasing or decreasing output to meet changing load levels, such as in the </w:t>
      </w:r>
      <w:r>
        <w:rPr>
          <w:szCs w:val="18"/>
        </w:rPr>
        <w:t xml:space="preserve">early </w:t>
      </w:r>
      <w:r w:rsidRPr="00490424">
        <w:rPr>
          <w:szCs w:val="18"/>
        </w:rPr>
        <w:t xml:space="preserve">morning, which typically involves ramping up, and in the </w:t>
      </w:r>
      <w:r>
        <w:rPr>
          <w:szCs w:val="18"/>
        </w:rPr>
        <w:t xml:space="preserve">late </w:t>
      </w:r>
      <w:r w:rsidRPr="00490424">
        <w:rPr>
          <w:szCs w:val="18"/>
        </w:rPr>
        <w:t>evening, which typically involves ramping down.</w:t>
      </w:r>
    </w:p>
  </w:footnote>
  <w:footnote w:id="107">
    <w:p w:rsidR="006346FE" w:rsidRPr="00D87A2A" w:rsidRDefault="006346FE" w:rsidP="00B47695">
      <w:pPr>
        <w:pStyle w:val="FoonoteText"/>
        <w:spacing w:after="80" w:line="240" w:lineRule="auto"/>
        <w:rPr>
          <w:sz w:val="18"/>
          <w:szCs w:val="18"/>
        </w:rPr>
      </w:pPr>
      <w:r w:rsidRPr="00D87A2A">
        <w:rPr>
          <w:rStyle w:val="FootnoteReference"/>
          <w:sz w:val="18"/>
          <w:szCs w:val="18"/>
        </w:rPr>
        <w:footnoteRef/>
      </w:r>
      <w:r w:rsidRPr="00D87A2A">
        <w:rPr>
          <w:sz w:val="18"/>
          <w:szCs w:val="18"/>
        </w:rPr>
        <w:t xml:space="preserve"> ISO Operating Procedure No. 19, </w:t>
      </w:r>
      <w:r w:rsidRPr="00D87A2A">
        <w:rPr>
          <w:i/>
          <w:sz w:val="18"/>
          <w:szCs w:val="18"/>
        </w:rPr>
        <w:t>Transmission Operations</w:t>
      </w:r>
      <w:r w:rsidRPr="00D87A2A">
        <w:rPr>
          <w:sz w:val="18"/>
          <w:szCs w:val="18"/>
        </w:rPr>
        <w:t xml:space="preserve"> (</w:t>
      </w:r>
      <w:r>
        <w:rPr>
          <w:sz w:val="18"/>
          <w:szCs w:val="18"/>
        </w:rPr>
        <w:t>April 14</w:t>
      </w:r>
      <w:r w:rsidRPr="00D87A2A">
        <w:rPr>
          <w:sz w:val="18"/>
          <w:szCs w:val="18"/>
        </w:rPr>
        <w:t>, 201</w:t>
      </w:r>
      <w:r>
        <w:rPr>
          <w:sz w:val="18"/>
          <w:szCs w:val="18"/>
        </w:rPr>
        <w:t>7</w:t>
      </w:r>
      <w:r w:rsidRPr="00D87A2A">
        <w:rPr>
          <w:sz w:val="18"/>
          <w:szCs w:val="18"/>
        </w:rPr>
        <w:t xml:space="preserve">), </w:t>
      </w:r>
      <w:hyperlink r:id="rId86" w:history="1">
        <w:r w:rsidRPr="00D87A2A">
          <w:rPr>
            <w:rStyle w:val="Hyperlink"/>
            <w:color w:val="auto"/>
            <w:sz w:val="18"/>
            <w:szCs w:val="18"/>
          </w:rPr>
          <w:t>http://www.iso-ne.com/rules_proceds/operating/isone/op19/op19_rto_final.pdf</w:t>
        </w:r>
      </w:hyperlink>
      <w:r w:rsidRPr="00D87A2A">
        <w:rPr>
          <w:sz w:val="18"/>
          <w:szCs w:val="18"/>
        </w:rPr>
        <w:t>.</w:t>
      </w:r>
    </w:p>
  </w:footnote>
  <w:footnote w:id="108">
    <w:p w:rsidR="006346FE" w:rsidRPr="00D87A2A" w:rsidRDefault="006346FE" w:rsidP="00B47695">
      <w:pPr>
        <w:spacing w:after="80" w:line="240" w:lineRule="auto"/>
        <w:rPr>
          <w:sz w:val="18"/>
          <w:szCs w:val="18"/>
        </w:rPr>
      </w:pPr>
      <w:r w:rsidRPr="00D87A2A">
        <w:rPr>
          <w:rStyle w:val="FootnoteReference"/>
          <w:sz w:val="18"/>
          <w:szCs w:val="18"/>
        </w:rPr>
        <w:footnoteRef/>
      </w:r>
      <w:r w:rsidRPr="00D87A2A">
        <w:rPr>
          <w:sz w:val="18"/>
          <w:szCs w:val="18"/>
        </w:rPr>
        <w:t xml:space="preserve"> While the estimates for operating-reserve requirements are based on expected future operating conditions, annual market requirements are based on historical data that reflect the actual previous seasonal system conditions, as adjusted for transmission topology changes and resource retirements and additions. </w:t>
      </w:r>
      <w:r>
        <w:rPr>
          <w:sz w:val="18"/>
          <w:szCs w:val="18"/>
        </w:rPr>
        <w:t xml:space="preserve">The </w:t>
      </w:r>
      <w:r w:rsidRPr="00D87A2A">
        <w:rPr>
          <w:sz w:val="18"/>
          <w:szCs w:val="18"/>
        </w:rPr>
        <w:t xml:space="preserve">ISO </w:t>
      </w:r>
      <w:r>
        <w:rPr>
          <w:sz w:val="18"/>
          <w:szCs w:val="18"/>
        </w:rPr>
        <w:t xml:space="preserve">calculates </w:t>
      </w:r>
      <w:r w:rsidRPr="00D87A2A">
        <w:rPr>
          <w:sz w:val="18"/>
          <w:szCs w:val="18"/>
        </w:rPr>
        <w:t>market requirements immediately before each locational FRM procurement period.</w:t>
      </w:r>
    </w:p>
  </w:footnote>
  <w:footnote w:id="109">
    <w:p w:rsidR="006346FE" w:rsidRDefault="006346FE" w:rsidP="0042189D">
      <w:pPr>
        <w:pStyle w:val="FootnoteText"/>
      </w:pPr>
      <w:r w:rsidRPr="004C4E03">
        <w:rPr>
          <w:rStyle w:val="FootnoteReference"/>
        </w:rPr>
        <w:footnoteRef/>
      </w:r>
      <w:r w:rsidRPr="004C4E03">
        <w:t xml:space="preserve"> See footnote above</w:t>
      </w:r>
      <w:r>
        <w:t xml:space="preserve"> (in Section </w:t>
      </w:r>
      <w:r>
        <w:fldChar w:fldCharType="begin"/>
      </w:r>
      <w:r>
        <w:instrText xml:space="preserve"> REF _Ref418883537 \r \h </w:instrText>
      </w:r>
      <w:r>
        <w:fldChar w:fldCharType="separate"/>
      </w:r>
      <w:r>
        <w:t>4.2</w:t>
      </w:r>
      <w:r>
        <w:fldChar w:fldCharType="end"/>
      </w:r>
      <w:r>
        <w:t xml:space="preserve">) </w:t>
      </w:r>
      <w:hyperlink w:history="1"/>
      <w:r w:rsidRPr="004C4E03">
        <w:t xml:space="preserve">on </w:t>
      </w:r>
      <w:r w:rsidRPr="004C4E03">
        <w:rPr>
          <w:i/>
        </w:rPr>
        <w:t>FCA #12</w:t>
      </w:r>
      <w:r w:rsidRPr="004C4E03">
        <w:t xml:space="preserve"> T</w:t>
      </w:r>
      <w:r w:rsidRPr="004C4E03">
        <w:rPr>
          <w:i/>
          <w:szCs w:val="18"/>
        </w:rPr>
        <w:t>ransmission-Transfer</w:t>
      </w:r>
      <w:r w:rsidRPr="00B57937">
        <w:rPr>
          <w:i/>
          <w:szCs w:val="18"/>
        </w:rPr>
        <w:t xml:space="preserve"> Capabilities and Capacity Zone Development</w:t>
      </w:r>
      <w:r>
        <w:rPr>
          <w:i/>
          <w:szCs w:val="18"/>
        </w:rPr>
        <w:t xml:space="preserve">, </w:t>
      </w:r>
      <w:hyperlink r:id="rId87" w:history="1">
        <w:r w:rsidRPr="00B57937">
          <w:rPr>
            <w:rStyle w:val="Hyperlink"/>
            <w:szCs w:val="18"/>
          </w:rPr>
          <w:t>https://smd.iso-ne.com/operations-services/ceii/pac/2017/03/a8_fca_12_zonal_boundary_determination.pdf</w:t>
        </w:r>
      </w:hyperlink>
      <w:r>
        <w:rPr>
          <w:rStyle w:val="Hyperlink"/>
          <w:szCs w:val="18"/>
        </w:rPr>
        <w:t>.</w:t>
      </w:r>
    </w:p>
  </w:footnote>
  <w:footnote w:id="110">
    <w:p w:rsidR="006346FE" w:rsidRPr="00D87A2A" w:rsidRDefault="006346FE" w:rsidP="00B47695">
      <w:pPr>
        <w:pStyle w:val="FoonoteText"/>
        <w:spacing w:after="80" w:line="240" w:lineRule="auto"/>
        <w:rPr>
          <w:sz w:val="18"/>
          <w:szCs w:val="18"/>
        </w:rPr>
      </w:pPr>
      <w:r w:rsidRPr="004C4E03">
        <w:rPr>
          <w:rStyle w:val="FootnoteReference"/>
          <w:sz w:val="18"/>
          <w:szCs w:val="18"/>
        </w:rPr>
        <w:footnoteRef/>
      </w:r>
      <w:r w:rsidRPr="004C4E03">
        <w:rPr>
          <w:sz w:val="18"/>
          <w:szCs w:val="18"/>
        </w:rPr>
        <w:t xml:space="preserve"> </w:t>
      </w:r>
      <w:r w:rsidRPr="004C4E03">
        <w:rPr>
          <w:i/>
          <w:sz w:val="18"/>
          <w:szCs w:val="18"/>
        </w:rPr>
        <w:t>Market Rule 1</w:t>
      </w:r>
      <w:r w:rsidRPr="004C4E03">
        <w:rPr>
          <w:sz w:val="18"/>
          <w:szCs w:val="18"/>
        </w:rPr>
        <w:t xml:space="preserve">, Standard Market Design (ISO tariff, Section III) (2017), defines the types of reserves that can meet these requirements; </w:t>
      </w:r>
      <w:hyperlink r:id="rId88" w:history="1">
        <w:r w:rsidRPr="004C4E03">
          <w:rPr>
            <w:rStyle w:val="Hyperlink"/>
            <w:color w:val="auto"/>
            <w:sz w:val="18"/>
            <w:szCs w:val="18"/>
          </w:rPr>
          <w:t>http://www.iso-ne.com/regulatory/tariff/sect_3/index.html</w:t>
        </w:r>
      </w:hyperlink>
      <w:r w:rsidRPr="004C4E03">
        <w:rPr>
          <w:sz w:val="18"/>
          <w:szCs w:val="18"/>
        </w:rPr>
        <w:t>.</w:t>
      </w:r>
    </w:p>
  </w:footnote>
  <w:footnote w:id="111">
    <w:p w:rsidR="006346FE" w:rsidRPr="00D87A2A" w:rsidRDefault="006346FE" w:rsidP="00B47695">
      <w:pPr>
        <w:pStyle w:val="FoonoteText"/>
        <w:spacing w:after="80" w:line="240" w:lineRule="auto"/>
        <w:rPr>
          <w:sz w:val="18"/>
          <w:szCs w:val="18"/>
        </w:rPr>
      </w:pPr>
      <w:r w:rsidRPr="0038483B">
        <w:rPr>
          <w:rStyle w:val="FootnoteReference"/>
          <w:sz w:val="18"/>
          <w:szCs w:val="18"/>
        </w:rPr>
        <w:footnoteRef/>
      </w:r>
      <w:r w:rsidRPr="0038483B">
        <w:rPr>
          <w:iCs/>
          <w:sz w:val="18"/>
          <w:szCs w:val="18"/>
        </w:rPr>
        <w:t xml:space="preserve"> </w:t>
      </w:r>
      <w:r w:rsidRPr="0038483B">
        <w:rPr>
          <w:i/>
          <w:iCs/>
          <w:sz w:val="18"/>
          <w:szCs w:val="18"/>
        </w:rPr>
        <w:t>Economic-merit order</w:t>
      </w:r>
      <w:r w:rsidRPr="0038483B">
        <w:rPr>
          <w:iCs/>
          <w:sz w:val="18"/>
          <w:szCs w:val="18"/>
        </w:rPr>
        <w:t xml:space="preserve"> (i.e., in merit or in merit order) </w:t>
      </w:r>
      <w:r w:rsidRPr="0038483B">
        <w:rPr>
          <w:sz w:val="18"/>
          <w:szCs w:val="18"/>
        </w:rPr>
        <w:t xml:space="preserve">is when the resources with the lowest-price offers are committed and dispatched first, and increasingly higher-priced resources are brought on line as demand increases. </w:t>
      </w:r>
      <w:r w:rsidRPr="0038483B">
        <w:rPr>
          <w:i/>
          <w:sz w:val="18"/>
          <w:szCs w:val="18"/>
        </w:rPr>
        <w:t>Out-of-merit dispatch</w:t>
      </w:r>
      <w:r w:rsidRPr="0038483B">
        <w:rPr>
          <w:sz w:val="18"/>
          <w:szCs w:val="18"/>
        </w:rPr>
        <w:t xml:space="preserve"> occurs when resources are run less economically to respect system reliability requirements.</w:t>
      </w:r>
    </w:p>
  </w:footnote>
  <w:footnote w:id="112">
    <w:p w:rsidR="006346FE" w:rsidRDefault="006346FE" w:rsidP="00B47695">
      <w:pPr>
        <w:pStyle w:val="FootnoteText"/>
      </w:pPr>
      <w:r>
        <w:rPr>
          <w:rStyle w:val="FootnoteReference"/>
        </w:rPr>
        <w:footnoteRef/>
      </w:r>
      <w:r>
        <w:t xml:space="preserve"> In some circumstances, when transmission contingencies are more severe than generation contingencies, shedding some load may be acceptable.</w:t>
      </w:r>
    </w:p>
  </w:footnote>
  <w:footnote w:id="113">
    <w:p w:rsidR="006346FE" w:rsidRPr="00F33E18" w:rsidRDefault="006346FE" w:rsidP="00B47695">
      <w:pPr>
        <w:spacing w:after="80" w:line="240" w:lineRule="auto"/>
        <w:rPr>
          <w:sz w:val="18"/>
          <w:szCs w:val="18"/>
        </w:rPr>
      </w:pPr>
      <w:r w:rsidRPr="00F33E18">
        <w:rPr>
          <w:rStyle w:val="FootnoteReference"/>
          <w:sz w:val="18"/>
          <w:szCs w:val="18"/>
        </w:rPr>
        <w:footnoteRef/>
      </w:r>
      <w:r w:rsidRPr="00F33E18">
        <w:rPr>
          <w:sz w:val="18"/>
          <w:szCs w:val="18"/>
        </w:rPr>
        <w:t xml:space="preserve"> The ISO provides monthly updates on the status of active generation interconnection requests,</w:t>
      </w:r>
      <w:r w:rsidRPr="00F33E18">
        <w:rPr>
          <w:i/>
          <w:sz w:val="18"/>
          <w:szCs w:val="18"/>
        </w:rPr>
        <w:t xml:space="preserve"> NEPOOL Participant Committee COO Report for Monthly Updates </w:t>
      </w:r>
      <w:r w:rsidRPr="00F33E18">
        <w:rPr>
          <w:sz w:val="18"/>
          <w:szCs w:val="18"/>
        </w:rPr>
        <w:t>(Monthly COO Report). See the April 201</w:t>
      </w:r>
      <w:r>
        <w:rPr>
          <w:sz w:val="18"/>
          <w:szCs w:val="18"/>
        </w:rPr>
        <w:t>7</w:t>
      </w:r>
      <w:r w:rsidRPr="00F33E18">
        <w:rPr>
          <w:sz w:val="18"/>
          <w:szCs w:val="18"/>
        </w:rPr>
        <w:t xml:space="preserve"> monthly COO </w:t>
      </w:r>
      <w:r w:rsidRPr="004C4E03">
        <w:rPr>
          <w:sz w:val="18"/>
          <w:szCs w:val="18"/>
        </w:rPr>
        <w:t>Report in the</w:t>
      </w:r>
      <w:r w:rsidRPr="004C4E03">
        <w:t xml:space="preserve"> </w:t>
      </w:r>
      <w:hyperlink r:id="rId89" w:history="1">
        <w:r w:rsidRPr="004C4E03">
          <w:rPr>
            <w:rStyle w:val="Hyperlink"/>
            <w:sz w:val="18"/>
            <w:szCs w:val="18"/>
          </w:rPr>
          <w:t>https://www.iso-ne.com/static-assets/documents/2017/04/april-2017-coo-report.pdf</w:t>
        </w:r>
      </w:hyperlink>
      <w:r w:rsidRPr="004C4E03">
        <w:rPr>
          <w:sz w:val="18"/>
          <w:szCs w:val="18"/>
        </w:rPr>
        <w:t>.</w:t>
      </w:r>
    </w:p>
  </w:footnote>
  <w:footnote w:id="114">
    <w:p w:rsidR="006346FE" w:rsidRPr="00F33E18" w:rsidRDefault="006346FE" w:rsidP="00B47695">
      <w:pPr>
        <w:spacing w:after="80" w:line="240" w:lineRule="auto"/>
        <w:rPr>
          <w:sz w:val="18"/>
          <w:szCs w:val="18"/>
        </w:rPr>
      </w:pPr>
      <w:r w:rsidRPr="00F33E18">
        <w:rPr>
          <w:rStyle w:val="FootnoteReference"/>
          <w:sz w:val="18"/>
          <w:szCs w:val="18"/>
        </w:rPr>
        <w:footnoteRef/>
      </w:r>
      <w:r w:rsidRPr="00F33E18">
        <w:rPr>
          <w:sz w:val="18"/>
          <w:szCs w:val="18"/>
        </w:rPr>
        <w:t xml:space="preserve"> The SME subarea in Maine and the NOR subarea in Connecticut have no megawatts proposed in the active queue.</w:t>
      </w:r>
    </w:p>
  </w:footnote>
  <w:footnote w:id="115">
    <w:p w:rsidR="006346FE" w:rsidRPr="00F33E18" w:rsidRDefault="006346FE" w:rsidP="00B47695">
      <w:pPr>
        <w:pStyle w:val="FoonoteText"/>
        <w:spacing w:after="80" w:line="240" w:lineRule="auto"/>
        <w:rPr>
          <w:sz w:val="18"/>
          <w:szCs w:val="18"/>
        </w:rPr>
      </w:pPr>
      <w:r w:rsidRPr="004C4E03">
        <w:rPr>
          <w:rStyle w:val="FootnoteReference"/>
          <w:sz w:val="18"/>
          <w:szCs w:val="18"/>
        </w:rPr>
        <w:footnoteRef/>
      </w:r>
      <w:r w:rsidRPr="004C4E03">
        <w:rPr>
          <w:sz w:val="18"/>
          <w:szCs w:val="18"/>
        </w:rPr>
        <w:t xml:space="preserve"> </w:t>
      </w:r>
      <w:hyperlink r:id="rId90" w:history="1">
        <w:r w:rsidRPr="004C4E03">
          <w:rPr>
            <w:rStyle w:val="Hyperlink"/>
            <w:color w:val="auto"/>
            <w:sz w:val="18"/>
            <w:szCs w:val="18"/>
          </w:rPr>
          <w:t>In</w:t>
        </w:r>
      </w:hyperlink>
      <w:r w:rsidRPr="004C4E03">
        <w:rPr>
          <w:sz w:val="18"/>
          <w:szCs w:val="18"/>
        </w:rPr>
        <w:t xml:space="preserve"> addition to the monthly COO reports, information on the queue is available at </w:t>
      </w:r>
      <w:hyperlink r:id="rId91" w:history="1">
        <w:r w:rsidRPr="004C4E03">
          <w:rPr>
            <w:rStyle w:val="Hyperlink"/>
            <w:color w:val="auto"/>
            <w:sz w:val="18"/>
            <w:szCs w:val="18"/>
          </w:rPr>
          <w:t>http://www.iso-ne.com/system-planning/transmission-planning/interconnection-request-queue</w:t>
        </w:r>
      </w:hyperlink>
      <w:r w:rsidRPr="004C4E03">
        <w:rPr>
          <w:sz w:val="18"/>
          <w:szCs w:val="18"/>
        </w:rPr>
        <w:t>. The projects proposed but discontinued faced</w:t>
      </w:r>
      <w:r w:rsidRPr="00F33E18">
        <w:rPr>
          <w:sz w:val="18"/>
          <w:szCs w:val="18"/>
        </w:rPr>
        <w:t xml:space="preserve"> problems associated with financing, licensing, insufficient market incentives, or other issues.</w:t>
      </w:r>
    </w:p>
  </w:footnote>
  <w:footnote w:id="116">
    <w:p w:rsidR="006346FE" w:rsidRDefault="006346FE" w:rsidP="00B47695">
      <w:pPr>
        <w:pStyle w:val="FootnoteText"/>
      </w:pPr>
      <w:r>
        <w:rPr>
          <w:rStyle w:val="FootnoteReference"/>
        </w:rPr>
        <w:footnoteRef/>
      </w:r>
      <w:r>
        <w:t xml:space="preserve"> “Interconnection Requests that Are Being Considered in the Maine Resource </w:t>
      </w:r>
      <w:r w:rsidRPr="00DF16D2">
        <w:t>Integration Study</w:t>
      </w:r>
      <w:r w:rsidRPr="00CA0EA9">
        <w:t>,</w:t>
      </w:r>
      <w:r>
        <w:t>”</w:t>
      </w:r>
      <w:r w:rsidRPr="00CA0EA9">
        <w:t xml:space="preserve"> PAC memorandum</w:t>
      </w:r>
      <w:r>
        <w:t xml:space="preserve"> (January 23, 2017),</w:t>
      </w:r>
      <w:r w:rsidRPr="00CA0EA9">
        <w:t xml:space="preserve"> </w:t>
      </w:r>
      <w:hyperlink r:id="rId92" w:history="1">
        <w:r w:rsidRPr="00CA0EA9">
          <w:rPr>
            <w:rStyle w:val="Hyperlink"/>
          </w:rPr>
          <w:t>https://www.iso-ne.com/static-assets/documents/2017/01/2017_01_23_memo_pac_mri.pdf</w:t>
        </w:r>
      </w:hyperlink>
      <w:r>
        <w:t>.</w:t>
      </w:r>
    </w:p>
  </w:footnote>
  <w:footnote w:id="117">
    <w:p w:rsidR="006346FE" w:rsidRPr="009E0D1A" w:rsidRDefault="006346FE" w:rsidP="00B47695">
      <w:pPr>
        <w:pStyle w:val="FootnoteText"/>
        <w:rPr>
          <w:szCs w:val="18"/>
        </w:rPr>
      </w:pPr>
      <w:r w:rsidRPr="00D71CDF">
        <w:rPr>
          <w:rStyle w:val="FootnoteReference"/>
          <w:sz w:val="18"/>
          <w:szCs w:val="18"/>
        </w:rPr>
        <w:footnoteRef/>
      </w:r>
      <w:r w:rsidRPr="00D71CDF">
        <w:rPr>
          <w:szCs w:val="18"/>
        </w:rPr>
        <w:t xml:space="preserve"> </w:t>
      </w:r>
      <w:r w:rsidRPr="00D71CDF">
        <w:t>A FERC filing has been postponed until later in 2017.</w:t>
      </w:r>
      <w:r>
        <w:t xml:space="preserve"> </w:t>
      </w:r>
    </w:p>
  </w:footnote>
  <w:footnote w:id="118">
    <w:p w:rsidR="006346FE" w:rsidRPr="00D87A2A" w:rsidRDefault="006346FE" w:rsidP="00B47695">
      <w:pPr>
        <w:spacing w:after="80" w:line="240" w:lineRule="auto"/>
        <w:rPr>
          <w:sz w:val="18"/>
          <w:szCs w:val="18"/>
        </w:rPr>
      </w:pPr>
      <w:r w:rsidRPr="00D87A2A">
        <w:rPr>
          <w:rStyle w:val="FootnoteReference"/>
          <w:sz w:val="18"/>
          <w:szCs w:val="18"/>
        </w:rPr>
        <w:footnoteRef/>
      </w:r>
      <w:r w:rsidRPr="00D87A2A">
        <w:rPr>
          <w:sz w:val="18"/>
          <w:szCs w:val="18"/>
        </w:rPr>
        <w:t xml:space="preserve"> Higher tie-reliability benefits and reductions in the net ICR would increase the frequency and depth of OP 4 actions.</w:t>
      </w:r>
    </w:p>
  </w:footnote>
  <w:footnote w:id="119">
    <w:p w:rsidR="006346FE" w:rsidRPr="00D87A2A" w:rsidRDefault="006346FE" w:rsidP="00F645C1">
      <w:pPr>
        <w:pStyle w:val="FoonoteText"/>
        <w:spacing w:after="80" w:line="240" w:lineRule="auto"/>
        <w:rPr>
          <w:sz w:val="18"/>
          <w:szCs w:val="18"/>
        </w:rPr>
      </w:pPr>
      <w:r w:rsidRPr="00D87A2A">
        <w:rPr>
          <w:rStyle w:val="FootnoteReference"/>
          <w:rFonts w:eastAsiaTheme="majorEastAsia"/>
          <w:sz w:val="18"/>
          <w:szCs w:val="18"/>
        </w:rPr>
        <w:footnoteRef/>
      </w:r>
      <w:r w:rsidRPr="00D87A2A">
        <w:rPr>
          <w:sz w:val="18"/>
          <w:szCs w:val="18"/>
        </w:rPr>
        <w:t xml:space="preserve"> Further details about individual transmission projects </w:t>
      </w:r>
      <w:r>
        <w:rPr>
          <w:sz w:val="18"/>
          <w:szCs w:val="18"/>
        </w:rPr>
        <w:t xml:space="preserve">can be found by referring to the latest </w:t>
      </w:r>
      <w:r w:rsidRPr="005C581B">
        <w:rPr>
          <w:i/>
          <w:sz w:val="18"/>
          <w:szCs w:val="18"/>
        </w:rPr>
        <w:t>RSP Project List</w:t>
      </w:r>
      <w:r>
        <w:rPr>
          <w:sz w:val="18"/>
          <w:szCs w:val="18"/>
        </w:rPr>
        <w:t xml:space="preserve"> available at </w:t>
      </w:r>
      <w:hyperlink r:id="rId93" w:history="1">
        <w:r w:rsidRPr="00145A98">
          <w:rPr>
            <w:rStyle w:val="Hyperlink"/>
            <w:sz w:val="18"/>
            <w:szCs w:val="18"/>
          </w:rPr>
          <w:t>https://www.iso-ne.com/system-planning/system-plans-studies/rsp</w:t>
        </w:r>
      </w:hyperlink>
      <w:r>
        <w:rPr>
          <w:sz w:val="18"/>
          <w:szCs w:val="18"/>
        </w:rPr>
        <w:t xml:space="preserve">. </w:t>
      </w:r>
    </w:p>
  </w:footnote>
  <w:footnote w:id="120">
    <w:p w:rsidR="006346FE" w:rsidRPr="00D87A2A" w:rsidRDefault="006346FE" w:rsidP="00F645C1">
      <w:pPr>
        <w:pStyle w:val="FootnoteText"/>
        <w:rPr>
          <w:szCs w:val="18"/>
        </w:rPr>
      </w:pPr>
      <w:r w:rsidRPr="00D87A2A">
        <w:rPr>
          <w:rStyle w:val="FootnoteReference"/>
          <w:sz w:val="18"/>
          <w:szCs w:val="18"/>
        </w:rPr>
        <w:footnoteRef/>
      </w:r>
      <w:r w:rsidRPr="00D87A2A">
        <w:rPr>
          <w:szCs w:val="18"/>
        </w:rPr>
        <w:t xml:space="preserve"> Past RSPs are available at </w:t>
      </w:r>
      <w:hyperlink r:id="rId94" w:history="1">
        <w:r w:rsidRPr="008818A6">
          <w:rPr>
            <w:rStyle w:val="Hyperlink"/>
            <w:szCs w:val="18"/>
          </w:rPr>
          <w:t>http://www.iso-ne.com/trans/rsp/index.html</w:t>
        </w:r>
      </w:hyperlink>
      <w:r w:rsidRPr="00D87A2A">
        <w:rPr>
          <w:szCs w:val="18"/>
        </w:rPr>
        <w:t xml:space="preserve">. </w:t>
      </w:r>
      <w:r w:rsidRPr="00A26F52">
        <w:rPr>
          <w:szCs w:val="18"/>
        </w:rPr>
        <w:t>PAC</w:t>
      </w:r>
      <w:r w:rsidRPr="00D87A2A">
        <w:rPr>
          <w:szCs w:val="18"/>
        </w:rPr>
        <w:t xml:space="preserve"> materials and reports are available at </w:t>
      </w:r>
      <w:hyperlink r:id="rId95" w:history="1">
        <w:r w:rsidRPr="008818A6">
          <w:rPr>
            <w:rStyle w:val="Hyperlink"/>
            <w:szCs w:val="18"/>
          </w:rPr>
          <w:t>http://www.iso-ne.com/committees/comm_wkgrps/prtcpnts_comm/pac/index.html</w:t>
        </w:r>
      </w:hyperlink>
      <w:r w:rsidRPr="00D87A2A">
        <w:rPr>
          <w:szCs w:val="18"/>
        </w:rPr>
        <w:t>.</w:t>
      </w:r>
    </w:p>
  </w:footnote>
  <w:footnote w:id="121">
    <w:p w:rsidR="006346FE" w:rsidRPr="00D64F3A" w:rsidRDefault="006346FE" w:rsidP="00F645C1">
      <w:pPr>
        <w:spacing w:after="80" w:line="240" w:lineRule="auto"/>
        <w:rPr>
          <w:sz w:val="18"/>
          <w:szCs w:val="18"/>
        </w:rPr>
      </w:pPr>
      <w:r w:rsidRPr="00D64F3A">
        <w:rPr>
          <w:rStyle w:val="FootnoteReference"/>
          <w:sz w:val="18"/>
          <w:szCs w:val="18"/>
        </w:rPr>
        <w:footnoteRef/>
      </w:r>
      <w:r w:rsidRPr="00D64F3A">
        <w:rPr>
          <w:sz w:val="18"/>
          <w:szCs w:val="18"/>
        </w:rPr>
        <w:t xml:space="preserve"> ISO New England, </w:t>
      </w:r>
      <w:r w:rsidRPr="00D64F3A">
        <w:rPr>
          <w:i/>
          <w:sz w:val="18"/>
          <w:szCs w:val="18"/>
        </w:rPr>
        <w:t>Transmission Planning Process Guide</w:t>
      </w:r>
      <w:r w:rsidRPr="00D64F3A">
        <w:rPr>
          <w:sz w:val="18"/>
          <w:szCs w:val="18"/>
        </w:rPr>
        <w:t>, (</w:t>
      </w:r>
      <w:r>
        <w:rPr>
          <w:sz w:val="18"/>
          <w:szCs w:val="18"/>
        </w:rPr>
        <w:t>April 6</w:t>
      </w:r>
      <w:r w:rsidRPr="00D64F3A">
        <w:rPr>
          <w:sz w:val="18"/>
          <w:szCs w:val="18"/>
        </w:rPr>
        <w:t>, 201</w:t>
      </w:r>
      <w:r>
        <w:rPr>
          <w:sz w:val="18"/>
          <w:szCs w:val="18"/>
        </w:rPr>
        <w:t>7</w:t>
      </w:r>
      <w:r w:rsidRPr="00D64F3A">
        <w:rPr>
          <w:sz w:val="18"/>
          <w:szCs w:val="18"/>
        </w:rPr>
        <w:t xml:space="preserve">) and </w:t>
      </w:r>
      <w:r w:rsidRPr="00D64F3A">
        <w:rPr>
          <w:i/>
          <w:sz w:val="18"/>
          <w:szCs w:val="18"/>
        </w:rPr>
        <w:t xml:space="preserve">Transmission Planning Technical Guide </w:t>
      </w:r>
      <w:r w:rsidRPr="00D64F3A">
        <w:rPr>
          <w:sz w:val="18"/>
          <w:szCs w:val="18"/>
        </w:rPr>
        <w:t>(</w:t>
      </w:r>
      <w:r>
        <w:rPr>
          <w:sz w:val="18"/>
          <w:szCs w:val="18"/>
        </w:rPr>
        <w:t>March 24</w:t>
      </w:r>
      <w:r w:rsidRPr="00D64F3A">
        <w:rPr>
          <w:sz w:val="18"/>
          <w:szCs w:val="18"/>
        </w:rPr>
        <w:t>, 201</w:t>
      </w:r>
      <w:r>
        <w:rPr>
          <w:sz w:val="18"/>
          <w:szCs w:val="18"/>
        </w:rPr>
        <w:t>7</w:t>
      </w:r>
      <w:r w:rsidRPr="00D64F3A">
        <w:rPr>
          <w:sz w:val="18"/>
          <w:szCs w:val="18"/>
        </w:rPr>
        <w:t>)</w:t>
      </w:r>
      <w:r>
        <w:rPr>
          <w:sz w:val="18"/>
          <w:szCs w:val="18"/>
        </w:rPr>
        <w:t>,</w:t>
      </w:r>
      <w:r w:rsidRPr="00D64F3A">
        <w:rPr>
          <w:sz w:val="18"/>
          <w:szCs w:val="18"/>
        </w:rPr>
        <w:t xml:space="preserve"> </w:t>
      </w:r>
      <w:hyperlink r:id="rId96" w:history="1">
        <w:r w:rsidRPr="00D64F3A">
          <w:rPr>
            <w:rStyle w:val="Hyperlink"/>
            <w:color w:val="auto"/>
            <w:sz w:val="18"/>
            <w:szCs w:val="18"/>
          </w:rPr>
          <w:t>http://www.iso-ne.com/system-planning/transmission-planning/transmission-planning-guides</w:t>
        </w:r>
      </w:hyperlink>
      <w:r w:rsidRPr="00D64F3A">
        <w:rPr>
          <w:i/>
          <w:sz w:val="18"/>
          <w:szCs w:val="18"/>
        </w:rPr>
        <w:t>.</w:t>
      </w:r>
    </w:p>
  </w:footnote>
  <w:footnote w:id="122">
    <w:p w:rsidR="006346FE" w:rsidRPr="00D87A2A" w:rsidRDefault="006346FE" w:rsidP="00F645C1">
      <w:pPr>
        <w:pStyle w:val="FoonoteText"/>
        <w:spacing w:after="80" w:line="240" w:lineRule="auto"/>
        <w:rPr>
          <w:sz w:val="18"/>
          <w:szCs w:val="18"/>
        </w:rPr>
      </w:pPr>
      <w:r w:rsidRPr="00D87A2A">
        <w:rPr>
          <w:rStyle w:val="FootnoteReference"/>
          <w:rFonts w:eastAsiaTheme="majorEastAsia"/>
          <w:sz w:val="18"/>
          <w:szCs w:val="18"/>
        </w:rPr>
        <w:footnoteRef/>
      </w:r>
      <w:r w:rsidRPr="00D87A2A">
        <w:rPr>
          <w:sz w:val="18"/>
          <w:szCs w:val="18"/>
        </w:rPr>
        <w:t xml:space="preserve"> One exception is that Aroostook and Washington Counties in Maine </w:t>
      </w:r>
      <w:r>
        <w:rPr>
          <w:sz w:val="18"/>
          <w:szCs w:val="18"/>
        </w:rPr>
        <w:t xml:space="preserve">receive electric service </w:t>
      </w:r>
      <w:r w:rsidRPr="00D87A2A">
        <w:rPr>
          <w:sz w:val="18"/>
          <w:szCs w:val="18"/>
        </w:rPr>
        <w:t>from New Brunswick.</w:t>
      </w:r>
    </w:p>
  </w:footnote>
  <w:footnote w:id="123">
    <w:p w:rsidR="006346FE" w:rsidRDefault="006346FE" w:rsidP="00F645C1">
      <w:pPr>
        <w:pStyle w:val="FootnoteText"/>
      </w:pPr>
      <w:r w:rsidRPr="00713A01">
        <w:rPr>
          <w:rStyle w:val="FootnoteReference"/>
        </w:rPr>
        <w:footnoteRef/>
      </w:r>
      <w:r w:rsidRPr="00713A01">
        <w:t xml:space="preserve"> Information on </w:t>
      </w:r>
      <w:r>
        <w:t>p</w:t>
      </w:r>
      <w:r w:rsidRPr="00713A01">
        <w:t xml:space="preserve">ublic </w:t>
      </w:r>
      <w:r>
        <w:t>p</w:t>
      </w:r>
      <w:r w:rsidRPr="00713A01">
        <w:t xml:space="preserve">olicy </w:t>
      </w:r>
      <w:r w:rsidRPr="00536920">
        <w:t>t</w:t>
      </w:r>
      <w:r w:rsidRPr="00713A01">
        <w:t xml:space="preserve">ransmission </w:t>
      </w:r>
      <w:r w:rsidRPr="00536920">
        <w:t>u</w:t>
      </w:r>
      <w:r w:rsidRPr="00713A01">
        <w:t xml:space="preserve">pgrades is available at </w:t>
      </w:r>
      <w:hyperlink r:id="rId97" w:history="1">
        <w:r w:rsidRPr="00713A01">
          <w:rPr>
            <w:rStyle w:val="Hyperlink"/>
          </w:rPr>
          <w:t>https://www.iso-ne.com/system-planning/system-plans-studies/public-policy-transmission-upgrades</w:t>
        </w:r>
      </w:hyperlink>
      <w:r>
        <w:rPr>
          <w:rStyle w:val="Hyperlink"/>
        </w:rPr>
        <w:t>.</w:t>
      </w:r>
      <w:r>
        <w:t xml:space="preserve"> </w:t>
      </w:r>
    </w:p>
  </w:footnote>
  <w:footnote w:id="124">
    <w:p w:rsidR="006346FE" w:rsidRDefault="006346FE" w:rsidP="00F645C1">
      <w:pPr>
        <w:pStyle w:val="FootnoteText"/>
      </w:pPr>
      <w:r w:rsidRPr="007A4909">
        <w:rPr>
          <w:rStyle w:val="FootnoteReference"/>
        </w:rPr>
        <w:footnoteRef/>
      </w:r>
      <w:r w:rsidRPr="007A4909">
        <w:t xml:space="preserve"> The area reliability studies are Southeastern Massachusetts and Rhode Island (refer to Section </w:t>
      </w:r>
      <w:r w:rsidRPr="007A4909">
        <w:fldChar w:fldCharType="begin"/>
      </w:r>
      <w:r w:rsidRPr="007A4909">
        <w:instrText xml:space="preserve"> REF _Ref485733954 \r \h </w:instrText>
      </w:r>
      <w:r>
        <w:instrText xml:space="preserve"> \* MERGEFORMAT </w:instrText>
      </w:r>
      <w:r w:rsidRPr="007A4909">
        <w:fldChar w:fldCharType="separate"/>
      </w:r>
      <w:r>
        <w:t>5.5.5</w:t>
      </w:r>
      <w:r w:rsidRPr="007A4909">
        <w:fldChar w:fldCharType="end"/>
      </w:r>
      <w:r w:rsidRPr="007A4909">
        <w:t xml:space="preserve">), Eastern Connecticut (Section </w:t>
      </w:r>
      <w:r w:rsidRPr="007A4909">
        <w:fldChar w:fldCharType="begin"/>
      </w:r>
      <w:r w:rsidRPr="007A4909">
        <w:instrText xml:space="preserve"> REF _Ref486322140 \r \h </w:instrText>
      </w:r>
      <w:r>
        <w:instrText xml:space="preserve"> \* MERGEFORMAT </w:instrText>
      </w:r>
      <w:r w:rsidRPr="007A4909">
        <w:fldChar w:fldCharType="separate"/>
      </w:r>
      <w:r>
        <w:t>5.5.8</w:t>
      </w:r>
      <w:r w:rsidRPr="007A4909">
        <w:fldChar w:fldCharType="end"/>
      </w:r>
      <w:r>
        <w:t>)</w:t>
      </w:r>
      <w:r w:rsidRPr="007A4909">
        <w:t xml:space="preserve">, Maine (Section </w:t>
      </w:r>
      <w:r w:rsidRPr="007A4909">
        <w:fldChar w:fldCharType="begin"/>
      </w:r>
      <w:r w:rsidRPr="007A4909">
        <w:instrText xml:space="preserve"> REF _Ref485733829 \r \h  \* MERGEFORMAT </w:instrText>
      </w:r>
      <w:r w:rsidRPr="007A4909">
        <w:fldChar w:fldCharType="separate"/>
      </w:r>
      <w:r>
        <w:t>5.5.6</w:t>
      </w:r>
      <w:r w:rsidRPr="007A4909">
        <w:fldChar w:fldCharType="end"/>
      </w:r>
      <w:r w:rsidRPr="007A4909">
        <w:t xml:space="preserve">), and New Hampshire Section </w:t>
      </w:r>
      <w:r w:rsidRPr="007A4909">
        <w:fldChar w:fldCharType="begin"/>
      </w:r>
      <w:r w:rsidRPr="007A4909">
        <w:instrText xml:space="preserve"> REF _Ref485733820 \r \h  \* MERGEFORMAT </w:instrText>
      </w:r>
      <w:r w:rsidRPr="007A4909">
        <w:fldChar w:fldCharType="separate"/>
      </w:r>
      <w:r>
        <w:t>5.5.7</w:t>
      </w:r>
      <w:r w:rsidRPr="007A4909">
        <w:fldChar w:fldCharType="end"/>
      </w:r>
      <w:r w:rsidRPr="007A4909">
        <w:t>).</w:t>
      </w:r>
      <w:r>
        <w:t xml:space="preserve"> </w:t>
      </w:r>
    </w:p>
  </w:footnote>
  <w:footnote w:id="125">
    <w:p w:rsidR="006346FE" w:rsidRDefault="006346FE" w:rsidP="00F645C1">
      <w:pPr>
        <w:pStyle w:val="FootnoteText"/>
      </w:pPr>
      <w:r w:rsidRPr="0054432F">
        <w:rPr>
          <w:rStyle w:val="FootnoteReference"/>
        </w:rPr>
        <w:footnoteRef/>
      </w:r>
      <w:r>
        <w:t xml:space="preserve"> A time-sensitive need is a reliability criteria violation that needs to be solved </w:t>
      </w:r>
      <w:r w:rsidRPr="00A93ADB">
        <w:t>with</w:t>
      </w:r>
      <w:r>
        <w:t xml:space="preserve">in three years of the </w:t>
      </w:r>
      <w:r w:rsidRPr="00713A01">
        <w:t>completion of the relevant needs assessment (posting of the final needs assessment report)</w:t>
      </w:r>
      <w:r>
        <w:t>. Developing solutions for time-sensitive needs follows the solutions study process, as detailed in Section 4.2 of Attachment K of the OATT. A non-</w:t>
      </w:r>
      <w:r w:rsidRPr="00AF5892">
        <w:t xml:space="preserve">time-sensitive need is a criteria violation that needs to be solved but not necessarily </w:t>
      </w:r>
      <w:r w:rsidRPr="00167B41">
        <w:rPr>
          <w:strike/>
        </w:rPr>
        <w:t>sooner than</w:t>
      </w:r>
      <w:r w:rsidRPr="00AF5892">
        <w:t xml:space="preserve"> within three years</w:t>
      </w:r>
      <w:r>
        <w:t xml:space="preserve"> from the </w:t>
      </w:r>
      <w:r w:rsidRPr="00EC53D9">
        <w:t>completion of the relevant needs assessment.</w:t>
      </w:r>
      <w:r>
        <w:t xml:space="preserve"> These solutions follow the competitive solutions process, as detailed in Section 4.3 of Attachment K of the OATT. Because load growth has flattened, as discussed in </w:t>
      </w:r>
      <w:r>
        <w:fldChar w:fldCharType="begin"/>
      </w:r>
      <w:r>
        <w:instrText xml:space="preserve"> REF _Ref418357222 \r \h </w:instrText>
      </w:r>
      <w:r>
        <w:fldChar w:fldCharType="separate"/>
      </w:r>
      <w:r>
        <w:t>Section 3</w:t>
      </w:r>
      <w:r>
        <w:fldChar w:fldCharType="end"/>
      </w:r>
      <w:r>
        <w:t xml:space="preserve">, with </w:t>
      </w:r>
      <w:r w:rsidRPr="00006A94">
        <w:t xml:space="preserve">system load in year one </w:t>
      </w:r>
      <w:r>
        <w:t xml:space="preserve">of the planning horizon now being very close to the load in </w:t>
      </w:r>
      <w:r w:rsidRPr="00006A94">
        <w:t>year 10, the passage of time, which historically corresponded to load growth, has become less of a driver for new reliability issues on the transmission system.</w:t>
      </w:r>
    </w:p>
  </w:footnote>
  <w:footnote w:id="126">
    <w:p w:rsidR="006346FE" w:rsidRPr="00536920" w:rsidRDefault="006346FE" w:rsidP="00F645C1">
      <w:pPr>
        <w:pStyle w:val="FootnoteText"/>
      </w:pPr>
      <w:r>
        <w:rPr>
          <w:rStyle w:val="FootnoteReference"/>
        </w:rPr>
        <w:footnoteRef/>
      </w:r>
      <w:r>
        <w:t xml:space="preserve"> The temporary </w:t>
      </w:r>
      <w:r w:rsidRPr="00536920">
        <w:t>hold is put in place because implementing solutions for the time-sensitive needs may resolve non-time-sensitive needs, eliminating the need to implement multiple solutions for the same problem and their associated costs. Solving the time-sensitive needs could also change the options for redispatch in the area system topology, which would require new upgrade proposals.</w:t>
      </w:r>
    </w:p>
  </w:footnote>
  <w:footnote w:id="127">
    <w:p w:rsidR="006346FE" w:rsidRDefault="006346FE" w:rsidP="00F645C1">
      <w:pPr>
        <w:pStyle w:val="FootnoteText"/>
      </w:pPr>
      <w:r w:rsidRPr="00536920">
        <w:rPr>
          <w:rStyle w:val="FootnoteReference"/>
        </w:rPr>
        <w:footnoteRef/>
      </w:r>
      <w:r w:rsidRPr="00536920">
        <w:t xml:space="preserve"> The SEMA/RI study area, for which a March 2017 reliability study identified a preferred solution for time-sensitive needs, will undergo another needs assessment beginning in mid-2017 to identify remaining needs, if any (see Section 6.5.5).</w:t>
      </w:r>
    </w:p>
  </w:footnote>
  <w:footnote w:id="128">
    <w:p w:rsidR="006346FE" w:rsidRDefault="006346FE" w:rsidP="00F645C1">
      <w:pPr>
        <w:pStyle w:val="FootnoteText"/>
      </w:pPr>
      <w:r w:rsidRPr="00D309CF">
        <w:rPr>
          <w:rStyle w:val="FootnoteReference"/>
        </w:rPr>
        <w:footnoteRef/>
      </w:r>
      <w:r w:rsidRPr="00D309CF">
        <w:t xml:space="preserve"> ISO New England, “Public Notification for Public Policy Requirements Submittals,” (January 11, 2017), </w:t>
      </w:r>
      <w:hyperlink r:id="rId98" w:history="1">
        <w:r w:rsidRPr="00D309CF">
          <w:rPr>
            <w:rStyle w:val="Hyperlink"/>
          </w:rPr>
          <w:t>https://www.iso-ne.com/static-assets/documents/2017/01/a10_2017_public_policy_transmission_upgrde_process_announcement.pdf</w:t>
        </w:r>
      </w:hyperlink>
      <w:r>
        <w:t>.</w:t>
      </w:r>
    </w:p>
  </w:footnote>
  <w:footnote w:id="129">
    <w:p w:rsidR="006346FE" w:rsidRDefault="006346FE" w:rsidP="00F645C1">
      <w:pPr>
        <w:pStyle w:val="FootnoteText"/>
      </w:pPr>
      <w:r w:rsidRPr="00D309CF">
        <w:rPr>
          <w:rStyle w:val="FootnoteReference"/>
        </w:rPr>
        <w:footnoteRef/>
      </w:r>
      <w:r w:rsidRPr="00D309CF">
        <w:t xml:space="preserve"> ISO New England, “2017 Stakeholder Public Policy Requirements Submittals,” compilation (March 1, 2017), </w:t>
      </w:r>
      <w:hyperlink r:id="rId99" w:history="1">
        <w:r w:rsidRPr="00D309CF">
          <w:rPr>
            <w:rStyle w:val="Hyperlink"/>
          </w:rPr>
          <w:t>https://www.iso-ne.com/static-assets/documents/2017/03/2017_public_policy_requirements_stakeholder_submittals_combined.pdf</w:t>
        </w:r>
      </w:hyperlink>
      <w:r w:rsidRPr="00D309CF">
        <w:t>.</w:t>
      </w:r>
    </w:p>
  </w:footnote>
  <w:footnote w:id="130">
    <w:p w:rsidR="006346FE" w:rsidRDefault="006346FE" w:rsidP="00F645C1">
      <w:pPr>
        <w:pStyle w:val="FootnoteText"/>
      </w:pPr>
      <w:r>
        <w:rPr>
          <w:rStyle w:val="FootnoteReference"/>
        </w:rPr>
        <w:footnoteRef/>
      </w:r>
      <w:r>
        <w:t xml:space="preserve"> NESCOE, “NESCOE Submission Regarding Transmission Needs Driven by State and Federal Public Policy Requirements,” (May 1, 2017), </w:t>
      </w:r>
      <w:hyperlink r:id="rId100" w:history="1">
        <w:r w:rsidRPr="008144AA">
          <w:rPr>
            <w:rStyle w:val="Hyperlink"/>
          </w:rPr>
          <w:t>https://www.iso-ne.com/static-assets/documents/2017/05/nescoe_submission_public_policy_transmission_upgrades.pdf</w:t>
        </w:r>
      </w:hyperlink>
      <w:r>
        <w:t>.</w:t>
      </w:r>
    </w:p>
  </w:footnote>
  <w:footnote w:id="131">
    <w:p w:rsidR="006346FE" w:rsidRDefault="006346FE" w:rsidP="00F645C1">
      <w:pPr>
        <w:pStyle w:val="FootnoteText"/>
      </w:pPr>
      <w:r w:rsidRPr="00AD031F">
        <w:rPr>
          <w:rStyle w:val="FootnoteReference"/>
        </w:rPr>
        <w:footnoteRef/>
      </w:r>
      <w:r w:rsidRPr="00AD031F">
        <w:t xml:space="preserve">  </w:t>
      </w:r>
      <w:r w:rsidRPr="00AD031F">
        <w:rPr>
          <w:i/>
        </w:rPr>
        <w:t>2017 Public Policy Transmission Upgrade Process</w:t>
      </w:r>
      <w:r w:rsidRPr="00AD031F">
        <w:t xml:space="preserve">, PAC presentation (June 21, 2017), </w:t>
      </w:r>
      <w:hyperlink r:id="rId101" w:history="1">
        <w:r w:rsidRPr="00AD031F">
          <w:rPr>
            <w:rStyle w:val="Hyperlink"/>
          </w:rPr>
          <w:t>https://www.iso-ne.com/static-assets/documents/2017/06/a3_public_policy_transmission_upgrade_process_june_2017.pdf</w:t>
        </w:r>
      </w:hyperlink>
      <w:r w:rsidRPr="00AD031F">
        <w:t>.</w:t>
      </w:r>
    </w:p>
  </w:footnote>
  <w:footnote w:id="132">
    <w:p w:rsidR="006346FE" w:rsidRDefault="006346FE" w:rsidP="00F645C1">
      <w:pPr>
        <w:pStyle w:val="FootnoteText"/>
      </w:pPr>
      <w:r>
        <w:rPr>
          <w:rStyle w:val="FootnoteReference"/>
        </w:rPr>
        <w:footnoteRef/>
      </w:r>
      <w:r>
        <w:t xml:space="preserve"> The Western and Central Massachusetts key study area was created to store all material for a new study in this area, which will be initiated in 2017. Therefore, this RSP does not discuss this new key study area. The Pittsfield and Greenfield key study area will be retained, but all new study work in the Pittsfield and Greenfield area will be saved in the Western and Central Massachusetts key study area.</w:t>
      </w:r>
    </w:p>
  </w:footnote>
  <w:footnote w:id="133">
    <w:p w:rsidR="006346FE" w:rsidRDefault="006346FE" w:rsidP="00F645C1">
      <w:pPr>
        <w:pStyle w:val="FootnoteText"/>
      </w:pPr>
      <w:r w:rsidRPr="00D309CF">
        <w:rPr>
          <w:rStyle w:val="FootnoteReference"/>
        </w:rPr>
        <w:footnoteRef/>
      </w:r>
      <w:r w:rsidRPr="00D309CF">
        <w:t xml:space="preserve"> </w:t>
      </w:r>
      <w:r w:rsidRPr="00D309CF">
        <w:rPr>
          <w:i/>
          <w:szCs w:val="18"/>
        </w:rPr>
        <w:t>Southwest Connecticut Key Study Area,</w:t>
      </w:r>
      <w:r w:rsidRPr="00D309CF">
        <w:t xml:space="preserve"> </w:t>
      </w:r>
      <w:r w:rsidRPr="006763C5">
        <w:t>web</w:t>
      </w:r>
      <w:r>
        <w:t>page</w:t>
      </w:r>
      <w:r w:rsidRPr="006763C5">
        <w:t xml:space="preserve"> (2017), </w:t>
      </w:r>
      <w:hyperlink r:id="rId102" w:history="1">
        <w:r w:rsidRPr="00D309CF">
          <w:rPr>
            <w:rStyle w:val="Hyperlink"/>
            <w:szCs w:val="18"/>
          </w:rPr>
          <w:t>https://www.iso-ne.com/system-planning/key-study-areas/swct</w:t>
        </w:r>
      </w:hyperlink>
      <w:r w:rsidRPr="00D309CF">
        <w:rPr>
          <w:rStyle w:val="Hyperlink"/>
          <w:szCs w:val="18"/>
        </w:rPr>
        <w:t>.</w:t>
      </w:r>
    </w:p>
  </w:footnote>
  <w:footnote w:id="134">
    <w:p w:rsidR="006346FE" w:rsidRDefault="006346FE" w:rsidP="00F645C1">
      <w:pPr>
        <w:pStyle w:val="FootnoteText"/>
      </w:pPr>
      <w:r>
        <w:rPr>
          <w:rStyle w:val="FootnoteReference"/>
        </w:rPr>
        <w:footnoteRef/>
      </w:r>
      <w:r>
        <w:t xml:space="preserve"> </w:t>
      </w:r>
      <w:r w:rsidRPr="00B85E49">
        <w:rPr>
          <w:i/>
          <w:szCs w:val="18"/>
        </w:rPr>
        <w:t>Southwest Connecticut 2022 Needs Assessment</w:t>
      </w:r>
      <w:r w:rsidRPr="00B85E49">
        <w:rPr>
          <w:szCs w:val="18"/>
        </w:rPr>
        <w:t xml:space="preserve"> II (February 19, 2014), </w:t>
      </w:r>
      <w:hyperlink r:id="rId103" w:history="1">
        <w:r w:rsidRPr="00B85E49">
          <w:rPr>
            <w:rStyle w:val="Hyperlink"/>
            <w:szCs w:val="18"/>
          </w:rPr>
          <w:t>https://smd.iso-ne.com/committees/comm_wkgrps/prtcpnts_comm/pac/ceii/mtrls/2014/feb192014/a9_swct_needs_assessment_2.pdf</w:t>
        </w:r>
      </w:hyperlink>
      <w:r w:rsidRPr="00B85E49">
        <w:rPr>
          <w:szCs w:val="18"/>
        </w:rPr>
        <w:t>.</w:t>
      </w:r>
      <w:r w:rsidRPr="00B85E49" w:rsidDel="00B65FB3">
        <w:rPr>
          <w:szCs w:val="18"/>
        </w:rPr>
        <w:t xml:space="preserve"> </w:t>
      </w:r>
      <w:r w:rsidRPr="00B85E49">
        <w:rPr>
          <w:i/>
          <w:szCs w:val="18"/>
        </w:rPr>
        <w:t>Southwest Connecticut Area Transmission 2022 Needs Assessment</w:t>
      </w:r>
      <w:r w:rsidRPr="00B85E49">
        <w:rPr>
          <w:szCs w:val="18"/>
        </w:rPr>
        <w:t xml:space="preserve"> (June 2014), </w:t>
      </w:r>
      <w:hyperlink r:id="rId104" w:history="1">
        <w:r w:rsidRPr="00B85E49">
          <w:rPr>
            <w:rStyle w:val="Hyperlink"/>
            <w:szCs w:val="18"/>
          </w:rPr>
          <w:t>https://smd.iso-ne.com/committees/comm_wkgrps/prtcpnts_comm/pac/ceii/reports/2014/final_swct_2022_needs.pdf</w:t>
        </w:r>
      </w:hyperlink>
      <w:r w:rsidRPr="00B85E49">
        <w:rPr>
          <w:szCs w:val="18"/>
        </w:rPr>
        <w:t>.</w:t>
      </w:r>
    </w:p>
  </w:footnote>
  <w:footnote w:id="135">
    <w:p w:rsidR="006346FE" w:rsidRDefault="006346FE" w:rsidP="00F645C1">
      <w:pPr>
        <w:pStyle w:val="FootnoteText"/>
      </w:pPr>
      <w:r>
        <w:rPr>
          <w:rStyle w:val="FootnoteReference"/>
        </w:rPr>
        <w:footnoteRef/>
      </w:r>
      <w:r>
        <w:t xml:space="preserve"> </w:t>
      </w:r>
      <w:r w:rsidRPr="00723361">
        <w:rPr>
          <w:i/>
        </w:rPr>
        <w:t xml:space="preserve">Southwest Connecticut 2022 Preferred Solution Selection </w:t>
      </w:r>
      <w:r w:rsidRPr="004076F9">
        <w:t>(July 15, 2014),</w:t>
      </w:r>
      <w:r w:rsidRPr="00970477">
        <w:t xml:space="preserve"> </w:t>
      </w:r>
      <w:hyperlink r:id="rId105" w:history="1">
        <w:r w:rsidRPr="008144AA">
          <w:rPr>
            <w:rStyle w:val="Hyperlink"/>
          </w:rPr>
          <w:t>https://smd.iso-ne.com/committees/comm_wkgrps/prtcpnts_comm/pac/ceii/mtrls/2014/jul152014/a9_swct_2022_preferred_solutions.pdf</w:t>
        </w:r>
      </w:hyperlink>
      <w:r w:rsidRPr="00970477">
        <w:t>.</w:t>
      </w:r>
      <w:r w:rsidRPr="00BB2BC5">
        <w:rPr>
          <w:i/>
          <w:szCs w:val="18"/>
        </w:rPr>
        <w:t xml:space="preserve"> </w:t>
      </w:r>
      <w:r w:rsidRPr="00B85E49">
        <w:rPr>
          <w:i/>
          <w:szCs w:val="18"/>
        </w:rPr>
        <w:t>Southwest Connecticut Area Transmission 2022 Solutions Study</w:t>
      </w:r>
      <w:r w:rsidRPr="00B85E49">
        <w:rPr>
          <w:szCs w:val="18"/>
        </w:rPr>
        <w:t xml:space="preserve"> (February 12, 2015), </w:t>
      </w:r>
      <w:hyperlink r:id="rId106" w:history="1">
        <w:r w:rsidRPr="00B85E49">
          <w:rPr>
            <w:rStyle w:val="Hyperlink"/>
            <w:szCs w:val="18"/>
          </w:rPr>
          <w:t>https://smd.iso-ne.com/planning/ceii/studies/ct/final_swct_2022_solutions_study.pdf</w:t>
        </w:r>
      </w:hyperlink>
      <w:r w:rsidRPr="00B85E49">
        <w:rPr>
          <w:szCs w:val="18"/>
        </w:rPr>
        <w:t>.</w:t>
      </w:r>
    </w:p>
  </w:footnote>
  <w:footnote w:id="136">
    <w:p w:rsidR="006346FE" w:rsidRDefault="006346FE" w:rsidP="00F645C1">
      <w:pPr>
        <w:pStyle w:val="FootnoteText"/>
      </w:pPr>
      <w:r>
        <w:rPr>
          <w:rStyle w:val="FootnoteReference"/>
        </w:rPr>
        <w:footnoteRef/>
      </w:r>
      <w:r>
        <w:t xml:space="preserve"> </w:t>
      </w:r>
      <w:r w:rsidRPr="001E0028">
        <w:rPr>
          <w:szCs w:val="18"/>
        </w:rPr>
        <w:t>The Bunker Hill substation rebuild (</w:t>
      </w:r>
      <w:r w:rsidRPr="001E5D27">
        <w:rPr>
          <w:i/>
          <w:szCs w:val="18"/>
        </w:rPr>
        <w:t>RSP Project List</w:t>
      </w:r>
      <w:r w:rsidRPr="001E0028">
        <w:rPr>
          <w:szCs w:val="18"/>
        </w:rPr>
        <w:t xml:space="preserve"> #1571) and looping the 1990 (Frost Bridge</w:t>
      </w:r>
      <w:r>
        <w:rPr>
          <w:szCs w:val="18"/>
        </w:rPr>
        <w:t>–</w:t>
      </w:r>
      <w:r w:rsidRPr="001E0028">
        <w:rPr>
          <w:szCs w:val="18"/>
        </w:rPr>
        <w:t>Baldwin</w:t>
      </w:r>
      <w:r>
        <w:rPr>
          <w:szCs w:val="18"/>
        </w:rPr>
        <w:t>–</w:t>
      </w:r>
      <w:r w:rsidRPr="001E0028">
        <w:rPr>
          <w:szCs w:val="18"/>
        </w:rPr>
        <w:t>Stevenson) line into Bunker Hill (</w:t>
      </w:r>
      <w:r w:rsidRPr="001E5D27">
        <w:rPr>
          <w:i/>
          <w:szCs w:val="18"/>
        </w:rPr>
        <w:t>RSP Project List</w:t>
      </w:r>
      <w:r w:rsidRPr="001E0028">
        <w:rPr>
          <w:szCs w:val="18"/>
        </w:rPr>
        <w:t xml:space="preserve"> #1569) are no longer necessary due to </w:t>
      </w:r>
      <w:r>
        <w:rPr>
          <w:szCs w:val="18"/>
        </w:rPr>
        <w:t xml:space="preserve">the </w:t>
      </w:r>
      <w:r w:rsidRPr="001E0028">
        <w:rPr>
          <w:szCs w:val="18"/>
        </w:rPr>
        <w:t>Towantic interconnection substation being functionally similar</w:t>
      </w:r>
      <w:r>
        <w:rPr>
          <w:szCs w:val="18"/>
        </w:rPr>
        <w:t>. T</w:t>
      </w:r>
      <w:r w:rsidRPr="001E0028">
        <w:rPr>
          <w:szCs w:val="18"/>
        </w:rPr>
        <w:t xml:space="preserve">he </w:t>
      </w:r>
      <w:r>
        <w:rPr>
          <w:szCs w:val="18"/>
        </w:rPr>
        <w:t>s</w:t>
      </w:r>
      <w:r w:rsidRPr="001E0028">
        <w:rPr>
          <w:szCs w:val="18"/>
        </w:rPr>
        <w:t>eparation of the 3827 (Beseck–East Devon)/1610 (Southington</w:t>
      </w:r>
      <w:r>
        <w:rPr>
          <w:szCs w:val="18"/>
        </w:rPr>
        <w:t>–</w:t>
      </w:r>
      <w:r w:rsidRPr="001E0028">
        <w:rPr>
          <w:szCs w:val="18"/>
        </w:rPr>
        <w:t>Mix Ave.</w:t>
      </w:r>
      <w:r>
        <w:rPr>
          <w:szCs w:val="18"/>
        </w:rPr>
        <w:t>–</w:t>
      </w:r>
      <w:r w:rsidRPr="001E0028">
        <w:rPr>
          <w:szCs w:val="18"/>
        </w:rPr>
        <w:t>June St.) double</w:t>
      </w:r>
      <w:r>
        <w:rPr>
          <w:szCs w:val="18"/>
        </w:rPr>
        <w:t>-</w:t>
      </w:r>
      <w:r w:rsidRPr="001E0028">
        <w:rPr>
          <w:szCs w:val="18"/>
        </w:rPr>
        <w:t>circuit tower (</w:t>
      </w:r>
      <w:r w:rsidRPr="001E5D27">
        <w:rPr>
          <w:i/>
          <w:szCs w:val="18"/>
        </w:rPr>
        <w:t>RSP Project List</w:t>
      </w:r>
      <w:r w:rsidRPr="001E0028">
        <w:rPr>
          <w:szCs w:val="18"/>
        </w:rPr>
        <w:t xml:space="preserve"> #1579)</w:t>
      </w:r>
      <w:r>
        <w:rPr>
          <w:szCs w:val="18"/>
        </w:rPr>
        <w:t>,</w:t>
      </w:r>
      <w:r w:rsidRPr="001E0028">
        <w:rPr>
          <w:szCs w:val="18"/>
        </w:rPr>
        <w:t xml:space="preserve"> previously recommended to alleviate overloads on 88003A/89003B lines</w:t>
      </w:r>
      <w:r>
        <w:rPr>
          <w:szCs w:val="18"/>
        </w:rPr>
        <w:t xml:space="preserve">, is </w:t>
      </w:r>
      <w:r w:rsidRPr="001E0028">
        <w:rPr>
          <w:szCs w:val="18"/>
        </w:rPr>
        <w:t xml:space="preserve">no longer necessary with </w:t>
      </w:r>
      <w:r>
        <w:rPr>
          <w:szCs w:val="18"/>
        </w:rPr>
        <w:t xml:space="preserve">the </w:t>
      </w:r>
      <w:r w:rsidRPr="001E0028">
        <w:rPr>
          <w:szCs w:val="18"/>
        </w:rPr>
        <w:t>additional generation in the SWCT area</w:t>
      </w:r>
      <w:r>
        <w:rPr>
          <w:szCs w:val="18"/>
        </w:rPr>
        <w:t>.</w:t>
      </w:r>
    </w:p>
  </w:footnote>
  <w:footnote w:id="137">
    <w:p w:rsidR="006346FE" w:rsidRDefault="006346FE" w:rsidP="00F645C1">
      <w:pPr>
        <w:pStyle w:val="FootnoteText"/>
      </w:pPr>
      <w:r>
        <w:rPr>
          <w:rStyle w:val="FootnoteReference"/>
        </w:rPr>
        <w:footnoteRef/>
      </w:r>
      <w:r>
        <w:t xml:space="preserve"> </w:t>
      </w:r>
      <w:r w:rsidRPr="001E0028">
        <w:rPr>
          <w:szCs w:val="18"/>
        </w:rPr>
        <w:t xml:space="preserve">The addition of a second 115 kV </w:t>
      </w:r>
      <w:r>
        <w:rPr>
          <w:szCs w:val="18"/>
        </w:rPr>
        <w:t xml:space="preserve">circuit breaker </w:t>
      </w:r>
      <w:r w:rsidRPr="001E0028">
        <w:rPr>
          <w:szCs w:val="18"/>
        </w:rPr>
        <w:t>in series with the 29T breaker at Plumtree (</w:t>
      </w:r>
      <w:r w:rsidRPr="001E5D27">
        <w:rPr>
          <w:i/>
          <w:szCs w:val="18"/>
        </w:rPr>
        <w:t>RSP Project List</w:t>
      </w:r>
      <w:r w:rsidRPr="001E0028">
        <w:rPr>
          <w:szCs w:val="18"/>
        </w:rPr>
        <w:t xml:space="preserve"> #1562) has already been placed in service and the relocation of the 37.8 capacitor bank at Plumtree (</w:t>
      </w:r>
      <w:r w:rsidRPr="001E5D27">
        <w:rPr>
          <w:i/>
          <w:szCs w:val="18"/>
        </w:rPr>
        <w:t>RSP Project List</w:t>
      </w:r>
      <w:r w:rsidRPr="001E0028">
        <w:rPr>
          <w:szCs w:val="18"/>
        </w:rPr>
        <w:t xml:space="preserve"> #1565) is under construction and is expected to be in service by December 2017.</w:t>
      </w:r>
    </w:p>
  </w:footnote>
  <w:footnote w:id="138">
    <w:p w:rsidR="006346FE" w:rsidRDefault="006346FE" w:rsidP="00F645C1">
      <w:pPr>
        <w:pStyle w:val="FootnoteText"/>
      </w:pPr>
      <w:r>
        <w:rPr>
          <w:rStyle w:val="FootnoteReference"/>
        </w:rPr>
        <w:footnoteRef/>
      </w:r>
      <w:r>
        <w:t xml:space="preserve"> </w:t>
      </w:r>
      <w:r>
        <w:rPr>
          <w:i/>
          <w:szCs w:val="18"/>
        </w:rPr>
        <w:t>Greater Hartford</w:t>
      </w:r>
      <w:r w:rsidRPr="00D24F07">
        <w:rPr>
          <w:i/>
          <w:szCs w:val="18"/>
        </w:rPr>
        <w:t xml:space="preserve"> Key Study Area,</w:t>
      </w:r>
      <w:r>
        <w:t xml:space="preserve"> webpage (2-17), </w:t>
      </w:r>
      <w:hyperlink r:id="rId107" w:history="1">
        <w:r w:rsidRPr="00A9665B">
          <w:rPr>
            <w:rStyle w:val="Hyperlink"/>
          </w:rPr>
          <w:t>https://www.iso-ne.com/system-planning/key-study-areas/greater-hartford</w:t>
        </w:r>
      </w:hyperlink>
      <w:r>
        <w:rPr>
          <w:rStyle w:val="Hyperlink"/>
        </w:rPr>
        <w:t>.</w:t>
      </w:r>
      <w:r>
        <w:t xml:space="preserve"> </w:t>
      </w:r>
    </w:p>
  </w:footnote>
  <w:footnote w:id="139">
    <w:p w:rsidR="006346FE" w:rsidRDefault="006346FE" w:rsidP="00F645C1">
      <w:pPr>
        <w:pStyle w:val="FootnoteText"/>
      </w:pPr>
      <w:r>
        <w:rPr>
          <w:rStyle w:val="FootnoteReference"/>
        </w:rPr>
        <w:footnoteRef/>
      </w:r>
      <w:r>
        <w:t xml:space="preserve"> </w:t>
      </w:r>
      <w:r w:rsidRPr="00723361">
        <w:rPr>
          <w:i/>
        </w:rPr>
        <w:t>Greater Hartford and Central Connecticut Area Transmission 2022 Needs Assessment</w:t>
      </w:r>
      <w:r>
        <w:t xml:space="preserve"> (</w:t>
      </w:r>
      <w:r w:rsidRPr="00D86FFF">
        <w:t>May 2014</w:t>
      </w:r>
      <w:r>
        <w:t>)</w:t>
      </w:r>
      <w:r w:rsidRPr="00D86FFF">
        <w:t>,</w:t>
      </w:r>
      <w:r>
        <w:t xml:space="preserve"> </w:t>
      </w:r>
      <w:hyperlink r:id="rId108" w:history="1">
        <w:r w:rsidRPr="00D354AB">
          <w:rPr>
            <w:rStyle w:val="Hyperlink"/>
          </w:rPr>
          <w:t>https://smd.iso-ne.com/committees/comm_wkgrps/prtcpnts_comm/pac/ceii/reports/2014/ghcc_needs_assessment_report_rev2.zip.</w:t>
        </w:r>
      </w:hyperlink>
    </w:p>
  </w:footnote>
  <w:footnote w:id="140">
    <w:p w:rsidR="006346FE" w:rsidRDefault="006346FE" w:rsidP="00F645C1">
      <w:pPr>
        <w:pStyle w:val="FootnoteText"/>
      </w:pPr>
      <w:r>
        <w:rPr>
          <w:rStyle w:val="FootnoteReference"/>
        </w:rPr>
        <w:footnoteRef/>
      </w:r>
      <w:r>
        <w:t xml:space="preserve"> </w:t>
      </w:r>
      <w:r w:rsidRPr="00723361">
        <w:rPr>
          <w:i/>
        </w:rPr>
        <w:t>Greater Hartford and Central Connecticut Area Solutions Study II</w:t>
      </w:r>
      <w:r>
        <w:rPr>
          <w:i/>
        </w:rPr>
        <w:t xml:space="preserve"> </w:t>
      </w:r>
      <w:r w:rsidRPr="00D86FFF">
        <w:t>(July 2014),</w:t>
      </w:r>
      <w:r>
        <w:t xml:space="preserve"> </w:t>
      </w:r>
      <w:hyperlink r:id="rId109" w:history="1">
        <w:r w:rsidRPr="00D354AB">
          <w:rPr>
            <w:rStyle w:val="Hyperlink"/>
          </w:rPr>
          <w:t>https://smd.iso-ne.com/committees/comm_wkgrps/prtcpnts_comm/pac/ceii/mtrls/2014/jul152014/a8_ghcc_area_solutions_2.zip</w:t>
        </w:r>
      </w:hyperlink>
      <w:r>
        <w:t xml:space="preserve">. </w:t>
      </w:r>
      <w:r w:rsidRPr="00723361">
        <w:rPr>
          <w:i/>
        </w:rPr>
        <w:t>Greater Hartford and Central Connecticut Area Transmission 2022 Solutions Study</w:t>
      </w:r>
      <w:r>
        <w:rPr>
          <w:i/>
        </w:rPr>
        <w:t xml:space="preserve"> </w:t>
      </w:r>
      <w:r>
        <w:t>(</w:t>
      </w:r>
      <w:r w:rsidRPr="00D86FFF">
        <w:t>February 2015</w:t>
      </w:r>
      <w:r>
        <w:t>)</w:t>
      </w:r>
      <w:r w:rsidRPr="00D86FFF">
        <w:t>,</w:t>
      </w:r>
      <w:r>
        <w:t xml:space="preserve"> </w:t>
      </w:r>
      <w:hyperlink r:id="rId110" w:history="1">
        <w:r w:rsidRPr="00D354AB">
          <w:rPr>
            <w:rStyle w:val="Hyperlink"/>
          </w:rPr>
          <w:t>https://smd.iso-ne.com/planning/ceii/reports/final_ghcc_solutions_study_report.pdf</w:t>
        </w:r>
      </w:hyperlink>
      <w:r>
        <w:t>.</w:t>
      </w:r>
    </w:p>
  </w:footnote>
  <w:footnote w:id="141">
    <w:p w:rsidR="006346FE" w:rsidRDefault="006346FE" w:rsidP="00F645C1">
      <w:pPr>
        <w:pStyle w:val="FootnoteText"/>
      </w:pPr>
      <w:r w:rsidRPr="006763C5">
        <w:rPr>
          <w:rStyle w:val="FootnoteReference"/>
        </w:rPr>
        <w:footnoteRef/>
      </w:r>
      <w:r w:rsidRPr="006763C5">
        <w:t xml:space="preserve"> </w:t>
      </w:r>
      <w:r w:rsidRPr="006763C5">
        <w:rPr>
          <w:i/>
        </w:rPr>
        <w:t>Pittsfield and Greenfield Key Study Area</w:t>
      </w:r>
      <w:r w:rsidRPr="006763C5">
        <w:t>, we</w:t>
      </w:r>
      <w:r>
        <w:t>bpage</w:t>
      </w:r>
      <w:r w:rsidRPr="006763C5">
        <w:t xml:space="preserve"> (2017), </w:t>
      </w:r>
      <w:hyperlink r:id="rId111" w:history="1">
        <w:r w:rsidRPr="006763C5">
          <w:rPr>
            <w:rStyle w:val="Hyperlink"/>
          </w:rPr>
          <w:t>https://www.iso-ne.com/system-planning/key-study-areas/pittsfield-greenfield</w:t>
        </w:r>
      </w:hyperlink>
      <w:r w:rsidRPr="006763C5">
        <w:rPr>
          <w:rStyle w:val="Hyperlink"/>
        </w:rPr>
        <w:t>.</w:t>
      </w:r>
    </w:p>
  </w:footnote>
  <w:footnote w:id="142">
    <w:p w:rsidR="006346FE" w:rsidRDefault="006346FE" w:rsidP="00F645C1">
      <w:pPr>
        <w:pStyle w:val="FootnoteText"/>
      </w:pPr>
      <w:r w:rsidRPr="001E5D27">
        <w:rPr>
          <w:rStyle w:val="FootnoteReference"/>
        </w:rPr>
        <w:footnoteRef/>
      </w:r>
      <w:r w:rsidRPr="001E5D27">
        <w:t xml:space="preserve"> </w:t>
      </w:r>
      <w:r w:rsidRPr="001E5D27">
        <w:rPr>
          <w:i/>
        </w:rPr>
        <w:t xml:space="preserve">Pittsfield Greenfield 2022 Solutions Study </w:t>
      </w:r>
      <w:r w:rsidRPr="001E5D27">
        <w:t xml:space="preserve">(April 2015), </w:t>
      </w:r>
      <w:hyperlink r:id="rId112" w:history="1">
        <w:r w:rsidRPr="001E5D27">
          <w:rPr>
            <w:rStyle w:val="Hyperlink"/>
          </w:rPr>
          <w:t>https://smd.iso-ne.com/planning/ceii/reports/2010s/archive/a8_pittsfield_greenfield_2022_solutions_study_rev2.pdf</w:t>
        </w:r>
      </w:hyperlink>
      <w:r w:rsidRPr="001E5D27">
        <w:t xml:space="preserve">. </w:t>
      </w:r>
      <w:r w:rsidRPr="001E5D27">
        <w:rPr>
          <w:i/>
        </w:rPr>
        <w:t xml:space="preserve">Pittsfield-Greenfield Area (PG Area) 2022 Solutions Study </w:t>
      </w:r>
      <w:r w:rsidRPr="001E5D27">
        <w:t xml:space="preserve">(October 2015), </w:t>
      </w:r>
      <w:hyperlink r:id="rId113" w:history="1">
        <w:r w:rsidRPr="001E5D27">
          <w:rPr>
            <w:rStyle w:val="Hyperlink"/>
          </w:rPr>
          <w:t>https://smd.iso-ne.com/operations-services/ceii/pac/2015/10/2022_pittsfield_greenfield_area_solutions_study_report_final.pdf</w:t>
        </w:r>
      </w:hyperlink>
      <w:r>
        <w:t>.</w:t>
      </w:r>
    </w:p>
  </w:footnote>
  <w:footnote w:id="143">
    <w:p w:rsidR="006346FE" w:rsidRDefault="006346FE" w:rsidP="00F645C1">
      <w:pPr>
        <w:pStyle w:val="FootnoteText"/>
      </w:pPr>
      <w:r w:rsidRPr="006763C5">
        <w:rPr>
          <w:rStyle w:val="FootnoteReference"/>
        </w:rPr>
        <w:footnoteRef/>
      </w:r>
      <w:r w:rsidRPr="006763C5">
        <w:rPr>
          <w:i/>
        </w:rPr>
        <w:t xml:space="preserve"> Greater Boston Key Study Area</w:t>
      </w:r>
      <w:r w:rsidRPr="006763C5">
        <w:t xml:space="preserve">, webpage (2017), </w:t>
      </w:r>
      <w:hyperlink r:id="rId114" w:history="1">
        <w:r w:rsidRPr="006763C5">
          <w:rPr>
            <w:rStyle w:val="Hyperlink"/>
          </w:rPr>
          <w:t>https://www.iso-ne.com/system-planning/key-study-areas/greater-boston</w:t>
        </w:r>
      </w:hyperlink>
      <w:r w:rsidRPr="006763C5">
        <w:t>.</w:t>
      </w:r>
    </w:p>
  </w:footnote>
  <w:footnote w:id="144">
    <w:p w:rsidR="006346FE" w:rsidRDefault="006346FE" w:rsidP="00F645C1">
      <w:pPr>
        <w:pStyle w:val="FootnoteText"/>
      </w:pPr>
      <w:r>
        <w:rPr>
          <w:rStyle w:val="FootnoteReference"/>
        </w:rPr>
        <w:footnoteRef/>
      </w:r>
      <w:r>
        <w:t xml:space="preserve"> </w:t>
      </w:r>
      <w:r w:rsidRPr="00B801B5">
        <w:rPr>
          <w:i/>
        </w:rPr>
        <w:t>Greater Boston Area Transmission Needs Assessment</w:t>
      </w:r>
      <w:r>
        <w:rPr>
          <w:i/>
        </w:rPr>
        <w:t xml:space="preserve"> </w:t>
      </w:r>
      <w:r w:rsidRPr="003E77F7">
        <w:t>(</w:t>
      </w:r>
      <w:r w:rsidRPr="006763C5">
        <w:t>July 2010)</w:t>
      </w:r>
      <w:r w:rsidRPr="003E77F7">
        <w:t>,</w:t>
      </w:r>
      <w:r>
        <w:t xml:space="preserve"> </w:t>
      </w:r>
      <w:hyperlink r:id="rId115" w:history="1">
        <w:r w:rsidRPr="00145A98">
          <w:rPr>
            <w:rStyle w:val="Hyperlink"/>
          </w:rPr>
          <w:t>https://smd.iso-ne.com/committees/comm_wkgrps/prtcpnts_comm/pac/ceii/reports/2012/boston_needs_report.ZIP</w:t>
        </w:r>
      </w:hyperlink>
      <w:r>
        <w:rPr>
          <w:rStyle w:val="Hyperlink"/>
        </w:rPr>
        <w:t>.</w:t>
      </w:r>
    </w:p>
  </w:footnote>
  <w:footnote w:id="145">
    <w:p w:rsidR="006346FE" w:rsidRDefault="006346FE" w:rsidP="00F645C1">
      <w:pPr>
        <w:pStyle w:val="FootnoteText"/>
      </w:pPr>
      <w:r>
        <w:rPr>
          <w:rStyle w:val="FootnoteReference"/>
        </w:rPr>
        <w:footnoteRef/>
      </w:r>
      <w:r>
        <w:t xml:space="preserve"> The </w:t>
      </w:r>
      <w:r w:rsidRPr="00A46461">
        <w:t xml:space="preserve">Greater Boston Area Transmission </w:t>
      </w:r>
      <w:r>
        <w:t>n</w:t>
      </w:r>
      <w:r w:rsidRPr="00A46461">
        <w:t xml:space="preserve">eeds </w:t>
      </w:r>
      <w:r>
        <w:t>a</w:t>
      </w:r>
      <w:r w:rsidRPr="00A46461">
        <w:t xml:space="preserve">ssessment </w:t>
      </w:r>
      <w:r>
        <w:t xml:space="preserve">for the 2018 and 2023 study horizon was originally published January 20, 2015. A summary of minor updates is available at </w:t>
      </w:r>
      <w:hyperlink r:id="rId116" w:history="1">
        <w:r w:rsidRPr="006D2982">
          <w:rPr>
            <w:rStyle w:val="Hyperlink"/>
          </w:rPr>
          <w:t>https://www.iso-ne.com/static-assets/documents/2016/07/summary_of_corrections_made_to_greater_boston_needs_assessment_report_final.pdf</w:t>
        </w:r>
      </w:hyperlink>
      <w:r>
        <w:t xml:space="preserve">. The updated needs assessment for the 2018 and 2023 study horizon (July 26, 2016) is available at </w:t>
      </w:r>
      <w:hyperlink r:id="rId117" w:history="1">
        <w:r w:rsidRPr="006D2982">
          <w:rPr>
            <w:rStyle w:val="Hyperlink"/>
          </w:rPr>
          <w:t>https://smd.iso-ne.com/planning/ceii/reports/2010s/greater_boston_updated_needs_assessment_report_final.pdf</w:t>
        </w:r>
      </w:hyperlink>
      <w:r>
        <w:t>.</w:t>
      </w:r>
    </w:p>
  </w:footnote>
  <w:footnote w:id="146">
    <w:p w:rsidR="006346FE" w:rsidRDefault="006346FE" w:rsidP="00F645C1">
      <w:pPr>
        <w:pStyle w:val="FootnoteText"/>
      </w:pPr>
      <w:r>
        <w:rPr>
          <w:rStyle w:val="FootnoteReference"/>
        </w:rPr>
        <w:footnoteRef/>
      </w:r>
      <w:r>
        <w:t xml:space="preserve"> </w:t>
      </w:r>
      <w:r w:rsidRPr="006B0994">
        <w:rPr>
          <w:i/>
        </w:rPr>
        <w:t xml:space="preserve">Greater Boston Preferred Solution, </w:t>
      </w:r>
      <w:r w:rsidRPr="001E5D27">
        <w:t>(February 2015)</w:t>
      </w:r>
      <w:r>
        <w:t xml:space="preserve">, </w:t>
      </w:r>
      <w:hyperlink r:id="rId118" w:history="1">
        <w:r w:rsidRPr="007E796C">
          <w:rPr>
            <w:rStyle w:val="Hyperlink"/>
          </w:rPr>
          <w:t>https://www.iso-ne.com/static-assets/documents/2015/02/a2_isone_greater_boston_preferred_solution_non_ceii.pdf</w:t>
        </w:r>
      </w:hyperlink>
      <w:r>
        <w:t>.</w:t>
      </w:r>
      <w:r w:rsidRPr="007E796C">
        <w:t xml:space="preserve"> Greater Boston Area Transmission Solutions Study</w:t>
      </w:r>
      <w:r>
        <w:t xml:space="preserve"> (</w:t>
      </w:r>
      <w:r w:rsidRPr="007E796C">
        <w:t>August 2015</w:t>
      </w:r>
      <w:r>
        <w:t>)</w:t>
      </w:r>
      <w:r w:rsidRPr="007E796C">
        <w:t xml:space="preserve">, </w:t>
      </w:r>
      <w:hyperlink r:id="rId119" w:history="1">
        <w:r w:rsidRPr="007E796C">
          <w:rPr>
            <w:rStyle w:val="Hyperlink"/>
          </w:rPr>
          <w:t>https://smd.iso-ne.com/operations-services/ceii/pac/2015/08/final_greater_boston_transmission_solution_study_reports.zip</w:t>
        </w:r>
      </w:hyperlink>
      <w:r>
        <w:t>.</w:t>
      </w:r>
    </w:p>
  </w:footnote>
  <w:footnote w:id="147">
    <w:p w:rsidR="006346FE" w:rsidRDefault="006346FE" w:rsidP="00F645C1">
      <w:pPr>
        <w:pStyle w:val="FootnoteText"/>
      </w:pPr>
      <w:r w:rsidRPr="006763C5">
        <w:rPr>
          <w:rStyle w:val="FootnoteReference"/>
        </w:rPr>
        <w:footnoteRef/>
      </w:r>
      <w:r w:rsidRPr="006763C5">
        <w:t xml:space="preserve"> </w:t>
      </w:r>
      <w:r w:rsidRPr="006763C5">
        <w:rPr>
          <w:i/>
        </w:rPr>
        <w:t>Southeastern Massachusetts and Rhode Island Key Study Area</w:t>
      </w:r>
      <w:r w:rsidRPr="006763C5">
        <w:t xml:space="preserve">, webpage (2017), </w:t>
      </w:r>
      <w:hyperlink r:id="rId120" w:history="1">
        <w:r w:rsidRPr="006763C5">
          <w:rPr>
            <w:rStyle w:val="Hyperlink"/>
          </w:rPr>
          <w:t>https://www.iso-ne.com/system-planning/key-study-areas/sema-ri</w:t>
        </w:r>
      </w:hyperlink>
      <w:r w:rsidRPr="006763C5">
        <w:t>.</w:t>
      </w:r>
    </w:p>
  </w:footnote>
  <w:footnote w:id="148">
    <w:p w:rsidR="006346FE" w:rsidRDefault="006346FE" w:rsidP="00F645C1">
      <w:pPr>
        <w:pStyle w:val="FootnoteText"/>
      </w:pPr>
      <w:r>
        <w:rPr>
          <w:rStyle w:val="FootnoteReference"/>
        </w:rPr>
        <w:footnoteRef/>
      </w:r>
      <w:r>
        <w:t xml:space="preserve"> These subareas were used for the needs assessment. Under the solutions study effort, a</w:t>
      </w:r>
      <w:r w:rsidRPr="004D2731">
        <w:t>s the solutions were developed, some of the solution alternatives solve</w:t>
      </w:r>
      <w:r>
        <w:t>d</w:t>
      </w:r>
      <w:r w:rsidRPr="004D2731">
        <w:t xml:space="preserve"> needs across the subarea designations created during the </w:t>
      </w:r>
      <w:r>
        <w:t>n</w:t>
      </w:r>
      <w:r w:rsidRPr="004D2731">
        <w:t xml:space="preserve">eeds </w:t>
      </w:r>
      <w:r>
        <w:t>a</w:t>
      </w:r>
      <w:r w:rsidRPr="004D2731">
        <w:t xml:space="preserve">ssessment phase. Due to this finding, the </w:t>
      </w:r>
      <w:r>
        <w:t>SEMA/</w:t>
      </w:r>
      <w:r w:rsidRPr="004D2731">
        <w:t>RI study area was partitioned into new groups for the Solutions Study</w:t>
      </w:r>
      <w:r>
        <w:t xml:space="preserve">. Group 1 comprises portions of Farnum, West Medway-West Walpole, South Shore, and Somerset-Newport subareas. Group 2 comprises the Industrial Park and Somerset-Newport subareas. Group 3 comprises a portion of the Farnum subarea. Group 4 comprises a portion of the West Medway-West Walpole subarea. Group 5 comprises a portion of the South Shore subarea. Group 6 is equivalent to the Cape Cod subarea. </w:t>
      </w:r>
    </w:p>
  </w:footnote>
  <w:footnote w:id="149">
    <w:p w:rsidR="006346FE" w:rsidRPr="00F62BEF" w:rsidRDefault="006346FE" w:rsidP="00F645C1">
      <w:pPr>
        <w:pStyle w:val="FootnoteText"/>
      </w:pPr>
      <w:r w:rsidRPr="00EE2F3C">
        <w:rPr>
          <w:rStyle w:val="FootnoteReference"/>
        </w:rPr>
        <w:footnoteRef/>
      </w:r>
      <w:r w:rsidRPr="00EE2F3C">
        <w:t xml:space="preserve"> </w:t>
      </w:r>
      <w:r w:rsidRPr="00EE2F3C">
        <w:rPr>
          <w:i/>
        </w:rPr>
        <w:t xml:space="preserve">Southeastern Massachusetts and Rhode Island Area Needs Assessment (N-1) </w:t>
      </w:r>
      <w:r w:rsidRPr="00EE2F3C">
        <w:t xml:space="preserve">(October 2012), </w:t>
      </w:r>
      <w:hyperlink r:id="rId121" w:history="1">
        <w:r w:rsidRPr="00EE2F3C">
          <w:rPr>
            <w:rStyle w:val="Hyperlink"/>
          </w:rPr>
          <w:t>https://smd.iso-ne.com/committees/comm_wkgrps/prtcpnts_comm/pac/ceii/mtrls/2012/oct172012/sema_ri.pdf</w:t>
        </w:r>
      </w:hyperlink>
      <w:r>
        <w:rPr>
          <w:rStyle w:val="Hyperlink"/>
        </w:rPr>
        <w:t xml:space="preserve">. </w:t>
      </w:r>
      <w:r w:rsidRPr="00EE2F3C">
        <w:rPr>
          <w:i/>
        </w:rPr>
        <w:t>Southeastern Massachusetts and Rhode Island (</w:t>
      </w:r>
      <w:r>
        <w:rPr>
          <w:i/>
        </w:rPr>
        <w:t>SEMA/</w:t>
      </w:r>
      <w:r w:rsidRPr="00EE2F3C">
        <w:rPr>
          <w:i/>
        </w:rPr>
        <w:t xml:space="preserve">RI) Area Needs Assessment (N-1) </w:t>
      </w:r>
      <w:r w:rsidRPr="00EE2F3C">
        <w:t>(February 2014)</w:t>
      </w:r>
      <w:r w:rsidRPr="00EE2F3C">
        <w:rPr>
          <w:i/>
        </w:rPr>
        <w:t>,</w:t>
      </w:r>
      <w:r w:rsidRPr="00EE2F3C">
        <w:t xml:space="preserve"> </w:t>
      </w:r>
      <w:hyperlink r:id="rId122" w:history="1">
        <w:r w:rsidRPr="00EE2F3C">
          <w:rPr>
            <w:rStyle w:val="Hyperlink"/>
          </w:rPr>
          <w:t>https://smd.iso-ne.com/committees/comm_wkgrps/prtcpnts_comm/pac/ceii/mtrls/2014/feb192014/a8_sema_ri_needs_assessment.pdf</w:t>
        </w:r>
      </w:hyperlink>
      <w:r w:rsidRPr="00EE2F3C">
        <w:t xml:space="preserve">. </w:t>
      </w:r>
      <w:r w:rsidRPr="00EE2F3C">
        <w:rPr>
          <w:i/>
        </w:rPr>
        <w:t xml:space="preserve">Southeastern Massachusetts and Rhode Island Area Needs Assessment (N-1-1) </w:t>
      </w:r>
      <w:r w:rsidRPr="00EE2F3C">
        <w:t>(July 2014),</w:t>
      </w:r>
      <w:r w:rsidRPr="00EE2F3C">
        <w:rPr>
          <w:i/>
        </w:rPr>
        <w:t xml:space="preserve"> </w:t>
      </w:r>
      <w:hyperlink r:id="rId123" w:history="1">
        <w:r w:rsidRPr="00EE2F3C">
          <w:rPr>
            <w:rStyle w:val="Hyperlink"/>
          </w:rPr>
          <w:t>https://smd.iso-ne.com/committees/comm_wkgrps/prtcpnts_comm/pac/ceii/mtrls/2014/jul152014/a5_sema_ri_area_needs_2_n_1_1_rev1.pdf</w:t>
        </w:r>
      </w:hyperlink>
      <w:r w:rsidRPr="00EE2F3C">
        <w:t>.</w:t>
      </w:r>
    </w:p>
  </w:footnote>
  <w:footnote w:id="150">
    <w:p w:rsidR="006346FE" w:rsidRDefault="006346FE" w:rsidP="00F645C1">
      <w:pPr>
        <w:pStyle w:val="FootnoteText"/>
      </w:pPr>
      <w:r>
        <w:rPr>
          <w:rStyle w:val="FootnoteReference"/>
        </w:rPr>
        <w:footnoteRef/>
      </w:r>
      <w:r>
        <w:t xml:space="preserve"> </w:t>
      </w:r>
      <w:r w:rsidRPr="00723361">
        <w:rPr>
          <w:i/>
        </w:rPr>
        <w:t>Southeastern Massachusetts and Rhode Island 2026 Needs Assessment</w:t>
      </w:r>
      <w:r>
        <w:rPr>
          <w:i/>
        </w:rPr>
        <w:t xml:space="preserve"> </w:t>
      </w:r>
      <w:r w:rsidRPr="00EE2F3C">
        <w:t>(March 2016),</w:t>
      </w:r>
      <w:r>
        <w:t xml:space="preserve"> </w:t>
      </w:r>
      <w:hyperlink r:id="rId124" w:history="1">
        <w:r w:rsidRPr="00EE2F3C">
          <w:rPr>
            <w:rStyle w:val="Hyperlink"/>
          </w:rPr>
          <w:t>https://smd.iso-ne.com/operations-services/ceii/pac/2016/05/final_sema_ri_2026_needs_assessment_presentation_rev2.pdf</w:t>
        </w:r>
      </w:hyperlink>
      <w:r>
        <w:t>.</w:t>
      </w:r>
    </w:p>
    <w:p w:rsidR="006346FE" w:rsidRDefault="006346FE" w:rsidP="00F645C1">
      <w:pPr>
        <w:pStyle w:val="FootnoteText"/>
      </w:pPr>
      <w:r w:rsidRPr="00723361">
        <w:rPr>
          <w:i/>
        </w:rPr>
        <w:t>Southeastern Massachusetts and Rhode Island Area 2026 Needs Assessment</w:t>
      </w:r>
      <w:r>
        <w:rPr>
          <w:i/>
        </w:rPr>
        <w:t xml:space="preserve"> </w:t>
      </w:r>
      <w:r w:rsidRPr="00EE2F3C">
        <w:t>(May 2016),</w:t>
      </w:r>
      <w:r>
        <w:t xml:space="preserve"> </w:t>
      </w:r>
      <w:hyperlink r:id="rId125" w:history="1">
        <w:r w:rsidRPr="00EE2F3C">
          <w:rPr>
            <w:rStyle w:val="Hyperlink"/>
          </w:rPr>
          <w:t>https://smd.iso-ne.com/operations-services/ceii/pac/2016/05/final_sema_ri_needs_assessment_report.pdf</w:t>
        </w:r>
      </w:hyperlink>
      <w:r>
        <w:t>.</w:t>
      </w:r>
    </w:p>
  </w:footnote>
  <w:footnote w:id="151">
    <w:p w:rsidR="006346FE" w:rsidRDefault="006346FE" w:rsidP="00F645C1">
      <w:pPr>
        <w:pStyle w:val="FootnoteText"/>
      </w:pPr>
      <w:r>
        <w:rPr>
          <w:rStyle w:val="FootnoteReference"/>
        </w:rPr>
        <w:footnoteRef/>
      </w:r>
      <w:r>
        <w:t xml:space="preserve"> </w:t>
      </w:r>
      <w:r w:rsidRPr="006B0994">
        <w:rPr>
          <w:i/>
        </w:rPr>
        <w:t>Southeastern Massachusetts and Rhode Island 2026 Preliminary Preferred Solution</w:t>
      </w:r>
      <w:r>
        <w:rPr>
          <w:i/>
        </w:rPr>
        <w:t xml:space="preserve"> </w:t>
      </w:r>
      <w:r w:rsidRPr="00EE2F3C">
        <w:t>(December 2016</w:t>
      </w:r>
      <w:r>
        <w:rPr>
          <w:i/>
        </w:rPr>
        <w:t>)</w:t>
      </w:r>
      <w:r w:rsidRPr="006B0994">
        <w:rPr>
          <w:i/>
        </w:rPr>
        <w:t>,</w:t>
      </w:r>
      <w:r>
        <w:t xml:space="preserve"> </w:t>
      </w:r>
      <w:hyperlink r:id="rId126" w:history="1">
        <w:r w:rsidRPr="00EE2F3C">
          <w:rPr>
            <w:rStyle w:val="Hyperlink"/>
          </w:rPr>
          <w:t>https://smd.iso-ne.com/operations-services/ceii/pac/2016/12/a3_sema_ri_2026_preliminary_preferred_solutions.pdf</w:t>
        </w:r>
      </w:hyperlink>
      <w:r>
        <w:t>.</w:t>
      </w:r>
      <w:r w:rsidRPr="00D14D0A">
        <w:t xml:space="preserve"> Southeastern Massachusetts and Rhode Island Area 2026 Solutions Study (March 2017), </w:t>
      </w:r>
      <w:hyperlink r:id="rId127" w:history="1">
        <w:r w:rsidRPr="00D14D0A">
          <w:rPr>
            <w:rStyle w:val="Hyperlink"/>
          </w:rPr>
          <w:t>https://smd.iso-ne.com/operations-services/ceii/pac/2017/02/final_sema_ri_2026_solutions_study_report_rev1.pdf</w:t>
        </w:r>
      </w:hyperlink>
      <w:r w:rsidRPr="00D14D0A">
        <w:t>.</w:t>
      </w:r>
    </w:p>
  </w:footnote>
  <w:footnote w:id="152">
    <w:p w:rsidR="006346FE" w:rsidRDefault="006346FE" w:rsidP="00F645C1">
      <w:pPr>
        <w:pStyle w:val="FootnoteText"/>
      </w:pPr>
      <w:r>
        <w:rPr>
          <w:rStyle w:val="FootnoteReference"/>
        </w:rPr>
        <w:footnoteRef/>
      </w:r>
      <w:r>
        <w:t xml:space="preserve"> </w:t>
      </w:r>
      <w:r w:rsidRPr="00723361">
        <w:rPr>
          <w:i/>
        </w:rPr>
        <w:t>Newport RI (Aquidneck Island) Transmission Area Improvements – Needs and Preferred Solution</w:t>
      </w:r>
      <w:r>
        <w:rPr>
          <w:i/>
        </w:rPr>
        <w:t xml:space="preserve"> </w:t>
      </w:r>
      <w:r w:rsidRPr="00EE2F3C">
        <w:t>(April 2015),</w:t>
      </w:r>
      <w:r>
        <w:t xml:space="preserve"> </w:t>
      </w:r>
      <w:hyperlink r:id="rId128" w:history="1">
        <w:r w:rsidRPr="00EE2F3C">
          <w:rPr>
            <w:rStyle w:val="Hyperlink"/>
          </w:rPr>
          <w:t>https://smd.iso-ne.com/planning/ceii/reports/2010s/archive/a7_newport_aquidneck_island_transmission_area_improvements_presentation.pdf</w:t>
        </w:r>
      </w:hyperlink>
      <w:r>
        <w:t>.</w:t>
      </w:r>
    </w:p>
  </w:footnote>
  <w:footnote w:id="153">
    <w:p w:rsidR="006346FE" w:rsidRDefault="006346FE" w:rsidP="00F645C1">
      <w:pPr>
        <w:pStyle w:val="FootnoteText"/>
      </w:pPr>
      <w:r>
        <w:rPr>
          <w:rStyle w:val="FootnoteReference"/>
        </w:rPr>
        <w:footnoteRef/>
      </w:r>
      <w:r>
        <w:t xml:space="preserve"> </w:t>
      </w:r>
      <w:r w:rsidRPr="0051277F">
        <w:rPr>
          <w:i/>
        </w:rPr>
        <w:t>Southeastern Massachusetts and Rhode Island Minimum Load Needs Assessment</w:t>
      </w:r>
      <w:r>
        <w:t xml:space="preserve">, (November 2016), </w:t>
      </w:r>
      <w:hyperlink r:id="rId129" w:history="1">
        <w:r w:rsidRPr="00A533B9">
          <w:rPr>
            <w:rStyle w:val="Hyperlink"/>
          </w:rPr>
          <w:t>https://smd.iso-ne.com/operations-services/ceii/pac/2016/11/a2_sema_ri_2025_min_load_needs_assessment_</w:t>
        </w:r>
        <w:r w:rsidRPr="00A533B9">
          <w:rPr>
            <w:rStyle w:val="Hyperlink"/>
          </w:rPr>
          <w:br/>
          <w:t>final.pdf</w:t>
        </w:r>
      </w:hyperlink>
      <w:r>
        <w:t>.</w:t>
      </w:r>
    </w:p>
  </w:footnote>
  <w:footnote w:id="154">
    <w:p w:rsidR="006346FE" w:rsidRDefault="006346FE" w:rsidP="00F645C1">
      <w:pPr>
        <w:pStyle w:val="FootnoteText"/>
      </w:pPr>
      <w:r>
        <w:rPr>
          <w:rStyle w:val="FootnoteReference"/>
        </w:rPr>
        <w:footnoteRef/>
      </w:r>
      <w:r>
        <w:t xml:space="preserve"> </w:t>
      </w:r>
      <w:r w:rsidRPr="006476D4">
        <w:rPr>
          <w:i/>
        </w:rPr>
        <w:t>Southeastern Massachusetts and Rhode Island  Updated Minimum Load Needs Assessment</w:t>
      </w:r>
      <w:r>
        <w:t xml:space="preserve">, (March 2017), </w:t>
      </w:r>
      <w:hyperlink r:id="rId130" w:history="1">
        <w:r w:rsidRPr="00A533B9">
          <w:rPr>
            <w:rStyle w:val="Hyperlink"/>
          </w:rPr>
          <w:t>https://smd.iso-ne.com/operations-services/ceii/pac/2017/03/a9_sema_ri_min_load_needs_assessment_</w:t>
        </w:r>
        <w:r w:rsidRPr="00A533B9">
          <w:rPr>
            <w:rStyle w:val="Hyperlink"/>
          </w:rPr>
          <w:br/>
          <w:t>presentation.pdf</w:t>
        </w:r>
      </w:hyperlink>
      <w:r>
        <w:t xml:space="preserve"> and </w:t>
      </w:r>
      <w:r w:rsidRPr="006476D4">
        <w:rPr>
          <w:i/>
        </w:rPr>
        <w:t>Southeastern Massachusetts and Rhode Island Area 2026 Minimum Load Needs Assessment</w:t>
      </w:r>
      <w:r>
        <w:t xml:space="preserve">, (June 2017), </w:t>
      </w:r>
      <w:hyperlink r:id="rId131" w:history="1">
        <w:r w:rsidRPr="00A533B9">
          <w:rPr>
            <w:rStyle w:val="Hyperlink"/>
          </w:rPr>
          <w:t>https://smd.iso-ne.com/operations-services/ceii/pac/2017/06/ceii_draft_sema_ri_min_load_needs_assessment_</w:t>
        </w:r>
        <w:r w:rsidRPr="00A533B9">
          <w:rPr>
            <w:rStyle w:val="Hyperlink"/>
          </w:rPr>
          <w:br/>
          <w:t>report.docx</w:t>
        </w:r>
      </w:hyperlink>
      <w:r>
        <w:t>.</w:t>
      </w:r>
    </w:p>
  </w:footnote>
  <w:footnote w:id="155">
    <w:p w:rsidR="006346FE" w:rsidRDefault="006346FE" w:rsidP="00F645C1">
      <w:pPr>
        <w:pStyle w:val="FootnoteText"/>
      </w:pPr>
      <w:r w:rsidRPr="006763C5">
        <w:rPr>
          <w:rStyle w:val="FootnoteReference"/>
        </w:rPr>
        <w:footnoteRef/>
      </w:r>
      <w:r w:rsidRPr="006763C5">
        <w:t xml:space="preserve"> </w:t>
      </w:r>
      <w:r w:rsidRPr="006763C5">
        <w:rPr>
          <w:i/>
        </w:rPr>
        <w:t>Maine Key Study Area</w:t>
      </w:r>
      <w:r w:rsidRPr="006763C5">
        <w:t xml:space="preserve">, webpage (2017), </w:t>
      </w:r>
      <w:hyperlink r:id="rId132" w:history="1">
        <w:r w:rsidRPr="006763C5">
          <w:rPr>
            <w:rStyle w:val="Hyperlink"/>
          </w:rPr>
          <w:t>https://www.iso-ne.com/system-planning/key-study-areas/maine</w:t>
        </w:r>
      </w:hyperlink>
      <w:r>
        <w:rPr>
          <w:rStyle w:val="Hyperlink"/>
        </w:rPr>
        <w:t>.</w:t>
      </w:r>
      <w:r>
        <w:t xml:space="preserve"> </w:t>
      </w:r>
    </w:p>
  </w:footnote>
  <w:footnote w:id="156">
    <w:p w:rsidR="006346FE" w:rsidRDefault="006346FE" w:rsidP="00F645C1">
      <w:pPr>
        <w:pStyle w:val="FootnoteText"/>
      </w:pPr>
      <w:r>
        <w:rPr>
          <w:rStyle w:val="FootnoteReference"/>
        </w:rPr>
        <w:footnoteRef/>
      </w:r>
      <w:r>
        <w:t xml:space="preserve"> </w:t>
      </w:r>
      <w:r w:rsidRPr="00723361">
        <w:rPr>
          <w:i/>
        </w:rPr>
        <w:t>Maine Transmission System 2023 Needs Assessment Steady State Results</w:t>
      </w:r>
      <w:r>
        <w:rPr>
          <w:i/>
        </w:rPr>
        <w:t xml:space="preserve"> </w:t>
      </w:r>
      <w:r w:rsidRPr="00D81C94">
        <w:t>(September 2014),</w:t>
      </w:r>
      <w:r>
        <w:t xml:space="preserve"> </w:t>
      </w:r>
      <w:hyperlink r:id="rId133" w:history="1">
        <w:r w:rsidRPr="00991415">
          <w:rPr>
            <w:rStyle w:val="Hyperlink"/>
          </w:rPr>
          <w:t>https://smd.iso-ne.com/operations-services/ceii/pac/2014/a3_maine_2023_needs_assessment_results.pdf</w:t>
        </w:r>
      </w:hyperlink>
      <w:r>
        <w:t xml:space="preserve">. </w:t>
      </w:r>
      <w:r w:rsidRPr="00723361">
        <w:rPr>
          <w:i/>
        </w:rPr>
        <w:t>Maine Transmission System 2023 Needs Assessment and TPL-001-4 Compliance Study Report</w:t>
      </w:r>
      <w:r>
        <w:rPr>
          <w:i/>
        </w:rPr>
        <w:t xml:space="preserve"> </w:t>
      </w:r>
      <w:r w:rsidRPr="00D81C94">
        <w:t>(December 2014</w:t>
      </w:r>
      <w:r>
        <w:t xml:space="preserve">), </w:t>
      </w:r>
      <w:hyperlink r:id="rId134" w:history="1">
        <w:r w:rsidRPr="00991415">
          <w:rPr>
            <w:rStyle w:val="Hyperlink"/>
          </w:rPr>
          <w:t>https://smd.iso-ne.com/operations-services/ceii/pac/2014/final_maine_2023_needs_assessment_tpl_001_4_compliance_report.pdf</w:t>
        </w:r>
      </w:hyperlink>
      <w:r>
        <w:t>.</w:t>
      </w:r>
    </w:p>
  </w:footnote>
  <w:footnote w:id="157">
    <w:p w:rsidR="006346FE" w:rsidRDefault="006346FE" w:rsidP="00F645C1">
      <w:pPr>
        <w:pStyle w:val="FootnoteText"/>
      </w:pPr>
      <w:r>
        <w:rPr>
          <w:rStyle w:val="FootnoteReference"/>
        </w:rPr>
        <w:footnoteRef/>
      </w:r>
      <w:r>
        <w:t xml:space="preserve"> </w:t>
      </w:r>
      <w:r w:rsidRPr="00723361">
        <w:rPr>
          <w:i/>
        </w:rPr>
        <w:t>Final Addendum Analysis Report to the 2023 Maine  Transmission System Needs Assessment</w:t>
      </w:r>
      <w:r>
        <w:rPr>
          <w:i/>
        </w:rPr>
        <w:t xml:space="preserve"> </w:t>
      </w:r>
      <w:r w:rsidRPr="00D81C94">
        <w:t>(April 2016</w:t>
      </w:r>
      <w:r>
        <w:t xml:space="preserve">), </w:t>
      </w:r>
      <w:hyperlink r:id="rId135" w:history="1">
        <w:r w:rsidRPr="00145A98">
          <w:rPr>
            <w:rStyle w:val="Hyperlink"/>
          </w:rPr>
          <w:t>https://smd.iso-ne.com/operations-services/ceii/pac/2016/04/2023-final-me-addendum-report_20160428.pdf</w:t>
        </w:r>
      </w:hyperlink>
      <w:r>
        <w:rPr>
          <w:rStyle w:val="Hyperlink"/>
        </w:rPr>
        <w:t>.</w:t>
      </w:r>
      <w:r>
        <w:t xml:space="preserve"> </w:t>
      </w:r>
    </w:p>
  </w:footnote>
  <w:footnote w:id="158">
    <w:p w:rsidR="006346FE" w:rsidRDefault="006346FE" w:rsidP="00F645C1">
      <w:pPr>
        <w:pStyle w:val="FootnoteText"/>
      </w:pPr>
      <w:r>
        <w:rPr>
          <w:rStyle w:val="FootnoteReference"/>
        </w:rPr>
        <w:footnoteRef/>
      </w:r>
      <w:r>
        <w:t xml:space="preserve"> </w:t>
      </w:r>
      <w:r w:rsidRPr="00723361">
        <w:rPr>
          <w:i/>
        </w:rPr>
        <w:t>Maine 2023 Solutions Study Update</w:t>
      </w:r>
      <w:r>
        <w:rPr>
          <w:i/>
        </w:rPr>
        <w:t xml:space="preserve"> </w:t>
      </w:r>
      <w:r w:rsidRPr="00D81C94">
        <w:t>(January 2017</w:t>
      </w:r>
      <w:r>
        <w:t xml:space="preserve">), </w:t>
      </w:r>
      <w:hyperlink r:id="rId136" w:history="1">
        <w:r w:rsidRPr="00991415">
          <w:rPr>
            <w:rStyle w:val="Hyperlink"/>
          </w:rPr>
          <w:t>https://smd.iso-ne.com/operations-services/ceii/pac/2017/01/a4_maine_2023_solution_study_update.pdf</w:t>
        </w:r>
      </w:hyperlink>
      <w:r>
        <w:t>.</w:t>
      </w:r>
    </w:p>
  </w:footnote>
  <w:footnote w:id="159">
    <w:p w:rsidR="006346FE" w:rsidRPr="0048054B" w:rsidRDefault="006346FE" w:rsidP="00F645C1">
      <w:pPr>
        <w:pStyle w:val="FootnoteText"/>
        <w:rPr>
          <w:szCs w:val="18"/>
        </w:rPr>
      </w:pPr>
      <w:r w:rsidRPr="0048054B">
        <w:rPr>
          <w:rStyle w:val="FootnoteReference"/>
          <w:sz w:val="18"/>
          <w:szCs w:val="18"/>
        </w:rPr>
        <w:footnoteRef/>
      </w:r>
      <w:r>
        <w:rPr>
          <w:szCs w:val="18"/>
        </w:rPr>
        <w:t xml:space="preserve"> ISO New England Planning Procedure No. 3, </w:t>
      </w:r>
      <w:r w:rsidRPr="0048054B">
        <w:rPr>
          <w:i/>
          <w:szCs w:val="18"/>
        </w:rPr>
        <w:t>Reliability Standards for the New England Area Pool Transmission Facilities</w:t>
      </w:r>
      <w:r w:rsidRPr="0048054B">
        <w:rPr>
          <w:szCs w:val="18"/>
        </w:rPr>
        <w:t xml:space="preserve"> (February 10, 2017</w:t>
      </w:r>
      <w:r>
        <w:rPr>
          <w:szCs w:val="18"/>
        </w:rPr>
        <w:t>),</w:t>
      </w:r>
      <w:r w:rsidRPr="0048054B">
        <w:rPr>
          <w:szCs w:val="18"/>
        </w:rPr>
        <w:t xml:space="preserve"> </w:t>
      </w:r>
      <w:hyperlink r:id="rId137" w:history="1">
        <w:r w:rsidRPr="0082193C">
          <w:rPr>
            <w:rStyle w:val="Hyperlink"/>
            <w:szCs w:val="18"/>
          </w:rPr>
          <w:t>https://www.iso-ne.com/static-assets/documents/2017/02/pp3_rev7.pdf</w:t>
        </w:r>
      </w:hyperlink>
      <w:r w:rsidRPr="0048054B">
        <w:rPr>
          <w:szCs w:val="18"/>
        </w:rPr>
        <w:t>.</w:t>
      </w:r>
    </w:p>
  </w:footnote>
  <w:footnote w:id="160">
    <w:p w:rsidR="006346FE" w:rsidRDefault="006346FE" w:rsidP="00F645C1">
      <w:pPr>
        <w:pStyle w:val="FootnoteText"/>
      </w:pPr>
      <w:r w:rsidRPr="0048054B">
        <w:rPr>
          <w:rStyle w:val="FootnoteReference"/>
        </w:rPr>
        <w:footnoteRef/>
      </w:r>
      <w:r w:rsidRPr="0048054B">
        <w:t xml:space="preserve"> As of June 1, 2017, the latest PAC update on incorporating probabilistic planning methods was discussed during the chair’s remarks at the May 2017 meeting.</w:t>
      </w:r>
      <w:r>
        <w:t xml:space="preserve"> </w:t>
      </w:r>
    </w:p>
  </w:footnote>
  <w:footnote w:id="161">
    <w:p w:rsidR="006346FE" w:rsidRDefault="006346FE" w:rsidP="00F645C1">
      <w:pPr>
        <w:pStyle w:val="FootnoteText"/>
      </w:pPr>
      <w:r w:rsidRPr="00F1085B">
        <w:rPr>
          <w:rStyle w:val="FootnoteReference"/>
        </w:rPr>
        <w:footnoteRef/>
      </w:r>
      <w:r w:rsidRPr="00F1085B">
        <w:t xml:space="preserve"> </w:t>
      </w:r>
      <w:r w:rsidRPr="00F1085B">
        <w:rPr>
          <w:i/>
        </w:rPr>
        <w:t xml:space="preserve">Updates to System Studies Memorandum </w:t>
      </w:r>
      <w:r w:rsidRPr="00F1085B">
        <w:t>(February 24, 2017</w:t>
      </w:r>
      <w:r>
        <w:t>),</w:t>
      </w:r>
      <w:r w:rsidRPr="00F1085B">
        <w:t xml:space="preserve"> </w:t>
      </w:r>
      <w:hyperlink r:id="rId138" w:history="1">
        <w:r w:rsidRPr="00F1085B">
          <w:rPr>
            <w:rStyle w:val="Hyperlink"/>
          </w:rPr>
          <w:t>https://www.iso-ne.com/static-assets/documents/2017/02/updates_to_system_study_memo.pdf</w:t>
        </w:r>
      </w:hyperlink>
      <w:r w:rsidRPr="00F1085B">
        <w:rPr>
          <w:rStyle w:val="Hyperlink"/>
        </w:rPr>
        <w:t>.</w:t>
      </w:r>
    </w:p>
    <w:p w:rsidR="006346FE" w:rsidRDefault="006346FE" w:rsidP="00F645C1">
      <w:pPr>
        <w:pStyle w:val="FootnoteText"/>
      </w:pPr>
      <w:r w:rsidRPr="00723361">
        <w:rPr>
          <w:i/>
        </w:rPr>
        <w:t>Updates to System Studies - Incorporating Changes in Criteria and Assumptions into Ongoing Assessments</w:t>
      </w:r>
      <w:r>
        <w:rPr>
          <w:i/>
        </w:rPr>
        <w:t xml:space="preserve"> </w:t>
      </w:r>
      <w:r w:rsidRPr="00F46AB5">
        <w:t>(</w:t>
      </w:r>
      <w:r w:rsidRPr="00B36327">
        <w:t>March 2017</w:t>
      </w:r>
      <w:r>
        <w:t>),</w:t>
      </w:r>
      <w:r w:rsidRPr="00D81C94">
        <w:rPr>
          <w:u w:val="single"/>
        </w:rPr>
        <w:t xml:space="preserve"> </w:t>
      </w:r>
      <w:hyperlink r:id="rId139" w:history="1">
        <w:r w:rsidRPr="00D81C94">
          <w:rPr>
            <w:rStyle w:val="Hyperlink"/>
          </w:rPr>
          <w:t>https://www.iso-ne.com/static-assets/documents/2017/03/a4_updates_to_system_studies.pdf</w:t>
        </w:r>
      </w:hyperlink>
      <w:r>
        <w:t>.</w:t>
      </w:r>
    </w:p>
  </w:footnote>
  <w:footnote w:id="162">
    <w:p w:rsidR="006346FE" w:rsidRDefault="006346FE" w:rsidP="00F645C1">
      <w:pPr>
        <w:pStyle w:val="FootnoteText"/>
      </w:pPr>
      <w:r w:rsidRPr="00F1085B">
        <w:rPr>
          <w:rStyle w:val="FootnoteReference"/>
        </w:rPr>
        <w:footnoteRef/>
      </w:r>
      <w:r w:rsidRPr="00F1085B">
        <w:t xml:space="preserve"> </w:t>
      </w:r>
      <w:r w:rsidRPr="00F1085B">
        <w:rPr>
          <w:i/>
        </w:rPr>
        <w:t>New Hampshire and Vermont Key Study Area</w:t>
      </w:r>
      <w:r w:rsidRPr="00F1085B">
        <w:t>, webpage (2017</w:t>
      </w:r>
      <w:r>
        <w:t>),</w:t>
      </w:r>
      <w:r w:rsidRPr="00F1085B">
        <w:t xml:space="preserve"> </w:t>
      </w:r>
      <w:hyperlink r:id="rId140" w:history="1">
        <w:r w:rsidRPr="00F1085B">
          <w:rPr>
            <w:rStyle w:val="Hyperlink"/>
          </w:rPr>
          <w:t>https://www.iso-ne.com/system-planning/key-study-areas/vt-nh</w:t>
        </w:r>
      </w:hyperlink>
      <w:r w:rsidRPr="00F1085B">
        <w:t>.</w:t>
      </w:r>
    </w:p>
  </w:footnote>
  <w:footnote w:id="163">
    <w:p w:rsidR="006346FE" w:rsidRDefault="006346FE" w:rsidP="00F645C1">
      <w:pPr>
        <w:pStyle w:val="FootnoteText"/>
      </w:pPr>
      <w:r>
        <w:rPr>
          <w:rStyle w:val="FootnoteReference"/>
        </w:rPr>
        <w:footnoteRef/>
      </w:r>
      <w:r>
        <w:t xml:space="preserve"> </w:t>
      </w:r>
      <w:r w:rsidRPr="00723361">
        <w:rPr>
          <w:i/>
        </w:rPr>
        <w:t>New Hampshire/Vermont 2023 Needs Assessment Update</w:t>
      </w:r>
      <w:r>
        <w:rPr>
          <w:i/>
        </w:rPr>
        <w:t xml:space="preserve"> </w:t>
      </w:r>
      <w:r w:rsidRPr="00B36327">
        <w:t>(March 2014</w:t>
      </w:r>
      <w:r>
        <w:t xml:space="preserve">), </w:t>
      </w:r>
      <w:hyperlink r:id="rId141" w:history="1">
        <w:r w:rsidRPr="00145A98">
          <w:rPr>
            <w:rStyle w:val="Hyperlink"/>
          </w:rPr>
          <w:t>https://smd.iso-ne.com/committees/comm_wkgrps/prtcpnts_comm/pac/ceii/mtrls/2014/mar172014/a7_nh_vt_2023_needs_assessment.pdf</w:t>
        </w:r>
      </w:hyperlink>
      <w:r>
        <w:rPr>
          <w:rStyle w:val="Hyperlink"/>
        </w:rPr>
        <w:t>.</w:t>
      </w:r>
    </w:p>
    <w:p w:rsidR="006346FE" w:rsidRDefault="006346FE" w:rsidP="00F645C1">
      <w:pPr>
        <w:pStyle w:val="FootnoteText"/>
      </w:pPr>
      <w:r w:rsidRPr="00723361">
        <w:rPr>
          <w:i/>
        </w:rPr>
        <w:t>New Hampshire/Vermont Transmission System 2023 Needs Assessment Report</w:t>
      </w:r>
      <w:r>
        <w:rPr>
          <w:i/>
        </w:rPr>
        <w:t xml:space="preserve"> </w:t>
      </w:r>
      <w:r w:rsidRPr="00B36327">
        <w:t>(August 2104</w:t>
      </w:r>
      <w:r>
        <w:t xml:space="preserve">), </w:t>
      </w:r>
      <w:hyperlink r:id="rId142" w:history="1">
        <w:r w:rsidRPr="00B36327">
          <w:rPr>
            <w:rStyle w:val="Hyperlink"/>
          </w:rPr>
          <w:t>https://smd.iso-ne.com/committees/comm_wkgrps/prtcpnts_comm/pac/ceii/reports/2014/final_2023_nhvt_transmission_system_needs_assessment.pdf</w:t>
        </w:r>
      </w:hyperlink>
      <w:r>
        <w:rPr>
          <w:rStyle w:val="Hyperlink"/>
        </w:rPr>
        <w:t>.</w:t>
      </w:r>
    </w:p>
  </w:footnote>
  <w:footnote w:id="164">
    <w:p w:rsidR="006346FE" w:rsidRDefault="006346FE" w:rsidP="00F645C1">
      <w:pPr>
        <w:pStyle w:val="FootnoteText"/>
      </w:pPr>
      <w:r>
        <w:rPr>
          <w:rStyle w:val="FootnoteReference"/>
        </w:rPr>
        <w:footnoteRef/>
      </w:r>
      <w:r>
        <w:t xml:space="preserve"> </w:t>
      </w:r>
      <w:r w:rsidRPr="00723361">
        <w:rPr>
          <w:i/>
        </w:rPr>
        <w:t>Vermont 2023 Solutions Study</w:t>
      </w:r>
      <w:r>
        <w:rPr>
          <w:i/>
        </w:rPr>
        <w:t xml:space="preserve"> </w:t>
      </w:r>
      <w:r w:rsidRPr="00B36327">
        <w:t>(September 2014),</w:t>
      </w:r>
      <w:r>
        <w:t xml:space="preserve"> </w:t>
      </w:r>
      <w:hyperlink r:id="rId143" w:history="1">
        <w:r w:rsidRPr="00B36327">
          <w:rPr>
            <w:rStyle w:val="Hyperlink"/>
          </w:rPr>
          <w:t>https://smd.iso-ne.com/operations-services/ceii/pac/2014/a4_vermont_2023_solution_study.pdf</w:t>
        </w:r>
      </w:hyperlink>
      <w:r>
        <w:t>.</w:t>
      </w:r>
      <w:r w:rsidRPr="004D0E8E">
        <w:t xml:space="preserve"> Vermont Transmission System 2023 Solutions Study Report (November 2014), </w:t>
      </w:r>
      <w:hyperlink r:id="rId144" w:history="1">
        <w:r w:rsidRPr="004D0E8E">
          <w:rPr>
            <w:rStyle w:val="Hyperlink"/>
          </w:rPr>
          <w:t>https://smd.iso-ne.com/operations-services/ceii/pac/2014/vermont_2023_solutions_report_final.pdf</w:t>
        </w:r>
      </w:hyperlink>
      <w:r w:rsidRPr="004D0E8E">
        <w:t>.</w:t>
      </w:r>
    </w:p>
  </w:footnote>
  <w:footnote w:id="165">
    <w:p w:rsidR="006346FE" w:rsidRDefault="006346FE" w:rsidP="00F645C1">
      <w:pPr>
        <w:pStyle w:val="FootnoteText"/>
      </w:pPr>
      <w:r>
        <w:rPr>
          <w:rStyle w:val="FootnoteReference"/>
        </w:rPr>
        <w:footnoteRef/>
      </w:r>
      <w:r>
        <w:t xml:space="preserve"> </w:t>
      </w:r>
      <w:r w:rsidRPr="00723361">
        <w:rPr>
          <w:i/>
        </w:rPr>
        <w:t>Final Addendum Analysis Report to the 2023 New Hampshire/Vermont (NH/VT) Transmission System Needs Assessment</w:t>
      </w:r>
      <w:r>
        <w:rPr>
          <w:i/>
        </w:rPr>
        <w:t xml:space="preserve"> </w:t>
      </w:r>
      <w:r w:rsidRPr="00B36327">
        <w:t>(October 2015),</w:t>
      </w:r>
      <w:r>
        <w:t xml:space="preserve"> </w:t>
      </w:r>
      <w:hyperlink r:id="rId145" w:history="1">
        <w:r w:rsidRPr="00B36327">
          <w:rPr>
            <w:rStyle w:val="Hyperlink"/>
          </w:rPr>
          <w:t>https://smd.iso-ne.com/operations-services/ceii/pac/2015/10/2023_final_nhvt_transmission_needs_assessment_addendum_report.pdf</w:t>
        </w:r>
      </w:hyperlink>
      <w:r>
        <w:t>.</w:t>
      </w:r>
    </w:p>
  </w:footnote>
  <w:footnote w:id="166">
    <w:p w:rsidR="006346FE" w:rsidRDefault="006346FE" w:rsidP="00F645C1">
      <w:pPr>
        <w:pStyle w:val="FootnoteText"/>
      </w:pPr>
      <w:r>
        <w:rPr>
          <w:rStyle w:val="FootnoteReference"/>
        </w:rPr>
        <w:footnoteRef/>
      </w:r>
      <w:r>
        <w:t xml:space="preserve"> </w:t>
      </w:r>
      <w:r w:rsidRPr="00723361">
        <w:rPr>
          <w:i/>
        </w:rPr>
        <w:t>New Hampshire 2023 Solutions Study Update</w:t>
      </w:r>
      <w:r>
        <w:rPr>
          <w:i/>
        </w:rPr>
        <w:t xml:space="preserve"> </w:t>
      </w:r>
      <w:r w:rsidRPr="00B36327">
        <w:t>(October 2016),</w:t>
      </w:r>
      <w:r>
        <w:t xml:space="preserve"> </w:t>
      </w:r>
      <w:hyperlink r:id="rId146" w:history="1">
        <w:r w:rsidRPr="00B36327">
          <w:rPr>
            <w:rStyle w:val="Hyperlink"/>
          </w:rPr>
          <w:t>https://smd.iso-ne.com/operations-services/ceii/pac/2016/10/a5_new_hampshire_2023_solutions_study_update.pdf</w:t>
        </w:r>
      </w:hyperlink>
      <w:r>
        <w:t>.</w:t>
      </w:r>
    </w:p>
  </w:footnote>
  <w:footnote w:id="167">
    <w:p w:rsidR="006346FE" w:rsidRDefault="006346FE" w:rsidP="00427BB5">
      <w:pPr>
        <w:pStyle w:val="FootnoteText"/>
      </w:pPr>
      <w:r w:rsidRPr="00F1085B">
        <w:rPr>
          <w:rStyle w:val="FootnoteReference"/>
        </w:rPr>
        <w:footnoteRef/>
      </w:r>
      <w:r w:rsidRPr="00F1085B">
        <w:t xml:space="preserve"> </w:t>
      </w:r>
      <w:r w:rsidRPr="00F1085B">
        <w:rPr>
          <w:i/>
        </w:rPr>
        <w:t>Eastern Connecticut Key Study Area</w:t>
      </w:r>
      <w:r w:rsidRPr="00F1085B">
        <w:t xml:space="preserve">, webpage (2017), </w:t>
      </w:r>
      <w:hyperlink r:id="rId147" w:history="1">
        <w:r w:rsidRPr="00F1085B">
          <w:rPr>
            <w:rStyle w:val="Hyperlink"/>
          </w:rPr>
          <w:t>https://www.iso-ne.com/system-planning/key-study-areas/eastern-connecticut</w:t>
        </w:r>
      </w:hyperlink>
      <w:r>
        <w:t xml:space="preserve">. </w:t>
      </w:r>
    </w:p>
  </w:footnote>
  <w:footnote w:id="168">
    <w:p w:rsidR="006346FE" w:rsidRDefault="006346FE" w:rsidP="00427BB5">
      <w:pPr>
        <w:pStyle w:val="FootnoteText"/>
      </w:pPr>
      <w:r w:rsidRPr="00723361">
        <w:rPr>
          <w:rStyle w:val="FootnoteReference"/>
          <w:i/>
        </w:rPr>
        <w:footnoteRef/>
      </w:r>
      <w:r w:rsidRPr="00723361">
        <w:rPr>
          <w:i/>
        </w:rPr>
        <w:t xml:space="preserve"> Eastern Connecticut 2022 Needs Assessment I</w:t>
      </w:r>
      <w:r>
        <w:rPr>
          <w:i/>
        </w:rPr>
        <w:t xml:space="preserve"> </w:t>
      </w:r>
      <w:r w:rsidRPr="00E156B4">
        <w:t>(May 2013),</w:t>
      </w:r>
      <w:r>
        <w:t xml:space="preserve"> </w:t>
      </w:r>
      <w:hyperlink r:id="rId148" w:history="1">
        <w:r w:rsidRPr="00145A98">
          <w:rPr>
            <w:rStyle w:val="Hyperlink"/>
          </w:rPr>
          <w:t>https://smd.iso-ne.com/operations-services/ceii/pac/2013/eastern_ct_study_n_1_n_1_1_needs_final.pptx</w:t>
        </w:r>
      </w:hyperlink>
      <w:r>
        <w:rPr>
          <w:rStyle w:val="Hyperlink"/>
        </w:rPr>
        <w:t>.</w:t>
      </w:r>
    </w:p>
    <w:p w:rsidR="006346FE" w:rsidRDefault="006346FE" w:rsidP="00427BB5">
      <w:pPr>
        <w:pStyle w:val="FootnoteText"/>
      </w:pPr>
      <w:r w:rsidRPr="00723361">
        <w:rPr>
          <w:i/>
        </w:rPr>
        <w:t>Eastern Connecticut 2022 Needs Assessment II</w:t>
      </w:r>
      <w:r>
        <w:rPr>
          <w:i/>
        </w:rPr>
        <w:t xml:space="preserve"> </w:t>
      </w:r>
      <w:r w:rsidRPr="00E156B4">
        <w:t>(July 2014),</w:t>
      </w:r>
      <w:r>
        <w:t xml:space="preserve"> </w:t>
      </w:r>
      <w:hyperlink r:id="rId149" w:history="1">
        <w:r w:rsidRPr="00145A98">
          <w:rPr>
            <w:rStyle w:val="Hyperlink"/>
          </w:rPr>
          <w:t>https://smd.iso-ne.com/operations-services/ceii/pac/2013/eastern_ct_study_needs_cll_short_circuit_final.pptx</w:t>
        </w:r>
      </w:hyperlink>
      <w:r>
        <w:rPr>
          <w:rStyle w:val="Hyperlink"/>
        </w:rPr>
        <w:t>.</w:t>
      </w:r>
    </w:p>
    <w:p w:rsidR="006346FE" w:rsidRDefault="006346FE" w:rsidP="00427BB5">
      <w:pPr>
        <w:pStyle w:val="FootnoteText"/>
      </w:pPr>
      <w:r w:rsidRPr="00081D05">
        <w:t xml:space="preserve"> </w:t>
      </w:r>
      <w:r w:rsidRPr="00723361">
        <w:rPr>
          <w:i/>
        </w:rPr>
        <w:t>Eastern Connecticut Area Transmission 2022 Needs Assessment</w:t>
      </w:r>
      <w:r>
        <w:rPr>
          <w:i/>
        </w:rPr>
        <w:t xml:space="preserve"> </w:t>
      </w:r>
      <w:r w:rsidRPr="00E156B4">
        <w:t>(June 2015),</w:t>
      </w:r>
      <w:r>
        <w:t xml:space="preserve"> </w:t>
      </w:r>
      <w:hyperlink r:id="rId150" w:history="1">
        <w:r w:rsidRPr="00E156B4">
          <w:rPr>
            <w:rStyle w:val="Hyperlink"/>
          </w:rPr>
          <w:t>https://smd.iso-ne.com/planning/ceii/reports/2010s/final_eastern_ct_2022_needs_assessment_report.pdf</w:t>
        </w:r>
      </w:hyperlink>
      <w:r>
        <w:t>.</w:t>
      </w:r>
    </w:p>
  </w:footnote>
  <w:footnote w:id="169">
    <w:p w:rsidR="006346FE" w:rsidRDefault="006346FE" w:rsidP="00427BB5">
      <w:pPr>
        <w:pStyle w:val="FootnoteText"/>
      </w:pPr>
      <w:r>
        <w:rPr>
          <w:rStyle w:val="FootnoteReference"/>
        </w:rPr>
        <w:footnoteRef/>
      </w:r>
      <w:r>
        <w:t xml:space="preserve"> </w:t>
      </w:r>
      <w:r w:rsidRPr="00723361">
        <w:rPr>
          <w:i/>
        </w:rPr>
        <w:t>Eastern Connecticut 2022 Solutions Study Update</w:t>
      </w:r>
      <w:r>
        <w:rPr>
          <w:i/>
        </w:rPr>
        <w:t xml:space="preserve"> </w:t>
      </w:r>
      <w:r w:rsidRPr="00F1085B">
        <w:t>(September 2016)</w:t>
      </w:r>
      <w:r w:rsidRPr="003E77F7">
        <w:t>,</w:t>
      </w:r>
      <w:r>
        <w:t xml:space="preserve"> </w:t>
      </w:r>
      <w:hyperlink r:id="rId151" w:history="1">
        <w:r w:rsidRPr="00E156B4">
          <w:rPr>
            <w:rStyle w:val="Hyperlink"/>
          </w:rPr>
          <w:t>https://smd.iso-ne.com/operations-services/ceii/pac/2016/09/a3_eastern_connecticut_2022_solution_study_update.pdf</w:t>
        </w:r>
      </w:hyperlink>
      <w:r>
        <w:t>.</w:t>
      </w:r>
    </w:p>
  </w:footnote>
  <w:footnote w:id="170">
    <w:p w:rsidR="006346FE" w:rsidRDefault="006346FE" w:rsidP="00427BB5">
      <w:pPr>
        <w:pStyle w:val="FootnoteText"/>
      </w:pPr>
      <w:r>
        <w:rPr>
          <w:rStyle w:val="FootnoteReference"/>
        </w:rPr>
        <w:footnoteRef/>
      </w:r>
      <w:r>
        <w:t xml:space="preserve"> </w:t>
      </w:r>
      <w:r w:rsidRPr="0025228B">
        <w:t>This total includes seven projects in 2002, 26 projects in 2003, 30 projects in 2004, 51 projects in 2005, 55 projects in 2006, 36 projects in 2007, 64 projects in 2008, 38 projects in 2009, 37 projects in 2010, 44 projects in 2011, 61 projects in 2012, 91 projects in 2013, 6</w:t>
      </w:r>
      <w:r>
        <w:t>7</w:t>
      </w:r>
      <w:r w:rsidRPr="0025228B">
        <w:t xml:space="preserve"> projects in 2014, </w:t>
      </w:r>
      <w:r>
        <w:t xml:space="preserve">69 projects in 2015, 34 projects in 2016, </w:t>
      </w:r>
      <w:r w:rsidRPr="0025228B">
        <w:t xml:space="preserve">and </w:t>
      </w:r>
      <w:r>
        <w:t>4</w:t>
      </w:r>
      <w:r w:rsidRPr="0025228B">
        <w:t xml:space="preserve"> additional projects through </w:t>
      </w:r>
      <w:r>
        <w:t>March</w:t>
      </w:r>
      <w:r w:rsidRPr="0025228B">
        <w:t xml:space="preserve"> 201</w:t>
      </w:r>
      <w:r>
        <w:t>7</w:t>
      </w:r>
      <w:r w:rsidRPr="0025228B">
        <w:t xml:space="preserve">. The </w:t>
      </w:r>
      <w:r>
        <w:t>March</w:t>
      </w:r>
      <w:r w:rsidRPr="0025228B">
        <w:t xml:space="preserve"> 201</w:t>
      </w:r>
      <w:r>
        <w:t>7</w:t>
      </w:r>
      <w:r w:rsidRPr="0025228B">
        <w:t xml:space="preserve"> </w:t>
      </w:r>
      <w:r w:rsidRPr="00EF23B1">
        <w:rPr>
          <w:i/>
        </w:rPr>
        <w:t>RSP Project List</w:t>
      </w:r>
      <w:r w:rsidRPr="0025228B">
        <w:t xml:space="preserve"> shows that </w:t>
      </w:r>
      <w:r>
        <w:t>42</w:t>
      </w:r>
      <w:r w:rsidRPr="0025228B">
        <w:t xml:space="preserve"> more projects are due in service by the end of 201</w:t>
      </w:r>
      <w:r>
        <w:t>7</w:t>
      </w:r>
      <w:r w:rsidRPr="0025228B">
        <w:t>.</w:t>
      </w:r>
    </w:p>
  </w:footnote>
  <w:footnote w:id="171">
    <w:p w:rsidR="006346FE" w:rsidRDefault="006346FE" w:rsidP="00427BB5">
      <w:pPr>
        <w:pStyle w:val="FootnoteText"/>
      </w:pPr>
      <w:r>
        <w:rPr>
          <w:rStyle w:val="FootnoteReference"/>
        </w:rPr>
        <w:footnoteRef/>
      </w:r>
      <w:r>
        <w:t xml:space="preserve"> The data is based on the June 2017 </w:t>
      </w:r>
      <w:r w:rsidRPr="00EF23B1">
        <w:rPr>
          <w:i/>
        </w:rPr>
        <w:t>Regional System Plan Project List</w:t>
      </w:r>
      <w:r>
        <w:t xml:space="preserve">. </w:t>
      </w:r>
    </w:p>
  </w:footnote>
  <w:footnote w:id="172">
    <w:p w:rsidR="006346FE" w:rsidRDefault="006346FE" w:rsidP="00F645C1">
      <w:pPr>
        <w:pStyle w:val="FootnoteText"/>
      </w:pPr>
      <w:r w:rsidRPr="00F1085B">
        <w:rPr>
          <w:rStyle w:val="FootnoteReference"/>
        </w:rPr>
        <w:footnoteRef/>
      </w:r>
      <w:r w:rsidRPr="00F1085B">
        <w:t xml:space="preserve"> </w:t>
      </w:r>
      <w:r w:rsidRPr="00F1085B">
        <w:rPr>
          <w:i/>
        </w:rPr>
        <w:t>New England Asset Management Key Study Area,</w:t>
      </w:r>
      <w:r w:rsidRPr="00F1085B">
        <w:t xml:space="preserve"> </w:t>
      </w:r>
      <w:r w:rsidRPr="00701E13">
        <w:t>webpage (2017),</w:t>
      </w:r>
      <w:r w:rsidRPr="00F1085B">
        <w:t xml:space="preserve"> </w:t>
      </w:r>
      <w:hyperlink r:id="rId152" w:history="1">
        <w:r w:rsidRPr="00701E13">
          <w:rPr>
            <w:rStyle w:val="Hyperlink"/>
          </w:rPr>
          <w:t>https://www.iso-ne.com/system-planning/key-study-areas/new-england-asset-management/?load.more=1</w:t>
        </w:r>
      </w:hyperlink>
      <w:r>
        <w:t>.</w:t>
      </w:r>
    </w:p>
  </w:footnote>
  <w:footnote w:id="173">
    <w:p w:rsidR="006346FE" w:rsidRDefault="006346FE" w:rsidP="00F645C1">
      <w:pPr>
        <w:pStyle w:val="FootnoteText"/>
      </w:pPr>
      <w:r>
        <w:rPr>
          <w:rStyle w:val="FootnoteReference"/>
        </w:rPr>
        <w:footnoteRef/>
      </w:r>
      <w:r>
        <w:t xml:space="preserve"> A PAC presentation is required for all asset-condition-related work where the cost estimate is greater than or equal to $5 million.</w:t>
      </w:r>
    </w:p>
  </w:footnote>
  <w:footnote w:id="174">
    <w:p w:rsidR="006346FE" w:rsidRDefault="006346FE" w:rsidP="00F645C1">
      <w:pPr>
        <w:pStyle w:val="FootnoteText"/>
      </w:pPr>
      <w:r>
        <w:rPr>
          <w:rStyle w:val="FootnoteReference"/>
        </w:rPr>
        <w:footnoteRef/>
      </w:r>
      <w:r>
        <w:t xml:space="preserve"> </w:t>
      </w:r>
      <w:r w:rsidRPr="00723361">
        <w:rPr>
          <w:i/>
        </w:rPr>
        <w:t>Regional System Plan Transmission Projects October 2015 Update</w:t>
      </w:r>
      <w:r>
        <w:rPr>
          <w:i/>
        </w:rPr>
        <w:t xml:space="preserve"> </w:t>
      </w:r>
      <w:r w:rsidRPr="00701E13">
        <w:t>(October 2015)</w:t>
      </w:r>
      <w:r w:rsidRPr="003E77F7">
        <w:t>,</w:t>
      </w:r>
      <w:r>
        <w:t xml:space="preserve"> </w:t>
      </w:r>
      <w:hyperlink r:id="rId153" w:history="1">
        <w:r w:rsidRPr="00412667">
          <w:rPr>
            <w:rStyle w:val="Hyperlink"/>
          </w:rPr>
          <w:t>https://www.iso-ne.com/static-assets/documents/2015/10/a3_draft_rsp15_project_list_presentation.pdf</w:t>
        </w:r>
      </w:hyperlink>
      <w:r>
        <w:t xml:space="preserve">. The Asset-Condition Update List is available at </w:t>
      </w:r>
      <w:hyperlink r:id="rId154" w:history="1">
        <w:r w:rsidRPr="000E2EB9">
          <w:rPr>
            <w:rStyle w:val="Hyperlink"/>
          </w:rPr>
          <w:t>https://www.iso-ne.com/system-planning/system-plans-studies/rsp</w:t>
        </w:r>
      </w:hyperlink>
      <w:r>
        <w:t>.</w:t>
      </w:r>
    </w:p>
  </w:footnote>
  <w:footnote w:id="175">
    <w:p w:rsidR="006346FE" w:rsidRDefault="006346FE" w:rsidP="00F645C1">
      <w:pPr>
        <w:pStyle w:val="FootnoteText"/>
      </w:pPr>
      <w:r>
        <w:rPr>
          <w:rStyle w:val="FootnoteReference"/>
        </w:rPr>
        <w:footnoteRef/>
      </w:r>
      <w:r>
        <w:t xml:space="preserve"> </w:t>
      </w:r>
      <w:r w:rsidRPr="00723361">
        <w:rPr>
          <w:i/>
        </w:rPr>
        <w:t>Regional System Plan Transmission Projects October 2015 Update</w:t>
      </w:r>
      <w:r>
        <w:t xml:space="preserve">, </w:t>
      </w:r>
      <w:hyperlink r:id="rId155" w:history="1">
        <w:r w:rsidRPr="00C92FCC">
          <w:rPr>
            <w:rStyle w:val="Hyperlink"/>
          </w:rPr>
          <w:t>https://www.iso-ne.com/static-assets/documents/2015/10/a3_draft_rsp15_project_list_presentation.pdf</w:t>
        </w:r>
      </w:hyperlink>
      <w:r>
        <w:t xml:space="preserve">. Links to the most recent Local System Plans are included on the ISO’s RSP Project List at </w:t>
      </w:r>
      <w:hyperlink r:id="rId156" w:history="1">
        <w:r w:rsidRPr="000041FD">
          <w:rPr>
            <w:rStyle w:val="Hyperlink"/>
          </w:rPr>
          <w:t>https://www.iso-ne.com/system-planning/system-plans-studies/rsp</w:t>
        </w:r>
      </w:hyperlink>
      <w:r>
        <w:t>.</w:t>
      </w:r>
      <w:r w:rsidRPr="000041FD">
        <w:t xml:space="preserve"> </w:t>
      </w:r>
      <w:r>
        <w:t xml:space="preserve">Also refer to the </w:t>
      </w:r>
      <w:r w:rsidRPr="000041FD">
        <w:t>Transmission Owner Planning Advisory Committee web page</w:t>
      </w:r>
      <w:r>
        <w:t xml:space="preserve"> at </w:t>
      </w:r>
      <w:hyperlink r:id="rId157" w:history="1">
        <w:r w:rsidRPr="000041FD">
          <w:rPr>
            <w:rStyle w:val="Hyperlink"/>
          </w:rPr>
          <w:t>https://www.iso-ne.com/committees/planning/topac</w:t>
        </w:r>
      </w:hyperlink>
      <w:r>
        <w:t>.</w:t>
      </w:r>
    </w:p>
  </w:footnote>
  <w:footnote w:id="176">
    <w:p w:rsidR="006346FE" w:rsidRDefault="006346FE" w:rsidP="00F645C1">
      <w:pPr>
        <w:pStyle w:val="FootnoteText"/>
      </w:pPr>
      <w:r>
        <w:rPr>
          <w:rStyle w:val="FootnoteReference"/>
        </w:rPr>
        <w:footnoteRef/>
      </w:r>
      <w:r>
        <w:t xml:space="preserve"> The </w:t>
      </w:r>
      <w:r w:rsidRPr="00723361">
        <w:rPr>
          <w:i/>
        </w:rPr>
        <w:t>RSP Project List</w:t>
      </w:r>
      <w:r>
        <w:t xml:space="preserve"> is available at </w:t>
      </w:r>
      <w:hyperlink r:id="rId158" w:history="1">
        <w:r w:rsidRPr="001B300C">
          <w:rPr>
            <w:rStyle w:val="Hyperlink"/>
          </w:rPr>
          <w:t>https://www.iso-ne.com/system-planning/system-plans-studies/rsp</w:t>
        </w:r>
      </w:hyperlink>
      <w:r>
        <w:rPr>
          <w:rStyle w:val="Hyperlink"/>
        </w:rPr>
        <w:t>.</w:t>
      </w:r>
    </w:p>
  </w:footnote>
  <w:footnote w:id="177">
    <w:p w:rsidR="006346FE" w:rsidRPr="00B85E49" w:rsidRDefault="006346FE" w:rsidP="00F645C1">
      <w:pPr>
        <w:pStyle w:val="FoonoteText"/>
        <w:spacing w:after="80" w:line="240" w:lineRule="auto"/>
        <w:rPr>
          <w:sz w:val="18"/>
          <w:szCs w:val="18"/>
        </w:rPr>
      </w:pPr>
      <w:r w:rsidRPr="00B85E49">
        <w:rPr>
          <w:rStyle w:val="FootnoteReference"/>
          <w:rFonts w:eastAsiaTheme="majorEastAsia"/>
          <w:sz w:val="18"/>
          <w:szCs w:val="18"/>
        </w:rPr>
        <w:footnoteRef/>
      </w:r>
      <w:r w:rsidRPr="00B85E49">
        <w:rPr>
          <w:sz w:val="18"/>
          <w:szCs w:val="18"/>
        </w:rPr>
        <w:t xml:space="preserve"> PAC materials and meeting minutes are available at </w:t>
      </w:r>
      <w:hyperlink r:id="rId159" w:history="1">
        <w:r w:rsidRPr="00B85E49">
          <w:rPr>
            <w:rStyle w:val="Hyperlink"/>
            <w:color w:val="auto"/>
            <w:sz w:val="18"/>
            <w:szCs w:val="18"/>
          </w:rPr>
          <w:t>http://www.iso-ne.com/committees/comm_wkgrps/prtcpnts_comm/pac/index.html</w:t>
        </w:r>
      </w:hyperlink>
      <w:r w:rsidRPr="00B85E49">
        <w:rPr>
          <w:sz w:val="18"/>
          <w:szCs w:val="18"/>
        </w:rPr>
        <w:t xml:space="preserve">. The </w:t>
      </w:r>
      <w:r w:rsidRPr="00B85E49">
        <w:rPr>
          <w:i/>
          <w:sz w:val="18"/>
          <w:szCs w:val="18"/>
        </w:rPr>
        <w:t>RSP Project List</w:t>
      </w:r>
      <w:r w:rsidRPr="00B85E49">
        <w:rPr>
          <w:sz w:val="18"/>
          <w:szCs w:val="18"/>
        </w:rPr>
        <w:t xml:space="preserve"> (XLS file) is available at </w:t>
      </w:r>
      <w:hyperlink r:id="rId160" w:history="1">
        <w:r w:rsidRPr="00B85E49">
          <w:rPr>
            <w:rStyle w:val="Hyperlink"/>
            <w:color w:val="auto"/>
            <w:sz w:val="18"/>
            <w:szCs w:val="18"/>
          </w:rPr>
          <w:t>http://www.iso-ne.com/system-planning/system-plans-studies/rsp</w:t>
        </w:r>
      </w:hyperlink>
      <w:r w:rsidRPr="00B85E49">
        <w:rPr>
          <w:sz w:val="18"/>
          <w:szCs w:val="18"/>
        </w:rPr>
        <w:t>.</w:t>
      </w:r>
    </w:p>
  </w:footnote>
  <w:footnote w:id="178">
    <w:p w:rsidR="006346FE" w:rsidRPr="00776403" w:rsidRDefault="006346FE" w:rsidP="00F645C1">
      <w:pPr>
        <w:pStyle w:val="FoonoteText"/>
        <w:spacing w:after="80" w:line="240" w:lineRule="auto"/>
        <w:rPr>
          <w:sz w:val="18"/>
          <w:szCs w:val="18"/>
        </w:rPr>
      </w:pPr>
      <w:r w:rsidRPr="00776403">
        <w:rPr>
          <w:rStyle w:val="FootnoteReference"/>
          <w:rFonts w:eastAsiaTheme="majorEastAsia"/>
          <w:sz w:val="18"/>
          <w:szCs w:val="18"/>
        </w:rPr>
        <w:footnoteRef/>
      </w:r>
      <w:r w:rsidRPr="00776403">
        <w:rPr>
          <w:sz w:val="18"/>
          <w:szCs w:val="18"/>
        </w:rPr>
        <w:t xml:space="preserve"> Regional transmission service is comprised of </w:t>
      </w:r>
      <w:r w:rsidRPr="00776403">
        <w:rPr>
          <w:i/>
          <w:sz w:val="18"/>
          <w:szCs w:val="18"/>
        </w:rPr>
        <w:t>regional network service</w:t>
      </w:r>
      <w:r w:rsidRPr="00776403">
        <w:rPr>
          <w:sz w:val="18"/>
          <w:szCs w:val="18"/>
        </w:rPr>
        <w:t xml:space="preserve"> (RNS) and </w:t>
      </w:r>
      <w:r w:rsidRPr="00776403">
        <w:rPr>
          <w:i/>
          <w:sz w:val="18"/>
          <w:szCs w:val="18"/>
        </w:rPr>
        <w:t xml:space="preserve">through-or-out (TOUT) service. </w:t>
      </w:r>
      <w:r w:rsidRPr="00776403">
        <w:rPr>
          <w:sz w:val="18"/>
          <w:szCs w:val="18"/>
        </w:rPr>
        <w:t xml:space="preserve">RNS is the transmission service the ISO provides over the PTFs, described in the OATT, Part II.B, that network customers use to serve load within the New England Control Area. The ISO’s TOUT service over the PTFs allows a real-time market transaction to be exported out of or “wheeled through” the New England area, including services used for network resources or regional network load not physically interconnected with a PTF. The PTO Administrative Committee is expected to make a supplemental filing on or before February 28, 2015, that will update New England Power Company’s transmission revenue requirement, which will revise the 2014 regional transmission service rates. See FERC, letter order to National Grid, Docket No. ER14-1686-000 (June 6, 2014), </w:t>
      </w:r>
      <w:hyperlink r:id="rId161" w:history="1">
        <w:r w:rsidRPr="00776403">
          <w:rPr>
            <w:rStyle w:val="Hyperlink"/>
            <w:color w:val="auto"/>
            <w:sz w:val="18"/>
            <w:szCs w:val="18"/>
          </w:rPr>
          <w:t>http://www.ferc.gov/CalendarFiles/20140606132455-ER14-1686-000.pdf</w:t>
        </w:r>
      </w:hyperlink>
      <w:r w:rsidRPr="00776403">
        <w:rPr>
          <w:sz w:val="18"/>
          <w:szCs w:val="18"/>
        </w:rPr>
        <w:t>.</w:t>
      </w:r>
    </w:p>
  </w:footnote>
  <w:footnote w:id="179">
    <w:p w:rsidR="006346FE" w:rsidRPr="008D5D5B" w:rsidRDefault="006346FE" w:rsidP="00F645C1">
      <w:pPr>
        <w:pStyle w:val="FootnoteText"/>
        <w:rPr>
          <w:szCs w:val="18"/>
        </w:rPr>
      </w:pPr>
      <w:r w:rsidRPr="00D1131C">
        <w:rPr>
          <w:rStyle w:val="FootnoteReference"/>
          <w:sz w:val="18"/>
          <w:szCs w:val="18"/>
        </w:rPr>
        <w:footnoteRef/>
      </w:r>
      <w:r w:rsidRPr="00D1131C">
        <w:rPr>
          <w:szCs w:val="18"/>
        </w:rPr>
        <w:t xml:space="preserve"> NCPC is a payment to a supply resource that responded to the ISO’s dispatch instructions but did not fully recover its start-up and operating costs in either the Day-Ahead or Real-Time Energy Markets.</w:t>
      </w:r>
    </w:p>
  </w:footnote>
  <w:footnote w:id="180">
    <w:p w:rsidR="006346FE" w:rsidRDefault="006346FE" w:rsidP="00F645C1">
      <w:pPr>
        <w:pStyle w:val="FootnoteText"/>
      </w:pPr>
      <w:r w:rsidRPr="00162F8A">
        <w:rPr>
          <w:rStyle w:val="FootnoteReference"/>
        </w:rPr>
        <w:footnoteRef/>
      </w:r>
      <w:r w:rsidRPr="00162F8A">
        <w:t xml:space="preserve"> </w:t>
      </w:r>
      <w:r w:rsidRPr="00162F8A">
        <w:rPr>
          <w:i/>
        </w:rPr>
        <w:t>Keene Road Market Efficiency Transmission Upgrades Final Needs Assessment,</w:t>
      </w:r>
      <w:r w:rsidRPr="00162F8A">
        <w:t xml:space="preserve"> PAC presentation</w:t>
      </w:r>
      <w:r w:rsidRPr="00162F8A">
        <w:rPr>
          <w:i/>
        </w:rPr>
        <w:t xml:space="preserve"> </w:t>
      </w:r>
      <w:r w:rsidRPr="00162F8A">
        <w:t>(December 19,</w:t>
      </w:r>
      <w:r w:rsidRPr="001704FE">
        <w:t xml:space="preserve"> 2016), </w:t>
      </w:r>
      <w:hyperlink r:id="rId162" w:history="1">
        <w:r w:rsidRPr="001704FE">
          <w:rPr>
            <w:rStyle w:val="Hyperlink"/>
          </w:rPr>
          <w:t>https://www.iso-ne.com/static-assets/documents/2016/12/2016_keene_rd_metu_needs_assessment_final_1.pdf</w:t>
        </w:r>
      </w:hyperlink>
      <w:r>
        <w:rPr>
          <w:rStyle w:val="Hyperlink"/>
        </w:rPr>
        <w:t>.</w:t>
      </w:r>
    </w:p>
  </w:footnote>
  <w:footnote w:id="181">
    <w:p w:rsidR="006346FE" w:rsidRDefault="006346FE" w:rsidP="00F645C1">
      <w:pPr>
        <w:pStyle w:val="FootnoteText"/>
      </w:pPr>
      <w:r>
        <w:rPr>
          <w:rStyle w:val="FootnoteReference"/>
        </w:rPr>
        <w:footnoteRef/>
      </w:r>
      <w:r>
        <w:t xml:space="preserve"> </w:t>
      </w:r>
      <w:r w:rsidRPr="00723361">
        <w:rPr>
          <w:i/>
        </w:rPr>
        <w:t>Keene Road Market Efficiency Transmission Upgrade</w:t>
      </w:r>
      <w:r>
        <w:rPr>
          <w:i/>
        </w:rPr>
        <w:t xml:space="preserve"> </w:t>
      </w:r>
      <w:r w:rsidRPr="003A5AAC">
        <w:t>(March 2017),</w:t>
      </w:r>
      <w:r>
        <w:t xml:space="preserve"> </w:t>
      </w:r>
      <w:hyperlink r:id="rId163" w:history="1">
        <w:r w:rsidRPr="005C3D28">
          <w:rPr>
            <w:rStyle w:val="Hyperlink"/>
          </w:rPr>
          <w:t>https://www.iso-ne.com/static-assets/documents/2017/03/a3_keene_rd_metu_presentation.pdf</w:t>
        </w:r>
      </w:hyperlink>
      <w:r>
        <w:rPr>
          <w:rStyle w:val="Hyperlink"/>
        </w:rPr>
        <w:t>.</w:t>
      </w:r>
    </w:p>
  </w:footnote>
  <w:footnote w:id="182">
    <w:p w:rsidR="006346FE" w:rsidRPr="00776403" w:rsidRDefault="006346FE" w:rsidP="00F645C1">
      <w:pPr>
        <w:spacing w:after="80" w:line="240" w:lineRule="auto"/>
        <w:rPr>
          <w:sz w:val="18"/>
          <w:szCs w:val="18"/>
        </w:rPr>
      </w:pPr>
      <w:r w:rsidRPr="00776403">
        <w:rPr>
          <w:rStyle w:val="FootnoteReference"/>
          <w:sz w:val="18"/>
          <w:szCs w:val="18"/>
        </w:rPr>
        <w:footnoteRef/>
      </w:r>
      <w:r w:rsidRPr="00776403">
        <w:rPr>
          <w:sz w:val="18"/>
          <w:szCs w:val="18"/>
        </w:rPr>
        <w:t xml:space="preserve"> </w:t>
      </w:r>
      <w:r w:rsidRPr="003A5AAC">
        <w:rPr>
          <w:i/>
          <w:sz w:val="18"/>
          <w:szCs w:val="18"/>
        </w:rPr>
        <w:t xml:space="preserve">Locational Marginal Prices </w:t>
      </w:r>
      <w:r>
        <w:rPr>
          <w:i/>
          <w:sz w:val="18"/>
          <w:szCs w:val="18"/>
        </w:rPr>
        <w:t>and</w:t>
      </w:r>
      <w:r w:rsidRPr="003A5AAC">
        <w:rPr>
          <w:i/>
          <w:sz w:val="18"/>
          <w:szCs w:val="18"/>
        </w:rPr>
        <w:t xml:space="preserve"> Interface Flows, 2016 Historical Market and Operational Data</w:t>
      </w:r>
      <w:r w:rsidRPr="00776403">
        <w:rPr>
          <w:sz w:val="18"/>
          <w:szCs w:val="18"/>
        </w:rPr>
        <w:t xml:space="preserve">, PAC presentation, slide </w:t>
      </w:r>
      <w:r>
        <w:rPr>
          <w:sz w:val="18"/>
          <w:szCs w:val="18"/>
        </w:rPr>
        <w:t>8</w:t>
      </w:r>
      <w:r w:rsidRPr="00776403">
        <w:rPr>
          <w:sz w:val="18"/>
          <w:szCs w:val="18"/>
        </w:rPr>
        <w:t xml:space="preserve"> (</w:t>
      </w:r>
      <w:r>
        <w:rPr>
          <w:sz w:val="18"/>
          <w:szCs w:val="18"/>
        </w:rPr>
        <w:t>April 19</w:t>
      </w:r>
      <w:r w:rsidRPr="00776403">
        <w:rPr>
          <w:sz w:val="18"/>
          <w:szCs w:val="18"/>
        </w:rPr>
        <w:t>, 201</w:t>
      </w:r>
      <w:r>
        <w:rPr>
          <w:sz w:val="18"/>
          <w:szCs w:val="18"/>
        </w:rPr>
        <w:t>7</w:t>
      </w:r>
      <w:r w:rsidRPr="00776403">
        <w:rPr>
          <w:sz w:val="18"/>
          <w:szCs w:val="18"/>
        </w:rPr>
        <w:t xml:space="preserve">), </w:t>
      </w:r>
      <w:hyperlink r:id="rId164" w:history="1">
        <w:r w:rsidRPr="00072590">
          <w:rPr>
            <w:rStyle w:val="Hyperlink"/>
            <w:sz w:val="18"/>
            <w:szCs w:val="18"/>
          </w:rPr>
          <w:t>https://www.iso-ne.com/static-assets/documents/2017/04/a8_2016_interface_flows_and_other_system_perfromance_summaries.pdf</w:t>
        </w:r>
      </w:hyperlink>
      <w:r>
        <w:rPr>
          <w:sz w:val="18"/>
          <w:szCs w:val="18"/>
        </w:rPr>
        <w:t>.</w:t>
      </w:r>
    </w:p>
  </w:footnote>
  <w:footnote w:id="183">
    <w:p w:rsidR="006346FE" w:rsidRPr="00146A20" w:rsidRDefault="006346FE" w:rsidP="00F645C1">
      <w:pPr>
        <w:spacing w:after="80" w:line="240" w:lineRule="auto"/>
        <w:rPr>
          <w:sz w:val="18"/>
          <w:szCs w:val="18"/>
        </w:rPr>
      </w:pPr>
      <w:r w:rsidRPr="00146A20">
        <w:rPr>
          <w:rStyle w:val="FootnoteReference"/>
          <w:sz w:val="18"/>
          <w:szCs w:val="18"/>
        </w:rPr>
        <w:footnoteRef/>
      </w:r>
      <w:r w:rsidRPr="00146A20">
        <w:rPr>
          <w:sz w:val="18"/>
          <w:szCs w:val="18"/>
        </w:rPr>
        <w:t xml:space="preserve"> </w:t>
      </w:r>
      <w:r w:rsidRPr="0050600A">
        <w:rPr>
          <w:sz w:val="18"/>
          <w:szCs w:val="18"/>
        </w:rPr>
        <w:t>ISO New England Inc. and New England Power Pool,,</w:t>
      </w:r>
      <w:r>
        <w:rPr>
          <w:i/>
          <w:sz w:val="18"/>
          <w:szCs w:val="18"/>
        </w:rPr>
        <w:t xml:space="preserve"> </w:t>
      </w:r>
      <w:r w:rsidRPr="00557243">
        <w:rPr>
          <w:i/>
          <w:sz w:val="18"/>
          <w:szCs w:val="18"/>
        </w:rPr>
        <w:t>Part 1 of Two-Part Filing of NCPC Rule Revisions for Sub</w:t>
      </w:r>
      <w:r>
        <w:rPr>
          <w:i/>
          <w:sz w:val="18"/>
          <w:szCs w:val="18"/>
        </w:rPr>
        <w:t>h</w:t>
      </w:r>
      <w:r w:rsidRPr="00557243">
        <w:rPr>
          <w:i/>
          <w:sz w:val="18"/>
          <w:szCs w:val="18"/>
        </w:rPr>
        <w:t>ourly</w:t>
      </w:r>
      <w:r>
        <w:rPr>
          <w:i/>
          <w:sz w:val="18"/>
          <w:szCs w:val="18"/>
        </w:rPr>
        <w:t xml:space="preserve"> </w:t>
      </w:r>
      <w:r w:rsidRPr="00557243">
        <w:rPr>
          <w:i/>
          <w:sz w:val="18"/>
          <w:szCs w:val="18"/>
        </w:rPr>
        <w:t>Settlement</w:t>
      </w:r>
      <w:r>
        <w:rPr>
          <w:i/>
          <w:sz w:val="18"/>
          <w:szCs w:val="18"/>
        </w:rPr>
        <w:t xml:space="preserve"> and  </w:t>
      </w:r>
      <w:r w:rsidRPr="00557243">
        <w:rPr>
          <w:i/>
          <w:sz w:val="18"/>
          <w:szCs w:val="18"/>
        </w:rPr>
        <w:t>Part 2 of Two-Part Filing of NCPC Rule Revisions for Sub</w:t>
      </w:r>
      <w:r>
        <w:rPr>
          <w:i/>
          <w:sz w:val="18"/>
          <w:szCs w:val="18"/>
        </w:rPr>
        <w:t>h</w:t>
      </w:r>
      <w:r w:rsidRPr="00557243">
        <w:rPr>
          <w:i/>
          <w:sz w:val="18"/>
          <w:szCs w:val="18"/>
        </w:rPr>
        <w:t>ourly Settlement</w:t>
      </w:r>
      <w:r w:rsidRPr="00146A20">
        <w:rPr>
          <w:i/>
          <w:sz w:val="18"/>
          <w:szCs w:val="18"/>
        </w:rPr>
        <w:t>; Docket No. ER1</w:t>
      </w:r>
      <w:r>
        <w:rPr>
          <w:i/>
          <w:sz w:val="18"/>
          <w:szCs w:val="18"/>
        </w:rPr>
        <w:t>7</w:t>
      </w:r>
      <w:r w:rsidRPr="00146A20">
        <w:rPr>
          <w:i/>
          <w:sz w:val="18"/>
          <w:szCs w:val="18"/>
        </w:rPr>
        <w:t>-___-000</w:t>
      </w:r>
      <w:r w:rsidRPr="00146A20">
        <w:rPr>
          <w:sz w:val="18"/>
          <w:szCs w:val="18"/>
        </w:rPr>
        <w:t>, FERC filing (</w:t>
      </w:r>
      <w:r>
        <w:rPr>
          <w:sz w:val="18"/>
          <w:szCs w:val="18"/>
        </w:rPr>
        <w:t>December</w:t>
      </w:r>
      <w:r w:rsidRPr="00146A20">
        <w:rPr>
          <w:sz w:val="18"/>
          <w:szCs w:val="18"/>
        </w:rPr>
        <w:t xml:space="preserve"> 2</w:t>
      </w:r>
      <w:r>
        <w:rPr>
          <w:sz w:val="18"/>
          <w:szCs w:val="18"/>
        </w:rPr>
        <w:t>7</w:t>
      </w:r>
      <w:r w:rsidRPr="00146A20">
        <w:rPr>
          <w:sz w:val="18"/>
          <w:szCs w:val="18"/>
        </w:rPr>
        <w:t>, 201</w:t>
      </w:r>
      <w:r>
        <w:rPr>
          <w:sz w:val="18"/>
          <w:szCs w:val="18"/>
        </w:rPr>
        <w:t>6</w:t>
      </w:r>
      <w:r w:rsidRPr="00146A20">
        <w:rPr>
          <w:sz w:val="18"/>
          <w:szCs w:val="18"/>
        </w:rPr>
        <w:t xml:space="preserve">), </w:t>
      </w:r>
      <w:hyperlink r:id="rId165" w:history="1">
        <w:r w:rsidRPr="00A96E59">
          <w:rPr>
            <w:rStyle w:val="Hyperlink"/>
            <w:sz w:val="18"/>
            <w:szCs w:val="18"/>
          </w:rPr>
          <w:t>https://www.iso-ne.com/static-assets/documents/2016/12/part_1_of_two-part_filing_ncpc_revisions_shs.pdf</w:t>
        </w:r>
      </w:hyperlink>
      <w:r w:rsidRPr="00A96E59">
        <w:rPr>
          <w:sz w:val="18"/>
          <w:szCs w:val="18"/>
        </w:rPr>
        <w:t xml:space="preserve"> </w:t>
      </w:r>
      <w:r>
        <w:rPr>
          <w:sz w:val="18"/>
          <w:szCs w:val="18"/>
        </w:rPr>
        <w:t>and</w:t>
      </w:r>
      <w:r w:rsidRPr="00A96E59">
        <w:rPr>
          <w:sz w:val="18"/>
          <w:szCs w:val="18"/>
        </w:rPr>
        <w:t xml:space="preserve"> </w:t>
      </w:r>
      <w:hyperlink r:id="rId166" w:history="1">
        <w:r w:rsidRPr="00A96E59">
          <w:rPr>
            <w:rStyle w:val="Hyperlink"/>
            <w:sz w:val="18"/>
            <w:szCs w:val="18"/>
          </w:rPr>
          <w:t>https://www.iso-ne.com/static-assets/documents/2016/12/part_2_of_two-part_filing_of_ncpc_revisions_shs.pdf</w:t>
        </w:r>
      </w:hyperlink>
      <w:r w:rsidRPr="00A96E59">
        <w:rPr>
          <w:sz w:val="18"/>
          <w:szCs w:val="18"/>
        </w:rPr>
        <w:t xml:space="preserve"> </w:t>
      </w:r>
      <w:r>
        <w:rPr>
          <w:sz w:val="18"/>
          <w:szCs w:val="18"/>
        </w:rPr>
        <w:t>.</w:t>
      </w:r>
    </w:p>
  </w:footnote>
  <w:footnote w:id="184">
    <w:p w:rsidR="006346FE" w:rsidRPr="00146A20" w:rsidRDefault="006346FE" w:rsidP="003021D4">
      <w:pPr>
        <w:pStyle w:val="FoonoteText"/>
        <w:spacing w:after="80" w:line="240" w:lineRule="auto"/>
        <w:rPr>
          <w:sz w:val="18"/>
          <w:szCs w:val="18"/>
        </w:rPr>
      </w:pPr>
      <w:r w:rsidRPr="00146A20">
        <w:rPr>
          <w:rStyle w:val="FootnoteReference"/>
          <w:sz w:val="18"/>
          <w:szCs w:val="18"/>
        </w:rPr>
        <w:footnoteRef/>
      </w:r>
      <w:r w:rsidRPr="00146A20">
        <w:rPr>
          <w:sz w:val="18"/>
          <w:szCs w:val="18"/>
        </w:rPr>
        <w:t xml:space="preserve"> More information about NERC is available at </w:t>
      </w:r>
      <w:hyperlink r:id="rId167" w:history="1">
        <w:r w:rsidRPr="00146A20">
          <w:rPr>
            <w:rStyle w:val="Hyperlink"/>
            <w:color w:val="auto"/>
            <w:sz w:val="18"/>
            <w:szCs w:val="18"/>
          </w:rPr>
          <w:t>http://www.nerc.com/</w:t>
        </w:r>
      </w:hyperlink>
      <w:r w:rsidRPr="00146A20">
        <w:rPr>
          <w:sz w:val="18"/>
          <w:szCs w:val="18"/>
        </w:rPr>
        <w:t>.</w:t>
      </w:r>
    </w:p>
  </w:footnote>
  <w:footnote w:id="185">
    <w:p w:rsidR="006346FE" w:rsidRPr="00146A20" w:rsidRDefault="006346FE" w:rsidP="003021D4">
      <w:pPr>
        <w:spacing w:after="80" w:line="240" w:lineRule="auto"/>
        <w:rPr>
          <w:sz w:val="18"/>
          <w:szCs w:val="18"/>
        </w:rPr>
      </w:pPr>
      <w:r w:rsidRPr="00146A20">
        <w:rPr>
          <w:rStyle w:val="FootnoteReference"/>
          <w:sz w:val="18"/>
          <w:szCs w:val="18"/>
        </w:rPr>
        <w:footnoteRef/>
      </w:r>
      <w:r w:rsidRPr="00146A20">
        <w:rPr>
          <w:sz w:val="18"/>
          <w:szCs w:val="18"/>
        </w:rPr>
        <w:t xml:space="preserve"> Additional information on the EIPC is available at </w:t>
      </w:r>
      <w:hyperlink r:id="rId168" w:history="1">
        <w:r w:rsidRPr="00146A20">
          <w:rPr>
            <w:rStyle w:val="Hyperlink"/>
            <w:color w:val="auto"/>
            <w:sz w:val="18"/>
            <w:szCs w:val="18"/>
          </w:rPr>
          <w:t>http://www.eipconline.com/</w:t>
        </w:r>
      </w:hyperlink>
      <w:r w:rsidRPr="00146A20">
        <w:rPr>
          <w:sz w:val="18"/>
          <w:szCs w:val="18"/>
        </w:rPr>
        <w:t>.</w:t>
      </w:r>
    </w:p>
  </w:footnote>
  <w:footnote w:id="186">
    <w:p w:rsidR="006346FE" w:rsidRDefault="006346FE" w:rsidP="003021D4">
      <w:pPr>
        <w:pStyle w:val="FootnoteText"/>
      </w:pPr>
      <w:r w:rsidRPr="001B4B67">
        <w:rPr>
          <w:rStyle w:val="FootnoteReference"/>
        </w:rPr>
        <w:footnoteRef/>
      </w:r>
      <w:r w:rsidRPr="001B4B67">
        <w:t xml:space="preserve"> EIPC, 2015 </w:t>
      </w:r>
      <w:r w:rsidRPr="001B4B67">
        <w:rPr>
          <w:i/>
        </w:rPr>
        <w:t>Report for 2025 Summer and Winter Roll-Up Integration Cases</w:t>
      </w:r>
      <w:r w:rsidRPr="001B4B67">
        <w:t xml:space="preserve"> (March 24, 2016) is available at </w:t>
      </w:r>
      <w:hyperlink r:id="rId169" w:history="1">
        <w:r w:rsidRPr="001B4B67">
          <w:rPr>
            <w:rStyle w:val="Hyperlink"/>
          </w:rPr>
          <w:t>http://www.eipconline.com/non-doe-documents.html</w:t>
        </w:r>
      </w:hyperlink>
      <w:r w:rsidRPr="001B4B67">
        <w:t>.</w:t>
      </w:r>
    </w:p>
  </w:footnote>
  <w:footnote w:id="187">
    <w:p w:rsidR="006346FE" w:rsidRPr="001B4B67" w:rsidRDefault="006346FE" w:rsidP="003021D4">
      <w:pPr>
        <w:spacing w:after="80" w:line="240" w:lineRule="auto"/>
        <w:rPr>
          <w:sz w:val="18"/>
          <w:szCs w:val="18"/>
        </w:rPr>
      </w:pPr>
      <w:r w:rsidRPr="001B4B67">
        <w:rPr>
          <w:rStyle w:val="FootnoteReference"/>
          <w:sz w:val="18"/>
          <w:szCs w:val="18"/>
        </w:rPr>
        <w:footnoteRef/>
      </w:r>
      <w:r w:rsidRPr="001B4B67">
        <w:rPr>
          <w:sz w:val="18"/>
          <w:szCs w:val="18"/>
        </w:rPr>
        <w:t xml:space="preserve"> See NERC’s “Reliability Assessment and Performance Analysis,” webpage (2016), </w:t>
      </w:r>
      <w:hyperlink r:id="rId170" w:history="1">
        <w:r w:rsidRPr="001B4B67">
          <w:rPr>
            <w:rStyle w:val="Hyperlink"/>
            <w:color w:val="auto"/>
            <w:sz w:val="18"/>
            <w:szCs w:val="18"/>
          </w:rPr>
          <w:t>http://www.nerc.com/pa/RAPA/Pages/default.aspx</w:t>
        </w:r>
      </w:hyperlink>
      <w:r w:rsidRPr="001B4B67">
        <w:rPr>
          <w:sz w:val="18"/>
          <w:szCs w:val="18"/>
        </w:rPr>
        <w:t>.</w:t>
      </w:r>
    </w:p>
  </w:footnote>
  <w:footnote w:id="188">
    <w:p w:rsidR="006346FE" w:rsidRPr="00AE59CD" w:rsidRDefault="006346FE" w:rsidP="003021D4">
      <w:pPr>
        <w:spacing w:after="80" w:line="240" w:lineRule="auto"/>
        <w:rPr>
          <w:sz w:val="18"/>
          <w:szCs w:val="18"/>
        </w:rPr>
      </w:pPr>
      <w:r w:rsidRPr="001B4B67">
        <w:rPr>
          <w:rStyle w:val="FootnoteReference"/>
          <w:sz w:val="18"/>
          <w:szCs w:val="18"/>
        </w:rPr>
        <w:footnoteRef/>
      </w:r>
      <w:r w:rsidRPr="001B4B67">
        <w:rPr>
          <w:sz w:val="18"/>
          <w:szCs w:val="18"/>
        </w:rPr>
        <w:t xml:space="preserve"> NERC, </w:t>
      </w:r>
      <w:r w:rsidRPr="001B4B67">
        <w:rPr>
          <w:i/>
          <w:sz w:val="18"/>
          <w:szCs w:val="18"/>
        </w:rPr>
        <w:t>2016 Long-Term Reliability Assessment</w:t>
      </w:r>
      <w:r w:rsidRPr="001B4B67">
        <w:rPr>
          <w:sz w:val="18"/>
          <w:szCs w:val="18"/>
        </w:rPr>
        <w:t xml:space="preserve"> (December 2016), </w:t>
      </w:r>
      <w:hyperlink r:id="rId171" w:history="1">
        <w:r w:rsidRPr="005D0828">
          <w:rPr>
            <w:rStyle w:val="Hyperlink"/>
            <w:sz w:val="18"/>
            <w:szCs w:val="18"/>
          </w:rPr>
          <w:t>http://www.nerc.com/pa/RAPA/ra/Reliability%20Assessments%20DL/2016%20Long-Term%20Reliability%20Assessment.pdf</w:t>
        </w:r>
      </w:hyperlink>
      <w:r w:rsidRPr="001B4B67">
        <w:rPr>
          <w:sz w:val="18"/>
          <w:szCs w:val="18"/>
        </w:rPr>
        <w:t>.</w:t>
      </w:r>
    </w:p>
  </w:footnote>
  <w:footnote w:id="189">
    <w:p w:rsidR="006346FE" w:rsidRDefault="006346FE" w:rsidP="003021D4">
      <w:pPr>
        <w:pStyle w:val="FootnoteText"/>
      </w:pPr>
      <w:r w:rsidRPr="00153233">
        <w:rPr>
          <w:rStyle w:val="FootnoteReference"/>
        </w:rPr>
        <w:footnoteRef/>
      </w:r>
      <w:r w:rsidRPr="00153233">
        <w:t xml:space="preserve"> NERC, </w:t>
      </w:r>
      <w:r w:rsidRPr="00153233">
        <w:rPr>
          <w:i/>
        </w:rPr>
        <w:t>Essential Reliability Services Task Force Measures Framework Report</w:t>
      </w:r>
      <w:r w:rsidRPr="00153233">
        <w:t xml:space="preserve"> (November 2015),</w:t>
      </w:r>
      <w:r w:rsidRPr="001B4B67">
        <w:t xml:space="preserve"> </w:t>
      </w:r>
      <w:hyperlink r:id="rId172" w:history="1">
        <w:r w:rsidRPr="001B4B67">
          <w:rPr>
            <w:rStyle w:val="Hyperlink"/>
          </w:rPr>
          <w:t>https://www.google.com/url?sa=t&amp;rct=j&amp;q=&amp;esrc=s&amp;source=web&amp;cd=1&amp;cad=rja&amp;uact=8&amp;ved=0ahUKEwj16Oi2mKrUAhVGvRoKHWA3BbkQFggmMAA&amp;url=http%3A%2F%2Fwww.nerc.com%2Fcomm%2FOther%2FessntlrlbltysrvcstskfrcDL%2FERSTF%2520Framework%2520Report%2520-%2520Final.pdf&amp;usg=AFQjCNEV_k9d-grrdno85cjAD5EBCxsBzA</w:t>
        </w:r>
      </w:hyperlink>
      <w:r w:rsidRPr="001B4B67">
        <w:t>.</w:t>
      </w:r>
    </w:p>
  </w:footnote>
  <w:footnote w:id="190">
    <w:p w:rsidR="006346FE" w:rsidRPr="00231A08" w:rsidRDefault="006346FE" w:rsidP="003021D4">
      <w:pPr>
        <w:spacing w:after="80" w:line="240" w:lineRule="auto"/>
        <w:rPr>
          <w:sz w:val="18"/>
          <w:szCs w:val="18"/>
        </w:rPr>
      </w:pPr>
      <w:r w:rsidRPr="00231A08">
        <w:rPr>
          <w:rStyle w:val="FootnoteReference"/>
          <w:sz w:val="18"/>
          <w:szCs w:val="18"/>
        </w:rPr>
        <w:footnoteRef/>
      </w:r>
      <w:r w:rsidRPr="00231A08">
        <w:rPr>
          <w:sz w:val="18"/>
          <w:szCs w:val="18"/>
        </w:rPr>
        <w:t xml:space="preserve"> IRC, “Reports and Filings,” webpage (2015), </w:t>
      </w:r>
      <w:hyperlink r:id="rId173" w:history="1">
        <w:r w:rsidRPr="00231A08">
          <w:rPr>
            <w:rStyle w:val="Hyperlink"/>
            <w:color w:val="auto"/>
            <w:sz w:val="18"/>
            <w:szCs w:val="18"/>
          </w:rPr>
          <w:t>http://www.isorto.org/Reports/default</w:t>
        </w:r>
      </w:hyperlink>
      <w:r w:rsidRPr="00231A08">
        <w:rPr>
          <w:sz w:val="18"/>
          <w:szCs w:val="18"/>
        </w:rPr>
        <w:t>.</w:t>
      </w:r>
    </w:p>
  </w:footnote>
  <w:footnote w:id="191">
    <w:p w:rsidR="006346FE" w:rsidRPr="00231A08" w:rsidRDefault="006346FE" w:rsidP="00166071">
      <w:pPr>
        <w:spacing w:after="80" w:line="240" w:lineRule="auto"/>
        <w:rPr>
          <w:sz w:val="18"/>
          <w:szCs w:val="18"/>
        </w:rPr>
      </w:pPr>
      <w:r w:rsidRPr="00166071">
        <w:rPr>
          <w:rStyle w:val="FootnoteReference"/>
          <w:sz w:val="18"/>
          <w:szCs w:val="18"/>
        </w:rPr>
        <w:footnoteRef/>
      </w:r>
      <w:r w:rsidRPr="00166071">
        <w:rPr>
          <w:sz w:val="18"/>
          <w:szCs w:val="18"/>
        </w:rPr>
        <w:t xml:space="preserve"> ISO/RTO Council, </w:t>
      </w:r>
      <w:r w:rsidRPr="00166071">
        <w:rPr>
          <w:i/>
          <w:sz w:val="18"/>
          <w:szCs w:val="18"/>
        </w:rPr>
        <w:t>Comments of the ISO/RTO Council on Notice of Proposed Rulemaking Regarding Electric Storage Resources and Distributed Energy Resource Aggregations in Organized Wholesale Electric Markets</w:t>
      </w:r>
      <w:r w:rsidRPr="00166071">
        <w:rPr>
          <w:sz w:val="18"/>
          <w:szCs w:val="18"/>
        </w:rPr>
        <w:t xml:space="preserve"> (February 13, 2017</w:t>
      </w:r>
      <w:r>
        <w:rPr>
          <w:sz w:val="18"/>
          <w:szCs w:val="18"/>
        </w:rPr>
        <w:t>),</w:t>
      </w:r>
      <w:r w:rsidRPr="00166071">
        <w:rPr>
          <w:sz w:val="18"/>
          <w:szCs w:val="18"/>
        </w:rPr>
        <w:t xml:space="preserve"> </w:t>
      </w:r>
      <w:hyperlink r:id="rId174" w:history="1">
        <w:r w:rsidRPr="00166071">
          <w:rPr>
            <w:rStyle w:val="Hyperlink"/>
            <w:sz w:val="18"/>
            <w:szCs w:val="18"/>
          </w:rPr>
          <w:t>http://www.isorto.org/Documents/Report/20170213_Final_IRC_Comments_on_ESR_and_DER_RM16-23-000.pdf</w:t>
        </w:r>
      </w:hyperlink>
      <w:r w:rsidRPr="00166071">
        <w:rPr>
          <w:sz w:val="18"/>
          <w:szCs w:val="18"/>
        </w:rPr>
        <w:t>.</w:t>
      </w:r>
    </w:p>
  </w:footnote>
  <w:footnote w:id="192">
    <w:p w:rsidR="006346FE" w:rsidRPr="00146A20" w:rsidRDefault="006346FE" w:rsidP="003021D4">
      <w:pPr>
        <w:spacing w:after="80" w:line="240" w:lineRule="auto"/>
        <w:rPr>
          <w:sz w:val="18"/>
          <w:szCs w:val="18"/>
        </w:rPr>
      </w:pPr>
      <w:r w:rsidRPr="00146A20">
        <w:rPr>
          <w:rStyle w:val="FootnoteReference"/>
          <w:sz w:val="18"/>
          <w:szCs w:val="18"/>
        </w:rPr>
        <w:footnoteRef/>
      </w:r>
      <w:r w:rsidRPr="00146A20">
        <w:rPr>
          <w:sz w:val="18"/>
          <w:szCs w:val="18"/>
        </w:rPr>
        <w:t xml:space="preserve"> The NPCC region covers nearly 1.2 million square miles populated by more than 55 million people. NPCC in the United States includes the six New England states and the state of New York. NPCC Canada includes the provinces of Ontario, Québec, and the Maritime provinces of New Brunswick and Nova Scotia. As full members, New Brunswick and Nova Scotia also ensure that NPCC reliability issues are addressed for Prince Edward Island.</w:t>
      </w:r>
    </w:p>
  </w:footnote>
  <w:footnote w:id="193">
    <w:p w:rsidR="006346FE" w:rsidRDefault="006346FE" w:rsidP="003021D4">
      <w:pPr>
        <w:pStyle w:val="FootnoteText"/>
      </w:pPr>
      <w:r>
        <w:rPr>
          <w:rStyle w:val="FootnoteReference"/>
        </w:rPr>
        <w:footnoteRef/>
      </w:r>
      <w:r>
        <w:t xml:space="preserve"> ISO New England, “</w:t>
      </w:r>
      <w:r w:rsidRPr="00301EB3">
        <w:t>Interregional Planning Stakeholder Advisory Committee</w:t>
      </w:r>
      <w:r>
        <w:t xml:space="preserve">,” webpage (2017), </w:t>
      </w:r>
      <w:hyperlink r:id="rId175" w:history="1">
        <w:r w:rsidRPr="00301EB3">
          <w:rPr>
            <w:rStyle w:val="Hyperlink"/>
          </w:rPr>
          <w:t>https://www.iso-ne.com/committees/planning/ipsac</w:t>
        </w:r>
      </w:hyperlink>
      <w:r>
        <w:t>.</w:t>
      </w:r>
    </w:p>
  </w:footnote>
  <w:footnote w:id="194">
    <w:p w:rsidR="006346FE" w:rsidRDefault="006346FE" w:rsidP="003021D4">
      <w:pPr>
        <w:pStyle w:val="FootnoteText"/>
      </w:pPr>
      <w:r w:rsidRPr="00B0414E">
        <w:rPr>
          <w:rStyle w:val="FootnoteReference"/>
        </w:rPr>
        <w:footnoteRef/>
      </w:r>
      <w:r w:rsidRPr="00B0414E">
        <w:t xml:space="preserve"> </w:t>
      </w:r>
      <w:r>
        <w:t>I</w:t>
      </w:r>
      <w:r w:rsidRPr="00B0414E">
        <w:t xml:space="preserve">SO New England, NYISO, and PJM, </w:t>
      </w:r>
      <w:r w:rsidRPr="00B0414E">
        <w:rPr>
          <w:i/>
        </w:rPr>
        <w:t>2015 Northeast Coordinated System Plan</w:t>
      </w:r>
      <w:r w:rsidRPr="00B0414E">
        <w:t xml:space="preserve"> (April 11, 2016</w:t>
      </w:r>
      <w:r>
        <w:t>),</w:t>
      </w:r>
      <w:r w:rsidRPr="00B0414E">
        <w:t xml:space="preserve"> </w:t>
      </w:r>
      <w:hyperlink r:id="rId176" w:history="1">
        <w:r w:rsidRPr="00B0414E">
          <w:rPr>
            <w:rStyle w:val="Hyperlink"/>
          </w:rPr>
          <w:t>https://www.iso-ne.com/static-assets/documents/2016/04/2015_ncsp_041116_final.docx</w:t>
        </w:r>
      </w:hyperlink>
      <w:r>
        <w:t>.</w:t>
      </w:r>
      <w:r>
        <w:rPr>
          <w:highlight w:val="green"/>
        </w:rPr>
        <w:t xml:space="preserve"> </w:t>
      </w:r>
    </w:p>
  </w:footnote>
  <w:footnote w:id="195">
    <w:p w:rsidR="006346FE" w:rsidRPr="00554049" w:rsidRDefault="006346FE" w:rsidP="003021D4">
      <w:pPr>
        <w:pStyle w:val="FootnoteText"/>
        <w:rPr>
          <w:szCs w:val="18"/>
        </w:rPr>
      </w:pPr>
      <w:r w:rsidRPr="0056088C">
        <w:rPr>
          <w:rStyle w:val="FootnoteReference"/>
          <w:sz w:val="18"/>
          <w:szCs w:val="18"/>
        </w:rPr>
        <w:footnoteRef/>
      </w:r>
      <w:r>
        <w:rPr>
          <w:i/>
          <w:szCs w:val="18"/>
        </w:rPr>
        <w:t xml:space="preserve"> </w:t>
      </w:r>
      <w:r w:rsidRPr="0056088C">
        <w:rPr>
          <w:i/>
          <w:szCs w:val="18"/>
        </w:rPr>
        <w:t>Locational Marginal Prices and Interface Flows</w:t>
      </w:r>
      <w:r w:rsidRPr="0056088C">
        <w:rPr>
          <w:szCs w:val="18"/>
        </w:rPr>
        <w:t xml:space="preserve">, PAC presentation (April 19, 2017), </w:t>
      </w:r>
      <w:hyperlink r:id="rId177" w:history="1">
        <w:r w:rsidRPr="008A19F1">
          <w:rPr>
            <w:rStyle w:val="Hyperlink"/>
            <w:szCs w:val="18"/>
          </w:rPr>
          <w:t>https://www.iso-ne.com/static-assets/documents/2017/04/a8_2016_interface_flows_and_other_system_perfromance_summaries.pdf</w:t>
        </w:r>
      </w:hyperlink>
      <w:r>
        <w:rPr>
          <w:szCs w:val="18"/>
        </w:rPr>
        <w:t xml:space="preserve">. </w:t>
      </w:r>
    </w:p>
  </w:footnote>
  <w:footnote w:id="196">
    <w:p w:rsidR="006346FE" w:rsidRPr="00554049" w:rsidRDefault="006346FE" w:rsidP="003021D4">
      <w:pPr>
        <w:pStyle w:val="FootnoteText"/>
        <w:rPr>
          <w:szCs w:val="18"/>
        </w:rPr>
      </w:pPr>
      <w:r w:rsidRPr="004946A5">
        <w:rPr>
          <w:rStyle w:val="FootnoteReference"/>
          <w:sz w:val="18"/>
          <w:szCs w:val="18"/>
        </w:rPr>
        <w:footnoteRef/>
      </w:r>
      <w:r w:rsidRPr="004946A5">
        <w:rPr>
          <w:szCs w:val="18"/>
        </w:rPr>
        <w:t xml:space="preserve"> Energy imports were 1,848 GWh over Highgate and 10,373 GWh over Phase II.</w:t>
      </w:r>
      <w:r w:rsidRPr="00554049">
        <w:rPr>
          <w:szCs w:val="18"/>
        </w:rPr>
        <w:t xml:space="preserve"> </w:t>
      </w:r>
    </w:p>
  </w:footnote>
  <w:footnote w:id="197">
    <w:p w:rsidR="006346FE" w:rsidRPr="001361A5" w:rsidRDefault="006346FE" w:rsidP="003021D4">
      <w:pPr>
        <w:spacing w:after="80" w:line="240" w:lineRule="auto"/>
        <w:rPr>
          <w:sz w:val="18"/>
          <w:szCs w:val="18"/>
        </w:rPr>
      </w:pPr>
      <w:r w:rsidRPr="00267AFD">
        <w:rPr>
          <w:rStyle w:val="FootnoteReference"/>
          <w:sz w:val="18"/>
          <w:szCs w:val="18"/>
        </w:rPr>
        <w:footnoteRef/>
      </w:r>
      <w:r w:rsidRPr="00267AFD">
        <w:rPr>
          <w:sz w:val="18"/>
          <w:szCs w:val="18"/>
        </w:rPr>
        <w:t xml:space="preserve"> </w:t>
      </w:r>
      <w:r w:rsidRPr="00267AFD">
        <w:rPr>
          <w:i/>
          <w:sz w:val="18"/>
          <w:szCs w:val="18"/>
        </w:rPr>
        <w:t>2015 ISO New England Electric Generator Air Emissions Report</w:t>
      </w:r>
      <w:r w:rsidRPr="00267AFD">
        <w:rPr>
          <w:sz w:val="18"/>
          <w:szCs w:val="18"/>
        </w:rPr>
        <w:t xml:space="preserve"> (January 2017), </w:t>
      </w:r>
      <w:hyperlink r:id="rId178" w:history="1">
        <w:r w:rsidRPr="005D1DBF">
          <w:rPr>
            <w:rStyle w:val="Hyperlink"/>
            <w:sz w:val="18"/>
            <w:szCs w:val="18"/>
          </w:rPr>
          <w:t>https://www.iso-ne.com/static-assets/documents/2017/01/2015_emissions_report.pdf</w:t>
        </w:r>
      </w:hyperlink>
      <w:r w:rsidRPr="00267AFD">
        <w:rPr>
          <w:sz w:val="18"/>
          <w:szCs w:val="18"/>
        </w:rPr>
        <w:t>.</w:t>
      </w:r>
    </w:p>
  </w:footnote>
  <w:footnote w:id="198">
    <w:p w:rsidR="006346FE" w:rsidRPr="00D97417" w:rsidRDefault="006346FE" w:rsidP="000C4646">
      <w:pPr>
        <w:spacing w:after="80" w:line="240" w:lineRule="auto"/>
        <w:rPr>
          <w:sz w:val="18"/>
          <w:szCs w:val="18"/>
        </w:rPr>
      </w:pPr>
      <w:r w:rsidRPr="00D97417">
        <w:rPr>
          <w:rStyle w:val="FootnoteReference"/>
          <w:sz w:val="18"/>
          <w:szCs w:val="18"/>
        </w:rPr>
        <w:footnoteRef/>
      </w:r>
      <w:r w:rsidRPr="00D97417">
        <w:rPr>
          <w:bCs/>
          <w:sz w:val="18"/>
          <w:szCs w:val="18"/>
        </w:rPr>
        <w:t xml:space="preserve"> </w:t>
      </w:r>
      <w:r>
        <w:rPr>
          <w:bCs/>
          <w:sz w:val="18"/>
          <w:szCs w:val="18"/>
        </w:rPr>
        <w:t>B</w:t>
      </w:r>
      <w:r w:rsidRPr="0097340B">
        <w:rPr>
          <w:bCs/>
          <w:sz w:val="18"/>
          <w:szCs w:val="18"/>
        </w:rPr>
        <w:t>y 2019</w:t>
      </w:r>
      <w:r>
        <w:rPr>
          <w:bCs/>
          <w:sz w:val="18"/>
          <w:szCs w:val="18"/>
        </w:rPr>
        <w:t>, m</w:t>
      </w:r>
      <w:r w:rsidRPr="0097340B">
        <w:rPr>
          <w:bCs/>
          <w:sz w:val="18"/>
          <w:szCs w:val="18"/>
        </w:rPr>
        <w:t>ore than 4,200 MW</w:t>
      </w:r>
      <w:r>
        <w:rPr>
          <w:bCs/>
          <w:sz w:val="18"/>
          <w:szCs w:val="18"/>
        </w:rPr>
        <w:t xml:space="preserve"> of generation will be retired</w:t>
      </w:r>
      <w:r w:rsidRPr="0097340B">
        <w:rPr>
          <w:bCs/>
          <w:sz w:val="18"/>
          <w:szCs w:val="18"/>
        </w:rPr>
        <w:t xml:space="preserve">, including </w:t>
      </w:r>
      <w:r w:rsidRPr="004F1CDF">
        <w:rPr>
          <w:bCs/>
          <w:sz w:val="18"/>
          <w:szCs w:val="18"/>
        </w:rPr>
        <w:t>Salem Harbor Station (749 MW); Vermont Yankee (604 MW); Norwalk Harbor Station (342 MW); Brayton Point Station (1,535 MW); Mount Tom Station (143</w:t>
      </w:r>
      <w:r>
        <w:rPr>
          <w:bCs/>
          <w:sz w:val="18"/>
          <w:szCs w:val="18"/>
        </w:rPr>
        <w:t> </w:t>
      </w:r>
      <w:r w:rsidRPr="004F1CDF">
        <w:rPr>
          <w:bCs/>
          <w:sz w:val="18"/>
          <w:szCs w:val="18"/>
        </w:rPr>
        <w:t>MW); Pilgrim Nuclear Power Station (677 MW); and approximately 1,100 MW of active demand-response resources.</w:t>
      </w:r>
    </w:p>
  </w:footnote>
  <w:footnote w:id="199">
    <w:p w:rsidR="006346FE" w:rsidRPr="00CF64A5" w:rsidRDefault="006346FE" w:rsidP="000C4646">
      <w:pPr>
        <w:pStyle w:val="FootnoteText"/>
        <w:rPr>
          <w:szCs w:val="18"/>
        </w:rPr>
      </w:pPr>
      <w:r w:rsidRPr="00CF64A5">
        <w:rPr>
          <w:rStyle w:val="FootnoteReference"/>
          <w:sz w:val="18"/>
          <w:szCs w:val="18"/>
        </w:rPr>
        <w:footnoteRef/>
      </w:r>
      <w:r w:rsidRPr="00CF64A5">
        <w:rPr>
          <w:szCs w:val="18"/>
        </w:rPr>
        <w:t xml:space="preserve"> </w:t>
      </w:r>
      <w:r>
        <w:rPr>
          <w:szCs w:val="18"/>
        </w:rPr>
        <w:t xml:space="preserve">The </w:t>
      </w:r>
      <w:r>
        <w:t xml:space="preserve">Neptune LNG facility was not included because </w:t>
      </w:r>
      <w:r w:rsidRPr="00CF64A5">
        <w:rPr>
          <w:szCs w:val="18"/>
        </w:rPr>
        <w:t>the Maritime Administration</w:t>
      </w:r>
      <w:r w:rsidRPr="00172C5D">
        <w:rPr>
          <w:szCs w:val="18"/>
        </w:rPr>
        <w:t xml:space="preserve"> </w:t>
      </w:r>
      <w:r w:rsidRPr="00363DAB">
        <w:rPr>
          <w:szCs w:val="18"/>
        </w:rPr>
        <w:t>approved the company’s request to suspend its deepwater port license as of June 26, 2013, for a five-</w:t>
      </w:r>
      <w:r w:rsidRPr="00CF64A5">
        <w:rPr>
          <w:szCs w:val="18"/>
        </w:rPr>
        <w:t>year period. Neptune has the right to restart port operations before June 26, 2018, with six months’ prior notice to the Maritime Administration and if certain conditions established in Neptune’s Suspension Plan have been satisfied.</w:t>
      </w:r>
    </w:p>
  </w:footnote>
  <w:footnote w:id="200">
    <w:p w:rsidR="006346FE" w:rsidRDefault="006346FE" w:rsidP="000C4646">
      <w:pPr>
        <w:pStyle w:val="FootnoteText"/>
      </w:pPr>
      <w:r w:rsidRPr="006F766E">
        <w:rPr>
          <w:rStyle w:val="FootnoteReference"/>
        </w:rPr>
        <w:footnoteRef/>
      </w:r>
      <w:r w:rsidRPr="006F766E">
        <w:t xml:space="preserve"> LNG storage facilities can, on short notice, vaporize gas for injection into the New England pipelines and thus help the region meet peak demand.</w:t>
      </w:r>
      <w:r w:rsidRPr="006F766E">
        <w:rPr>
          <w:rFonts w:eastAsia="Times New Roman"/>
          <w:color w:val="62777F" w:themeColor="text1"/>
          <w:sz w:val="16"/>
          <w:szCs w:val="16"/>
        </w:rPr>
        <w:t xml:space="preserve"> </w:t>
      </w:r>
      <w:r w:rsidRPr="006F766E">
        <w:t>These facilities may require advance contracting, however, to assure adequate onsite liquid storage.</w:t>
      </w:r>
    </w:p>
  </w:footnote>
  <w:footnote w:id="201">
    <w:p w:rsidR="006346FE" w:rsidRPr="00CF64A5" w:rsidRDefault="006346FE" w:rsidP="000C4646">
      <w:pPr>
        <w:pStyle w:val="FootnoteText"/>
        <w:rPr>
          <w:szCs w:val="18"/>
        </w:rPr>
      </w:pPr>
      <w:r w:rsidRPr="00992D7F">
        <w:rPr>
          <w:rStyle w:val="FootnoteReference"/>
          <w:sz w:val="18"/>
          <w:szCs w:val="18"/>
        </w:rPr>
        <w:footnoteRef/>
      </w:r>
      <w:r w:rsidRPr="00992D7F">
        <w:rPr>
          <w:szCs w:val="18"/>
        </w:rPr>
        <w:t xml:space="preserve"> ”Bbls” refers to “blue barrels,” the traditional name of the units of oil purchased at 42 gallons/bbls.</w:t>
      </w:r>
      <w:r w:rsidRPr="00CF64A5">
        <w:rPr>
          <w:szCs w:val="18"/>
        </w:rPr>
        <w:t xml:space="preserve"> </w:t>
      </w:r>
    </w:p>
  </w:footnote>
  <w:footnote w:id="202">
    <w:p w:rsidR="006346FE" w:rsidRDefault="006346FE" w:rsidP="000C4646">
      <w:pPr>
        <w:pStyle w:val="FootnoteText"/>
      </w:pPr>
      <w:r w:rsidRPr="009F714D">
        <w:rPr>
          <w:rStyle w:val="FootnoteReference"/>
        </w:rPr>
        <w:footnoteRef/>
      </w:r>
      <w:r w:rsidRPr="009F714D">
        <w:t xml:space="preserve"> American Council for an Energy Efficient Economy (ACEEE), “2016 State Energy Efficiency Scorecard,” (September 2016</w:t>
      </w:r>
      <w:r>
        <w:t xml:space="preserve">), </w:t>
      </w:r>
      <w:hyperlink r:id="rId179" w:history="1">
        <w:r w:rsidRPr="004519F3">
          <w:rPr>
            <w:rStyle w:val="Hyperlink"/>
          </w:rPr>
          <w:t>http://aceee.org/research-report/u1606</w:t>
        </w:r>
      </w:hyperlink>
      <w:r>
        <w:t xml:space="preserve">. </w:t>
      </w:r>
      <w:r w:rsidRPr="002805FF">
        <w:t xml:space="preserve">In addition, methane emissions from natural gas systems in Massachusetts have declined by 67% since 1990, according to the MA Department of Environmental </w:t>
      </w:r>
      <w:r w:rsidRPr="00191031">
        <w:t>Protection’s recent greenhouse gas (GHG) inventory report (MA DEP, GHG Emissions Inventory, 1990–2014 (March</w:t>
      </w:r>
      <w:r w:rsidRPr="00440A24">
        <w:t xml:space="preserve"> 2017</w:t>
      </w:r>
      <w:r>
        <w:t xml:space="preserve">), </w:t>
      </w:r>
      <w:hyperlink r:id="rId180" w:history="1">
        <w:r w:rsidRPr="009F714D">
          <w:rPr>
            <w:rStyle w:val="Hyperlink"/>
          </w:rPr>
          <w:t>http://www.mass.gov/eea/docs/dep/air/climate/gwsa-appc.xls</w:t>
        </w:r>
      </w:hyperlink>
      <w:r>
        <w:t>.</w:t>
      </w:r>
    </w:p>
  </w:footnote>
  <w:footnote w:id="203">
    <w:p w:rsidR="006346FE" w:rsidRDefault="006346FE" w:rsidP="00A75620">
      <w:pPr>
        <w:pStyle w:val="FootnoteText"/>
      </w:pPr>
      <w:r>
        <w:rPr>
          <w:rStyle w:val="FootnoteReference"/>
        </w:rPr>
        <w:footnoteRef/>
      </w:r>
      <w:r>
        <w:t xml:space="preserve"> EPA, </w:t>
      </w:r>
      <w:r w:rsidRPr="006948C5">
        <w:rPr>
          <w:i/>
        </w:rPr>
        <w:t>Evaluation of Existing Regulations</w:t>
      </w:r>
      <w:r>
        <w:t xml:space="preserve">, 82 FR 17793, request for comment (April 13, 2017), </w:t>
      </w:r>
      <w:hyperlink r:id="rId181" w:history="1">
        <w:r w:rsidRPr="00D82921">
          <w:rPr>
            <w:rStyle w:val="Hyperlink"/>
          </w:rPr>
          <w:t>https://www.federalregister.gov/d/2017-07500</w:t>
        </w:r>
      </w:hyperlink>
      <w:r>
        <w:t xml:space="preserve">, implementing Executive Order 13777 of February 24, 2017, </w:t>
      </w:r>
      <w:r w:rsidRPr="006948C5">
        <w:rPr>
          <w:i/>
        </w:rPr>
        <w:t>Enforcing the Regulatory Reform Agenda</w:t>
      </w:r>
      <w:r>
        <w:rPr>
          <w:i/>
        </w:rPr>
        <w:t xml:space="preserve"> </w:t>
      </w:r>
      <w:r>
        <w:t xml:space="preserve">(March 1, 2017), </w:t>
      </w:r>
      <w:hyperlink r:id="rId182" w:history="1">
        <w:r w:rsidRPr="003D2B5B">
          <w:rPr>
            <w:rStyle w:val="Hyperlink"/>
          </w:rPr>
          <w:t>https://www.federalregister.gov/d/2017-04107</w:t>
        </w:r>
      </w:hyperlink>
      <w:r>
        <w:t>.</w:t>
      </w:r>
    </w:p>
  </w:footnote>
  <w:footnote w:id="204">
    <w:p w:rsidR="006346FE" w:rsidRPr="00CF64A5" w:rsidRDefault="006346FE" w:rsidP="00A75620">
      <w:pPr>
        <w:pStyle w:val="FootnoteText"/>
        <w:rPr>
          <w:szCs w:val="18"/>
        </w:rPr>
      </w:pPr>
      <w:r w:rsidRPr="00E513DA">
        <w:rPr>
          <w:rStyle w:val="FootnoteReference"/>
          <w:sz w:val="18"/>
          <w:szCs w:val="18"/>
        </w:rPr>
        <w:footnoteRef/>
      </w:r>
      <w:r w:rsidRPr="00E513DA">
        <w:rPr>
          <w:szCs w:val="18"/>
        </w:rPr>
        <w:t xml:space="preserve"> RGGI is a mandatory, market-based effort to reduce CO</w:t>
      </w:r>
      <w:r w:rsidRPr="00E513DA">
        <w:rPr>
          <w:szCs w:val="18"/>
          <w:vertAlign w:val="subscript"/>
        </w:rPr>
        <w:t>2</w:t>
      </w:r>
      <w:r w:rsidRPr="00E513DA">
        <w:rPr>
          <w:szCs w:val="18"/>
        </w:rPr>
        <w:t xml:space="preserve"> emissions across nine New England and</w:t>
      </w:r>
      <w:r w:rsidRPr="00CF64A5">
        <w:rPr>
          <w:szCs w:val="18"/>
        </w:rPr>
        <w:t xml:space="preserve"> Mid-Atlantic states through a multistate CO</w:t>
      </w:r>
      <w:r w:rsidRPr="00CF64A5">
        <w:rPr>
          <w:szCs w:val="18"/>
          <w:vertAlign w:val="subscript"/>
        </w:rPr>
        <w:t>2</w:t>
      </w:r>
      <w:r w:rsidRPr="00CF64A5">
        <w:rPr>
          <w:szCs w:val="18"/>
        </w:rPr>
        <w:t xml:space="preserve"> emissions budget cap-and-trade program</w:t>
      </w:r>
      <w:r>
        <w:rPr>
          <w:szCs w:val="18"/>
        </w:rPr>
        <w:t>. For a state-specific CO</w:t>
      </w:r>
      <w:r w:rsidRPr="00220C53">
        <w:rPr>
          <w:szCs w:val="18"/>
          <w:vertAlign w:val="subscript"/>
        </w:rPr>
        <w:t>2</w:t>
      </w:r>
      <w:r>
        <w:rPr>
          <w:szCs w:val="18"/>
        </w:rPr>
        <w:t xml:space="preserve"> cap, see Massachusetts 310 CMR 7.74, Reducing Greenhouse Gas Emissions From Electricity Generating Facilities, p</w:t>
      </w:r>
      <w:hyperlink r:id="rId183" w:history="1">
        <w:r w:rsidRPr="00B12C43">
          <w:rPr>
            <w:rStyle w:val="Hyperlink"/>
            <w:szCs w:val="18"/>
          </w:rPr>
          <w:t xml:space="preserve">roposed </w:t>
        </w:r>
        <w:r w:rsidRPr="00B21001">
          <w:rPr>
            <w:rStyle w:val="Hyperlink"/>
            <w:szCs w:val="18"/>
          </w:rPr>
          <w:t>r</w:t>
        </w:r>
        <w:r w:rsidRPr="00FF786F">
          <w:rPr>
            <w:rStyle w:val="Hyperlink"/>
            <w:szCs w:val="18"/>
          </w:rPr>
          <w:t>ule</w:t>
        </w:r>
      </w:hyperlink>
      <w:r>
        <w:rPr>
          <w:szCs w:val="18"/>
        </w:rPr>
        <w:t xml:space="preserve"> (December 16, 2016),</w:t>
      </w:r>
      <w:r w:rsidRPr="00E513DA">
        <w:t xml:space="preserve"> </w:t>
      </w:r>
      <w:hyperlink r:id="rId184" w:history="1">
        <w:r w:rsidRPr="00E513DA">
          <w:rPr>
            <w:rStyle w:val="Hyperlink"/>
            <w:szCs w:val="18"/>
          </w:rPr>
          <w:t>http://www.mass.gov/eea/docs/dep/air/climate/7-74-facility-limits-12-15-16.docx</w:t>
        </w:r>
      </w:hyperlink>
      <w:r>
        <w:rPr>
          <w:szCs w:val="18"/>
        </w:rPr>
        <w:t>.</w:t>
      </w:r>
    </w:p>
  </w:footnote>
  <w:footnote w:id="205">
    <w:p w:rsidR="006346FE" w:rsidRPr="0081607A" w:rsidRDefault="006346FE" w:rsidP="00895597">
      <w:pPr>
        <w:pStyle w:val="FootnoteText"/>
        <w:rPr>
          <w:szCs w:val="18"/>
        </w:rPr>
      </w:pPr>
      <w:r w:rsidRPr="0081607A">
        <w:rPr>
          <w:rStyle w:val="FootnoteReference"/>
          <w:sz w:val="18"/>
          <w:szCs w:val="18"/>
        </w:rPr>
        <w:footnoteRef/>
      </w:r>
      <w:r w:rsidRPr="0081607A">
        <w:rPr>
          <w:szCs w:val="18"/>
        </w:rPr>
        <w:t xml:space="preserve"> EPA, </w:t>
      </w:r>
      <w:r w:rsidRPr="0081607A">
        <w:rPr>
          <w:i/>
          <w:szCs w:val="18"/>
        </w:rPr>
        <w:t>National Pollutant Discharge Elimination System—Final Regulations to Establish Requirements for Cooling Water Intake Structures at Existing Facilities and Amend Requirements at Phase I Facilities</w:t>
      </w:r>
      <w:r w:rsidRPr="0081607A">
        <w:rPr>
          <w:szCs w:val="18"/>
        </w:rPr>
        <w:t>, final rule, 79 FR 48299 (August 15, 2014); applies to existing and new cooling water intake structures at power plants and manufacturers</w:t>
      </w:r>
      <w:r>
        <w:rPr>
          <w:szCs w:val="18"/>
        </w:rPr>
        <w:t xml:space="preserve">. </w:t>
      </w:r>
      <w:r w:rsidRPr="0081607A">
        <w:rPr>
          <w:szCs w:val="18"/>
        </w:rPr>
        <w:t xml:space="preserve">EPA, </w:t>
      </w:r>
      <w:hyperlink r:id="rId185" w:history="1">
        <w:r w:rsidRPr="0081607A">
          <w:rPr>
            <w:rStyle w:val="Hyperlink"/>
            <w:i/>
            <w:color w:val="auto"/>
            <w:szCs w:val="18"/>
          </w:rPr>
          <w:t>Effluent Limitation Guidelines and Standards for the Stream Electric Power Generating Point Source Category</w:t>
        </w:r>
      </w:hyperlink>
      <w:r w:rsidRPr="0081607A">
        <w:rPr>
          <w:szCs w:val="18"/>
        </w:rPr>
        <w:t xml:space="preserve">, </w:t>
      </w:r>
      <w:r>
        <w:rPr>
          <w:szCs w:val="18"/>
        </w:rPr>
        <w:t>final</w:t>
      </w:r>
      <w:r w:rsidRPr="0081607A">
        <w:rPr>
          <w:szCs w:val="18"/>
        </w:rPr>
        <w:t xml:space="preserve"> rule, </w:t>
      </w:r>
      <w:r>
        <w:rPr>
          <w:szCs w:val="18"/>
        </w:rPr>
        <w:t>80</w:t>
      </w:r>
      <w:r w:rsidRPr="0081607A">
        <w:rPr>
          <w:szCs w:val="18"/>
        </w:rPr>
        <w:t xml:space="preserve"> FR </w:t>
      </w:r>
      <w:r>
        <w:rPr>
          <w:szCs w:val="18"/>
        </w:rPr>
        <w:t>67837</w:t>
      </w:r>
      <w:r w:rsidRPr="0081607A">
        <w:rPr>
          <w:szCs w:val="18"/>
        </w:rPr>
        <w:t xml:space="preserve"> (</w:t>
      </w:r>
      <w:r>
        <w:rPr>
          <w:szCs w:val="18"/>
        </w:rPr>
        <w:t>November 3</w:t>
      </w:r>
      <w:r w:rsidRPr="0081607A">
        <w:rPr>
          <w:szCs w:val="18"/>
        </w:rPr>
        <w:t>, 201</w:t>
      </w:r>
      <w:r>
        <w:rPr>
          <w:szCs w:val="18"/>
        </w:rPr>
        <w:t>5</w:t>
      </w:r>
      <w:r w:rsidRPr="0081607A">
        <w:rPr>
          <w:szCs w:val="18"/>
        </w:rPr>
        <w:t>)</w:t>
      </w:r>
      <w:r>
        <w:rPr>
          <w:szCs w:val="18"/>
        </w:rPr>
        <w:t xml:space="preserve">. </w:t>
      </w:r>
      <w:r w:rsidRPr="0081607A">
        <w:rPr>
          <w:szCs w:val="18"/>
        </w:rPr>
        <w:t xml:space="preserve">The main pollutants of concern for these discharges include metals (mercury, arsenic, and selenium), nitrogen, and total dissolved solids generated by the operation of </w:t>
      </w:r>
      <w:r w:rsidRPr="00761016">
        <w:rPr>
          <w:szCs w:val="18"/>
        </w:rPr>
        <w:t>air pollution control devices (i.e., scrubbers)</w:t>
      </w:r>
      <w:r>
        <w:rPr>
          <w:szCs w:val="18"/>
        </w:rPr>
        <w:t xml:space="preserve">. </w:t>
      </w:r>
    </w:p>
  </w:footnote>
  <w:footnote w:id="206">
    <w:p w:rsidR="006346FE" w:rsidRDefault="006346FE" w:rsidP="0074326B">
      <w:pPr>
        <w:pStyle w:val="FootnoteText"/>
      </w:pPr>
      <w:r>
        <w:rPr>
          <w:rStyle w:val="FootnoteReference"/>
        </w:rPr>
        <w:footnoteRef/>
      </w:r>
      <w:r>
        <w:t xml:space="preserve"> </w:t>
      </w:r>
      <w:r w:rsidRPr="00220C53">
        <w:rPr>
          <w:i/>
        </w:rPr>
        <w:t xml:space="preserve">Cooling Water Intake Structure </w:t>
      </w:r>
      <w:r>
        <w:rPr>
          <w:i/>
        </w:rPr>
        <w:t xml:space="preserve">Coalition </w:t>
      </w:r>
      <w:r w:rsidRPr="00220C53">
        <w:rPr>
          <w:i/>
        </w:rPr>
        <w:t>v</w:t>
      </w:r>
      <w:r>
        <w:rPr>
          <w:i/>
        </w:rPr>
        <w:t xml:space="preserve">. </w:t>
      </w:r>
      <w:r w:rsidRPr="00220C53">
        <w:rPr>
          <w:i/>
        </w:rPr>
        <w:t>EPA</w:t>
      </w:r>
      <w:r>
        <w:t>, No. 14-4645 (2</w:t>
      </w:r>
      <w:r w:rsidRPr="00220C53">
        <w:rPr>
          <w:vertAlign w:val="superscript"/>
        </w:rPr>
        <w:t>nd</w:t>
      </w:r>
      <w:r>
        <w:t xml:space="preserve"> Circuit US Court of Appeals) and </w:t>
      </w:r>
      <w:r w:rsidRPr="00220C53">
        <w:rPr>
          <w:i/>
        </w:rPr>
        <w:t>Southwestern Electric Power Co</w:t>
      </w:r>
      <w:r>
        <w:rPr>
          <w:i/>
        </w:rPr>
        <w:t xml:space="preserve">. </w:t>
      </w:r>
      <w:r w:rsidRPr="00220C53">
        <w:rPr>
          <w:i/>
        </w:rPr>
        <w:t>v</w:t>
      </w:r>
      <w:r>
        <w:rPr>
          <w:i/>
        </w:rPr>
        <w:t xml:space="preserve">. </w:t>
      </w:r>
      <w:r w:rsidRPr="00220C53">
        <w:rPr>
          <w:i/>
        </w:rPr>
        <w:t>EPA</w:t>
      </w:r>
      <w:r>
        <w:t>, No. 15-60821 (5</w:t>
      </w:r>
      <w:r w:rsidRPr="00220C53">
        <w:rPr>
          <w:vertAlign w:val="superscript"/>
        </w:rPr>
        <w:t>th</w:t>
      </w:r>
      <w:r>
        <w:t xml:space="preserve"> Circuit US Court of Appeals).</w:t>
      </w:r>
    </w:p>
  </w:footnote>
  <w:footnote w:id="207">
    <w:p w:rsidR="006346FE" w:rsidRPr="0081607A" w:rsidRDefault="006346FE" w:rsidP="00A75620">
      <w:pPr>
        <w:pStyle w:val="FootnoteText"/>
        <w:rPr>
          <w:szCs w:val="18"/>
        </w:rPr>
      </w:pPr>
      <w:r w:rsidRPr="0081607A">
        <w:rPr>
          <w:rStyle w:val="FootnoteReference"/>
          <w:sz w:val="18"/>
          <w:szCs w:val="18"/>
        </w:rPr>
        <w:footnoteRef/>
      </w:r>
      <w:r w:rsidRPr="0081607A">
        <w:rPr>
          <w:szCs w:val="18"/>
        </w:rPr>
        <w:t xml:space="preserve"> Timothy H</w:t>
      </w:r>
      <w:r>
        <w:rPr>
          <w:szCs w:val="18"/>
        </w:rPr>
        <w:t xml:space="preserve">. </w:t>
      </w:r>
      <w:r w:rsidRPr="0081607A">
        <w:rPr>
          <w:szCs w:val="18"/>
        </w:rPr>
        <w:t>Diehl and Mellissa A</w:t>
      </w:r>
      <w:r>
        <w:rPr>
          <w:szCs w:val="18"/>
        </w:rPr>
        <w:t xml:space="preserve">. </w:t>
      </w:r>
      <w:r w:rsidRPr="0081607A">
        <w:rPr>
          <w:szCs w:val="18"/>
        </w:rPr>
        <w:t xml:space="preserve">Harris, </w:t>
      </w:r>
      <w:r w:rsidRPr="0081607A">
        <w:rPr>
          <w:i/>
          <w:szCs w:val="18"/>
        </w:rPr>
        <w:t>Withdrawal and Consumption of Water by Thermoelectric Power Plants in the United States, 2010</w:t>
      </w:r>
      <w:r w:rsidRPr="0081607A">
        <w:rPr>
          <w:szCs w:val="18"/>
        </w:rPr>
        <w:t xml:space="preserve">, US Geological Survey Scientific Investigations Report 2014–5184 (US Geological Survey, 2014), </w:t>
      </w:r>
      <w:hyperlink r:id="rId186" w:history="1">
        <w:r w:rsidRPr="0081607A">
          <w:rPr>
            <w:rStyle w:val="Hyperlink"/>
            <w:color w:val="auto"/>
            <w:szCs w:val="18"/>
          </w:rPr>
          <w:t>http://dx.doi.org/10.3133/sir20145184</w:t>
        </w:r>
      </w:hyperlink>
      <w:r w:rsidRPr="0081607A">
        <w:rPr>
          <w:szCs w:val="18"/>
        </w:rPr>
        <w:t>.</w:t>
      </w:r>
    </w:p>
  </w:footnote>
  <w:footnote w:id="208">
    <w:p w:rsidR="006346FE" w:rsidRDefault="006346FE">
      <w:pPr>
        <w:pStyle w:val="FootnoteText"/>
      </w:pPr>
      <w:r>
        <w:rPr>
          <w:rStyle w:val="FootnoteReference"/>
        </w:rPr>
        <w:footnoteRef/>
      </w:r>
      <w:r>
        <w:t xml:space="preserve"> A range of different technologies may satisfy this requirement, depending on the circumstances at each facility.</w:t>
      </w:r>
    </w:p>
  </w:footnote>
  <w:footnote w:id="209">
    <w:p w:rsidR="006346FE" w:rsidRPr="008D5D5B" w:rsidRDefault="006346FE" w:rsidP="00A75620">
      <w:pPr>
        <w:pStyle w:val="FootnoteText"/>
        <w:rPr>
          <w:szCs w:val="18"/>
        </w:rPr>
      </w:pPr>
      <w:r w:rsidRPr="008D5D5B">
        <w:rPr>
          <w:rStyle w:val="FootnoteReference"/>
          <w:sz w:val="18"/>
          <w:szCs w:val="18"/>
        </w:rPr>
        <w:footnoteRef/>
      </w:r>
      <w:r w:rsidRPr="008D5D5B">
        <w:rPr>
          <w:szCs w:val="18"/>
        </w:rPr>
        <w:t xml:space="preserve"> US EPA, </w:t>
      </w:r>
      <w:r w:rsidRPr="008D5D5B">
        <w:rPr>
          <w:i/>
          <w:szCs w:val="18"/>
        </w:rPr>
        <w:t>Clean Air Act</w:t>
      </w:r>
      <w:r w:rsidRPr="008D5D5B">
        <w:rPr>
          <w:szCs w:val="18"/>
        </w:rPr>
        <w:t>, 42 USC §7401 et seq</w:t>
      </w:r>
      <w:r>
        <w:rPr>
          <w:szCs w:val="18"/>
        </w:rPr>
        <w:t xml:space="preserve">. </w:t>
      </w:r>
      <w:r w:rsidRPr="008D5D5B">
        <w:rPr>
          <w:szCs w:val="18"/>
        </w:rPr>
        <w:t xml:space="preserve">(1970), </w:t>
      </w:r>
      <w:hyperlink r:id="rId187" w:history="1">
        <w:r w:rsidRPr="008D5D5B">
          <w:rPr>
            <w:rStyle w:val="Hyperlink"/>
            <w:color w:val="auto"/>
            <w:szCs w:val="18"/>
          </w:rPr>
          <w:t>http://www2.epa.gov/laws-regulations/summary-clean-air-act</w:t>
        </w:r>
      </w:hyperlink>
      <w:r w:rsidRPr="008D5D5B">
        <w:rPr>
          <w:szCs w:val="18"/>
        </w:rPr>
        <w:t>.</w:t>
      </w:r>
    </w:p>
  </w:footnote>
  <w:footnote w:id="210">
    <w:p w:rsidR="006346FE" w:rsidRDefault="006346FE" w:rsidP="00A75620">
      <w:pPr>
        <w:pStyle w:val="FootnoteText"/>
      </w:pPr>
      <w:r>
        <w:rPr>
          <w:rStyle w:val="FootnoteReference"/>
        </w:rPr>
        <w:footnoteRef/>
      </w:r>
      <w:r>
        <w:t xml:space="preserve"> </w:t>
      </w:r>
      <w:r w:rsidRPr="004F6825">
        <w:t xml:space="preserve">EPA, </w:t>
      </w:r>
      <w:r w:rsidRPr="004F6825">
        <w:rPr>
          <w:i/>
        </w:rPr>
        <w:t>National Ambient Air Quality Standards for Ozone</w:t>
      </w:r>
      <w:r w:rsidRPr="004F6825">
        <w:t xml:space="preserve">, </w:t>
      </w:r>
      <w:r>
        <w:t>f</w:t>
      </w:r>
      <w:r w:rsidRPr="004F6825">
        <w:t>inal rule, 80 F</w:t>
      </w:r>
      <w:r>
        <w:t xml:space="preserve">ed. </w:t>
      </w:r>
      <w:r w:rsidRPr="004F6825">
        <w:t>R</w:t>
      </w:r>
      <w:r>
        <w:t xml:space="preserve">eg. </w:t>
      </w:r>
      <w:r w:rsidRPr="004F6825">
        <w:t>65292 (October 26, 2015)</w:t>
      </w:r>
      <w:r>
        <w:t>,</w:t>
      </w:r>
      <w:r w:rsidRPr="004F6825">
        <w:t xml:space="preserve"> </w:t>
      </w:r>
      <w:hyperlink r:id="rId188" w:history="1">
        <w:r w:rsidRPr="004F6825">
          <w:rPr>
            <w:rStyle w:val="Hyperlink"/>
          </w:rPr>
          <w:t>https://www.federalregister.gov/articles/2015/10/26/2015-26594/national-ambient-air-quality-standards-for-ozone</w:t>
        </w:r>
      </w:hyperlink>
      <w:r>
        <w:t xml:space="preserve">. </w:t>
      </w:r>
    </w:p>
  </w:footnote>
  <w:footnote w:id="211">
    <w:p w:rsidR="006346FE" w:rsidRPr="00CF30D8" w:rsidRDefault="006346FE" w:rsidP="00A75620">
      <w:pPr>
        <w:pStyle w:val="FootnoteText"/>
        <w:rPr>
          <w:szCs w:val="18"/>
        </w:rPr>
      </w:pPr>
      <w:r w:rsidRPr="00817D35">
        <w:rPr>
          <w:rStyle w:val="FootnoteReference"/>
          <w:sz w:val="18"/>
          <w:szCs w:val="18"/>
        </w:rPr>
        <w:footnoteRef/>
      </w:r>
      <w:r w:rsidRPr="00817D35">
        <w:rPr>
          <w:szCs w:val="18"/>
        </w:rPr>
        <w:t xml:space="preserve"> EPA, </w:t>
      </w:r>
      <w:r>
        <w:rPr>
          <w:i/>
          <w:szCs w:val="18"/>
        </w:rPr>
        <w:t xml:space="preserve"> </w:t>
      </w:r>
      <w:r w:rsidRPr="00817D35">
        <w:rPr>
          <w:szCs w:val="18"/>
        </w:rPr>
        <w:t xml:space="preserve"> </w:t>
      </w:r>
      <w:r w:rsidRPr="00817D35">
        <w:rPr>
          <w:i/>
          <w:szCs w:val="18"/>
        </w:rPr>
        <w:t>National Ambient Air Quality Standards for Particulate Matter</w:t>
      </w:r>
      <w:r w:rsidRPr="00817D35">
        <w:rPr>
          <w:szCs w:val="18"/>
        </w:rPr>
        <w:t xml:space="preserve">, final rule, 78 FR 3086 (January 15, 2013); </w:t>
      </w:r>
      <w:r w:rsidRPr="00CF30D8">
        <w:rPr>
          <w:i/>
          <w:szCs w:val="18"/>
        </w:rPr>
        <w:t>National Ambient Air Quality Standards for Sulfur Dioxide</w:t>
      </w:r>
      <w:r w:rsidRPr="00CF30D8">
        <w:rPr>
          <w:szCs w:val="18"/>
        </w:rPr>
        <w:t>, final rule, 75 FR 35520 (June 22, 2010).</w:t>
      </w:r>
    </w:p>
  </w:footnote>
  <w:footnote w:id="212">
    <w:p w:rsidR="006346FE" w:rsidRDefault="006346FE" w:rsidP="00A75620">
      <w:pPr>
        <w:pStyle w:val="FootnoteText"/>
      </w:pPr>
      <w:r w:rsidRPr="00A61D55">
        <w:rPr>
          <w:rStyle w:val="FootnoteReference"/>
        </w:rPr>
        <w:footnoteRef/>
      </w:r>
      <w:r w:rsidRPr="00CF30D8">
        <w:t xml:space="preserve"> April 11, 2017, order in Murray Energy Corp. v. EPA, No. 15-1385, continuing oral arguments scheduled for April 19, 2017, and requiring a status report every 90 days from EPA. EPA indicated in its April 7, 2017, motion to </w:t>
      </w:r>
      <w:r w:rsidRPr="00A61D55">
        <w:t>continue oral argument</w:t>
      </w:r>
      <w:r>
        <w:t xml:space="preserve"> that </w:t>
      </w:r>
      <w:r w:rsidRPr="00A61D55">
        <w:t xml:space="preserve">EPA officials appointed by the new </w:t>
      </w:r>
      <w:r>
        <w:t>a</w:t>
      </w:r>
      <w:r w:rsidRPr="00A61D55">
        <w:t>dministration are reviewing the 2015 ozone N</w:t>
      </w:r>
      <w:r w:rsidRPr="00EF5486">
        <w:t xml:space="preserve">ational </w:t>
      </w:r>
      <w:r w:rsidRPr="00A61D55">
        <w:t>A</w:t>
      </w:r>
      <w:r w:rsidRPr="00EF5486">
        <w:t xml:space="preserve">mbient </w:t>
      </w:r>
      <w:r w:rsidRPr="00A61D55">
        <w:t>A</w:t>
      </w:r>
      <w:r w:rsidRPr="00EF5486">
        <w:t xml:space="preserve">ir </w:t>
      </w:r>
      <w:r w:rsidRPr="00A61D55">
        <w:t>Q</w:t>
      </w:r>
      <w:r w:rsidRPr="00EF5486">
        <w:t xml:space="preserve">uality </w:t>
      </w:r>
      <w:r w:rsidRPr="00A61D55">
        <w:t>S</w:t>
      </w:r>
      <w:r w:rsidRPr="00EF5486">
        <w:t>tandards</w:t>
      </w:r>
      <w:r w:rsidRPr="00A61D55">
        <w:t xml:space="preserve"> Rule to determine whether </w:t>
      </w:r>
      <w:r>
        <w:t xml:space="preserve">it </w:t>
      </w:r>
      <w:r w:rsidRPr="00A61D55">
        <w:t>should reconsider the rule or some part of it.</w:t>
      </w:r>
      <w:r>
        <w:t xml:space="preserve"> </w:t>
      </w:r>
      <w:r w:rsidRPr="0088128C">
        <w:t xml:space="preserve">On June 6, 2017, the EPA </w:t>
      </w:r>
      <w:r>
        <w:t>a</w:t>
      </w:r>
      <w:r w:rsidRPr="0088128C">
        <w:t xml:space="preserve">dministrator notified state </w:t>
      </w:r>
      <w:r>
        <w:t>g</w:t>
      </w:r>
      <w:r w:rsidRPr="0088128C">
        <w:t>overnors of a one</w:t>
      </w:r>
      <w:r>
        <w:t>-</w:t>
      </w:r>
      <w:r w:rsidRPr="0088128C">
        <w:t>year delay in making non</w:t>
      </w:r>
      <w:r>
        <w:t>-</w:t>
      </w:r>
      <w:r w:rsidRPr="0088128C">
        <w:t>attainment</w:t>
      </w:r>
      <w:r>
        <w:t>-</w:t>
      </w:r>
      <w:r w:rsidRPr="0088128C">
        <w:t>area designations for the 2015 ozone standard, from October 2017 to October 2018.</w:t>
      </w:r>
    </w:p>
  </w:footnote>
  <w:footnote w:id="213">
    <w:p w:rsidR="006346FE" w:rsidRDefault="006346FE" w:rsidP="00A75620">
      <w:pPr>
        <w:pStyle w:val="FootnoteText"/>
      </w:pPr>
      <w:r w:rsidRPr="00EF5486">
        <w:rPr>
          <w:rStyle w:val="FootnoteReference"/>
        </w:rPr>
        <w:footnoteRef/>
      </w:r>
      <w:r w:rsidRPr="00EF5486">
        <w:t xml:space="preserve"> April 27, 2017</w:t>
      </w:r>
      <w:r>
        <w:t>,</w:t>
      </w:r>
      <w:r w:rsidRPr="00EF5486">
        <w:t xml:space="preserve"> order in Anthracite Region Independent Power Producers Association (ARIPPA) v. EPA, No. 15-</w:t>
      </w:r>
      <w:r>
        <w:t>1180 (D.C. Cir).</w:t>
      </w:r>
    </w:p>
  </w:footnote>
  <w:footnote w:id="214">
    <w:p w:rsidR="006346FE" w:rsidRPr="00817D35" w:rsidRDefault="006346FE" w:rsidP="00A75620">
      <w:pPr>
        <w:pStyle w:val="FootnoteText"/>
        <w:rPr>
          <w:szCs w:val="18"/>
        </w:rPr>
      </w:pPr>
      <w:r w:rsidRPr="009B28FB">
        <w:rPr>
          <w:rStyle w:val="FootnoteReference"/>
          <w:sz w:val="18"/>
          <w:szCs w:val="18"/>
        </w:rPr>
        <w:footnoteRef/>
      </w:r>
      <w:r w:rsidRPr="009B28FB">
        <w:rPr>
          <w:szCs w:val="18"/>
        </w:rPr>
        <w:t xml:space="preserve"> Zhang, Y, Jacob, D.J. et al, “Observed decrease in atmospheric mercury explained by global decline in anthropogenic emissions,” Proceedings of the National Academy of Sciences, (</w:t>
      </w:r>
      <w:r w:rsidRPr="009B28FB">
        <w:rPr>
          <w:rStyle w:val="slug-metadata-note"/>
        </w:rPr>
        <w:t>d</w:t>
      </w:r>
      <w:r>
        <w:rPr>
          <w:rStyle w:val="slug-metadata-note"/>
        </w:rPr>
        <w:t>igital object identifier</w:t>
      </w:r>
      <w:r w:rsidRPr="009B28FB">
        <w:rPr>
          <w:rStyle w:val="slug-metadata-note"/>
        </w:rPr>
        <w:t xml:space="preserve">: </w:t>
      </w:r>
      <w:r w:rsidRPr="009B28FB">
        <w:rPr>
          <w:rStyle w:val="slug-doi"/>
        </w:rPr>
        <w:t xml:space="preserve">10.1073/pnas 1516312113) </w:t>
      </w:r>
      <w:r w:rsidRPr="009B28FB">
        <w:rPr>
          <w:rStyle w:val="slug-pub-date"/>
        </w:rPr>
        <w:t xml:space="preserve">(January 19, 2016), </w:t>
      </w:r>
      <w:r w:rsidRPr="009B28FB">
        <w:rPr>
          <w:rStyle w:val="slug-vol"/>
        </w:rPr>
        <w:t xml:space="preserve">vol. 113, </w:t>
      </w:r>
      <w:r w:rsidRPr="009B28FB">
        <w:rPr>
          <w:rStyle w:val="slug-issue"/>
        </w:rPr>
        <w:t xml:space="preserve">no. 3, </w:t>
      </w:r>
      <w:r w:rsidRPr="009B28FB">
        <w:rPr>
          <w:rStyle w:val="slug-pages"/>
        </w:rPr>
        <w:t>526–531</w:t>
      </w:r>
      <w:r w:rsidRPr="009B28FB">
        <w:rPr>
          <w:szCs w:val="18"/>
        </w:rPr>
        <w:t>.</w:t>
      </w:r>
    </w:p>
  </w:footnote>
  <w:footnote w:id="215">
    <w:p w:rsidR="006346FE" w:rsidRPr="00817D35" w:rsidRDefault="006346FE" w:rsidP="00A75620">
      <w:pPr>
        <w:pStyle w:val="FootnoteText"/>
        <w:rPr>
          <w:szCs w:val="18"/>
        </w:rPr>
      </w:pPr>
      <w:r w:rsidRPr="00817D35">
        <w:rPr>
          <w:rStyle w:val="FootnoteReference"/>
          <w:sz w:val="18"/>
          <w:szCs w:val="18"/>
        </w:rPr>
        <w:footnoteRef/>
      </w:r>
      <w:r w:rsidRPr="00817D35">
        <w:rPr>
          <w:szCs w:val="18"/>
        </w:rPr>
        <w:t xml:space="preserve"> EPA, </w:t>
      </w:r>
      <w:r w:rsidRPr="00817D35">
        <w:rPr>
          <w:i/>
          <w:szCs w:val="18"/>
        </w:rPr>
        <w:t>National Emission Standards for Hazardous Air Pollutants: Coal- and Oil-</w:t>
      </w:r>
      <w:r>
        <w:rPr>
          <w:i/>
          <w:szCs w:val="18"/>
        </w:rPr>
        <w:t>F</w:t>
      </w:r>
      <w:r w:rsidRPr="00817D35">
        <w:rPr>
          <w:i/>
          <w:szCs w:val="18"/>
        </w:rPr>
        <w:t>ired Electric Utility Steam Generating Units</w:t>
      </w:r>
      <w:r w:rsidRPr="00817D35">
        <w:rPr>
          <w:b/>
          <w:szCs w:val="18"/>
        </w:rPr>
        <w:t xml:space="preserve">, </w:t>
      </w:r>
      <w:r w:rsidRPr="00817D35">
        <w:rPr>
          <w:szCs w:val="18"/>
        </w:rPr>
        <w:t>final rule</w:t>
      </w:r>
      <w:r>
        <w:rPr>
          <w:szCs w:val="18"/>
        </w:rPr>
        <w:t>,</w:t>
      </w:r>
      <w:r w:rsidRPr="00817D35">
        <w:rPr>
          <w:szCs w:val="18"/>
        </w:rPr>
        <w:t xml:space="preserve"> </w:t>
      </w:r>
      <w:r w:rsidRPr="00817D35">
        <w:rPr>
          <w:spacing w:val="-1"/>
          <w:szCs w:val="18"/>
        </w:rPr>
        <w:t>77 FR 9304 (February 16, 2012)</w:t>
      </w:r>
      <w:r>
        <w:rPr>
          <w:spacing w:val="-1"/>
          <w:szCs w:val="18"/>
        </w:rPr>
        <w:t xml:space="preserve">. </w:t>
      </w:r>
      <w:r w:rsidRPr="00817D35">
        <w:rPr>
          <w:spacing w:val="-1"/>
          <w:szCs w:val="18"/>
        </w:rPr>
        <w:t>E</w:t>
      </w:r>
      <w:r w:rsidRPr="00817D35">
        <w:rPr>
          <w:szCs w:val="18"/>
        </w:rPr>
        <w:t>PA developed standards under Section 112(d) to reduce hazardous air pollutant emissions from this source category</w:t>
      </w:r>
      <w:r>
        <w:rPr>
          <w:szCs w:val="18"/>
        </w:rPr>
        <w:t xml:space="preserve">. </w:t>
      </w:r>
    </w:p>
  </w:footnote>
  <w:footnote w:id="216">
    <w:p w:rsidR="006346FE" w:rsidRPr="00CF64A5" w:rsidRDefault="006346FE" w:rsidP="00A75620">
      <w:pPr>
        <w:pStyle w:val="FootnoteText"/>
        <w:rPr>
          <w:szCs w:val="18"/>
        </w:rPr>
      </w:pPr>
      <w:r w:rsidRPr="00CF64A5">
        <w:rPr>
          <w:rStyle w:val="FootnoteReference"/>
          <w:sz w:val="18"/>
          <w:szCs w:val="18"/>
        </w:rPr>
        <w:footnoteRef/>
      </w:r>
      <w:r w:rsidRPr="00CF64A5">
        <w:rPr>
          <w:szCs w:val="18"/>
        </w:rPr>
        <w:t xml:space="preserve"> </w:t>
      </w:r>
      <w:r w:rsidRPr="00CF64A5">
        <w:rPr>
          <w:i/>
          <w:szCs w:val="18"/>
        </w:rPr>
        <w:t>201</w:t>
      </w:r>
      <w:r>
        <w:rPr>
          <w:i/>
          <w:szCs w:val="18"/>
        </w:rPr>
        <w:t>5</w:t>
      </w:r>
      <w:r w:rsidRPr="00CF64A5">
        <w:rPr>
          <w:i/>
          <w:szCs w:val="18"/>
        </w:rPr>
        <w:t xml:space="preserve"> ISO New England Electric Generator Air Emissions Report</w:t>
      </w:r>
      <w:r w:rsidRPr="00CF64A5">
        <w:rPr>
          <w:szCs w:val="18"/>
        </w:rPr>
        <w:t xml:space="preserve"> (</w:t>
      </w:r>
      <w:r w:rsidRPr="009C417A">
        <w:rPr>
          <w:szCs w:val="18"/>
        </w:rPr>
        <w:t xml:space="preserve">January 2017), </w:t>
      </w:r>
      <w:hyperlink r:id="rId189" w:history="1">
        <w:r w:rsidRPr="009C417A">
          <w:rPr>
            <w:rStyle w:val="Hyperlink"/>
            <w:szCs w:val="18"/>
          </w:rPr>
          <w:t>https://www.iso-ne.com/static-assets/documents/2017/01/2015_emissions_report.pdf</w:t>
        </w:r>
      </w:hyperlink>
      <w:r w:rsidRPr="009C417A">
        <w:rPr>
          <w:szCs w:val="18"/>
        </w:rPr>
        <w:t>.</w:t>
      </w:r>
      <w:r>
        <w:rPr>
          <w:szCs w:val="18"/>
        </w:rPr>
        <w:t xml:space="preserve"> </w:t>
      </w:r>
    </w:p>
  </w:footnote>
  <w:footnote w:id="217">
    <w:p w:rsidR="006346FE" w:rsidRDefault="006346FE" w:rsidP="00A75620">
      <w:pPr>
        <w:pStyle w:val="FootnoteText"/>
      </w:pPr>
      <w:r>
        <w:rPr>
          <w:rStyle w:val="FootnoteReference"/>
        </w:rPr>
        <w:footnoteRef/>
      </w:r>
      <w:r>
        <w:t xml:space="preserve"> EPA, Air Monitoring Program Data (accessed March 24, 2017). This cluster of 10 residual oil-fired resources accounted for 34% of 2014 SO</w:t>
      </w:r>
      <w:r w:rsidRPr="00220C53">
        <w:rPr>
          <w:vertAlign w:val="subscript"/>
        </w:rPr>
        <w:t xml:space="preserve">2 </w:t>
      </w:r>
      <w:r>
        <w:t>emissions (3,321 out of 9,658 short tons) and 60% of 2015 SO</w:t>
      </w:r>
      <w:r w:rsidRPr="00220C53">
        <w:rPr>
          <w:vertAlign w:val="subscript"/>
        </w:rPr>
        <w:t>2</w:t>
      </w:r>
      <w:r>
        <w:t xml:space="preserve"> emissions (4,532 out of 7,470 short tons), reflecting an absence of advanced SO</w:t>
      </w:r>
      <w:r w:rsidRPr="00EF5486">
        <w:rPr>
          <w:vertAlign w:val="subscript"/>
        </w:rPr>
        <w:t>2</w:t>
      </w:r>
      <w:r>
        <w:t xml:space="preserve"> pollution controls compared with remaining coal-fired resources.</w:t>
      </w:r>
    </w:p>
  </w:footnote>
  <w:footnote w:id="218">
    <w:p w:rsidR="006346FE" w:rsidRDefault="006346FE" w:rsidP="00A75620">
      <w:pPr>
        <w:pStyle w:val="FootnoteText"/>
      </w:pPr>
      <w:r w:rsidRPr="00EF5486">
        <w:rPr>
          <w:rStyle w:val="FootnoteReference"/>
        </w:rPr>
        <w:footnoteRef/>
      </w:r>
      <w:r w:rsidRPr="00EF5486">
        <w:t xml:space="preserve"> EPA, Standards of Performance for Greenhouse Gas Emissions From New, Modified, and Reconstructed Stationary Sources: Electric Utility Generating Units, final rule, 80 FR 64509 (October 23, 2015), </w:t>
      </w:r>
      <w:hyperlink r:id="rId190" w:history="1">
        <w:r w:rsidRPr="00EF5486">
          <w:rPr>
            <w:rStyle w:val="Hyperlink"/>
          </w:rPr>
          <w:t>https://www.federalregister.gov/d/2015-22837</w:t>
        </w:r>
      </w:hyperlink>
      <w:r w:rsidRPr="00EF5486">
        <w:t>.</w:t>
      </w:r>
    </w:p>
  </w:footnote>
  <w:footnote w:id="219">
    <w:p w:rsidR="006346FE" w:rsidRPr="00CF64A5" w:rsidRDefault="006346FE" w:rsidP="00A75620">
      <w:pPr>
        <w:pStyle w:val="NormalWeb"/>
        <w:spacing w:before="0" w:beforeAutospacing="0" w:after="80" w:afterAutospacing="0"/>
        <w:rPr>
          <w:sz w:val="18"/>
          <w:szCs w:val="18"/>
        </w:rPr>
      </w:pPr>
      <w:r w:rsidRPr="009C417A">
        <w:rPr>
          <w:rStyle w:val="FootnoteReference"/>
          <w:sz w:val="18"/>
          <w:szCs w:val="18"/>
        </w:rPr>
        <w:footnoteRef/>
      </w:r>
      <w:r w:rsidRPr="009C417A">
        <w:rPr>
          <w:sz w:val="18"/>
          <w:szCs w:val="18"/>
        </w:rPr>
        <w:t xml:space="preserve"> </w:t>
      </w:r>
      <w:r w:rsidRPr="00A61D55">
        <w:rPr>
          <w:sz w:val="18"/>
          <w:szCs w:val="18"/>
        </w:rPr>
        <w:t xml:space="preserve">RGGI, Inc., “Program Overview,” webpage (n.d.), </w:t>
      </w:r>
      <w:hyperlink r:id="rId191" w:history="1">
        <w:r w:rsidRPr="009C417A">
          <w:rPr>
            <w:rStyle w:val="Hyperlink"/>
            <w:color w:val="auto"/>
            <w:sz w:val="18"/>
            <w:szCs w:val="18"/>
          </w:rPr>
          <w:t>http://www.rggi.org/design/overview</w:t>
        </w:r>
      </w:hyperlink>
      <w:r w:rsidRPr="009C417A">
        <w:rPr>
          <w:sz w:val="18"/>
          <w:szCs w:val="18"/>
        </w:rPr>
        <w:t>. The RGGI CO</w:t>
      </w:r>
      <w:r w:rsidRPr="009C417A">
        <w:rPr>
          <w:sz w:val="18"/>
          <w:szCs w:val="18"/>
          <w:vertAlign w:val="subscript"/>
        </w:rPr>
        <w:t xml:space="preserve">2 </w:t>
      </w:r>
      <w:r w:rsidRPr="009C417A">
        <w:rPr>
          <w:sz w:val="18"/>
          <w:szCs w:val="18"/>
        </w:rPr>
        <w:t>budget (cap)</w:t>
      </w:r>
      <w:r w:rsidRPr="00CF64A5">
        <w:rPr>
          <w:sz w:val="18"/>
          <w:szCs w:val="18"/>
        </w:rPr>
        <w:t xml:space="preserve"> is equal to the total number of CO</w:t>
      </w:r>
      <w:r w:rsidRPr="00CF64A5">
        <w:rPr>
          <w:sz w:val="18"/>
          <w:szCs w:val="18"/>
          <w:vertAlign w:val="subscript"/>
        </w:rPr>
        <w:t>2</w:t>
      </w:r>
      <w:r w:rsidRPr="00CF64A5">
        <w:rPr>
          <w:sz w:val="18"/>
          <w:szCs w:val="18"/>
        </w:rPr>
        <w:t xml:space="preserve"> allowances issued by RGGI states in a given year</w:t>
      </w:r>
      <w:r>
        <w:rPr>
          <w:sz w:val="18"/>
          <w:szCs w:val="18"/>
        </w:rPr>
        <w:t xml:space="preserve">. </w:t>
      </w:r>
      <w:r w:rsidRPr="00CF64A5">
        <w:rPr>
          <w:sz w:val="18"/>
          <w:szCs w:val="18"/>
        </w:rPr>
        <w:t>A CO</w:t>
      </w:r>
      <w:r w:rsidRPr="00CF64A5">
        <w:rPr>
          <w:sz w:val="18"/>
          <w:szCs w:val="18"/>
          <w:vertAlign w:val="subscript"/>
        </w:rPr>
        <w:t>2</w:t>
      </w:r>
      <w:r w:rsidRPr="00CF64A5">
        <w:rPr>
          <w:sz w:val="18"/>
          <w:szCs w:val="18"/>
        </w:rPr>
        <w:t xml:space="preserve"> allowance represents a limited authorization to emit one short ton of CO</w:t>
      </w:r>
      <w:r w:rsidRPr="00CF64A5">
        <w:rPr>
          <w:sz w:val="18"/>
          <w:szCs w:val="18"/>
          <w:vertAlign w:val="subscript"/>
        </w:rPr>
        <w:t xml:space="preserve">2 </w:t>
      </w:r>
      <w:r w:rsidRPr="00CF64A5">
        <w:rPr>
          <w:sz w:val="18"/>
          <w:szCs w:val="18"/>
        </w:rPr>
        <w:t>from a regulated source, as issued by a participating state</w:t>
      </w:r>
      <w:r>
        <w:rPr>
          <w:sz w:val="18"/>
          <w:szCs w:val="18"/>
        </w:rPr>
        <w:t xml:space="preserve">. In </w:t>
      </w:r>
      <w:r w:rsidRPr="00A61D55">
        <w:rPr>
          <w:sz w:val="18"/>
          <w:szCs w:val="18"/>
        </w:rPr>
        <w:t>2017, the cap is 84.3 million short tons of CO</w:t>
      </w:r>
      <w:r w:rsidRPr="00A61D55">
        <w:rPr>
          <w:sz w:val="18"/>
          <w:szCs w:val="18"/>
          <w:vertAlign w:val="subscript"/>
        </w:rPr>
        <w:t>2</w:t>
      </w:r>
      <w:r w:rsidRPr="00A61D55">
        <w:rPr>
          <w:sz w:val="18"/>
          <w:szCs w:val="18"/>
        </w:rPr>
        <w:t>/yr, declining 2.5% until 2020 with two interim adjustments in the overall cap for the nine-state region to account for banked CO</w:t>
      </w:r>
      <w:r w:rsidRPr="00A61D55">
        <w:rPr>
          <w:sz w:val="18"/>
          <w:szCs w:val="18"/>
          <w:vertAlign w:val="subscript"/>
        </w:rPr>
        <w:t>2</w:t>
      </w:r>
      <w:r w:rsidRPr="00A61D55">
        <w:rPr>
          <w:sz w:val="18"/>
          <w:szCs w:val="18"/>
        </w:rPr>
        <w:t xml:space="preserve"> allowances (approximately 234 million CO</w:t>
      </w:r>
      <w:r w:rsidRPr="00BF645D">
        <w:rPr>
          <w:sz w:val="18"/>
          <w:szCs w:val="18"/>
          <w:vertAlign w:val="subscript"/>
        </w:rPr>
        <w:t>2</w:t>
      </w:r>
      <w:r w:rsidRPr="00A61D55">
        <w:rPr>
          <w:sz w:val="18"/>
          <w:szCs w:val="18"/>
        </w:rPr>
        <w:t xml:space="preserve"> allowances in circulation as of February 2017). RGGI</w:t>
      </w:r>
      <w:r w:rsidRPr="009C417A">
        <w:rPr>
          <w:sz w:val="18"/>
          <w:szCs w:val="18"/>
        </w:rPr>
        <w:t xml:space="preserve"> Market Monitor, </w:t>
      </w:r>
      <w:r w:rsidRPr="00BF645D">
        <w:rPr>
          <w:i/>
          <w:sz w:val="18"/>
          <w:szCs w:val="18"/>
        </w:rPr>
        <w:t>Report on the Secondary Market for RGGI CO</w:t>
      </w:r>
      <w:r w:rsidRPr="00BF645D">
        <w:rPr>
          <w:i/>
          <w:sz w:val="18"/>
          <w:szCs w:val="18"/>
          <w:vertAlign w:val="subscript"/>
        </w:rPr>
        <w:t>2</w:t>
      </w:r>
      <w:r w:rsidRPr="00BF645D">
        <w:rPr>
          <w:i/>
          <w:sz w:val="18"/>
          <w:szCs w:val="18"/>
        </w:rPr>
        <w:t xml:space="preserve"> Allowances: Fourth Quarter 2016</w:t>
      </w:r>
      <w:r w:rsidRPr="00BF645D" w:rsidDel="009C417A">
        <w:rPr>
          <w:sz w:val="18"/>
          <w:szCs w:val="18"/>
        </w:rPr>
        <w:t xml:space="preserve"> </w:t>
      </w:r>
      <w:r w:rsidRPr="00BF645D">
        <w:rPr>
          <w:sz w:val="18"/>
          <w:szCs w:val="18"/>
        </w:rPr>
        <w:t>(May 2017)</w:t>
      </w:r>
      <w:r w:rsidRPr="009C417A">
        <w:rPr>
          <w:sz w:val="18"/>
          <w:szCs w:val="18"/>
        </w:rPr>
        <w:t xml:space="preserve"> </w:t>
      </w:r>
      <w:hyperlink r:id="rId192" w:history="1">
        <w:r w:rsidRPr="009C417A">
          <w:rPr>
            <w:rStyle w:val="Hyperlink"/>
            <w:sz w:val="18"/>
            <w:szCs w:val="18"/>
          </w:rPr>
          <w:t>https://www.rggi.org/docs/Market/MM_Secondary_Market_Report_2016_Q4.pdf</w:t>
        </w:r>
      </w:hyperlink>
      <w:r w:rsidRPr="009C417A">
        <w:rPr>
          <w:sz w:val="18"/>
          <w:szCs w:val="18"/>
        </w:rPr>
        <w:t>.</w:t>
      </w:r>
      <w:r>
        <w:rPr>
          <w:sz w:val="18"/>
          <w:szCs w:val="18"/>
        </w:rPr>
        <w:t xml:space="preserve"> </w:t>
      </w:r>
    </w:p>
  </w:footnote>
  <w:footnote w:id="220">
    <w:p w:rsidR="006346FE" w:rsidRDefault="006346FE" w:rsidP="00A75620">
      <w:pPr>
        <w:pStyle w:val="FootnoteText"/>
      </w:pPr>
      <w:r>
        <w:rPr>
          <w:rStyle w:val="FootnoteReference"/>
        </w:rPr>
        <w:footnoteRef/>
      </w:r>
      <w:r>
        <w:t xml:space="preserve"> RGGI, Inc., </w:t>
      </w:r>
      <w:hyperlink r:id="rId193" w:history="1">
        <w:r w:rsidRPr="00BF645D">
          <w:rPr>
            <w:rStyle w:val="Hyperlink"/>
          </w:rPr>
          <w:t>The RGGI Program Overview</w:t>
        </w:r>
      </w:hyperlink>
      <w:r w:rsidRPr="00BF645D">
        <w:rPr>
          <w:rStyle w:val="Hyperlink"/>
        </w:rPr>
        <w:t xml:space="preserve">, </w:t>
      </w:r>
      <w:hyperlink r:id="rId194" w:history="1">
        <w:r w:rsidRPr="00C42EB6">
          <w:rPr>
            <w:rStyle w:val="Hyperlink"/>
          </w:rPr>
          <w:t>https://www.rggi.org/design/overview</w:t>
        </w:r>
      </w:hyperlink>
      <w:r w:rsidRPr="00BF645D">
        <w:t>; EPA, Air Markets Program data (emissions data),</w:t>
      </w:r>
      <w:r>
        <w:t xml:space="preserve"> </w:t>
      </w:r>
      <w:r w:rsidRPr="009A143C">
        <w:t>https://ampd.epa.gov/ampd/</w:t>
      </w:r>
      <w:r>
        <w:t xml:space="preserve">. The New England </w:t>
      </w:r>
      <w:r w:rsidRPr="00C30FD8">
        <w:t>RGGI states</w:t>
      </w:r>
      <w:r>
        <w:t>’ emissions declined to 26.7 million short tons in 2016.</w:t>
      </w:r>
    </w:p>
  </w:footnote>
  <w:footnote w:id="221">
    <w:p w:rsidR="006346FE" w:rsidRPr="00CF64A5" w:rsidRDefault="006346FE" w:rsidP="00A75620">
      <w:pPr>
        <w:pStyle w:val="FootnoteText"/>
        <w:rPr>
          <w:szCs w:val="18"/>
        </w:rPr>
      </w:pPr>
      <w:r w:rsidRPr="009C417A">
        <w:rPr>
          <w:rStyle w:val="FootnoteReference"/>
          <w:sz w:val="18"/>
          <w:szCs w:val="18"/>
        </w:rPr>
        <w:footnoteRef/>
      </w:r>
      <w:r w:rsidRPr="009C417A">
        <w:rPr>
          <w:szCs w:val="18"/>
        </w:rPr>
        <w:t xml:space="preserve"> RGGI, Inc., </w:t>
      </w:r>
      <w:hyperlink r:id="rId195" w:history="1">
        <w:r w:rsidRPr="009C417A">
          <w:rPr>
            <w:rStyle w:val="Hyperlink"/>
            <w:color w:val="auto"/>
            <w:szCs w:val="18"/>
          </w:rPr>
          <w:t>http://www.rggi.org/design/program-review</w:t>
        </w:r>
      </w:hyperlink>
      <w:r w:rsidRPr="009C417A">
        <w:rPr>
          <w:szCs w:val="18"/>
        </w:rPr>
        <w:t>. Other changes may include an emissions-containment</w:t>
      </w:r>
      <w:r>
        <w:rPr>
          <w:szCs w:val="18"/>
        </w:rPr>
        <w:t xml:space="preserve"> reserve, which would further tighten the emissions cap automatically in future years by decreasing allowances available for auction if auction prices fell below a predetermined price point or points.</w:t>
      </w:r>
    </w:p>
  </w:footnote>
  <w:footnote w:id="222">
    <w:p w:rsidR="006346FE" w:rsidRDefault="006346FE" w:rsidP="00A75620">
      <w:pPr>
        <w:pStyle w:val="FootnoteText"/>
      </w:pPr>
      <w:r>
        <w:rPr>
          <w:rStyle w:val="FootnoteReference"/>
        </w:rPr>
        <w:footnoteRef/>
      </w:r>
      <w:r>
        <w:t xml:space="preserve"> RGGI, Inc., </w:t>
      </w:r>
      <w:hyperlink r:id="rId196" w:history="1">
        <w:r w:rsidRPr="00220C53">
          <w:rPr>
            <w:rStyle w:val="Hyperlink"/>
            <w:i/>
          </w:rPr>
          <w:t>Report on the Secondary Market for RGGI CO</w:t>
        </w:r>
        <w:r w:rsidRPr="00220C53">
          <w:rPr>
            <w:rStyle w:val="Hyperlink"/>
            <w:i/>
            <w:vertAlign w:val="subscript"/>
          </w:rPr>
          <w:t>2</w:t>
        </w:r>
        <w:r w:rsidRPr="00220C53">
          <w:rPr>
            <w:rStyle w:val="Hyperlink"/>
            <w:i/>
          </w:rPr>
          <w:t xml:space="preserve"> Allowances </w:t>
        </w:r>
        <w:r>
          <w:rPr>
            <w:rStyle w:val="Hyperlink"/>
            <w:i/>
          </w:rPr>
          <w:t>Fourth</w:t>
        </w:r>
        <w:r w:rsidRPr="00220C53">
          <w:rPr>
            <w:rStyle w:val="Hyperlink"/>
            <w:i/>
          </w:rPr>
          <w:t xml:space="preserve"> Quarter 2016</w:t>
        </w:r>
      </w:hyperlink>
      <w:r>
        <w:t xml:space="preserve"> (February 28, 2017). The RGGI market monitor determined that of the 234 million CO</w:t>
      </w:r>
      <w:r w:rsidRPr="00220C53">
        <w:rPr>
          <w:vertAlign w:val="subscript"/>
        </w:rPr>
        <w:t>2</w:t>
      </w:r>
      <w:r>
        <w:t xml:space="preserve"> allowances in circulation at the end of December 2016, RGGI-affected entities held 142 million CO</w:t>
      </w:r>
      <w:r w:rsidRPr="00220C53">
        <w:rPr>
          <w:vertAlign w:val="subscript"/>
        </w:rPr>
        <w:t>2</w:t>
      </w:r>
      <w:r>
        <w:t xml:space="preserve"> allowances (61% of the total in circulation).</w:t>
      </w:r>
    </w:p>
  </w:footnote>
  <w:footnote w:id="223">
    <w:p w:rsidR="006346FE" w:rsidRDefault="006346FE" w:rsidP="00A75620">
      <w:pPr>
        <w:pStyle w:val="FootnoteText"/>
      </w:pPr>
      <w:r>
        <w:rPr>
          <w:rStyle w:val="FootnoteReference"/>
        </w:rPr>
        <w:footnoteRef/>
      </w:r>
      <w:r>
        <w:t xml:space="preserve"> RGGI, Inc., </w:t>
      </w:r>
      <w:r w:rsidRPr="00BF645D">
        <w:rPr>
          <w:i/>
        </w:rPr>
        <w:t xml:space="preserve">Key Topics for 2016 Program Review Stakeholder Discussions </w:t>
      </w:r>
      <w:r>
        <w:t xml:space="preserve">(November 17, 2015), </w:t>
      </w:r>
      <w:hyperlink r:id="rId197" w:history="1">
        <w:r w:rsidRPr="007959B5">
          <w:rPr>
            <w:rStyle w:val="Hyperlink"/>
          </w:rPr>
          <w:t>https://www.rggi.org/docs/ProgramReview/2016/11-17-15/Key_Discussion_Items_11_17_15.pdf</w:t>
        </w:r>
      </w:hyperlink>
      <w:r>
        <w:rPr>
          <w:rStyle w:val="Hyperlink"/>
        </w:rPr>
        <w:t>.</w:t>
      </w:r>
      <w:r>
        <w:t xml:space="preserve"> The RGGI states noted the expected 2020 RGGI cap would be approximately 78 million short tons but could fluctuate if cost-containment reserve allowances are released or if offset allowances are awarded. In comparison, the CPP total mass goals for the nine RGGI states is approximately 79 million short tons in 2030 for existing sources and roughly 80 million short tons in 2030 for new and existing sources.</w:t>
      </w:r>
    </w:p>
  </w:footnote>
  <w:footnote w:id="224">
    <w:p w:rsidR="006346FE" w:rsidRDefault="006346FE" w:rsidP="00A75620">
      <w:pPr>
        <w:pStyle w:val="FootnoteText"/>
      </w:pPr>
      <w:r>
        <w:rPr>
          <w:rStyle w:val="FootnoteReference"/>
        </w:rPr>
        <w:footnoteRef/>
      </w:r>
      <w:r>
        <w:t xml:space="preserve"> RGGI, Inc., “2016 Program Review,” webpage (n.d.), </w:t>
      </w:r>
      <w:r w:rsidRPr="00A05705">
        <w:t>http://rggi.org/design/2016-program-review</w:t>
      </w:r>
      <w:r>
        <w:t>.</w:t>
      </w:r>
    </w:p>
  </w:footnote>
  <w:footnote w:id="225">
    <w:p w:rsidR="006346FE" w:rsidRPr="009A4B51" w:rsidRDefault="006346FE" w:rsidP="00A75620">
      <w:pPr>
        <w:pStyle w:val="FootnoteText"/>
        <w:rPr>
          <w:b/>
        </w:rPr>
      </w:pPr>
      <w:r>
        <w:rPr>
          <w:rStyle w:val="FootnoteReference"/>
        </w:rPr>
        <w:footnoteRef/>
      </w:r>
      <w:r>
        <w:t xml:space="preserve"> The Analysis Group, </w:t>
      </w:r>
      <w:r w:rsidRPr="00B95541">
        <w:rPr>
          <w:i/>
        </w:rPr>
        <w:t xml:space="preserve">Considerations Related to Trading for the RGGI States </w:t>
      </w:r>
      <w:r>
        <w:rPr>
          <w:i/>
        </w:rPr>
        <w:t>u</w:t>
      </w:r>
      <w:r w:rsidRPr="00B95541">
        <w:rPr>
          <w:i/>
        </w:rPr>
        <w:t>nder the EPA’s Clean Power Plan Report</w:t>
      </w:r>
      <w:r>
        <w:t xml:space="preserve"> (July 12, 2016), fn13, </w:t>
      </w:r>
      <w:hyperlink r:id="rId198" w:history="1">
        <w:r w:rsidRPr="00DD1E01">
          <w:rPr>
            <w:rStyle w:val="Hyperlink"/>
          </w:rPr>
          <w:t>http://www.analysisgroup.com/news-and-events/news/energy-report--considerations-related-to-trading-for-the-rggi-states-under-the-epa-s-clean-power-plan/</w:t>
        </w:r>
      </w:hyperlink>
      <w:r w:rsidRPr="009C417A">
        <w:t>.</w:t>
      </w:r>
    </w:p>
  </w:footnote>
  <w:footnote w:id="226">
    <w:p w:rsidR="006346FE" w:rsidRDefault="006346FE" w:rsidP="00A75620">
      <w:pPr>
        <w:pStyle w:val="FootnoteText"/>
      </w:pPr>
      <w:r w:rsidRPr="00FE2485">
        <w:rPr>
          <w:rStyle w:val="FootnoteReference"/>
        </w:rPr>
        <w:footnoteRef/>
      </w:r>
      <w:r w:rsidRPr="00FE2485">
        <w:t xml:space="preserve"> Energy Information Administration, “Regional Greenhouse Gas Initiative Auction Prices Decline,” website article (June 24, 2016), </w:t>
      </w:r>
      <w:hyperlink r:id="rId199" w:history="1">
        <w:r w:rsidRPr="00FE2485">
          <w:rPr>
            <w:rStyle w:val="Hyperlink"/>
            <w:szCs w:val="18"/>
          </w:rPr>
          <w:t>https://www.eia.gov/todayinenergy/detail.php?id=26812</w:t>
        </w:r>
      </w:hyperlink>
      <w:r>
        <w:rPr>
          <w:szCs w:val="18"/>
        </w:rPr>
        <w:t xml:space="preserve">. </w:t>
      </w:r>
    </w:p>
  </w:footnote>
  <w:footnote w:id="227">
    <w:p w:rsidR="006346FE" w:rsidRDefault="006346FE" w:rsidP="00A75620">
      <w:pPr>
        <w:pStyle w:val="FootnoteText"/>
      </w:pPr>
      <w:r>
        <w:rPr>
          <w:rStyle w:val="FootnoteReference"/>
        </w:rPr>
        <w:footnoteRef/>
      </w:r>
      <w:r>
        <w:t xml:space="preserve"> </w:t>
      </w:r>
      <w:r w:rsidRPr="001162A9">
        <w:t>ISO New England</w:t>
      </w:r>
      <w:r>
        <w:t>,</w:t>
      </w:r>
      <w:r w:rsidRPr="001162A9">
        <w:t xml:space="preserve"> Internal Market Monitor, </w:t>
      </w:r>
      <w:r w:rsidRPr="00B95541">
        <w:rPr>
          <w:i/>
        </w:rPr>
        <w:t>2016 Annual Markets Report</w:t>
      </w:r>
      <w:r>
        <w:t xml:space="preserve"> (May 30, 2017), </w:t>
      </w:r>
      <w:hyperlink r:id="rId200" w:history="1">
        <w:r w:rsidRPr="007959B5">
          <w:rPr>
            <w:rStyle w:val="Hyperlink"/>
          </w:rPr>
          <w:t>https://www.iso-ne.com/static-assets/documents/2017/05/annual_markets_report_2016.pdf</w:t>
        </w:r>
      </w:hyperlink>
      <w:r>
        <w:t>, p. 16.</w:t>
      </w:r>
    </w:p>
  </w:footnote>
  <w:footnote w:id="228">
    <w:p w:rsidR="006346FE" w:rsidRPr="00DD1E01" w:rsidRDefault="006346FE" w:rsidP="00A75620">
      <w:pPr>
        <w:pStyle w:val="FootnoteText"/>
        <w:rPr>
          <w:szCs w:val="18"/>
        </w:rPr>
      </w:pPr>
      <w:r w:rsidRPr="00CF64A5">
        <w:rPr>
          <w:rStyle w:val="FootnoteReference"/>
          <w:sz w:val="18"/>
          <w:szCs w:val="18"/>
        </w:rPr>
        <w:footnoteRef/>
      </w:r>
      <w:r w:rsidRPr="00CF64A5">
        <w:rPr>
          <w:szCs w:val="18"/>
        </w:rPr>
        <w:t xml:space="preserve"> Nuclear Regulatory Commission, </w:t>
      </w:r>
      <w:r w:rsidRPr="00CF64A5">
        <w:rPr>
          <w:i/>
          <w:szCs w:val="18"/>
        </w:rPr>
        <w:t>Continued Storage of Spent Nuclear Fuel</w:t>
      </w:r>
      <w:r w:rsidRPr="00CF64A5">
        <w:rPr>
          <w:szCs w:val="18"/>
        </w:rPr>
        <w:t>, final rule, 79 Fed</w:t>
      </w:r>
      <w:r>
        <w:rPr>
          <w:szCs w:val="18"/>
        </w:rPr>
        <w:t xml:space="preserve">. </w:t>
      </w:r>
      <w:r w:rsidRPr="00CF64A5">
        <w:rPr>
          <w:szCs w:val="18"/>
        </w:rPr>
        <w:t>Reg</w:t>
      </w:r>
      <w:r>
        <w:rPr>
          <w:szCs w:val="18"/>
        </w:rPr>
        <w:t xml:space="preserve">. </w:t>
      </w:r>
      <w:r w:rsidRPr="00CF64A5">
        <w:rPr>
          <w:szCs w:val="18"/>
        </w:rPr>
        <w:t xml:space="preserve">56238 </w:t>
      </w:r>
      <w:r w:rsidRPr="00DD1E01">
        <w:rPr>
          <w:szCs w:val="18"/>
        </w:rPr>
        <w:t>(September 19, 2014). The rulemaking replaces NRC’s Waste Confidence Rule (governing onsite storage of spent nuclear fuel) struck down in 2012 (New York v. NRC, 681 F.3d 471 (D.C. Cir. 2012).</w:t>
      </w:r>
    </w:p>
  </w:footnote>
  <w:footnote w:id="229">
    <w:p w:rsidR="006346FE" w:rsidRPr="00B95541" w:rsidRDefault="006346FE" w:rsidP="00A75620">
      <w:pPr>
        <w:pStyle w:val="FootnoteText"/>
      </w:pPr>
      <w:r w:rsidRPr="00B95541">
        <w:rPr>
          <w:rStyle w:val="FootnoteReference"/>
        </w:rPr>
        <w:footnoteRef/>
      </w:r>
      <w:r w:rsidRPr="00B95541">
        <w:t xml:space="preserve"> ISO-NE, 2017-2026 Forecast Report of Capacity, Energy, Loads and Transmission</w:t>
      </w:r>
      <w:r>
        <w:t xml:space="preserve"> </w:t>
      </w:r>
      <w:r w:rsidRPr="00B95541">
        <w:t xml:space="preserve">(CELT), Tab 2.1, “Generator List SCC for affected coal-, oil-, gas/oil steam units, excluding all Brayton Point SCC capacity.” </w:t>
      </w:r>
      <w:hyperlink r:id="rId201" w:history="1">
        <w:r w:rsidRPr="00D66864">
          <w:rPr>
            <w:rStyle w:val="Hyperlink"/>
          </w:rPr>
          <w:t>https://www.iso-ne.com/static-assets/documents/2017/05/2017_celt_report.xls</w:t>
        </w:r>
      </w:hyperlink>
      <w:r w:rsidRPr="00B95541">
        <w:t>.</w:t>
      </w:r>
    </w:p>
  </w:footnote>
  <w:footnote w:id="230">
    <w:p w:rsidR="006346FE" w:rsidRPr="00CF64A5" w:rsidRDefault="006346FE" w:rsidP="00A75620">
      <w:pPr>
        <w:pStyle w:val="FootnoteText"/>
        <w:rPr>
          <w:szCs w:val="18"/>
        </w:rPr>
      </w:pPr>
      <w:r w:rsidRPr="00B95541">
        <w:rPr>
          <w:rStyle w:val="FootnoteReference"/>
          <w:sz w:val="18"/>
          <w:szCs w:val="18"/>
        </w:rPr>
        <w:footnoteRef/>
      </w:r>
      <w:r w:rsidRPr="00B95541">
        <w:rPr>
          <w:szCs w:val="18"/>
        </w:rPr>
        <w:t xml:space="preserve"> </w:t>
      </w:r>
      <w:r>
        <w:t>FERC issues i</w:t>
      </w:r>
      <w:r w:rsidRPr="005A1CAF">
        <w:t xml:space="preserve">nitial and renewal hydroelectric project licenses for 30 to 50 years typically, </w:t>
      </w:r>
      <w:r w:rsidRPr="001F3DF3">
        <w:t xml:space="preserve">although </w:t>
      </w:r>
      <w:r>
        <w:t>it</w:t>
      </w:r>
      <w:r w:rsidRPr="005A1CAF">
        <w:t xml:space="preserve"> may issue temporary annual licenses to continue an expired license during a relicensing review.</w:t>
      </w:r>
      <w:r>
        <w:t xml:space="preserve"> </w:t>
      </w:r>
      <w:r w:rsidRPr="00B95541">
        <w:rPr>
          <w:szCs w:val="18"/>
        </w:rPr>
        <w:t>FERC, “Applications for New Hydropower Licenses and Relicensing</w:t>
      </w:r>
      <w:r>
        <w:rPr>
          <w:szCs w:val="18"/>
        </w:rPr>
        <w:t>,”</w:t>
      </w:r>
      <w:r w:rsidRPr="00B95541">
        <w:rPr>
          <w:szCs w:val="18"/>
        </w:rPr>
        <w:t xml:space="preserve"> (June 7, 2017), </w:t>
      </w:r>
      <w:hyperlink r:id="rId202" w:history="1">
        <w:r w:rsidRPr="00B95541">
          <w:rPr>
            <w:rStyle w:val="Hyperlink"/>
            <w:szCs w:val="18"/>
          </w:rPr>
          <w:t>http://www.ferc.gov/industries/hydropower/gen-info/licensing.asp</w:t>
        </w:r>
      </w:hyperlink>
      <w:r w:rsidRPr="00B95541">
        <w:rPr>
          <w:szCs w:val="18"/>
        </w:rPr>
        <w:t>.</w:t>
      </w:r>
      <w:r w:rsidRPr="00B95541">
        <w:rPr>
          <w:rFonts w:eastAsia="Times New Roman"/>
        </w:rPr>
        <w:t xml:space="preserve"> </w:t>
      </w:r>
      <w:r>
        <w:rPr>
          <w:rFonts w:eastAsia="Times New Roman"/>
        </w:rPr>
        <w:t xml:space="preserve">ISO New England, </w:t>
      </w:r>
      <w:r w:rsidRPr="00B95541">
        <w:rPr>
          <w:rFonts w:eastAsia="Times New Roman"/>
        </w:rPr>
        <w:t>2017 CELT</w:t>
      </w:r>
      <w:r w:rsidRPr="00FE2485">
        <w:rPr>
          <w:rFonts w:eastAsia="Times New Roman"/>
        </w:rPr>
        <w:t xml:space="preserve">, Tab 2.1, </w:t>
      </w:r>
      <w:r w:rsidRPr="005A1CAF">
        <w:rPr>
          <w:rFonts w:eastAsia="Times New Roman"/>
        </w:rPr>
        <w:t>“Generator List with Existing and Expe</w:t>
      </w:r>
      <w:r w:rsidRPr="00BD707F">
        <w:rPr>
          <w:rFonts w:eastAsia="Times New Roman"/>
        </w:rPr>
        <w:t>cted SCC,” showings the seasonal rating of generating units</w:t>
      </w:r>
      <w:r>
        <w:rPr>
          <w:rFonts w:eastAsia="Times New Roman"/>
        </w:rPr>
        <w:t xml:space="preserve">; </w:t>
      </w:r>
      <w:hyperlink r:id="rId203" w:history="1">
        <w:r w:rsidRPr="00BD707F">
          <w:rPr>
            <w:rStyle w:val="Hyperlink"/>
          </w:rPr>
          <w:t>https://www.iso-ne.com/static-assets/documents/2017/05/2017_celt_report.xls</w:t>
        </w:r>
      </w:hyperlink>
      <w:r>
        <w:t xml:space="preserve">. </w:t>
      </w:r>
    </w:p>
  </w:footnote>
  <w:footnote w:id="231">
    <w:p w:rsidR="006346FE" w:rsidRPr="00CF64A5" w:rsidRDefault="006346FE" w:rsidP="00A75620">
      <w:pPr>
        <w:pStyle w:val="FootnoteText"/>
        <w:rPr>
          <w:szCs w:val="18"/>
        </w:rPr>
      </w:pPr>
      <w:r w:rsidRPr="00CF64A5">
        <w:rPr>
          <w:rStyle w:val="FootnoteReference"/>
          <w:sz w:val="18"/>
          <w:szCs w:val="18"/>
        </w:rPr>
        <w:footnoteRef/>
      </w:r>
      <w:r w:rsidRPr="00CF64A5">
        <w:rPr>
          <w:szCs w:val="18"/>
        </w:rPr>
        <w:t xml:space="preserve"> FERC, </w:t>
      </w:r>
      <w:hyperlink r:id="rId204" w:history="1">
        <w:r w:rsidRPr="00CF64A5">
          <w:rPr>
            <w:rStyle w:val="Hyperlink"/>
            <w:i/>
            <w:color w:val="auto"/>
            <w:szCs w:val="18"/>
          </w:rPr>
          <w:t>Modification to Integrated Licensing Process Schedule, Trans</w:t>
        </w:r>
        <w:r>
          <w:rPr>
            <w:rStyle w:val="Hyperlink"/>
            <w:i/>
            <w:color w:val="auto"/>
            <w:szCs w:val="18"/>
          </w:rPr>
          <w:t>C</w:t>
        </w:r>
        <w:r w:rsidRPr="00CF64A5">
          <w:rPr>
            <w:rStyle w:val="Hyperlink"/>
            <w:i/>
            <w:color w:val="auto"/>
            <w:szCs w:val="18"/>
          </w:rPr>
          <w:t>anada Hydro Northeast, Inc., and Firstlight Hydro Generating Company</w:t>
        </w:r>
      </w:hyperlink>
      <w:r w:rsidRPr="00CF64A5">
        <w:rPr>
          <w:szCs w:val="18"/>
        </w:rPr>
        <w:t xml:space="preserve"> (December 21, 2012); Connecticut River Joint Commission, </w:t>
      </w:r>
      <w:hyperlink r:id="rId205" w:history="1">
        <w:r w:rsidRPr="00D35F3F">
          <w:rPr>
            <w:rStyle w:val="Hyperlink"/>
            <w:i/>
            <w:color w:val="auto"/>
            <w:szCs w:val="18"/>
          </w:rPr>
          <w:t>Relicensing of Connecticut River Dams</w:t>
        </w:r>
      </w:hyperlink>
      <w:r w:rsidRPr="00D35F3F">
        <w:rPr>
          <w:szCs w:val="18"/>
        </w:rPr>
        <w:t xml:space="preserve"> (accessed February 18, 2014). </w:t>
      </w:r>
      <w:r w:rsidRPr="00D35F3F">
        <w:t xml:space="preserve">Adjustments in relicensing studies timeline were necessitated by </w:t>
      </w:r>
      <w:r w:rsidRPr="00D35F3F">
        <w:rPr>
          <w:szCs w:val="18"/>
        </w:rPr>
        <w:t>the</w:t>
      </w:r>
      <w:r w:rsidRPr="00ED00DA">
        <w:rPr>
          <w:szCs w:val="18"/>
        </w:rPr>
        <w:t xml:space="preserve"> closure of V</w:t>
      </w:r>
      <w:r>
        <w:rPr>
          <w:szCs w:val="18"/>
        </w:rPr>
        <w:t xml:space="preserve">ermont </w:t>
      </w:r>
      <w:r w:rsidRPr="00ED00DA">
        <w:rPr>
          <w:szCs w:val="18"/>
        </w:rPr>
        <w:t>Y</w:t>
      </w:r>
      <w:r>
        <w:rPr>
          <w:szCs w:val="18"/>
        </w:rPr>
        <w:t>ankee in December 2014</w:t>
      </w:r>
      <w:r w:rsidRPr="00ED00DA">
        <w:rPr>
          <w:szCs w:val="18"/>
        </w:rPr>
        <w:t xml:space="preserve">, </w:t>
      </w:r>
      <w:r>
        <w:rPr>
          <w:szCs w:val="18"/>
        </w:rPr>
        <w:t xml:space="preserve">as </w:t>
      </w:r>
      <w:r w:rsidRPr="00ED00DA">
        <w:rPr>
          <w:szCs w:val="18"/>
        </w:rPr>
        <w:t>certain environmental baseline conditions could have changed during the relicensing study period</w:t>
      </w:r>
      <w:r>
        <w:rPr>
          <w:szCs w:val="18"/>
        </w:rPr>
        <w:t>. FERC agreed to extend project licenses by one year, to allow study of post-closure conditions.</w:t>
      </w:r>
    </w:p>
  </w:footnote>
  <w:footnote w:id="232">
    <w:p w:rsidR="006346FE" w:rsidRDefault="006346FE" w:rsidP="00A75620">
      <w:pPr>
        <w:pStyle w:val="FootnoteText"/>
      </w:pPr>
      <w:r w:rsidRPr="003D0FB2">
        <w:rPr>
          <w:rStyle w:val="FootnoteReference"/>
        </w:rPr>
        <w:footnoteRef/>
      </w:r>
      <w:r w:rsidRPr="003D0FB2">
        <w:t xml:space="preserve"> Information on NREL is available at </w:t>
      </w:r>
      <w:hyperlink r:id="rId206" w:history="1">
        <w:r w:rsidRPr="003D0FB2">
          <w:rPr>
            <w:rStyle w:val="Hyperlink"/>
          </w:rPr>
          <w:t>https://www.nrel.gov/research/publications.html</w:t>
        </w:r>
      </w:hyperlink>
      <w:r w:rsidRPr="003D0FB2">
        <w:t>.</w:t>
      </w:r>
    </w:p>
  </w:footnote>
  <w:footnote w:id="233">
    <w:p w:rsidR="006346FE" w:rsidRDefault="006346FE" w:rsidP="00A75620">
      <w:pPr>
        <w:pStyle w:val="FootnoteText"/>
      </w:pPr>
      <w:r w:rsidRPr="00BD707F">
        <w:rPr>
          <w:rStyle w:val="FootnoteReference"/>
        </w:rPr>
        <w:footnoteRef/>
      </w:r>
      <w:r w:rsidRPr="00BD707F">
        <w:t xml:space="preserve"> </w:t>
      </w:r>
      <w:r>
        <w:t xml:space="preserve">IEEE Standard </w:t>
      </w:r>
      <w:r w:rsidRPr="00BD707F">
        <w:rPr>
          <w:szCs w:val="18"/>
        </w:rPr>
        <w:t>1547</w:t>
      </w:r>
      <w:r w:rsidRPr="009538A2">
        <w:rPr>
          <w:szCs w:val="18"/>
        </w:rPr>
        <w:t xml:space="preserve"> establishes criteria and requirements for the interconnection of distributed resources with electric power systems. This document provides a uniform standard for the performance, operation, testing, safety considerations, and maintenance of the interconnection. See “IEEE 1547 Standard for Interconnecting Distributed Resources with Electric Power Systems,” webpage (2015), </w:t>
      </w:r>
      <w:hyperlink r:id="rId207" w:history="1">
        <w:r w:rsidRPr="009538A2">
          <w:rPr>
            <w:rStyle w:val="Hyperlink"/>
            <w:color w:val="auto"/>
            <w:szCs w:val="18"/>
          </w:rPr>
          <w:t>http://grouper.ieee.org/groups/scc21/1547/1547_index.html</w:t>
        </w:r>
      </w:hyperlink>
      <w:r w:rsidRPr="009538A2">
        <w:rPr>
          <w:szCs w:val="18"/>
        </w:rPr>
        <w:t>.</w:t>
      </w:r>
    </w:p>
  </w:footnote>
  <w:footnote w:id="234">
    <w:p w:rsidR="006346FE" w:rsidRDefault="006346FE">
      <w:pPr>
        <w:pStyle w:val="FootnoteText"/>
      </w:pPr>
      <w:r w:rsidRPr="00605D6E">
        <w:rPr>
          <w:rStyle w:val="FootnoteReference"/>
        </w:rPr>
        <w:footnoteRef/>
      </w:r>
      <w:r w:rsidRPr="00605D6E">
        <w:t xml:space="preserve"> Ride-through capabilities reduce unwanted trips of DERs for contingency events on the transmission and distribution systems.</w:t>
      </w:r>
    </w:p>
  </w:footnote>
  <w:footnote w:id="235">
    <w:p w:rsidR="006346FE" w:rsidRDefault="006346FE" w:rsidP="00A75620">
      <w:pPr>
        <w:pStyle w:val="FootnoteText"/>
      </w:pPr>
      <w:r w:rsidRPr="00851D9B">
        <w:rPr>
          <w:rStyle w:val="FootnoteReference"/>
        </w:rPr>
        <w:footnoteRef/>
      </w:r>
      <w:r w:rsidRPr="00851D9B">
        <w:t xml:space="preserve"> NERC, </w:t>
      </w:r>
      <w:r w:rsidRPr="00851D9B">
        <w:rPr>
          <w:i/>
        </w:rPr>
        <w:t>Distributed Energy Resources Connection Modeling and Reliability Considerations</w:t>
      </w:r>
      <w:r w:rsidRPr="00851D9B">
        <w:t xml:space="preserve"> (February 2017), </w:t>
      </w:r>
      <w:hyperlink r:id="rId208" w:history="1">
        <w:r w:rsidRPr="00851D9B">
          <w:rPr>
            <w:rStyle w:val="Hyperlink"/>
          </w:rPr>
          <w:t>http://www.nerc.com/comm/Other/essntlrlbltysrvcstskfrcDL/Distributed_Energy_Resources_Report.pdf</w:t>
        </w:r>
      </w:hyperlink>
      <w:r w:rsidRPr="00851D9B">
        <w:t>.</w:t>
      </w:r>
    </w:p>
  </w:footnote>
  <w:footnote w:id="236">
    <w:p w:rsidR="006346FE" w:rsidRDefault="006346FE" w:rsidP="00A75620">
      <w:pPr>
        <w:pStyle w:val="FootnoteText"/>
      </w:pPr>
      <w:r w:rsidRPr="004A12F0">
        <w:rPr>
          <w:rStyle w:val="FootnoteReference"/>
        </w:rPr>
        <w:footnoteRef/>
      </w:r>
      <w:r w:rsidRPr="004A12F0">
        <w:t xml:space="preserve"> Block Island is the only offshore wind plant at 29 MW; the remaining 1,271 MW is onshore wind.</w:t>
      </w:r>
    </w:p>
  </w:footnote>
  <w:footnote w:id="237">
    <w:p w:rsidR="006346FE" w:rsidRDefault="006346FE" w:rsidP="00A75620">
      <w:pPr>
        <w:pStyle w:val="FootnoteText"/>
      </w:pPr>
      <w:r w:rsidRPr="009E3B8F">
        <w:rPr>
          <w:rStyle w:val="FootnoteReference"/>
        </w:rPr>
        <w:footnoteRef/>
      </w:r>
      <w:r w:rsidRPr="009E3B8F">
        <w:t xml:space="preserve"> See the ISO’s “Do Not Exceed Dispatch Project” webpage (2017), </w:t>
      </w:r>
      <w:hyperlink r:id="rId209" w:history="1">
        <w:r w:rsidRPr="009E3B8F">
          <w:rPr>
            <w:rStyle w:val="Hyperlink"/>
          </w:rPr>
          <w:t>https://www.iso-ne.com/participate/support/customer-readiness-outlook/do-not-exceed-dispatch</w:t>
        </w:r>
      </w:hyperlink>
      <w:r>
        <w:t>.</w:t>
      </w:r>
    </w:p>
  </w:footnote>
  <w:footnote w:id="238">
    <w:p w:rsidR="006346FE" w:rsidRDefault="006346FE" w:rsidP="00FD0F8F">
      <w:pPr>
        <w:spacing w:after="80" w:line="240" w:lineRule="auto"/>
      </w:pPr>
      <w:r w:rsidRPr="00FD0F8F">
        <w:rPr>
          <w:rStyle w:val="FootnoteReference"/>
          <w:sz w:val="18"/>
          <w:szCs w:val="18"/>
        </w:rPr>
        <w:footnoteRef/>
      </w:r>
      <w:r w:rsidRPr="00FD0F8F">
        <w:rPr>
          <w:sz w:val="18"/>
          <w:szCs w:val="18"/>
        </w:rPr>
        <w:t xml:space="preserve"> FERC, Order </w:t>
      </w:r>
      <w:r>
        <w:rPr>
          <w:sz w:val="18"/>
          <w:szCs w:val="18"/>
        </w:rPr>
        <w:t>A</w:t>
      </w:r>
      <w:r w:rsidRPr="00FD0F8F">
        <w:rPr>
          <w:sz w:val="18"/>
          <w:szCs w:val="18"/>
        </w:rPr>
        <w:t xml:space="preserve">ccepting </w:t>
      </w:r>
      <w:r>
        <w:rPr>
          <w:sz w:val="18"/>
          <w:szCs w:val="18"/>
        </w:rPr>
        <w:t>P</w:t>
      </w:r>
      <w:r w:rsidRPr="00FD0F8F">
        <w:rPr>
          <w:sz w:val="18"/>
          <w:szCs w:val="18"/>
        </w:rPr>
        <w:t>roposed Tariff Revisions, 157 FERC ¶ 61,189</w:t>
      </w:r>
      <w:r>
        <w:rPr>
          <w:sz w:val="18"/>
          <w:szCs w:val="18"/>
        </w:rPr>
        <w:t xml:space="preserve"> </w:t>
      </w:r>
      <w:r w:rsidRPr="00FD0F8F">
        <w:rPr>
          <w:sz w:val="18"/>
          <w:szCs w:val="18"/>
        </w:rPr>
        <w:t xml:space="preserve">(December 9, 2016), </w:t>
      </w:r>
      <w:hyperlink r:id="rId210" w:history="1">
        <w:r w:rsidRPr="00FD0F8F">
          <w:rPr>
            <w:rStyle w:val="Hyperlink"/>
            <w:sz w:val="18"/>
            <w:szCs w:val="18"/>
          </w:rPr>
          <w:t>https://www.iso-ne.com/static-assets/documents/2016/12/er17-68-000_12-9-16_order_accept_resource_dispatchability_revisions.pdf</w:t>
        </w:r>
      </w:hyperlink>
      <w:r w:rsidRPr="00FD0F8F">
        <w:rPr>
          <w:color w:val="1F497D"/>
          <w:sz w:val="18"/>
          <w:szCs w:val="18"/>
        </w:rPr>
        <w:t>.</w:t>
      </w:r>
    </w:p>
  </w:footnote>
  <w:footnote w:id="239">
    <w:p w:rsidR="006346FE" w:rsidRDefault="006346FE" w:rsidP="00A75620">
      <w:pPr>
        <w:pStyle w:val="FootnoteText"/>
      </w:pPr>
      <w:r>
        <w:rPr>
          <w:rStyle w:val="FootnoteReference"/>
        </w:rPr>
        <w:footnoteRef/>
      </w:r>
      <w:r>
        <w:t xml:space="preserve"> </w:t>
      </w:r>
      <w:r w:rsidRPr="003C478A">
        <w:rPr>
          <w:i/>
        </w:rPr>
        <w:t>Operational Load Forecast Improvement Effort</w:t>
      </w:r>
      <w:r>
        <w:t>, Participants Committee presentation (April 7, 2017</w:t>
      </w:r>
      <w:r w:rsidRPr="00561763">
        <w:t xml:space="preserve">), </w:t>
      </w:r>
      <w:hyperlink r:id="rId211" w:history="1">
        <w:r w:rsidRPr="009569A2">
          <w:rPr>
            <w:rStyle w:val="Hyperlink"/>
          </w:rPr>
          <w:t>https://www.iso-ne.com/static-assets/documents/2017/04/npc_20170407_addl.pdf</w:t>
        </w:r>
      </w:hyperlink>
      <w:r>
        <w:t xml:space="preserve"> (pages 156-169)</w:t>
      </w:r>
      <w:r w:rsidRPr="00561763">
        <w:t>.</w:t>
      </w:r>
    </w:p>
  </w:footnote>
  <w:footnote w:id="240">
    <w:p w:rsidR="006346FE" w:rsidRPr="008D5D5B" w:rsidRDefault="006346FE" w:rsidP="00A75620">
      <w:pPr>
        <w:pStyle w:val="FootnoteText"/>
        <w:rPr>
          <w:szCs w:val="18"/>
        </w:rPr>
      </w:pPr>
      <w:r w:rsidRPr="008D5D5B">
        <w:rPr>
          <w:rStyle w:val="FootnoteReference"/>
          <w:sz w:val="18"/>
          <w:szCs w:val="18"/>
        </w:rPr>
        <w:footnoteRef/>
      </w:r>
      <w:r w:rsidRPr="008D5D5B">
        <w:rPr>
          <w:szCs w:val="18"/>
        </w:rPr>
        <w:t xml:space="preserve"> EPRI, </w:t>
      </w:r>
      <w:r w:rsidRPr="008D5D5B">
        <w:rPr>
          <w:i/>
          <w:szCs w:val="18"/>
        </w:rPr>
        <w:t>Recommended Settings for Voltage and Frequency Ride-Through of Distributed Energy Resources</w:t>
      </w:r>
      <w:r w:rsidRPr="008D5D5B">
        <w:rPr>
          <w:szCs w:val="18"/>
        </w:rPr>
        <w:t xml:space="preserve"> (May 8, 2015), </w:t>
      </w:r>
      <w:hyperlink r:id="rId212" w:history="1">
        <w:r w:rsidRPr="008D5D5B">
          <w:rPr>
            <w:rStyle w:val="Hyperlink"/>
            <w:color w:val="auto"/>
            <w:szCs w:val="18"/>
          </w:rPr>
          <w:t>http://www.epri.com/abstracts/Pages/ProductAbstract.aspx?ProductId=000000003002006203.</w:t>
        </w:r>
      </w:hyperlink>
    </w:p>
  </w:footnote>
  <w:footnote w:id="241">
    <w:p w:rsidR="006346FE" w:rsidRPr="00CF64A5" w:rsidRDefault="006346FE" w:rsidP="00A75620">
      <w:pPr>
        <w:pStyle w:val="FootnoteText"/>
        <w:rPr>
          <w:szCs w:val="18"/>
        </w:rPr>
      </w:pPr>
      <w:r w:rsidRPr="00CF64A5">
        <w:rPr>
          <w:rStyle w:val="FootnoteReference"/>
          <w:sz w:val="18"/>
          <w:szCs w:val="18"/>
        </w:rPr>
        <w:footnoteRef/>
      </w:r>
      <w:r w:rsidRPr="00CF64A5">
        <w:rPr>
          <w:szCs w:val="18"/>
        </w:rPr>
        <w:t xml:space="preserve"> </w:t>
      </w:r>
      <w:r>
        <w:rPr>
          <w:szCs w:val="18"/>
        </w:rPr>
        <w:t xml:space="preserve">These </w:t>
      </w:r>
      <w:r w:rsidRPr="00CF64A5">
        <w:rPr>
          <w:szCs w:val="18"/>
        </w:rPr>
        <w:t xml:space="preserve">IEEE 1547 and interconnection requirements </w:t>
      </w:r>
      <w:r>
        <w:rPr>
          <w:szCs w:val="18"/>
        </w:rPr>
        <w:t xml:space="preserve">are </w:t>
      </w:r>
      <w:r w:rsidRPr="00CF64A5">
        <w:rPr>
          <w:szCs w:val="18"/>
        </w:rPr>
        <w:t xml:space="preserve">for low/high-voltage ride through, low/high-frequency ride through, ramp rates, and others. </w:t>
      </w:r>
    </w:p>
  </w:footnote>
  <w:footnote w:id="242">
    <w:p w:rsidR="006346FE" w:rsidRPr="00995555" w:rsidRDefault="006346FE" w:rsidP="00A75620">
      <w:pPr>
        <w:pStyle w:val="FootnoteText"/>
        <w:rPr>
          <w:szCs w:val="18"/>
        </w:rPr>
      </w:pPr>
      <w:r w:rsidRPr="008D5D5B">
        <w:rPr>
          <w:rStyle w:val="FootnoteReference"/>
          <w:sz w:val="18"/>
          <w:szCs w:val="18"/>
        </w:rPr>
        <w:footnoteRef/>
      </w:r>
      <w:r w:rsidRPr="008D5D5B">
        <w:rPr>
          <w:szCs w:val="18"/>
        </w:rPr>
        <w:t xml:space="preserve"> </w:t>
      </w:r>
      <w:r w:rsidRPr="008D5D5B">
        <w:rPr>
          <w:i/>
          <w:szCs w:val="18"/>
        </w:rPr>
        <w:t>DG Interconnection Issues</w:t>
      </w:r>
      <w:r w:rsidRPr="008D5D5B">
        <w:rPr>
          <w:szCs w:val="18"/>
        </w:rPr>
        <w:t xml:space="preserve">, PAC presentation (July 7, 2015), </w:t>
      </w:r>
      <w:hyperlink r:id="rId213" w:history="1">
        <w:r w:rsidRPr="00995555">
          <w:rPr>
            <w:rStyle w:val="Hyperlink"/>
            <w:color w:val="auto"/>
            <w:szCs w:val="18"/>
          </w:rPr>
          <w:t>http://www.iso-ne.com/static-assets/documents/2015/07/a2_dg_interconnection_issues_update.pdf</w:t>
        </w:r>
      </w:hyperlink>
      <w:r w:rsidRPr="00995555">
        <w:rPr>
          <w:szCs w:val="18"/>
        </w:rPr>
        <w:t>.</w:t>
      </w:r>
    </w:p>
  </w:footnote>
  <w:footnote w:id="243">
    <w:p w:rsidR="006346FE" w:rsidRDefault="006346FE">
      <w:pPr>
        <w:pStyle w:val="FootnoteText"/>
      </w:pPr>
      <w:r w:rsidRPr="00995555">
        <w:rPr>
          <w:rStyle w:val="FootnoteReference"/>
        </w:rPr>
        <w:footnoteRef/>
      </w:r>
      <w:r w:rsidRPr="00995555">
        <w:t xml:space="preserve"> The use of active demand resources will change as of June, 1, 2018, and include demand-response capacity resources, active demand capacity resources, and price-responsive demand resources (see Section </w:t>
      </w:r>
      <w:r w:rsidRPr="00995555">
        <w:fldChar w:fldCharType="begin"/>
      </w:r>
      <w:r w:rsidRPr="00995555">
        <w:instrText xml:space="preserve"> REF _Ref485997234 \r \h  \* MERGEFORMAT </w:instrText>
      </w:r>
      <w:r w:rsidRPr="00995555">
        <w:fldChar w:fldCharType="separate"/>
      </w:r>
      <w:r>
        <w:t>10.3.3.1</w:t>
      </w:r>
      <w:r w:rsidRPr="00995555">
        <w:fldChar w:fldCharType="end"/>
      </w:r>
      <w:r w:rsidRPr="00995555">
        <w:t>).</w:t>
      </w:r>
    </w:p>
  </w:footnote>
  <w:footnote w:id="244">
    <w:p w:rsidR="006346FE" w:rsidRPr="008E5925" w:rsidRDefault="006346FE" w:rsidP="00A75620">
      <w:pPr>
        <w:pStyle w:val="CommentText"/>
        <w:spacing w:after="80"/>
        <w:rPr>
          <w:szCs w:val="18"/>
        </w:rPr>
      </w:pPr>
      <w:r w:rsidRPr="00054E42">
        <w:rPr>
          <w:rStyle w:val="FootnoteReference"/>
          <w:sz w:val="18"/>
          <w:szCs w:val="18"/>
        </w:rPr>
        <w:footnoteRef/>
      </w:r>
      <w:r w:rsidRPr="00F10139">
        <w:rPr>
          <w:sz w:val="18"/>
          <w:szCs w:val="18"/>
        </w:rPr>
        <w:t xml:space="preserve"> </w:t>
      </w:r>
      <w:r w:rsidRPr="00776FFB">
        <w:rPr>
          <w:i/>
          <w:sz w:val="18"/>
          <w:szCs w:val="18"/>
        </w:rPr>
        <w:t>2015 Economic Study—Evaluation of Increasing the Keene Road Export Limit</w:t>
      </w:r>
      <w:r>
        <w:rPr>
          <w:sz w:val="18"/>
          <w:szCs w:val="18"/>
        </w:rPr>
        <w:t xml:space="preserve">;  </w:t>
      </w:r>
      <w:r w:rsidRPr="00776FFB">
        <w:rPr>
          <w:i/>
          <w:sz w:val="18"/>
          <w:szCs w:val="18"/>
        </w:rPr>
        <w:t>2015 Economic Study</w:t>
      </w:r>
      <w:r w:rsidRPr="00C66A22">
        <w:rPr>
          <w:i/>
          <w:sz w:val="18"/>
          <w:szCs w:val="18"/>
        </w:rPr>
        <w:t>—</w:t>
      </w:r>
      <w:r w:rsidRPr="00776FFB">
        <w:rPr>
          <w:i/>
          <w:sz w:val="18"/>
          <w:szCs w:val="18"/>
        </w:rPr>
        <w:t>Evaluation of Offshore Wind Deployment</w:t>
      </w:r>
      <w:r>
        <w:rPr>
          <w:sz w:val="18"/>
          <w:szCs w:val="18"/>
        </w:rPr>
        <w:t xml:space="preserve">; and </w:t>
      </w:r>
      <w:r w:rsidRPr="00776FFB">
        <w:rPr>
          <w:i/>
          <w:sz w:val="18"/>
          <w:szCs w:val="18"/>
        </w:rPr>
        <w:t>2015 Economic Study—Strategic Transmission Analysis—Onshore Wind Integration</w:t>
      </w:r>
      <w:r>
        <w:rPr>
          <w:i/>
          <w:sz w:val="18"/>
          <w:szCs w:val="18"/>
        </w:rPr>
        <w:t xml:space="preserve"> </w:t>
      </w:r>
      <w:r>
        <w:rPr>
          <w:sz w:val="18"/>
          <w:szCs w:val="18"/>
        </w:rPr>
        <w:t xml:space="preserve">(all posted September 2, 2016), accessible at </w:t>
      </w:r>
      <w:hyperlink r:id="rId214" w:history="1">
        <w:r w:rsidRPr="008B33AD">
          <w:rPr>
            <w:rStyle w:val="Hyperlink"/>
            <w:sz w:val="18"/>
            <w:szCs w:val="18"/>
          </w:rPr>
          <w:t>https://www.iso-ne.com/committees/planning/planning-advisory/?document-type=Economic Studies&amp;file-type=DOC&amp;file-type=DOCX</w:t>
        </w:r>
      </w:hyperlink>
      <w:r>
        <w:rPr>
          <w:sz w:val="18"/>
          <w:szCs w:val="18"/>
        </w:rPr>
        <w:t xml:space="preserve"> (using  “Economic Studies” and “DOC” filters).</w:t>
      </w:r>
    </w:p>
  </w:footnote>
  <w:footnote w:id="245">
    <w:p w:rsidR="006346FE" w:rsidRDefault="006346FE">
      <w:pPr>
        <w:pStyle w:val="FootnoteText"/>
      </w:pPr>
      <w:r w:rsidRPr="00B01314">
        <w:rPr>
          <w:rStyle w:val="FootnoteReference"/>
        </w:rPr>
        <w:footnoteRef/>
      </w:r>
      <w:r w:rsidRPr="00B01314">
        <w:t xml:space="preserve"> </w:t>
      </w:r>
      <w:r w:rsidRPr="00B01314">
        <w:rPr>
          <w:i/>
        </w:rPr>
        <w:t xml:space="preserve">Draft 2016 Economic Study: NEPOOL Scenario Analysis Report: Implications of Public Policies on ISO New England Market Design, System Reliability and Operability, Resource Costs and Revenues, and Emissions </w:t>
      </w:r>
      <w:r w:rsidRPr="00B01314">
        <w:t xml:space="preserve">(July 25, 2017), </w:t>
      </w:r>
      <w:hyperlink r:id="rId215" w:history="1">
        <w:r w:rsidRPr="00B01314">
          <w:rPr>
            <w:rStyle w:val="Hyperlink"/>
          </w:rPr>
          <w:t>https://www.iso-ne.com/static-assets/documents/2017/07/draft_2016_phase1_nepool_scenario_analysis_report.docx</w:t>
        </w:r>
      </w:hyperlink>
      <w:r w:rsidRPr="00B01314">
        <w:t xml:space="preserve">. The ISO anticipated posting </w:t>
      </w:r>
      <w:r w:rsidRPr="0099528C">
        <w:t>the final report in fall 2017. [Update with link to final report, if posted]</w:t>
      </w:r>
    </w:p>
  </w:footnote>
  <w:footnote w:id="246">
    <w:p w:rsidR="006346FE" w:rsidRDefault="006346FE" w:rsidP="00A75620">
      <w:pPr>
        <w:pStyle w:val="FootnoteText"/>
      </w:pPr>
      <w:r w:rsidRPr="00773B42">
        <w:rPr>
          <w:rStyle w:val="FootnoteReference"/>
        </w:rPr>
        <w:footnoteRef/>
      </w:r>
      <w:r w:rsidRPr="00773B42">
        <w:t xml:space="preserve"> EPRI, </w:t>
      </w:r>
      <w:r w:rsidRPr="00F15075">
        <w:rPr>
          <w:i/>
        </w:rPr>
        <w:t>Grid Impacts and Challenges Arising from the Integration of Inverter-Based Variable Resources, PAC presentation</w:t>
      </w:r>
      <w:r w:rsidRPr="00773B42">
        <w:t xml:space="preserve"> (October 19, 2016), </w:t>
      </w:r>
      <w:hyperlink r:id="rId216" w:history="1">
        <w:r w:rsidRPr="00773B42">
          <w:rPr>
            <w:rStyle w:val="Hyperlink"/>
          </w:rPr>
          <w:t>https://www.iso-ne.com/static-assets/documents/2016/10/a3_integration_and_planning_of_large_amounts_of_inverter_based_resources.pptx</w:t>
        </w:r>
      </w:hyperlink>
      <w:r w:rsidRPr="00773B42">
        <w:t>.</w:t>
      </w:r>
    </w:p>
  </w:footnote>
  <w:footnote w:id="247">
    <w:p w:rsidR="006346FE" w:rsidRDefault="006346FE">
      <w:pPr>
        <w:pStyle w:val="FootnoteText"/>
      </w:pPr>
      <w:r>
        <w:rPr>
          <w:rStyle w:val="FootnoteReference"/>
        </w:rPr>
        <w:footnoteRef/>
      </w:r>
      <w:r>
        <w:t xml:space="preserve"> Light load conditions can present high-voltage issues and trigger over-generation situations.</w:t>
      </w:r>
    </w:p>
  </w:footnote>
  <w:footnote w:id="248">
    <w:p w:rsidR="006346FE" w:rsidRPr="00653493" w:rsidRDefault="006346FE" w:rsidP="00553057">
      <w:pPr>
        <w:pStyle w:val="FootnoteText"/>
      </w:pPr>
      <w:r w:rsidRPr="00653493">
        <w:rPr>
          <w:rStyle w:val="FootnoteReference"/>
        </w:rPr>
        <w:footnoteRef/>
      </w:r>
      <w:r w:rsidRPr="00653493">
        <w:t xml:space="preserve"> Analysis Group, </w:t>
      </w:r>
      <w:r w:rsidRPr="008D2EE5">
        <w:rPr>
          <w:i/>
        </w:rPr>
        <w:t>Capacity Market Impacts and Implications of Alternative Resource Expansion Scenarios: An Element of the ISO New England 2016 Economic Analysis</w:t>
      </w:r>
      <w:r>
        <w:rPr>
          <w:i/>
        </w:rPr>
        <w:t xml:space="preserve"> </w:t>
      </w:r>
      <w:r w:rsidRPr="00653493">
        <w:t>(</w:t>
      </w:r>
      <w:r>
        <w:t>July 3</w:t>
      </w:r>
      <w:r w:rsidRPr="00653493">
        <w:t xml:space="preserve">, 2017), </w:t>
      </w:r>
      <w:hyperlink r:id="rId217" w:history="1">
        <w:r w:rsidRPr="008D2EE5">
          <w:rPr>
            <w:rStyle w:val="Hyperlink"/>
          </w:rPr>
          <w:t>https://www.iso-ne.com/static-assets/documents/2017/07/final_analysis_group_2016_economic_analysis_capacity_market_impacts.pdf</w:t>
        </w:r>
      </w:hyperlink>
      <w:r w:rsidRPr="008D2EE5">
        <w:t>. The final results for the ramping, regulation, and reserve study is scheduled for December 2017.</w:t>
      </w:r>
    </w:p>
  </w:footnote>
  <w:footnote w:id="249">
    <w:p w:rsidR="006346FE" w:rsidRDefault="006346FE" w:rsidP="00A75620">
      <w:pPr>
        <w:pStyle w:val="FootnoteText"/>
      </w:pPr>
      <w:r w:rsidRPr="00653493">
        <w:rPr>
          <w:rStyle w:val="FootnoteReference"/>
        </w:rPr>
        <w:footnoteRef/>
      </w:r>
      <w:r w:rsidRPr="00653493">
        <w:t xml:space="preserve"> The CONE is a pricing threshold derived from the capacity clearing prices established in an FCA used to (1) establish the starting price for each FCA, (2) set thresholds for reviewing delist bids to deter the exercise of market power, (3) set initial pricing for reconfiguration auctions when the ISO or a market participant that does not meet its commercial operation date submits demand bids or supply offers, and (4) determine pricing when the supply is inadequate and competition is insufficient.</w:t>
      </w:r>
      <w:r>
        <w:t xml:space="preserve"> </w:t>
      </w:r>
      <w:r w:rsidRPr="00653493">
        <w:t>The</w:t>
      </w:r>
      <w:r w:rsidRPr="00BE656E">
        <w:t xml:space="preserve"> net CONE was assumed at $8.70//kW-month in 2025 and $9.61/kW-month in 2030. </w:t>
      </w:r>
    </w:p>
  </w:footnote>
  <w:footnote w:id="250">
    <w:p w:rsidR="006346FE" w:rsidRDefault="006346FE" w:rsidP="00A75620">
      <w:pPr>
        <w:pStyle w:val="FootnoteText"/>
      </w:pPr>
      <w:r w:rsidRPr="00BE656E">
        <w:rPr>
          <w:rStyle w:val="FootnoteReference"/>
        </w:rPr>
        <w:footnoteRef/>
      </w:r>
      <w:r w:rsidRPr="00BE656E">
        <w:t xml:space="preserve"> The maximum assumed natural gas supply to the region was assumed as 6.703 billion cubic feet per day (Bcf/d)</w:t>
      </w:r>
      <w:r w:rsidRPr="008F0B49">
        <w:t xml:space="preserve"> in 2025 and 6.874 Bcf/d in 2030, which would be sufficient to meet LDC growth and allow for some surplus capacity to serve some generating units burning natural gas.</w:t>
      </w:r>
    </w:p>
  </w:footnote>
  <w:footnote w:id="251">
    <w:p w:rsidR="006346FE" w:rsidRDefault="006346FE" w:rsidP="00A75620">
      <w:pPr>
        <w:pStyle w:val="FootnoteText"/>
      </w:pPr>
      <w:r w:rsidRPr="00EA3D66">
        <w:rPr>
          <w:rStyle w:val="FootnoteReference"/>
        </w:rPr>
        <w:footnoteRef/>
      </w:r>
      <w:r w:rsidRPr="00EA3D66">
        <w:t xml:space="preserve"> The assumed current pipeline capacity is 4.697 Bcf/d during the summer.</w:t>
      </w:r>
    </w:p>
  </w:footnote>
  <w:footnote w:id="252">
    <w:p w:rsidR="006346FE" w:rsidRPr="00C945CE" w:rsidRDefault="006346FE">
      <w:pPr>
        <w:pStyle w:val="FootnoteText"/>
        <w:rPr>
          <w:rFonts w:eastAsia="Times New Roman" w:cs="Arial"/>
          <w:spacing w:val="-5"/>
          <w:szCs w:val="18"/>
        </w:rPr>
      </w:pPr>
      <w:r w:rsidRPr="00B01314">
        <w:rPr>
          <w:rStyle w:val="FootnoteReference"/>
        </w:rPr>
        <w:footnoteRef/>
      </w:r>
      <w:r w:rsidRPr="00C945CE">
        <w:t xml:space="preserve"> Conservation Law Foundation, “Request for 2017 Economic Study to Explore Least-Cost, Emissions-Compliant System Topologies,” (April 3, 2017), </w:t>
      </w:r>
      <w:hyperlink r:id="rId218" w:history="1">
        <w:r w:rsidRPr="00B01314">
          <w:rPr>
            <w:rStyle w:val="Hyperlink"/>
          </w:rPr>
          <w:t>https://www.iso-ne.com/static-assets/documents/2017/04/a7_2017_economic_study_request_clf.pdf</w:t>
        </w:r>
      </w:hyperlink>
      <w:r w:rsidRPr="00C945CE">
        <w:t xml:space="preserve">. </w:t>
      </w:r>
      <w:r w:rsidRPr="00C945CE">
        <w:rPr>
          <w:rFonts w:eastAsia="Times New Roman" w:cs="Arial"/>
          <w:szCs w:val="18"/>
        </w:rPr>
        <w:t>The ISO discussed the scope of work with the PAC on May 25, 2017, but indicated that this study will have a low priority and, as such, has not finalized a study schedule.</w:t>
      </w:r>
      <w:r>
        <w:rPr>
          <w:rFonts w:eastAsia="Times New Roman" w:cs="Arial"/>
          <w:spacing w:val="-5"/>
          <w:szCs w:val="18"/>
        </w:rPr>
        <w:t xml:space="preserve"> </w:t>
      </w:r>
      <w:r w:rsidRPr="00C945CE">
        <w:rPr>
          <w:rFonts w:eastAsia="Times New Roman" w:cs="Arial"/>
          <w:spacing w:val="-5"/>
          <w:szCs w:val="18"/>
        </w:rPr>
        <w:t xml:space="preserve">Refer to </w:t>
      </w:r>
      <w:r w:rsidRPr="00C945CE">
        <w:rPr>
          <w:rFonts w:eastAsia="Times New Roman" w:cs="Arial"/>
          <w:i/>
          <w:spacing w:val="-5"/>
          <w:szCs w:val="18"/>
        </w:rPr>
        <w:t>2017 Economic Study: Scope of Work</w:t>
      </w:r>
      <w:r w:rsidRPr="00C945CE">
        <w:rPr>
          <w:rFonts w:eastAsia="Times New Roman" w:cs="Arial"/>
          <w:spacing w:val="-5"/>
          <w:szCs w:val="18"/>
        </w:rPr>
        <w:t xml:space="preserve">, PAC presentation (May 25, 2017), </w:t>
      </w:r>
      <w:hyperlink r:id="rId219" w:history="1">
        <w:r w:rsidRPr="00C945CE">
          <w:rPr>
            <w:rStyle w:val="Hyperlink"/>
            <w:rFonts w:eastAsia="Times New Roman" w:cs="Arial"/>
            <w:spacing w:val="-5"/>
            <w:szCs w:val="18"/>
          </w:rPr>
          <w:t>https://www.iso-ne.com/static-assets/documents/2017/05/a2_2017_economic_study_scope_of_work.pdf</w:t>
        </w:r>
      </w:hyperlink>
      <w:r w:rsidRPr="00C945CE">
        <w:rPr>
          <w:rFonts w:eastAsia="Times New Roman" w:cs="Arial"/>
          <w:spacing w:val="-5"/>
          <w:szCs w:val="18"/>
        </w:rPr>
        <w:t>.</w:t>
      </w:r>
    </w:p>
  </w:footnote>
  <w:footnote w:id="253">
    <w:p w:rsidR="006346FE" w:rsidRDefault="006346FE">
      <w:pPr>
        <w:pStyle w:val="FootnoteText"/>
      </w:pPr>
      <w:r>
        <w:rPr>
          <w:rStyle w:val="FootnoteReference"/>
        </w:rPr>
        <w:footnoteRef/>
      </w:r>
      <w:r>
        <w:t xml:space="preserve"> More information about the EIPC is available at </w:t>
      </w:r>
      <w:hyperlink r:id="rId220" w:history="1">
        <w:r w:rsidRPr="006A7952">
          <w:rPr>
            <w:rStyle w:val="Hyperlink"/>
          </w:rPr>
          <w:t>http://www.eipconline.com/</w:t>
        </w:r>
      </w:hyperlink>
      <w:r>
        <w:t>.</w:t>
      </w:r>
    </w:p>
  </w:footnote>
  <w:footnote w:id="254">
    <w:p w:rsidR="006346FE" w:rsidRDefault="006346FE">
      <w:pPr>
        <w:pStyle w:val="FootnoteText"/>
      </w:pPr>
      <w:r>
        <w:rPr>
          <w:rStyle w:val="FootnoteReference"/>
        </w:rPr>
        <w:footnoteRef/>
      </w:r>
      <w:r>
        <w:t xml:space="preserve"> More information on the NCEP and NARUC is available at </w:t>
      </w:r>
      <w:hyperlink r:id="rId221" w:history="1">
        <w:r w:rsidRPr="006A7952">
          <w:rPr>
            <w:rStyle w:val="Hyperlink"/>
          </w:rPr>
          <w:t>http://electricitypolicy.org/about/</w:t>
        </w:r>
      </w:hyperlink>
      <w:r>
        <w:t xml:space="preserve"> and </w:t>
      </w:r>
      <w:hyperlink r:id="rId222" w:history="1">
        <w:r w:rsidRPr="006A7952">
          <w:rPr>
            <w:rStyle w:val="Hyperlink"/>
          </w:rPr>
          <w:t>https://www.naruc.org/</w:t>
        </w:r>
      </w:hyperlink>
      <w:r>
        <w:t>, respectively.</w:t>
      </w:r>
    </w:p>
  </w:footnote>
  <w:footnote w:id="255">
    <w:p w:rsidR="006346FE" w:rsidRPr="008D5D5B" w:rsidRDefault="006346FE" w:rsidP="003D70FB">
      <w:pPr>
        <w:spacing w:after="80" w:line="240" w:lineRule="auto"/>
        <w:rPr>
          <w:sz w:val="18"/>
          <w:szCs w:val="18"/>
        </w:rPr>
      </w:pPr>
      <w:r w:rsidRPr="008D5D5B">
        <w:rPr>
          <w:rStyle w:val="FootnoteReference"/>
          <w:sz w:val="18"/>
          <w:szCs w:val="18"/>
        </w:rPr>
        <w:footnoteRef/>
      </w:r>
      <w:r w:rsidRPr="008D5D5B">
        <w:rPr>
          <w:sz w:val="18"/>
          <w:szCs w:val="18"/>
        </w:rPr>
        <w:t xml:space="preserve"> More information about NESCOE is available at </w:t>
      </w:r>
      <w:hyperlink r:id="rId223" w:history="1">
        <w:r w:rsidRPr="00BC0A58">
          <w:rPr>
            <w:rStyle w:val="Hyperlink"/>
            <w:color w:val="auto"/>
            <w:sz w:val="18"/>
            <w:szCs w:val="18"/>
          </w:rPr>
          <w:t>www.nescoe.com</w:t>
        </w:r>
      </w:hyperlink>
      <w:r w:rsidRPr="008D5D5B">
        <w:rPr>
          <w:sz w:val="18"/>
          <w:szCs w:val="18"/>
        </w:rPr>
        <w:t>.</w:t>
      </w:r>
    </w:p>
  </w:footnote>
  <w:footnote w:id="256">
    <w:p w:rsidR="006346FE" w:rsidRPr="00606B82" w:rsidRDefault="006346FE" w:rsidP="003D70FB">
      <w:pPr>
        <w:spacing w:after="80" w:line="240" w:lineRule="auto"/>
        <w:rPr>
          <w:rFonts w:cs="Arial"/>
          <w:sz w:val="18"/>
          <w:szCs w:val="18"/>
        </w:rPr>
      </w:pPr>
      <w:r w:rsidRPr="00606B82">
        <w:rPr>
          <w:rStyle w:val="FootnoteReference"/>
          <w:rFonts w:cs="Arial"/>
          <w:sz w:val="18"/>
          <w:szCs w:val="18"/>
        </w:rPr>
        <w:footnoteRef/>
      </w:r>
      <w:r w:rsidRPr="00606B82">
        <w:rPr>
          <w:rFonts w:cs="Arial"/>
          <w:sz w:val="18"/>
          <w:szCs w:val="18"/>
        </w:rPr>
        <w:t xml:space="preserve"> ISO New England, “Presentations, Speeches, and Other Materials,” webpage, “External Affairs Monthly Issues Memo” document type, </w:t>
      </w:r>
      <w:hyperlink r:id="rId224" w:history="1">
        <w:r w:rsidRPr="00606B82">
          <w:rPr>
            <w:rStyle w:val="Hyperlink"/>
            <w:rFonts w:cs="Arial"/>
            <w:color w:val="auto"/>
            <w:sz w:val="18"/>
            <w:szCs w:val="18"/>
          </w:rPr>
          <w:t>http://www.iso-ne.com/about/government-industry-affairs/materials</w:t>
        </w:r>
      </w:hyperlink>
      <w:r w:rsidRPr="00606B82">
        <w:rPr>
          <w:rFonts w:cs="Arial"/>
          <w:sz w:val="18"/>
          <w:szCs w:val="18"/>
        </w:rPr>
        <w:t>.</w:t>
      </w:r>
    </w:p>
  </w:footnote>
  <w:footnote w:id="257">
    <w:p w:rsidR="006346FE" w:rsidRPr="00606B82" w:rsidRDefault="006346FE" w:rsidP="003D70FB">
      <w:pPr>
        <w:pStyle w:val="FootnoteText"/>
        <w:rPr>
          <w:rFonts w:cs="Arial"/>
          <w:szCs w:val="18"/>
        </w:rPr>
      </w:pPr>
      <w:r w:rsidRPr="00606B82">
        <w:rPr>
          <w:rStyle w:val="FootnoteReference"/>
          <w:rFonts w:cs="Arial"/>
          <w:sz w:val="18"/>
          <w:szCs w:val="18"/>
        </w:rPr>
        <w:footnoteRef/>
      </w:r>
      <w:r w:rsidRPr="00606B82">
        <w:rPr>
          <w:rFonts w:cs="Arial"/>
          <w:szCs w:val="18"/>
        </w:rPr>
        <w:t xml:space="preserve"> The end-user sector in the NEPOOL stakeholder process and the ISO stakeholder committees also convey consumer interests. Additional information on the CLG is available at http://www.iso-ne.com/committees/consumer-liaison.</w:t>
      </w:r>
    </w:p>
  </w:footnote>
  <w:footnote w:id="258">
    <w:p w:rsidR="006346FE" w:rsidRPr="00606B82" w:rsidRDefault="006346FE" w:rsidP="003D70FB">
      <w:pPr>
        <w:pStyle w:val="FootnoteText"/>
        <w:rPr>
          <w:rFonts w:cs="Arial"/>
          <w:szCs w:val="18"/>
        </w:rPr>
      </w:pPr>
      <w:r w:rsidRPr="00606B82">
        <w:rPr>
          <w:rStyle w:val="FootnoteReference"/>
          <w:rFonts w:cs="Arial"/>
          <w:sz w:val="18"/>
          <w:szCs w:val="18"/>
        </w:rPr>
        <w:footnoteRef/>
      </w:r>
      <w:r w:rsidRPr="00606B82">
        <w:rPr>
          <w:rFonts w:cs="Arial"/>
          <w:szCs w:val="18"/>
        </w:rPr>
        <w:t xml:space="preserve"> ISO New England and Consumer Liaison Group Coordinating Committee, </w:t>
      </w:r>
      <w:r w:rsidRPr="00606B82">
        <w:rPr>
          <w:rFonts w:cs="Arial"/>
          <w:i/>
          <w:szCs w:val="18"/>
        </w:rPr>
        <w:t>2016 Report of the Consumer Liaison Group</w:t>
      </w:r>
      <w:r w:rsidRPr="00606B82">
        <w:rPr>
          <w:rFonts w:cs="Arial"/>
          <w:szCs w:val="18"/>
        </w:rPr>
        <w:t xml:space="preserve"> (March 1, 2017), https://www.iso-ne.com/static-assets/documents/2017/03/2016_report_of_the_consumer_liaison_group_final.pdf.</w:t>
      </w:r>
    </w:p>
  </w:footnote>
  <w:footnote w:id="259">
    <w:p w:rsidR="006346FE" w:rsidRPr="008D5D5B" w:rsidRDefault="006346FE" w:rsidP="003D70FB">
      <w:pPr>
        <w:spacing w:after="80" w:line="240" w:lineRule="auto"/>
        <w:rPr>
          <w:sz w:val="18"/>
          <w:szCs w:val="18"/>
        </w:rPr>
      </w:pPr>
      <w:r w:rsidRPr="001A0C5B">
        <w:rPr>
          <w:rStyle w:val="FootnoteReference"/>
          <w:sz w:val="18"/>
          <w:szCs w:val="18"/>
        </w:rPr>
        <w:footnoteRef/>
      </w:r>
      <w:r w:rsidRPr="001A0C5B">
        <w:rPr>
          <w:sz w:val="18"/>
          <w:szCs w:val="18"/>
        </w:rPr>
        <w:t xml:space="preserve"> IEEE describes </w:t>
      </w:r>
      <w:r w:rsidRPr="001A0C5B">
        <w:rPr>
          <w:iCs/>
          <w:sz w:val="18"/>
          <w:szCs w:val="18"/>
        </w:rPr>
        <w:t>the</w:t>
      </w:r>
      <w:r w:rsidRPr="001A0C5B">
        <w:rPr>
          <w:i/>
          <w:iCs/>
          <w:sz w:val="18"/>
          <w:szCs w:val="18"/>
        </w:rPr>
        <w:t xml:space="preserve"> smart grid </w:t>
      </w:r>
      <w:r w:rsidRPr="001A0C5B">
        <w:rPr>
          <w:sz w:val="18"/>
          <w:szCs w:val="18"/>
        </w:rPr>
        <w:t>as a “next-generation”</w:t>
      </w:r>
      <w:r w:rsidRPr="008D5D5B">
        <w:rPr>
          <w:sz w:val="18"/>
          <w:szCs w:val="18"/>
        </w:rPr>
        <w:t xml:space="preserve"> electrical power system that typically employs the increased use of communications and information technology for generating, delivering, and consuming electrical energy. See the IEEE’s Smart Grid Community webpage for a full discussion of smart grid technology: </w:t>
      </w:r>
      <w:hyperlink r:id="rId225" w:history="1">
        <w:r w:rsidRPr="00BC0A58">
          <w:rPr>
            <w:rStyle w:val="Hyperlink"/>
            <w:color w:val="auto"/>
            <w:sz w:val="18"/>
            <w:szCs w:val="18"/>
          </w:rPr>
          <w:t>https://www.ieee.org/membership-catalog/productdetail/showProductDetailPage.html?product=CMYSG735</w:t>
        </w:r>
      </w:hyperlink>
      <w:r w:rsidRPr="008D5D5B">
        <w:rPr>
          <w:sz w:val="18"/>
          <w:szCs w:val="18"/>
        </w:rPr>
        <w:t>.</w:t>
      </w:r>
    </w:p>
  </w:footnote>
  <w:footnote w:id="260">
    <w:p w:rsidR="006346FE" w:rsidRPr="00722607" w:rsidRDefault="006346FE" w:rsidP="00722607">
      <w:pPr>
        <w:spacing w:after="80" w:line="240" w:lineRule="auto"/>
        <w:rPr>
          <w:sz w:val="18"/>
          <w:szCs w:val="18"/>
        </w:rPr>
      </w:pPr>
      <w:r w:rsidRPr="00722607">
        <w:rPr>
          <w:rStyle w:val="FootnoteReference"/>
          <w:sz w:val="18"/>
          <w:szCs w:val="18"/>
        </w:rPr>
        <w:footnoteRef/>
      </w:r>
      <w:r w:rsidRPr="00722607">
        <w:rPr>
          <w:sz w:val="18"/>
          <w:szCs w:val="18"/>
        </w:rPr>
        <w:t xml:space="preserve"> PMUs use global positioning satellite technology to monitor the performance of the region’s electric power grid accurately and provide specific data, including synchrophasor</w:t>
      </w:r>
      <w:r>
        <w:rPr>
          <w:sz w:val="18"/>
          <w:szCs w:val="18"/>
        </w:rPr>
        <w:t xml:space="preserve"> </w:t>
      </w:r>
      <w:r w:rsidRPr="00722607">
        <w:rPr>
          <w:sz w:val="18"/>
          <w:szCs w:val="18"/>
        </w:rPr>
        <w:t>power system measurements, for use in operating the grid and enhancing grid design</w:t>
      </w:r>
      <w:r w:rsidRPr="00722607">
        <w:rPr>
          <w:i/>
          <w:sz w:val="18"/>
          <w:szCs w:val="18"/>
        </w:rPr>
        <w:t xml:space="preserve">. </w:t>
      </w:r>
      <w:r w:rsidRPr="00722607">
        <w:rPr>
          <w:sz w:val="18"/>
          <w:szCs w:val="18"/>
        </w:rPr>
        <w:t xml:space="preserve">The IEEE defines FACTS as flexible alternating-current transmission systems that incorporate power-electronics-based controllers and other static controllers to enhance controllability and power-transfer capability. See the IEEE’s Power and Energy Society’s webpage: </w:t>
      </w:r>
      <w:hyperlink r:id="rId226" w:history="1">
        <w:r w:rsidRPr="00722607">
          <w:rPr>
            <w:rStyle w:val="Hyperlink"/>
            <w:color w:val="auto"/>
            <w:sz w:val="18"/>
            <w:szCs w:val="18"/>
          </w:rPr>
          <w:t>http://www.ieee-pes.org/nari-hingorani-facts-award</w:t>
        </w:r>
      </w:hyperlink>
      <w:r w:rsidRPr="00722607">
        <w:rPr>
          <w:sz w:val="18"/>
          <w:szCs w:val="18"/>
        </w:rPr>
        <w:t>.</w:t>
      </w:r>
    </w:p>
  </w:footnote>
  <w:footnote w:id="261">
    <w:p w:rsidR="006346FE" w:rsidRPr="00722607" w:rsidRDefault="006346FE" w:rsidP="00722607">
      <w:pPr>
        <w:spacing w:after="80" w:line="240" w:lineRule="auto"/>
        <w:rPr>
          <w:sz w:val="18"/>
          <w:szCs w:val="18"/>
        </w:rPr>
      </w:pPr>
      <w:r w:rsidRPr="00722607">
        <w:rPr>
          <w:rStyle w:val="FootnoteReference"/>
          <w:sz w:val="18"/>
          <w:szCs w:val="18"/>
        </w:rPr>
        <w:footnoteRef/>
      </w:r>
      <w:r w:rsidRPr="00722607">
        <w:rPr>
          <w:sz w:val="18"/>
          <w:szCs w:val="18"/>
        </w:rPr>
        <w:t xml:space="preserve"> For additional information on PSERC and EPRI, refer to </w:t>
      </w:r>
      <w:hyperlink r:id="rId227" w:history="1">
        <w:r w:rsidRPr="00722607">
          <w:rPr>
            <w:rStyle w:val="Hyperlink"/>
            <w:color w:val="auto"/>
            <w:sz w:val="18"/>
            <w:szCs w:val="18"/>
          </w:rPr>
          <w:t>http://www.pserc.wisc.edu/home/index.aspx</w:t>
        </w:r>
      </w:hyperlink>
      <w:r w:rsidRPr="00722607">
        <w:rPr>
          <w:sz w:val="18"/>
          <w:szCs w:val="18"/>
        </w:rPr>
        <w:t xml:space="preserve"> and </w:t>
      </w:r>
      <w:hyperlink r:id="rId228" w:history="1">
        <w:r w:rsidRPr="00722607">
          <w:rPr>
            <w:rStyle w:val="Hyperlink"/>
            <w:color w:val="auto"/>
            <w:sz w:val="18"/>
            <w:szCs w:val="18"/>
          </w:rPr>
          <w:t>http://www.epri.com/</w:t>
        </w:r>
      </w:hyperlink>
      <w:r w:rsidRPr="00722607">
        <w:rPr>
          <w:sz w:val="18"/>
          <w:szCs w:val="18"/>
        </w:rPr>
        <w:t>.</w:t>
      </w:r>
    </w:p>
  </w:footnote>
  <w:footnote w:id="262">
    <w:p w:rsidR="006346FE" w:rsidRPr="00722607" w:rsidRDefault="006346FE" w:rsidP="00722607">
      <w:pPr>
        <w:spacing w:after="80" w:line="240" w:lineRule="auto"/>
        <w:rPr>
          <w:sz w:val="18"/>
          <w:szCs w:val="18"/>
        </w:rPr>
      </w:pPr>
      <w:r w:rsidRPr="00722607">
        <w:rPr>
          <w:rStyle w:val="FootnoteReference"/>
          <w:sz w:val="18"/>
          <w:szCs w:val="18"/>
        </w:rPr>
        <w:footnoteRef/>
      </w:r>
      <w:r w:rsidRPr="00722607">
        <w:rPr>
          <w:sz w:val="18"/>
          <w:szCs w:val="18"/>
        </w:rPr>
        <w:t xml:space="preserve"> ISO/RTO Council, “North American </w:t>
      </w:r>
      <w:r>
        <w:rPr>
          <w:sz w:val="18"/>
          <w:szCs w:val="18"/>
        </w:rPr>
        <w:t xml:space="preserve">Wholesale Electricity </w:t>
      </w:r>
      <w:r w:rsidRPr="00722607">
        <w:rPr>
          <w:sz w:val="18"/>
          <w:szCs w:val="18"/>
        </w:rPr>
        <w:t xml:space="preserve">Demand-Response </w:t>
      </w:r>
      <w:r>
        <w:rPr>
          <w:sz w:val="18"/>
          <w:szCs w:val="18"/>
        </w:rPr>
        <w:t xml:space="preserve">Program </w:t>
      </w:r>
      <w:r w:rsidRPr="00722607">
        <w:rPr>
          <w:sz w:val="18"/>
          <w:szCs w:val="18"/>
        </w:rPr>
        <w:t>Comparison</w:t>
      </w:r>
      <w:r>
        <w:rPr>
          <w:sz w:val="18"/>
          <w:szCs w:val="18"/>
        </w:rPr>
        <w:t>, 2015 Edition</w:t>
      </w:r>
      <w:r w:rsidRPr="00722607">
        <w:rPr>
          <w:sz w:val="18"/>
          <w:szCs w:val="18"/>
        </w:rPr>
        <w:t xml:space="preserve">” </w:t>
      </w:r>
      <w:r>
        <w:rPr>
          <w:sz w:val="18"/>
          <w:szCs w:val="18"/>
        </w:rPr>
        <w:t xml:space="preserve">webpage and Excel spreadsheet (April 2016), </w:t>
      </w:r>
      <w:r w:rsidRPr="00A05705">
        <w:rPr>
          <w:sz w:val="18"/>
          <w:szCs w:val="18"/>
        </w:rPr>
        <w:t xml:space="preserve">http://www.isorto.org/ircreportsandfilings/2015-north-american-demand-response-characteristics-available </w:t>
      </w:r>
      <w:r>
        <w:rPr>
          <w:sz w:val="18"/>
          <w:szCs w:val="18"/>
        </w:rPr>
        <w:t xml:space="preserve"> and </w:t>
      </w:r>
      <w:r w:rsidRPr="00722607">
        <w:rPr>
          <w:sz w:val="18"/>
          <w:szCs w:val="18"/>
        </w:rPr>
        <w:t xml:space="preserve"> </w:t>
      </w:r>
      <w:hyperlink r:id="rId229" w:history="1">
        <w:r w:rsidRPr="00156B4C">
          <w:rPr>
            <w:rStyle w:val="Hyperlink"/>
          </w:rPr>
          <w:t>http://www.isorto.org/Documents/Report/20160425_2015NorthAmericanWholesaleElectricityDemandResponseProgramComparison.xlsx</w:t>
        </w:r>
      </w:hyperlink>
      <w:r>
        <w:t xml:space="preserve"> </w:t>
      </w:r>
    </w:p>
  </w:footnote>
  <w:footnote w:id="263">
    <w:p w:rsidR="006346FE" w:rsidRPr="00722607" w:rsidRDefault="006346FE" w:rsidP="00722607">
      <w:pPr>
        <w:spacing w:after="80" w:line="240" w:lineRule="auto"/>
        <w:rPr>
          <w:sz w:val="18"/>
          <w:szCs w:val="18"/>
        </w:rPr>
      </w:pPr>
      <w:r w:rsidRPr="00722607">
        <w:rPr>
          <w:rStyle w:val="FootnoteReference"/>
          <w:sz w:val="18"/>
          <w:szCs w:val="18"/>
        </w:rPr>
        <w:footnoteRef/>
      </w:r>
      <w:r w:rsidRPr="00722607">
        <w:rPr>
          <w:sz w:val="18"/>
          <w:szCs w:val="18"/>
        </w:rPr>
        <w:t xml:space="preserve"> For more information on IEEE, see </w:t>
      </w:r>
      <w:hyperlink r:id="rId230" w:history="1">
        <w:r w:rsidRPr="00722607">
          <w:rPr>
            <w:rStyle w:val="Hyperlink"/>
            <w:color w:val="auto"/>
            <w:sz w:val="18"/>
            <w:szCs w:val="18"/>
          </w:rPr>
          <w:t>http://www.ieee.org/index.html</w:t>
        </w:r>
      </w:hyperlink>
      <w:r>
        <w:rPr>
          <w:rStyle w:val="Hyperlink"/>
          <w:color w:val="auto"/>
          <w:sz w:val="18"/>
          <w:szCs w:val="18"/>
        </w:rPr>
        <w:t xml:space="preserve">. Also refer to </w:t>
      </w:r>
      <w:r>
        <w:rPr>
          <w:sz w:val="18"/>
          <w:szCs w:val="18"/>
        </w:rPr>
        <w:t xml:space="preserve">the Power and Energy Society at </w:t>
      </w:r>
      <w:hyperlink r:id="rId231" w:history="1">
        <w:r w:rsidRPr="00653493">
          <w:rPr>
            <w:rStyle w:val="Hyperlink"/>
            <w:sz w:val="18"/>
            <w:szCs w:val="18"/>
          </w:rPr>
          <w:t>http://www.ieee-pes.org/</w:t>
        </w:r>
      </w:hyperlink>
      <w:r>
        <w:rPr>
          <w:sz w:val="18"/>
          <w:szCs w:val="18"/>
        </w:rPr>
        <w:t>.</w:t>
      </w:r>
    </w:p>
  </w:footnote>
  <w:footnote w:id="264">
    <w:p w:rsidR="006346FE" w:rsidRDefault="006346FE" w:rsidP="00722607">
      <w:pPr>
        <w:spacing w:after="80" w:line="240" w:lineRule="auto"/>
      </w:pPr>
      <w:r w:rsidRPr="00C343B5">
        <w:rPr>
          <w:rStyle w:val="FootnoteReference"/>
          <w:sz w:val="18"/>
          <w:szCs w:val="18"/>
        </w:rPr>
        <w:footnoteRef/>
      </w:r>
      <w:r w:rsidRPr="00C343B5">
        <w:rPr>
          <w:sz w:val="18"/>
          <w:szCs w:val="18"/>
        </w:rPr>
        <w:t xml:space="preserve"> The </w:t>
      </w:r>
      <w:r w:rsidRPr="00C343B5">
        <w:t xml:space="preserve">2026 </w:t>
      </w:r>
      <w:r w:rsidRPr="00C343B5">
        <w:rPr>
          <w:sz w:val="18"/>
          <w:szCs w:val="18"/>
        </w:rPr>
        <w:t xml:space="preserve">SEMA/RI Solution Study (see Section </w:t>
      </w:r>
      <w:r w:rsidRPr="00C343B5">
        <w:rPr>
          <w:sz w:val="18"/>
          <w:szCs w:val="18"/>
        </w:rPr>
        <w:fldChar w:fldCharType="begin"/>
      </w:r>
      <w:r w:rsidRPr="00C343B5">
        <w:rPr>
          <w:sz w:val="18"/>
          <w:szCs w:val="18"/>
        </w:rPr>
        <w:instrText xml:space="preserve"> REF _Ref485733796 \r \h </w:instrText>
      </w:r>
      <w:r>
        <w:rPr>
          <w:sz w:val="18"/>
          <w:szCs w:val="18"/>
        </w:rPr>
        <w:instrText xml:space="preserve"> \* MERGEFORMAT </w:instrText>
      </w:r>
      <w:r w:rsidRPr="00C343B5">
        <w:rPr>
          <w:sz w:val="18"/>
          <w:szCs w:val="18"/>
        </w:rPr>
      </w:r>
      <w:r w:rsidRPr="00C343B5">
        <w:rPr>
          <w:sz w:val="18"/>
          <w:szCs w:val="18"/>
        </w:rPr>
        <w:fldChar w:fldCharType="separate"/>
      </w:r>
      <w:r w:rsidRPr="00C343B5">
        <w:rPr>
          <w:sz w:val="18"/>
          <w:szCs w:val="18"/>
        </w:rPr>
        <w:t>5.5.5</w:t>
      </w:r>
      <w:r w:rsidRPr="00C343B5">
        <w:rPr>
          <w:sz w:val="18"/>
          <w:szCs w:val="18"/>
        </w:rPr>
        <w:fldChar w:fldCharType="end"/>
      </w:r>
      <w:r w:rsidRPr="00C343B5">
        <w:rPr>
          <w:sz w:val="18"/>
          <w:szCs w:val="18"/>
        </w:rPr>
        <w:t>) used cloud computing systems to evaluate various</w:t>
      </w:r>
      <w:r w:rsidRPr="00722607">
        <w:rPr>
          <w:sz w:val="18"/>
          <w:szCs w:val="18"/>
        </w:rPr>
        <w:t xml:space="preserve"> transmission solutions in a very short period of time.</w:t>
      </w:r>
    </w:p>
  </w:footnote>
  <w:footnote w:id="265">
    <w:p w:rsidR="006346FE" w:rsidRDefault="006346FE" w:rsidP="003D70FB">
      <w:pPr>
        <w:pStyle w:val="FootnoteText"/>
      </w:pPr>
      <w:r w:rsidRPr="006100CB">
        <w:rPr>
          <w:rStyle w:val="FootnoteReference"/>
        </w:rPr>
        <w:footnoteRef/>
      </w:r>
      <w:r w:rsidRPr="006100CB">
        <w:t xml:space="preserve"> FERC,  Order No. 745, </w:t>
      </w:r>
      <w:r w:rsidRPr="006100CB">
        <w:rPr>
          <w:i/>
        </w:rPr>
        <w:t>Demand Response Compensation in Organized Wholesale Energy Markets</w:t>
      </w:r>
      <w:r w:rsidRPr="006100CB">
        <w:t xml:space="preserve">, 134 FERC ¶ 61,187 (March 15, 2011), </w:t>
      </w:r>
      <w:hyperlink r:id="rId232" w:history="1">
        <w:r w:rsidRPr="006100CB">
          <w:rPr>
            <w:rStyle w:val="Hyperlink"/>
          </w:rPr>
          <w:t>https://www.google.com/url?sa=t&amp;rct=j&amp;q=&amp;esrc=s&amp;source=web&amp;cd=1&amp;ved=0ahUKEwiPuc73ndfUAhWIcT4KHUgCDwkQFgg7MAA&amp;url=https%3A%2F%2Fwww.ferc.gov%2FEventCalendar%2FFiles%2F20110315105757-RM10-17-000.pdf&amp;usg=AFQjCNHj8nf3O25n08Tt4ALJlua7GcmTGw&amp;cad=rja</w:t>
        </w:r>
      </w:hyperlink>
      <w:r w:rsidRPr="006100CB">
        <w:t>.</w:t>
      </w:r>
    </w:p>
  </w:footnote>
  <w:footnote w:id="266">
    <w:p w:rsidR="006346FE" w:rsidRDefault="006346FE">
      <w:pPr>
        <w:pStyle w:val="FootnoteText"/>
      </w:pPr>
      <w:r w:rsidRPr="00582196">
        <w:rPr>
          <w:rStyle w:val="FootnoteReference"/>
        </w:rPr>
        <w:footnoteRef/>
      </w:r>
      <w:r w:rsidRPr="00582196">
        <w:t xml:space="preserve"> </w:t>
      </w:r>
      <w:r w:rsidRPr="00582196">
        <w:rPr>
          <w:rFonts w:eastAsia="Times New Roman" w:cs="Arial"/>
        </w:rPr>
        <w:t>State sponsorships available to renewable technologies but not available to other types of resources</w:t>
      </w:r>
      <w:r w:rsidRPr="00653493">
        <w:rPr>
          <w:rFonts w:eastAsia="Times New Roman" w:cs="Arial"/>
        </w:rPr>
        <w:t xml:space="preserve"> include state Renewable Portfolio Standards and similar renewable energy goals; state initiatives to reduce greenhouse gas emissions (e.g., global warming solutions acts) and regional carbon cap-and-trade programs, such as the Regional Greenhouse Gas Initiative; state-sponsored, long-term contracts to develop renewable resources; and federal production and investment tax credits. See the ISO’s “New England’s </w:t>
      </w:r>
      <w:r>
        <w:rPr>
          <w:rFonts w:eastAsia="Times New Roman" w:cs="Arial"/>
        </w:rPr>
        <w:t>C</w:t>
      </w:r>
      <w:r w:rsidRPr="00653493">
        <w:rPr>
          <w:rFonts w:eastAsia="Times New Roman" w:cs="Arial"/>
        </w:rPr>
        <w:t xml:space="preserve">apacity </w:t>
      </w:r>
      <w:r>
        <w:rPr>
          <w:rFonts w:eastAsia="Times New Roman" w:cs="Arial"/>
        </w:rPr>
        <w:t>M</w:t>
      </w:r>
      <w:r w:rsidRPr="00653493">
        <w:rPr>
          <w:rFonts w:eastAsia="Times New Roman" w:cs="Arial"/>
        </w:rPr>
        <w:t xml:space="preserve">arkets and </w:t>
      </w:r>
      <w:r>
        <w:rPr>
          <w:rFonts w:eastAsia="Times New Roman" w:cs="Arial"/>
        </w:rPr>
        <w:t>R</w:t>
      </w:r>
      <w:r w:rsidRPr="00653493">
        <w:rPr>
          <w:rFonts w:eastAsia="Times New Roman" w:cs="Arial"/>
        </w:rPr>
        <w:t xml:space="preserve">enewable </w:t>
      </w:r>
      <w:r>
        <w:rPr>
          <w:rFonts w:eastAsia="Times New Roman" w:cs="Arial"/>
        </w:rPr>
        <w:t>E</w:t>
      </w:r>
      <w:r w:rsidRPr="00653493">
        <w:rPr>
          <w:rFonts w:eastAsia="Times New Roman" w:cs="Arial"/>
        </w:rPr>
        <w:t xml:space="preserve">nergy </w:t>
      </w:r>
      <w:r>
        <w:rPr>
          <w:rFonts w:eastAsia="Times New Roman" w:cs="Arial"/>
        </w:rPr>
        <w:t>F</w:t>
      </w:r>
      <w:r w:rsidRPr="00653493">
        <w:rPr>
          <w:rFonts w:eastAsia="Times New Roman" w:cs="Arial"/>
        </w:rPr>
        <w:t xml:space="preserve">uture,” </w:t>
      </w:r>
      <w:r>
        <w:rPr>
          <w:rFonts w:eastAsia="Times New Roman" w:cs="Arial"/>
        </w:rPr>
        <w:t>d</w:t>
      </w:r>
      <w:r w:rsidRPr="00653493">
        <w:rPr>
          <w:rFonts w:eastAsia="Times New Roman" w:cs="Arial"/>
        </w:rPr>
        <w:t>iscussion paper (June 3, 2015</w:t>
      </w:r>
      <w:r>
        <w:rPr>
          <w:rFonts w:eastAsia="Times New Roman" w:cs="Arial"/>
        </w:rPr>
        <w:t>),</w:t>
      </w:r>
      <w:r w:rsidRPr="00653493">
        <w:rPr>
          <w:rFonts w:eastAsia="Times New Roman" w:cs="Arial"/>
        </w:rPr>
        <w:t xml:space="preserve"> </w:t>
      </w:r>
      <w:hyperlink r:id="rId233" w:history="1">
        <w:r w:rsidRPr="00653493">
          <w:rPr>
            <w:rStyle w:val="Hyperlink"/>
            <w:rFonts w:eastAsia="Times New Roman" w:cs="Arial"/>
          </w:rPr>
          <w:t>https://www.iso-ne.com/static-assets/documents/2015/06/iso_ne_capacity_mkt_discussion_paper_06_03_2015.pdf</w:t>
        </w:r>
      </w:hyperlink>
      <w:r w:rsidRPr="00653493">
        <w:rPr>
          <w:rFonts w:eastAsia="Times New Roman" w:cs="Arial"/>
        </w:rPr>
        <w:t>.</w:t>
      </w:r>
      <w:r w:rsidRPr="008F2DD8">
        <w:rPr>
          <w:highlight w:val="yellow"/>
        </w:rPr>
        <w:t xml:space="preserve"> </w:t>
      </w:r>
    </w:p>
  </w:footnote>
  <w:footnote w:id="267">
    <w:p w:rsidR="006346FE" w:rsidRDefault="006346FE" w:rsidP="00226E91">
      <w:pPr>
        <w:pStyle w:val="FootnoteText"/>
      </w:pPr>
      <w:r>
        <w:rPr>
          <w:rStyle w:val="FootnoteReference"/>
        </w:rPr>
        <w:footnoteRef/>
      </w:r>
      <w:r>
        <w:t xml:space="preserve"> ISO New England, “</w:t>
      </w:r>
      <w:r w:rsidRPr="004C5D67">
        <w:t>Competitive Auctions with Subsidized Policy Resources</w:t>
      </w:r>
      <w:r>
        <w:t xml:space="preserve">,” discussion paper (April 2017), </w:t>
      </w:r>
      <w:hyperlink r:id="rId234" w:history="1">
        <w:r w:rsidRPr="005F02DC">
          <w:rPr>
            <w:rStyle w:val="Hyperlink"/>
          </w:rPr>
          <w:t>https://www.iso-ne.com/static-assets/documents/2017/04/caspr_discussion_paper_april_14_2017.pdf</w:t>
        </w:r>
      </w:hyperlink>
      <w:r w:rsidRPr="005F02DC">
        <w:rPr>
          <w:rStyle w:val="Hyperlink"/>
        </w:rPr>
        <w:t>.</w:t>
      </w:r>
      <w:r w:rsidRPr="005F02DC">
        <w:t xml:space="preserve"> Note that “sponsored” resources more appropriately characterizes what had initially been called “subsidized” resources.</w:t>
      </w:r>
    </w:p>
  </w:footnote>
  <w:footnote w:id="268">
    <w:p w:rsidR="006346FE" w:rsidRPr="004F5B51" w:rsidRDefault="006346FE" w:rsidP="003D70FB">
      <w:pPr>
        <w:pStyle w:val="FootnoteText"/>
        <w:rPr>
          <w:szCs w:val="18"/>
        </w:rPr>
      </w:pPr>
      <w:r w:rsidRPr="004F5B51">
        <w:rPr>
          <w:rStyle w:val="FootnoteReference"/>
          <w:sz w:val="18"/>
          <w:szCs w:val="18"/>
        </w:rPr>
        <w:footnoteRef/>
      </w:r>
      <w:r w:rsidRPr="004F5B51">
        <w:rPr>
          <w:szCs w:val="18"/>
        </w:rPr>
        <w:t xml:space="preserve"> State of Connecticut, </w:t>
      </w:r>
      <w:r w:rsidRPr="004F5B51">
        <w:rPr>
          <w:i/>
          <w:szCs w:val="18"/>
        </w:rPr>
        <w:t>An Act Concerning Affordable and Reliable Energy</w:t>
      </w:r>
      <w:r w:rsidRPr="004F5B51">
        <w:rPr>
          <w:szCs w:val="18"/>
        </w:rPr>
        <w:t xml:space="preserve">, Public Act No. 15-107 (June 19, 2015), </w:t>
      </w:r>
      <w:hyperlink r:id="rId235" w:history="1">
        <w:r w:rsidRPr="004F5B51">
          <w:rPr>
            <w:rStyle w:val="Hyperlink"/>
            <w:rFonts w:cs="Arial"/>
            <w:bCs/>
            <w:iCs/>
            <w:szCs w:val="18"/>
          </w:rPr>
          <w:t>https://www.cga.ct.gov/2015/ACT/PA/2015PA-00107-R00SB-01078-PA.htm</w:t>
        </w:r>
      </w:hyperlink>
      <w:r>
        <w:rPr>
          <w:rStyle w:val="Hyperlink"/>
          <w:rFonts w:cs="Arial"/>
          <w:bCs/>
          <w:iCs/>
          <w:szCs w:val="18"/>
        </w:rPr>
        <w:t>.</w:t>
      </w:r>
    </w:p>
  </w:footnote>
  <w:footnote w:id="269">
    <w:p w:rsidR="006346FE" w:rsidRPr="004F5B51" w:rsidRDefault="006346FE" w:rsidP="003D70FB">
      <w:pPr>
        <w:pStyle w:val="FootnoteText"/>
        <w:rPr>
          <w:szCs w:val="18"/>
          <w:highlight w:val="yellow"/>
        </w:rPr>
      </w:pPr>
      <w:r w:rsidRPr="004F5B51">
        <w:rPr>
          <w:rStyle w:val="FootnoteReference"/>
          <w:sz w:val="18"/>
          <w:szCs w:val="18"/>
        </w:rPr>
        <w:footnoteRef/>
      </w:r>
      <w:r w:rsidRPr="004F5B51">
        <w:rPr>
          <w:szCs w:val="18"/>
        </w:rPr>
        <w:t xml:space="preserve"> Massachusetts Superior Court, Suffolk County, </w:t>
      </w:r>
      <w:r w:rsidRPr="004F5B51">
        <w:rPr>
          <w:rFonts w:eastAsiaTheme="minorEastAsia" w:cstheme="minorBidi"/>
          <w:i/>
          <w:szCs w:val="18"/>
          <w:u w:val="single"/>
        </w:rPr>
        <w:t>Kain et al. v. Massachusetts Department of Environmental Protection</w:t>
      </w:r>
      <w:r w:rsidRPr="004F5B51">
        <w:rPr>
          <w:rFonts w:eastAsiaTheme="minorEastAsia" w:cstheme="minorBidi"/>
          <w:szCs w:val="18"/>
        </w:rPr>
        <w:t xml:space="preserve"> (</w:t>
      </w:r>
      <w:r w:rsidRPr="004F5B51">
        <w:rPr>
          <w:rFonts w:eastAsiaTheme="minorEastAsia" w:cstheme="minorBidi"/>
          <w:i/>
          <w:szCs w:val="18"/>
          <w:u w:val="single"/>
        </w:rPr>
        <w:t>Kain</w:t>
      </w:r>
      <w:r w:rsidRPr="004F5B51">
        <w:rPr>
          <w:rFonts w:eastAsiaTheme="minorEastAsia" w:cstheme="minorBidi"/>
          <w:szCs w:val="18"/>
        </w:rPr>
        <w:t xml:space="preserve">), 474 Mass. 278 (January 8, 2016–May 17, 2016), </w:t>
      </w:r>
      <w:hyperlink r:id="rId236" w:history="1">
        <w:r w:rsidRPr="004F5B51">
          <w:rPr>
            <w:rStyle w:val="Hyperlink"/>
            <w:szCs w:val="18"/>
          </w:rPr>
          <w:t>http://masscases.com/cases/sjc/474/474mass278.html</w:t>
        </w:r>
      </w:hyperlink>
      <w:r w:rsidRPr="004F5B51">
        <w:rPr>
          <w:szCs w:val="18"/>
        </w:rPr>
        <w:t>.</w:t>
      </w:r>
    </w:p>
  </w:footnote>
  <w:footnote w:id="270">
    <w:p w:rsidR="006346FE" w:rsidRDefault="006346FE">
      <w:pPr>
        <w:pStyle w:val="FootnoteText"/>
      </w:pPr>
      <w:r w:rsidRPr="00074C39">
        <w:rPr>
          <w:rStyle w:val="FootnoteReference"/>
        </w:rPr>
        <w:footnoteRef/>
      </w:r>
      <w:r w:rsidRPr="00074C39">
        <w:t xml:space="preserve"> Massachusetts Governor Charlie Baker, ”Establishing an Integrated Climate Change Strategy for the</w:t>
      </w:r>
      <w:r>
        <w:t xml:space="preserve"> Commonwealth,” Executive Order No. 569 (September 16, 2016), </w:t>
      </w:r>
      <w:r w:rsidRPr="00074C39">
        <w:t xml:space="preserve"> </w:t>
      </w:r>
      <w:hyperlink r:id="rId237" w:history="1">
        <w:r>
          <w:rPr>
            <w:rStyle w:val="Hyperlink"/>
          </w:rPr>
          <w:t>http://www.mass.gov/governor/legislationexecorder/execorders/executive-order-no-569.html</w:t>
        </w:r>
      </w:hyperlink>
      <w:r>
        <w:t>.</w:t>
      </w:r>
    </w:p>
  </w:footnote>
  <w:footnote w:id="271">
    <w:p w:rsidR="006346FE" w:rsidRDefault="006346FE" w:rsidP="00232855">
      <w:pPr>
        <w:pStyle w:val="FootnoteText"/>
      </w:pPr>
      <w:r w:rsidRPr="00232855">
        <w:rPr>
          <w:rStyle w:val="FootnoteReference"/>
        </w:rPr>
        <w:footnoteRef/>
      </w:r>
      <w:r w:rsidRPr="00232855">
        <w:t xml:space="preserve"> </w:t>
      </w:r>
      <w:r w:rsidRPr="002E756C">
        <w:t xml:space="preserve">State of Massachusetts, </w:t>
      </w:r>
      <w:r w:rsidRPr="002E756C">
        <w:rPr>
          <w:i/>
        </w:rPr>
        <w:t>Adopt new 310 CMR 7.74: Reducing CO</w:t>
      </w:r>
      <w:r w:rsidRPr="002E756C">
        <w:rPr>
          <w:i/>
          <w:vertAlign w:val="subscript"/>
        </w:rPr>
        <w:t>2</w:t>
      </w:r>
      <w:r w:rsidRPr="002E756C">
        <w:rPr>
          <w:i/>
        </w:rPr>
        <w:t xml:space="preserve"> Emissions from Electricity Generating Facilities</w:t>
      </w:r>
      <w:r w:rsidRPr="002E756C">
        <w:t xml:space="preserve">, final regulation, (August 11, 2017), </w:t>
      </w:r>
      <w:hyperlink r:id="rId238" w:history="1">
        <w:r w:rsidRPr="002E756C">
          <w:rPr>
            <w:rStyle w:val="Hyperlink"/>
          </w:rPr>
          <w:t>http://www.mass.gov/eea/docs/dep/air/climate/3dregf-electricity.pdf</w:t>
        </w:r>
      </w:hyperlink>
      <w:r w:rsidRPr="00232855">
        <w:t xml:space="preserve"> and </w:t>
      </w:r>
      <w:hyperlink r:id="rId239" w:history="1">
        <w:r w:rsidRPr="00232855">
          <w:rPr>
            <w:rStyle w:val="Hyperlink"/>
          </w:rPr>
          <w:t>http://www.mass.gov/eea/agencies/massdep/air/climate/section3d-comments.html</w:t>
        </w:r>
      </w:hyperlink>
      <w:r w:rsidRPr="00232855">
        <w:t>.</w:t>
      </w:r>
    </w:p>
  </w:footnote>
  <w:footnote w:id="272">
    <w:p w:rsidR="006346FE" w:rsidRPr="00287A92" w:rsidRDefault="006346FE" w:rsidP="004F5B51">
      <w:pPr>
        <w:pStyle w:val="FootnoteText"/>
      </w:pPr>
      <w:r w:rsidRPr="00287A92">
        <w:rPr>
          <w:rStyle w:val="FootnoteReference"/>
        </w:rPr>
        <w:footnoteRef/>
      </w:r>
      <w:r w:rsidRPr="00287A92">
        <w:t xml:space="preserve"> </w:t>
      </w:r>
      <w:r>
        <w:t xml:space="preserve">State of Massachusetts, </w:t>
      </w:r>
      <w:r w:rsidRPr="004F5B51">
        <w:rPr>
          <w:i/>
        </w:rPr>
        <w:t>An Act To Promote Energy Diversity</w:t>
      </w:r>
      <w:r>
        <w:t xml:space="preserve">, Chapter 188 of the Acts of 2016 (August 2016), </w:t>
      </w:r>
      <w:hyperlink r:id="rId240" w:history="1">
        <w:r w:rsidRPr="004F5B51">
          <w:rPr>
            <w:rStyle w:val="Hyperlink"/>
          </w:rPr>
          <w:t>https://malegislature.gov/Laws/SessionLaws/Acts/2016/Chapter188</w:t>
        </w:r>
      </w:hyperlink>
      <w:r>
        <w:t>.</w:t>
      </w:r>
    </w:p>
  </w:footnote>
  <w:footnote w:id="273">
    <w:p w:rsidR="006346FE" w:rsidRPr="00287A92" w:rsidRDefault="006346FE">
      <w:pPr>
        <w:pStyle w:val="FootnoteText"/>
      </w:pPr>
      <w:r w:rsidRPr="00287A92">
        <w:rPr>
          <w:rStyle w:val="FootnoteReference"/>
        </w:rPr>
        <w:footnoteRef/>
      </w:r>
      <w:r w:rsidRPr="00287A92">
        <w:t xml:space="preserve"> </w:t>
      </w:r>
      <w:r>
        <w:t xml:space="preserve">State of </w:t>
      </w:r>
      <w:r w:rsidRPr="00287A92">
        <w:t>Massachusetts, “Governor Charlie Baker Signs Comprehensive Energy Diversity Legislation,” press release (August 8, 2016</w:t>
      </w:r>
      <w:r>
        <w:t>),</w:t>
      </w:r>
      <w:r w:rsidRPr="00287A92">
        <w:t xml:space="preserve"> </w:t>
      </w:r>
      <w:hyperlink r:id="rId241" w:history="1">
        <w:r w:rsidRPr="00287A92">
          <w:rPr>
            <w:rStyle w:val="Hyperlink"/>
            <w:lang w:val="en"/>
          </w:rPr>
          <w:t>http://www.mass.gov/governor/press-office/press-releases/fy2017/governor-baker-signs-comprehensive-energy-diversity-law.html</w:t>
        </w:r>
      </w:hyperlink>
      <w:r w:rsidRPr="00287A92">
        <w:rPr>
          <w:lang w:val="en"/>
        </w:rPr>
        <w:t>.</w:t>
      </w:r>
    </w:p>
  </w:footnote>
  <w:footnote w:id="274">
    <w:p w:rsidR="006346FE" w:rsidRPr="00287A92" w:rsidRDefault="006346FE">
      <w:pPr>
        <w:pStyle w:val="FootnoteText"/>
      </w:pPr>
      <w:r w:rsidRPr="00287A92">
        <w:rPr>
          <w:rStyle w:val="FootnoteReference"/>
        </w:rPr>
        <w:footnoteRef/>
      </w:r>
      <w:r w:rsidRPr="00287A92">
        <w:t xml:space="preserve"> </w:t>
      </w:r>
      <w:r>
        <w:t xml:space="preserve">State of </w:t>
      </w:r>
      <w:r w:rsidRPr="00287A92">
        <w:t>Massachusetts, “Energy-Storage Initiative.” webpage (2017</w:t>
      </w:r>
      <w:r>
        <w:t>),</w:t>
      </w:r>
      <w:r w:rsidRPr="00287A92">
        <w:t xml:space="preserve"> </w:t>
      </w:r>
      <w:hyperlink r:id="rId242" w:history="1">
        <w:r w:rsidRPr="00287A92">
          <w:rPr>
            <w:rStyle w:val="Hyperlink"/>
          </w:rPr>
          <w:t>http://www.mass.gov/eea/energy-utilities-clean-tech/renewable-energy/energy-storage-initiative/</w:t>
        </w:r>
      </w:hyperlink>
      <w:r w:rsidRPr="00287A92">
        <w:t>.</w:t>
      </w:r>
    </w:p>
  </w:footnote>
  <w:footnote w:id="275">
    <w:p w:rsidR="006346FE" w:rsidRDefault="006346FE" w:rsidP="004F5B51">
      <w:pPr>
        <w:pStyle w:val="FootnoteText"/>
      </w:pPr>
      <w:r w:rsidRPr="00287A92">
        <w:rPr>
          <w:rStyle w:val="FootnoteReference"/>
        </w:rPr>
        <w:footnoteRef/>
      </w:r>
      <w:r w:rsidRPr="00287A92">
        <w:t xml:space="preserve"> </w:t>
      </w:r>
      <w:r>
        <w:t xml:space="preserve">State of New Hampshire, </w:t>
      </w:r>
      <w:r w:rsidRPr="004F5B51">
        <w:rPr>
          <w:i/>
        </w:rPr>
        <w:t>An Act Establishing a Committee to Study Transmission, Distribution, Generation, and Other Costs in the State’s Electricity System</w:t>
      </w:r>
      <w:r>
        <w:t xml:space="preserve">, SB125 (June 2, 2017), </w:t>
      </w:r>
      <w:hyperlink r:id="rId243" w:history="1">
        <w:r w:rsidRPr="004F5B51">
          <w:rPr>
            <w:rStyle w:val="Hyperlink"/>
          </w:rPr>
          <w:t>http://www.gencourt.state.nh.us/bill_status/bill_docket.aspx?lsr=925&amp;sy=2017&amp;sortoption=&amp;txtsessionyear=2017&amp;txtbillnumber=sb125&amp;q=1</w:t>
        </w:r>
      </w:hyperlink>
      <w:r>
        <w:t>.</w:t>
      </w:r>
    </w:p>
  </w:footnote>
  <w:footnote w:id="276">
    <w:p w:rsidR="006346FE" w:rsidRDefault="006346FE">
      <w:pPr>
        <w:pStyle w:val="FootnoteText"/>
      </w:pPr>
      <w:r w:rsidRPr="005D589D">
        <w:rPr>
          <w:rStyle w:val="FootnoteReference"/>
        </w:rPr>
        <w:footnoteRef/>
      </w:r>
      <w:r w:rsidRPr="005D589D">
        <w:t xml:space="preserve"> </w:t>
      </w:r>
      <w:r w:rsidRPr="002E756C">
        <w:t xml:space="preserve">State of Rhode Island, </w:t>
      </w:r>
      <w:r w:rsidRPr="002E756C">
        <w:rPr>
          <w:i/>
        </w:rPr>
        <w:t>Raimondo Announces “1,000 by ‘20” Clean Energy Goal—1,000 Megawatts of Clean Energy by 2020</w:t>
      </w:r>
      <w:r w:rsidRPr="002E756C">
        <w:t xml:space="preserve">, press release (March 1, 2017), </w:t>
      </w:r>
      <w:hyperlink r:id="rId244" w:history="1">
        <w:r w:rsidRPr="002E756C">
          <w:rPr>
            <w:rStyle w:val="Hyperlink"/>
          </w:rPr>
          <w:t>http://www.ri.gov/press/view/29766</w:t>
        </w:r>
      </w:hyperlink>
      <w:r>
        <w:t>.</w:t>
      </w:r>
    </w:p>
  </w:footnote>
  <w:footnote w:id="277">
    <w:p w:rsidR="006346FE" w:rsidRDefault="006346FE">
      <w:pPr>
        <w:pStyle w:val="FootnoteText"/>
      </w:pPr>
      <w:r>
        <w:rPr>
          <w:rStyle w:val="FootnoteReference"/>
        </w:rPr>
        <w:footnoteRef/>
      </w:r>
      <w:r>
        <w:t xml:space="preserve"> State of Vermont, “Renewable Energy Standard,” webpage (2016), </w:t>
      </w:r>
      <w:hyperlink r:id="rId245" w:history="1">
        <w:r w:rsidRPr="00167D2E">
          <w:rPr>
            <w:rStyle w:val="Hyperlink"/>
          </w:rPr>
          <w:t>http://puc.vermont.gov/electric/renewable-energy-standard</w:t>
        </w:r>
      </w:hyperlink>
      <w:r>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22CD2" w:rsidRDefault="00222CD2">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22CD2" w:rsidRDefault="00222CD2">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22CD2" w:rsidRDefault="00222CD2">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346FE" w:rsidRPr="00945B03" w:rsidRDefault="006346FE" w:rsidP="00945B03">
    <w:pPr>
      <w:tabs>
        <w:tab w:val="center" w:pos="4320"/>
        <w:tab w:val="right" w:pos="8640"/>
      </w:tabs>
      <w:spacing w:after="360" w:line="240" w:lineRule="auto"/>
      <w:jc w:val="center"/>
      <w:rPr>
        <w:rFonts w:eastAsia="Times New Roman"/>
        <w:sz w:val="16"/>
        <w:szCs w:val="16"/>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346FE" w:rsidRPr="00945B03" w:rsidRDefault="006346FE" w:rsidP="00945B03">
    <w:pPr>
      <w:tabs>
        <w:tab w:val="center" w:pos="4320"/>
        <w:tab w:val="right" w:pos="8640"/>
      </w:tabs>
      <w:spacing w:after="360" w:line="240" w:lineRule="auto"/>
      <w:jc w:val="center"/>
      <w:rPr>
        <w:rFonts w:eastAsia="Times New Roman"/>
        <w:sz w:val="16"/>
        <w:szCs w:val="16"/>
      </w:rPr>
    </w:pPr>
    <w:r w:rsidRPr="00945B03">
      <w:rPr>
        <w:rFonts w:eastAsia="Calibri"/>
        <w:color w:val="000000"/>
        <w:sz w:val="16"/>
        <w:szCs w:val="16"/>
      </w:rPr>
      <w:t xml:space="preserve">This document is the Public Meeting draft of the ISO New England </w:t>
    </w:r>
    <w:r w:rsidRPr="00945B03">
      <w:rPr>
        <w:rFonts w:eastAsia="Calibri"/>
        <w:i/>
        <w:iCs/>
        <w:color w:val="000000"/>
        <w:sz w:val="16"/>
        <w:szCs w:val="16"/>
      </w:rPr>
      <w:t>2017 Regional System Plan</w:t>
    </w:r>
    <w:r w:rsidRPr="00945B03">
      <w:rPr>
        <w:rFonts w:eastAsia="Calibri"/>
        <w:i/>
        <w:iCs/>
        <w:color w:val="000000"/>
        <w:sz w:val="16"/>
        <w:szCs w:val="16"/>
      </w:rPr>
      <w:br/>
    </w:r>
    <w:r w:rsidRPr="00945B03">
      <w:rPr>
        <w:rFonts w:eastAsia="Calibri"/>
        <w:color w:val="000000"/>
        <w:sz w:val="16"/>
        <w:szCs w:val="16"/>
      </w:rPr>
      <w:t xml:space="preserve">released for review. Do not quote or </w:t>
    </w:r>
    <w:r>
      <w:rPr>
        <w:rFonts w:eastAsia="Calibri"/>
        <w:color w:val="000000"/>
        <w:sz w:val="16"/>
        <w:szCs w:val="16"/>
      </w:rPr>
      <w:t>cite.</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346FE" w:rsidRPr="004A255F" w:rsidRDefault="006346FE" w:rsidP="004A255F">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346FE" w:rsidRPr="004A255F" w:rsidRDefault="006346FE" w:rsidP="00B0618A">
    <w:pPr>
      <w:pStyle w:val="Header"/>
    </w:pPr>
    <w:r w:rsidRPr="00111DBA">
      <w:rPr>
        <w:rFonts w:eastAsia="Calibri"/>
        <w:color w:val="000000"/>
      </w:rPr>
      <w:t xml:space="preserve">This document is </w:t>
    </w:r>
    <w:r>
      <w:rPr>
        <w:rFonts w:eastAsia="Calibri"/>
        <w:color w:val="000000"/>
      </w:rPr>
      <w:t xml:space="preserve">the Public Meeting </w:t>
    </w:r>
    <w:r w:rsidRPr="00111DBA">
      <w:rPr>
        <w:rFonts w:eastAsia="Calibri"/>
        <w:color w:val="000000"/>
      </w:rPr>
      <w:t xml:space="preserve">draft of the ISO New England </w:t>
    </w:r>
    <w:r w:rsidRPr="00111DBA">
      <w:rPr>
        <w:rFonts w:eastAsia="Calibri"/>
        <w:i/>
        <w:iCs/>
        <w:color w:val="000000"/>
      </w:rPr>
      <w:t>201</w:t>
    </w:r>
    <w:r>
      <w:rPr>
        <w:rFonts w:eastAsia="Calibri"/>
        <w:i/>
        <w:iCs/>
        <w:color w:val="000000"/>
      </w:rPr>
      <w:t>7</w:t>
    </w:r>
    <w:r w:rsidRPr="00111DBA">
      <w:rPr>
        <w:rFonts w:eastAsia="Calibri"/>
        <w:i/>
        <w:iCs/>
        <w:color w:val="000000"/>
      </w:rPr>
      <w:t xml:space="preserve"> Regional System Plan</w:t>
    </w:r>
    <w:r>
      <w:rPr>
        <w:rFonts w:eastAsia="Calibri"/>
        <w:i/>
        <w:iCs/>
        <w:color w:val="000000"/>
      </w:rPr>
      <w:br/>
    </w:r>
    <w:r w:rsidRPr="00111DBA">
      <w:rPr>
        <w:rFonts w:eastAsia="Calibri"/>
        <w:color w:val="000000"/>
      </w:rPr>
      <w:t xml:space="preserve">released for review. </w:t>
    </w:r>
    <w:r>
      <w:rPr>
        <w:rFonts w:eastAsia="Calibri"/>
        <w:color w:val="000000"/>
      </w:rPr>
      <w:t>D</w:t>
    </w:r>
    <w:r w:rsidRPr="00111DBA">
      <w:rPr>
        <w:rFonts w:eastAsia="Calibri"/>
        <w:color w:val="000000"/>
      </w:rPr>
      <w:t>o not quote</w:t>
    </w:r>
    <w:r>
      <w:rPr>
        <w:rFonts w:eastAsia="Calibri"/>
        <w:color w:val="000000"/>
      </w:rPr>
      <w:t xml:space="preserve"> or </w:t>
    </w:r>
    <w:r w:rsidRPr="00111DBA">
      <w:rPr>
        <w:rFonts w:eastAsia="Calibri"/>
        <w:color w:val="000000"/>
      </w:rPr>
      <w:t>cite.</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346FE" w:rsidRPr="004A255F" w:rsidRDefault="006346FE" w:rsidP="004A255F">
    <w:pPr>
      <w:tabs>
        <w:tab w:val="center" w:pos="4320"/>
        <w:tab w:val="right" w:pos="8640"/>
      </w:tabs>
      <w:spacing w:after="360" w:line="240" w:lineRule="auto"/>
      <w:jc w:val="center"/>
      <w:rPr>
        <w:rFonts w:eastAsia="Times New Roman"/>
        <w:sz w:val="16"/>
        <w:szCs w:val="16"/>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346FE" w:rsidRPr="004A255F" w:rsidRDefault="006346FE" w:rsidP="00FE6411">
    <w:pPr>
      <w:pStyle w:val="Header"/>
    </w:pPr>
    <w:r w:rsidRPr="00111DBA">
      <w:rPr>
        <w:rFonts w:eastAsia="Calibri"/>
        <w:color w:val="000000"/>
      </w:rPr>
      <w:t xml:space="preserve">This document is </w:t>
    </w:r>
    <w:r>
      <w:rPr>
        <w:rFonts w:eastAsia="Calibri"/>
        <w:color w:val="000000"/>
      </w:rPr>
      <w:t xml:space="preserve">the Public Meeting </w:t>
    </w:r>
    <w:r w:rsidRPr="00111DBA">
      <w:rPr>
        <w:rFonts w:eastAsia="Calibri"/>
        <w:color w:val="000000"/>
      </w:rPr>
      <w:t xml:space="preserve">draft of the ISO New England </w:t>
    </w:r>
    <w:r w:rsidRPr="00111DBA">
      <w:rPr>
        <w:rFonts w:eastAsia="Calibri"/>
        <w:i/>
        <w:iCs/>
        <w:color w:val="000000"/>
      </w:rPr>
      <w:t>201</w:t>
    </w:r>
    <w:r>
      <w:rPr>
        <w:rFonts w:eastAsia="Calibri"/>
        <w:i/>
        <w:iCs/>
        <w:color w:val="000000"/>
      </w:rPr>
      <w:t>7</w:t>
    </w:r>
    <w:r w:rsidRPr="00111DBA">
      <w:rPr>
        <w:rFonts w:eastAsia="Calibri"/>
        <w:i/>
        <w:iCs/>
        <w:color w:val="000000"/>
      </w:rPr>
      <w:t xml:space="preserve"> Regional System Plan</w:t>
    </w:r>
    <w:r>
      <w:rPr>
        <w:rFonts w:eastAsia="Calibri"/>
        <w:i/>
        <w:iCs/>
        <w:color w:val="000000"/>
      </w:rPr>
      <w:br/>
    </w:r>
    <w:r w:rsidRPr="00111DBA">
      <w:rPr>
        <w:rFonts w:eastAsia="Calibri"/>
        <w:color w:val="000000"/>
      </w:rPr>
      <w:t xml:space="preserve">released for review. </w:t>
    </w:r>
    <w:r>
      <w:rPr>
        <w:rFonts w:eastAsia="Calibri"/>
        <w:color w:val="000000"/>
      </w:rPr>
      <w:t>D</w:t>
    </w:r>
    <w:r w:rsidRPr="00111DBA">
      <w:rPr>
        <w:rFonts w:eastAsia="Calibri"/>
        <w:color w:val="000000"/>
      </w:rPr>
      <w:t>o not quote</w:t>
    </w:r>
    <w:r>
      <w:rPr>
        <w:rFonts w:eastAsia="Calibri"/>
        <w:color w:val="000000"/>
      </w:rPr>
      <w:t xml:space="preserve"> or </w:t>
    </w:r>
    <w:r w:rsidRPr="00111DBA">
      <w:rPr>
        <w:rFonts w:eastAsia="Calibri"/>
        <w:color w:val="000000"/>
      </w:rPr>
      <w:t>cite.</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8DACACA7"/>
    <w:multiLevelType w:val="hybridMultilevel"/>
    <w:tmpl w:val="F2C6A029"/>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9C83348E"/>
    <w:multiLevelType w:val="hybridMultilevel"/>
    <w:tmpl w:val="9E6044CC"/>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A5083983"/>
    <w:multiLevelType w:val="hybridMultilevel"/>
    <w:tmpl w:val="053628DE"/>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nsid w:val="A5BA064A"/>
    <w:multiLevelType w:val="hybridMultilevel"/>
    <w:tmpl w:val="E3ECB0FC"/>
    <w:lvl w:ilvl="0" w:tplc="FFFFFFFF">
      <w:start w:val="1"/>
      <w:numFmt w:val="ideographDigital"/>
      <w:lvlText w:val=""/>
      <w:lvlJc w:val="left"/>
    </w:lvl>
    <w:lvl w:ilvl="1" w:tplc="FFFFFFFF">
      <w:start w:val="1"/>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nsid w:val="A6DD0146"/>
    <w:multiLevelType w:val="hybridMultilevel"/>
    <w:tmpl w:val="E56D50E4"/>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nsid w:val="B23098C7"/>
    <w:multiLevelType w:val="hybridMultilevel"/>
    <w:tmpl w:val="85C8F0CA"/>
    <w:lvl w:ilvl="0" w:tplc="04090001">
      <w:start w:val="1"/>
      <w:numFmt w:val="bullet"/>
      <w:lvlText w:val=""/>
      <w:lvlJc w:val="left"/>
      <w:rPr>
        <w:rFonts w:ascii="Symbol" w:hAnsi="Symbol" w:hint="default"/>
      </w:rPr>
    </w:lvl>
    <w:lvl w:ilvl="1" w:tplc="FFFFFFFF">
      <w:start w:val="1"/>
      <w:numFmt w:val="ideographDigit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nsid w:val="B2EECB9A"/>
    <w:multiLevelType w:val="hybridMultilevel"/>
    <w:tmpl w:val="955E32BF"/>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
    <w:nsid w:val="BB561323"/>
    <w:multiLevelType w:val="hybridMultilevel"/>
    <w:tmpl w:val="A773E743"/>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
    <w:nsid w:val="C232B522"/>
    <w:multiLevelType w:val="hybridMultilevel"/>
    <w:tmpl w:val="B9FF288B"/>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
    <w:nsid w:val="C5D40417"/>
    <w:multiLevelType w:val="hybridMultilevel"/>
    <w:tmpl w:val="D9205842"/>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0">
    <w:nsid w:val="CECD22AD"/>
    <w:multiLevelType w:val="hybridMultilevel"/>
    <w:tmpl w:val="A5E0661B"/>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1">
    <w:nsid w:val="CEEF8236"/>
    <w:multiLevelType w:val="hybridMultilevel"/>
    <w:tmpl w:val="F88B6680"/>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2">
    <w:nsid w:val="E441B642"/>
    <w:multiLevelType w:val="hybridMultilevel"/>
    <w:tmpl w:val="9C012BF3"/>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3">
    <w:nsid w:val="E707BF1C"/>
    <w:multiLevelType w:val="hybridMultilevel"/>
    <w:tmpl w:val="2245BC14"/>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4">
    <w:nsid w:val="FFFFFF7C"/>
    <w:multiLevelType w:val="singleLevel"/>
    <w:tmpl w:val="19D20128"/>
    <w:lvl w:ilvl="0">
      <w:start w:val="1"/>
      <w:numFmt w:val="decimal"/>
      <w:pStyle w:val="MacroText"/>
      <w:lvlText w:val="%1."/>
      <w:lvlJc w:val="left"/>
      <w:pPr>
        <w:tabs>
          <w:tab w:val="num" w:pos="1800"/>
        </w:tabs>
        <w:ind w:left="1800" w:hanging="360"/>
      </w:pPr>
    </w:lvl>
  </w:abstractNum>
  <w:abstractNum w:abstractNumId="15">
    <w:nsid w:val="FFFFFF7D"/>
    <w:multiLevelType w:val="singleLevel"/>
    <w:tmpl w:val="4474A8E6"/>
    <w:lvl w:ilvl="0">
      <w:start w:val="1"/>
      <w:numFmt w:val="decimal"/>
      <w:pStyle w:val="ListNumber5"/>
      <w:lvlText w:val="%1."/>
      <w:lvlJc w:val="left"/>
      <w:pPr>
        <w:tabs>
          <w:tab w:val="num" w:pos="1440"/>
        </w:tabs>
        <w:ind w:left="1440" w:hanging="360"/>
      </w:pPr>
    </w:lvl>
  </w:abstractNum>
  <w:abstractNum w:abstractNumId="16">
    <w:nsid w:val="FFFFFF7E"/>
    <w:multiLevelType w:val="singleLevel"/>
    <w:tmpl w:val="8C622720"/>
    <w:lvl w:ilvl="0">
      <w:start w:val="1"/>
      <w:numFmt w:val="decimal"/>
      <w:pStyle w:val="ListNumber4"/>
      <w:lvlText w:val="%1."/>
      <w:lvlJc w:val="left"/>
      <w:pPr>
        <w:tabs>
          <w:tab w:val="num" w:pos="1080"/>
        </w:tabs>
        <w:ind w:left="1080" w:hanging="360"/>
      </w:pPr>
    </w:lvl>
  </w:abstractNum>
  <w:abstractNum w:abstractNumId="17">
    <w:nsid w:val="FFFFFF7F"/>
    <w:multiLevelType w:val="singleLevel"/>
    <w:tmpl w:val="15024CD8"/>
    <w:lvl w:ilvl="0">
      <w:start w:val="1"/>
      <w:numFmt w:val="decimal"/>
      <w:pStyle w:val="ListNumber3"/>
      <w:lvlText w:val="%1."/>
      <w:lvlJc w:val="left"/>
      <w:pPr>
        <w:tabs>
          <w:tab w:val="num" w:pos="720"/>
        </w:tabs>
        <w:ind w:left="720" w:hanging="360"/>
      </w:pPr>
    </w:lvl>
  </w:abstractNum>
  <w:abstractNum w:abstractNumId="18">
    <w:nsid w:val="FFFFFF80"/>
    <w:multiLevelType w:val="singleLevel"/>
    <w:tmpl w:val="04241208"/>
    <w:lvl w:ilvl="0">
      <w:start w:val="1"/>
      <w:numFmt w:val="bullet"/>
      <w:pStyle w:val="ListContinue"/>
      <w:lvlText w:val=""/>
      <w:lvlJc w:val="left"/>
      <w:pPr>
        <w:tabs>
          <w:tab w:val="num" w:pos="1800"/>
        </w:tabs>
        <w:ind w:left="1800" w:hanging="360"/>
      </w:pPr>
      <w:rPr>
        <w:rFonts w:ascii="Symbol" w:hAnsi="Symbol" w:hint="default"/>
      </w:rPr>
    </w:lvl>
  </w:abstractNum>
  <w:abstractNum w:abstractNumId="19">
    <w:nsid w:val="FFFFFF81"/>
    <w:multiLevelType w:val="singleLevel"/>
    <w:tmpl w:val="2FFA14EC"/>
    <w:lvl w:ilvl="0">
      <w:start w:val="1"/>
      <w:numFmt w:val="bullet"/>
      <w:pStyle w:val="ListBullet5"/>
      <w:lvlText w:val=""/>
      <w:lvlJc w:val="left"/>
      <w:pPr>
        <w:tabs>
          <w:tab w:val="num" w:pos="1440"/>
        </w:tabs>
        <w:ind w:left="1440" w:hanging="360"/>
      </w:pPr>
      <w:rPr>
        <w:rFonts w:ascii="Symbol" w:hAnsi="Symbol" w:hint="default"/>
      </w:rPr>
    </w:lvl>
  </w:abstractNum>
  <w:abstractNum w:abstractNumId="20">
    <w:nsid w:val="FFFFFF82"/>
    <w:multiLevelType w:val="singleLevel"/>
    <w:tmpl w:val="B4EA1E34"/>
    <w:lvl w:ilvl="0">
      <w:start w:val="1"/>
      <w:numFmt w:val="bullet"/>
      <w:pStyle w:val="ListBullet4"/>
      <w:lvlText w:val=""/>
      <w:lvlJc w:val="left"/>
      <w:pPr>
        <w:tabs>
          <w:tab w:val="num" w:pos="1080"/>
        </w:tabs>
        <w:ind w:left="1080" w:hanging="360"/>
      </w:pPr>
      <w:rPr>
        <w:rFonts w:ascii="Symbol" w:hAnsi="Symbol" w:hint="default"/>
      </w:rPr>
    </w:lvl>
  </w:abstractNum>
  <w:abstractNum w:abstractNumId="21">
    <w:nsid w:val="FFFFFF83"/>
    <w:multiLevelType w:val="singleLevel"/>
    <w:tmpl w:val="812A8C8E"/>
    <w:lvl w:ilvl="0">
      <w:start w:val="1"/>
      <w:numFmt w:val="bullet"/>
      <w:pStyle w:val="ListBullet3"/>
      <w:lvlText w:val=""/>
      <w:lvlJc w:val="left"/>
      <w:pPr>
        <w:tabs>
          <w:tab w:val="num" w:pos="720"/>
        </w:tabs>
        <w:ind w:left="720" w:hanging="360"/>
      </w:pPr>
      <w:rPr>
        <w:rFonts w:ascii="Symbol" w:hAnsi="Symbol" w:hint="default"/>
      </w:rPr>
    </w:lvl>
  </w:abstractNum>
  <w:abstractNum w:abstractNumId="22">
    <w:nsid w:val="FFFFFF88"/>
    <w:multiLevelType w:val="singleLevel"/>
    <w:tmpl w:val="0A5A5C6C"/>
    <w:lvl w:ilvl="0">
      <w:start w:val="1"/>
      <w:numFmt w:val="decimal"/>
      <w:pStyle w:val="ListNumber2"/>
      <w:lvlText w:val="%1."/>
      <w:lvlJc w:val="left"/>
      <w:pPr>
        <w:tabs>
          <w:tab w:val="num" w:pos="360"/>
        </w:tabs>
        <w:ind w:left="360" w:hanging="360"/>
      </w:pPr>
    </w:lvl>
  </w:abstractNum>
  <w:abstractNum w:abstractNumId="23">
    <w:nsid w:val="00211892"/>
    <w:multiLevelType w:val="hybridMultilevel"/>
    <w:tmpl w:val="99A25418"/>
    <w:lvl w:ilvl="0" w:tplc="04090001">
      <w:start w:val="1"/>
      <w:numFmt w:val="bullet"/>
      <w:lvlText w:val=""/>
      <w:lvlJc w:val="left"/>
      <w:pPr>
        <w:ind w:left="630" w:hanging="360"/>
      </w:pPr>
      <w:rPr>
        <w:rFonts w:ascii="Symbol" w:hAnsi="Symbol" w:hint="default"/>
      </w:rPr>
    </w:lvl>
    <w:lvl w:ilvl="1" w:tplc="04090019">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24">
    <w:nsid w:val="00236DF6"/>
    <w:multiLevelType w:val="hybridMultilevel"/>
    <w:tmpl w:val="975AF50C"/>
    <w:lvl w:ilvl="0" w:tplc="04090003">
      <w:start w:val="1"/>
      <w:numFmt w:val="bullet"/>
      <w:lvlText w:val="o"/>
      <w:lvlJc w:val="left"/>
      <w:pPr>
        <w:ind w:left="1080" w:hanging="360"/>
      </w:pPr>
      <w:rPr>
        <w:rFonts w:ascii="Courier New" w:hAnsi="Courier New" w:cs="Courier New"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5">
    <w:nsid w:val="004335B3"/>
    <w:multiLevelType w:val="hybridMultilevel"/>
    <w:tmpl w:val="BDA4BA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00B96EC8"/>
    <w:multiLevelType w:val="hybridMultilevel"/>
    <w:tmpl w:val="6852AD1E"/>
    <w:lvl w:ilvl="0" w:tplc="022490EE">
      <w:start w:val="1"/>
      <w:numFmt w:val="bullet"/>
      <w:lvlText w:val="–"/>
      <w:lvlJc w:val="left"/>
      <w:pPr>
        <w:tabs>
          <w:tab w:val="num" w:pos="720"/>
        </w:tabs>
        <w:ind w:left="720" w:hanging="360"/>
      </w:pPr>
      <w:rPr>
        <w:rFonts w:ascii="Arial" w:hAnsi="Arial" w:hint="default"/>
      </w:rPr>
    </w:lvl>
    <w:lvl w:ilvl="1" w:tplc="69E4DEFE">
      <w:start w:val="1"/>
      <w:numFmt w:val="bullet"/>
      <w:lvlText w:val="–"/>
      <w:lvlJc w:val="left"/>
      <w:pPr>
        <w:tabs>
          <w:tab w:val="num" w:pos="1440"/>
        </w:tabs>
        <w:ind w:left="1440" w:hanging="360"/>
      </w:pPr>
      <w:rPr>
        <w:rFonts w:ascii="Arial" w:hAnsi="Arial" w:hint="default"/>
      </w:rPr>
    </w:lvl>
    <w:lvl w:ilvl="2" w:tplc="468CF452" w:tentative="1">
      <w:start w:val="1"/>
      <w:numFmt w:val="bullet"/>
      <w:lvlText w:val="–"/>
      <w:lvlJc w:val="left"/>
      <w:pPr>
        <w:tabs>
          <w:tab w:val="num" w:pos="2160"/>
        </w:tabs>
        <w:ind w:left="2160" w:hanging="360"/>
      </w:pPr>
      <w:rPr>
        <w:rFonts w:ascii="Arial" w:hAnsi="Arial" w:hint="default"/>
      </w:rPr>
    </w:lvl>
    <w:lvl w:ilvl="3" w:tplc="842AACC4" w:tentative="1">
      <w:start w:val="1"/>
      <w:numFmt w:val="bullet"/>
      <w:lvlText w:val="–"/>
      <w:lvlJc w:val="left"/>
      <w:pPr>
        <w:tabs>
          <w:tab w:val="num" w:pos="2880"/>
        </w:tabs>
        <w:ind w:left="2880" w:hanging="360"/>
      </w:pPr>
      <w:rPr>
        <w:rFonts w:ascii="Arial" w:hAnsi="Arial" w:hint="default"/>
      </w:rPr>
    </w:lvl>
    <w:lvl w:ilvl="4" w:tplc="61FC865C" w:tentative="1">
      <w:start w:val="1"/>
      <w:numFmt w:val="bullet"/>
      <w:lvlText w:val="–"/>
      <w:lvlJc w:val="left"/>
      <w:pPr>
        <w:tabs>
          <w:tab w:val="num" w:pos="3600"/>
        </w:tabs>
        <w:ind w:left="3600" w:hanging="360"/>
      </w:pPr>
      <w:rPr>
        <w:rFonts w:ascii="Arial" w:hAnsi="Arial" w:hint="default"/>
      </w:rPr>
    </w:lvl>
    <w:lvl w:ilvl="5" w:tplc="013A4FA8" w:tentative="1">
      <w:start w:val="1"/>
      <w:numFmt w:val="bullet"/>
      <w:lvlText w:val="–"/>
      <w:lvlJc w:val="left"/>
      <w:pPr>
        <w:tabs>
          <w:tab w:val="num" w:pos="4320"/>
        </w:tabs>
        <w:ind w:left="4320" w:hanging="360"/>
      </w:pPr>
      <w:rPr>
        <w:rFonts w:ascii="Arial" w:hAnsi="Arial" w:hint="default"/>
      </w:rPr>
    </w:lvl>
    <w:lvl w:ilvl="6" w:tplc="3604C844" w:tentative="1">
      <w:start w:val="1"/>
      <w:numFmt w:val="bullet"/>
      <w:lvlText w:val="–"/>
      <w:lvlJc w:val="left"/>
      <w:pPr>
        <w:tabs>
          <w:tab w:val="num" w:pos="5040"/>
        </w:tabs>
        <w:ind w:left="5040" w:hanging="360"/>
      </w:pPr>
      <w:rPr>
        <w:rFonts w:ascii="Arial" w:hAnsi="Arial" w:hint="default"/>
      </w:rPr>
    </w:lvl>
    <w:lvl w:ilvl="7" w:tplc="5816C670" w:tentative="1">
      <w:start w:val="1"/>
      <w:numFmt w:val="bullet"/>
      <w:lvlText w:val="–"/>
      <w:lvlJc w:val="left"/>
      <w:pPr>
        <w:tabs>
          <w:tab w:val="num" w:pos="5760"/>
        </w:tabs>
        <w:ind w:left="5760" w:hanging="360"/>
      </w:pPr>
      <w:rPr>
        <w:rFonts w:ascii="Arial" w:hAnsi="Arial" w:hint="default"/>
      </w:rPr>
    </w:lvl>
    <w:lvl w:ilvl="8" w:tplc="3940C2E8" w:tentative="1">
      <w:start w:val="1"/>
      <w:numFmt w:val="bullet"/>
      <w:lvlText w:val="–"/>
      <w:lvlJc w:val="left"/>
      <w:pPr>
        <w:tabs>
          <w:tab w:val="num" w:pos="6480"/>
        </w:tabs>
        <w:ind w:left="6480" w:hanging="360"/>
      </w:pPr>
      <w:rPr>
        <w:rFonts w:ascii="Arial" w:hAnsi="Arial" w:hint="default"/>
      </w:rPr>
    </w:lvl>
  </w:abstractNum>
  <w:abstractNum w:abstractNumId="27">
    <w:nsid w:val="00D7610A"/>
    <w:multiLevelType w:val="hybridMultilevel"/>
    <w:tmpl w:val="EF565E60"/>
    <w:lvl w:ilvl="0" w:tplc="F9DE78C2">
      <w:start w:val="1"/>
      <w:numFmt w:val="bullet"/>
      <w:lvlText w:val="•"/>
      <w:lvlJc w:val="left"/>
      <w:pPr>
        <w:tabs>
          <w:tab w:val="num" w:pos="720"/>
        </w:tabs>
        <w:ind w:left="720" w:hanging="360"/>
      </w:pPr>
      <w:rPr>
        <w:rFonts w:ascii="Times New Roman" w:hAnsi="Times New Roman" w:hint="default"/>
      </w:rPr>
    </w:lvl>
    <w:lvl w:ilvl="1" w:tplc="2B9C70E4" w:tentative="1">
      <w:start w:val="1"/>
      <w:numFmt w:val="bullet"/>
      <w:lvlText w:val="•"/>
      <w:lvlJc w:val="left"/>
      <w:pPr>
        <w:tabs>
          <w:tab w:val="num" w:pos="1440"/>
        </w:tabs>
        <w:ind w:left="1440" w:hanging="360"/>
      </w:pPr>
      <w:rPr>
        <w:rFonts w:ascii="Times New Roman" w:hAnsi="Times New Roman" w:hint="default"/>
      </w:rPr>
    </w:lvl>
    <w:lvl w:ilvl="2" w:tplc="767E36D2" w:tentative="1">
      <w:start w:val="1"/>
      <w:numFmt w:val="bullet"/>
      <w:lvlText w:val="•"/>
      <w:lvlJc w:val="left"/>
      <w:pPr>
        <w:tabs>
          <w:tab w:val="num" w:pos="2160"/>
        </w:tabs>
        <w:ind w:left="2160" w:hanging="360"/>
      </w:pPr>
      <w:rPr>
        <w:rFonts w:ascii="Times New Roman" w:hAnsi="Times New Roman" w:hint="default"/>
      </w:rPr>
    </w:lvl>
    <w:lvl w:ilvl="3" w:tplc="6FE4D986" w:tentative="1">
      <w:start w:val="1"/>
      <w:numFmt w:val="bullet"/>
      <w:lvlText w:val="•"/>
      <w:lvlJc w:val="left"/>
      <w:pPr>
        <w:tabs>
          <w:tab w:val="num" w:pos="2880"/>
        </w:tabs>
        <w:ind w:left="2880" w:hanging="360"/>
      </w:pPr>
      <w:rPr>
        <w:rFonts w:ascii="Times New Roman" w:hAnsi="Times New Roman" w:hint="default"/>
      </w:rPr>
    </w:lvl>
    <w:lvl w:ilvl="4" w:tplc="AD44B7E8" w:tentative="1">
      <w:start w:val="1"/>
      <w:numFmt w:val="bullet"/>
      <w:lvlText w:val="•"/>
      <w:lvlJc w:val="left"/>
      <w:pPr>
        <w:tabs>
          <w:tab w:val="num" w:pos="3600"/>
        </w:tabs>
        <w:ind w:left="3600" w:hanging="360"/>
      </w:pPr>
      <w:rPr>
        <w:rFonts w:ascii="Times New Roman" w:hAnsi="Times New Roman" w:hint="default"/>
      </w:rPr>
    </w:lvl>
    <w:lvl w:ilvl="5" w:tplc="B95CAFDA" w:tentative="1">
      <w:start w:val="1"/>
      <w:numFmt w:val="bullet"/>
      <w:lvlText w:val="•"/>
      <w:lvlJc w:val="left"/>
      <w:pPr>
        <w:tabs>
          <w:tab w:val="num" w:pos="4320"/>
        </w:tabs>
        <w:ind w:left="4320" w:hanging="360"/>
      </w:pPr>
      <w:rPr>
        <w:rFonts w:ascii="Times New Roman" w:hAnsi="Times New Roman" w:hint="default"/>
      </w:rPr>
    </w:lvl>
    <w:lvl w:ilvl="6" w:tplc="B3D47E84" w:tentative="1">
      <w:start w:val="1"/>
      <w:numFmt w:val="bullet"/>
      <w:lvlText w:val="•"/>
      <w:lvlJc w:val="left"/>
      <w:pPr>
        <w:tabs>
          <w:tab w:val="num" w:pos="5040"/>
        </w:tabs>
        <w:ind w:left="5040" w:hanging="360"/>
      </w:pPr>
      <w:rPr>
        <w:rFonts w:ascii="Times New Roman" w:hAnsi="Times New Roman" w:hint="default"/>
      </w:rPr>
    </w:lvl>
    <w:lvl w:ilvl="7" w:tplc="F5927628" w:tentative="1">
      <w:start w:val="1"/>
      <w:numFmt w:val="bullet"/>
      <w:lvlText w:val="•"/>
      <w:lvlJc w:val="left"/>
      <w:pPr>
        <w:tabs>
          <w:tab w:val="num" w:pos="5760"/>
        </w:tabs>
        <w:ind w:left="5760" w:hanging="360"/>
      </w:pPr>
      <w:rPr>
        <w:rFonts w:ascii="Times New Roman" w:hAnsi="Times New Roman" w:hint="default"/>
      </w:rPr>
    </w:lvl>
    <w:lvl w:ilvl="8" w:tplc="3A1CA81A" w:tentative="1">
      <w:start w:val="1"/>
      <w:numFmt w:val="bullet"/>
      <w:lvlText w:val="•"/>
      <w:lvlJc w:val="left"/>
      <w:pPr>
        <w:tabs>
          <w:tab w:val="num" w:pos="6480"/>
        </w:tabs>
        <w:ind w:left="6480" w:hanging="360"/>
      </w:pPr>
      <w:rPr>
        <w:rFonts w:ascii="Times New Roman" w:hAnsi="Times New Roman" w:hint="default"/>
      </w:rPr>
    </w:lvl>
  </w:abstractNum>
  <w:abstractNum w:abstractNumId="28">
    <w:nsid w:val="016111BF"/>
    <w:multiLevelType w:val="hybridMultilevel"/>
    <w:tmpl w:val="5420D1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016A0021"/>
    <w:multiLevelType w:val="hybridMultilevel"/>
    <w:tmpl w:val="5936D802"/>
    <w:lvl w:ilvl="0" w:tplc="4300E044">
      <w:start w:val="1"/>
      <w:numFmt w:val="bullet"/>
      <w:lvlText w:val="•"/>
      <w:lvlJc w:val="left"/>
      <w:pPr>
        <w:tabs>
          <w:tab w:val="num" w:pos="720"/>
        </w:tabs>
        <w:ind w:left="720" w:hanging="360"/>
      </w:pPr>
      <w:rPr>
        <w:rFonts w:ascii="Arial" w:hAnsi="Arial" w:hint="default"/>
      </w:rPr>
    </w:lvl>
    <w:lvl w:ilvl="1" w:tplc="1CF2C8E8">
      <w:start w:val="867"/>
      <w:numFmt w:val="bullet"/>
      <w:lvlText w:val="–"/>
      <w:lvlJc w:val="left"/>
      <w:pPr>
        <w:tabs>
          <w:tab w:val="num" w:pos="1440"/>
        </w:tabs>
        <w:ind w:left="1440" w:hanging="360"/>
      </w:pPr>
      <w:rPr>
        <w:rFonts w:ascii="Arial" w:hAnsi="Arial" w:hint="default"/>
      </w:rPr>
    </w:lvl>
    <w:lvl w:ilvl="2" w:tplc="1F5C8FB8" w:tentative="1">
      <w:start w:val="1"/>
      <w:numFmt w:val="bullet"/>
      <w:lvlText w:val="•"/>
      <w:lvlJc w:val="left"/>
      <w:pPr>
        <w:tabs>
          <w:tab w:val="num" w:pos="2160"/>
        </w:tabs>
        <w:ind w:left="2160" w:hanging="360"/>
      </w:pPr>
      <w:rPr>
        <w:rFonts w:ascii="Arial" w:hAnsi="Arial" w:hint="default"/>
      </w:rPr>
    </w:lvl>
    <w:lvl w:ilvl="3" w:tplc="1C2AB7FE" w:tentative="1">
      <w:start w:val="1"/>
      <w:numFmt w:val="bullet"/>
      <w:lvlText w:val="•"/>
      <w:lvlJc w:val="left"/>
      <w:pPr>
        <w:tabs>
          <w:tab w:val="num" w:pos="2880"/>
        </w:tabs>
        <w:ind w:left="2880" w:hanging="360"/>
      </w:pPr>
      <w:rPr>
        <w:rFonts w:ascii="Arial" w:hAnsi="Arial" w:hint="default"/>
      </w:rPr>
    </w:lvl>
    <w:lvl w:ilvl="4" w:tplc="05AC1A0E" w:tentative="1">
      <w:start w:val="1"/>
      <w:numFmt w:val="bullet"/>
      <w:lvlText w:val="•"/>
      <w:lvlJc w:val="left"/>
      <w:pPr>
        <w:tabs>
          <w:tab w:val="num" w:pos="3600"/>
        </w:tabs>
        <w:ind w:left="3600" w:hanging="360"/>
      </w:pPr>
      <w:rPr>
        <w:rFonts w:ascii="Arial" w:hAnsi="Arial" w:hint="default"/>
      </w:rPr>
    </w:lvl>
    <w:lvl w:ilvl="5" w:tplc="03AA062C" w:tentative="1">
      <w:start w:val="1"/>
      <w:numFmt w:val="bullet"/>
      <w:lvlText w:val="•"/>
      <w:lvlJc w:val="left"/>
      <w:pPr>
        <w:tabs>
          <w:tab w:val="num" w:pos="4320"/>
        </w:tabs>
        <w:ind w:left="4320" w:hanging="360"/>
      </w:pPr>
      <w:rPr>
        <w:rFonts w:ascii="Arial" w:hAnsi="Arial" w:hint="default"/>
      </w:rPr>
    </w:lvl>
    <w:lvl w:ilvl="6" w:tplc="084EFF56" w:tentative="1">
      <w:start w:val="1"/>
      <w:numFmt w:val="bullet"/>
      <w:lvlText w:val="•"/>
      <w:lvlJc w:val="left"/>
      <w:pPr>
        <w:tabs>
          <w:tab w:val="num" w:pos="5040"/>
        </w:tabs>
        <w:ind w:left="5040" w:hanging="360"/>
      </w:pPr>
      <w:rPr>
        <w:rFonts w:ascii="Arial" w:hAnsi="Arial" w:hint="default"/>
      </w:rPr>
    </w:lvl>
    <w:lvl w:ilvl="7" w:tplc="53C8B884" w:tentative="1">
      <w:start w:val="1"/>
      <w:numFmt w:val="bullet"/>
      <w:lvlText w:val="•"/>
      <w:lvlJc w:val="left"/>
      <w:pPr>
        <w:tabs>
          <w:tab w:val="num" w:pos="5760"/>
        </w:tabs>
        <w:ind w:left="5760" w:hanging="360"/>
      </w:pPr>
      <w:rPr>
        <w:rFonts w:ascii="Arial" w:hAnsi="Arial" w:hint="default"/>
      </w:rPr>
    </w:lvl>
    <w:lvl w:ilvl="8" w:tplc="3AF674F4" w:tentative="1">
      <w:start w:val="1"/>
      <w:numFmt w:val="bullet"/>
      <w:lvlText w:val="•"/>
      <w:lvlJc w:val="left"/>
      <w:pPr>
        <w:tabs>
          <w:tab w:val="num" w:pos="6480"/>
        </w:tabs>
        <w:ind w:left="6480" w:hanging="360"/>
      </w:pPr>
      <w:rPr>
        <w:rFonts w:ascii="Arial" w:hAnsi="Arial" w:hint="default"/>
      </w:rPr>
    </w:lvl>
  </w:abstractNum>
  <w:abstractNum w:abstractNumId="30">
    <w:nsid w:val="01C34EC9"/>
    <w:multiLevelType w:val="hybridMultilevel"/>
    <w:tmpl w:val="85EAD4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01DB4D97"/>
    <w:multiLevelType w:val="hybridMultilevel"/>
    <w:tmpl w:val="AF8E54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026F65AD"/>
    <w:multiLevelType w:val="hybridMultilevel"/>
    <w:tmpl w:val="B668E436"/>
    <w:lvl w:ilvl="0" w:tplc="FFFFFFFF">
      <w:start w:val="1"/>
      <w:numFmt w:val="ideographDigital"/>
      <w:lvlText w:val=""/>
      <w:lvlJc w:val="left"/>
    </w:lvl>
    <w:lvl w:ilvl="1" w:tplc="FFFFFFFF">
      <w:start w:val="1"/>
      <w:numFmt w:val="ideographDigital"/>
      <w:lvlText w:val=""/>
      <w:lvlJc w:val="left"/>
    </w:lvl>
    <w:lvl w:ilvl="2" w:tplc="FFFFFFFF">
      <w:start w:val="1"/>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3">
    <w:nsid w:val="030C18B3"/>
    <w:multiLevelType w:val="multilevel"/>
    <w:tmpl w:val="30B88A26"/>
    <w:lvl w:ilvl="0">
      <w:start w:val="1"/>
      <w:numFmt w:val="decimal"/>
      <w:pStyle w:val="Heading1"/>
      <w:suff w:val="space"/>
      <w:lvlText w:val="Section %1"/>
      <w:lvlJc w:val="left"/>
      <w:pPr>
        <w:ind w:left="0" w:firstLine="0"/>
      </w:pPr>
      <w:rPr>
        <w:rFonts w:ascii="Calibri" w:hAnsi="Calibri" w:hint="default"/>
        <w:b/>
        <w:bCs w:val="0"/>
        <w:i w:val="0"/>
        <w:iCs w:val="0"/>
        <w:caps w:val="0"/>
        <w:smallCaps w:val="0"/>
        <w:strike w:val="0"/>
        <w:dstrike w:val="0"/>
        <w:noProof w:val="0"/>
        <w:vanish w:val="0"/>
        <w:color w:val="1795D2" w:themeColor="accent1"/>
        <w:spacing w:val="0"/>
        <w:kern w:val="0"/>
        <w:position w:val="0"/>
        <w:sz w:val="36"/>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Heading2"/>
      <w:suff w:val="space"/>
      <w:lvlText w:val="%1.%2"/>
      <w:lvlJc w:val="left"/>
      <w:pPr>
        <w:ind w:left="0" w:firstLine="0"/>
      </w:pPr>
      <w:rPr>
        <w:rFonts w:ascii="Calibri" w:hAnsi="Calibri" w:hint="default"/>
        <w:b/>
        <w:bCs w:val="0"/>
        <w:i w:val="0"/>
        <w:iCs w:val="0"/>
        <w:caps w:val="0"/>
        <w:smallCaps w:val="0"/>
        <w:strike w:val="0"/>
        <w:dstrike w:val="0"/>
        <w:noProof w:val="0"/>
        <w:vanish w:val="0"/>
        <w:color w:val="auto"/>
        <w:spacing w:val="0"/>
        <w:kern w:val="0"/>
        <w:position w:val="0"/>
        <w:sz w:val="24"/>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Heading3"/>
      <w:suff w:val="space"/>
      <w:lvlText w:val="%1.%2.%3"/>
      <w:lvlJc w:val="left"/>
      <w:pPr>
        <w:ind w:left="0" w:firstLine="0"/>
      </w:pPr>
      <w:rPr>
        <w:rFonts w:ascii="Calibri" w:hAnsi="Calibri" w:hint="default"/>
        <w:b/>
        <w:bCs w:val="0"/>
        <w:i w:val="0"/>
        <w:iCs w:val="0"/>
        <w:caps w:val="0"/>
        <w:smallCaps w:val="0"/>
        <w:strike w:val="0"/>
        <w:dstrike w:val="0"/>
        <w:noProof w:val="0"/>
        <w:vanish w:val="0"/>
        <w:color w:val="auto"/>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Heading4"/>
      <w:suff w:val="space"/>
      <w:lvlText w:val="%1.%2.%3.%4"/>
      <w:lvlJc w:val="left"/>
      <w:pPr>
        <w:ind w:left="0" w:firstLine="0"/>
      </w:pPr>
      <w:rPr>
        <w:rFonts w:ascii="Calibri" w:hAnsi="Calibri" w:hint="default"/>
        <w:b w:val="0"/>
        <w:i/>
        <w:color w:val="auto"/>
        <w:sz w:val="20"/>
        <w:szCs w:val="20"/>
      </w:rPr>
    </w:lvl>
    <w:lvl w:ilvl="4">
      <w:start w:val="1"/>
      <w:numFmt w:val="decimal"/>
      <w:pStyle w:val="Heading5"/>
      <w:lvlText w:val="%1.%2.%3.%4.%5"/>
      <w:lvlJc w:val="left"/>
      <w:pPr>
        <w:ind w:left="0" w:firstLine="0"/>
      </w:pPr>
      <w:rPr>
        <w:rFonts w:hint="default"/>
      </w:rPr>
    </w:lvl>
    <w:lvl w:ilvl="5">
      <w:start w:val="1"/>
      <w:numFmt w:val="decimal"/>
      <w:pStyle w:val="Heading6"/>
      <w:lvlText w:val="%1.%2.%3.%4.%5.%6"/>
      <w:lvlJc w:val="left"/>
      <w:pPr>
        <w:ind w:left="0" w:firstLine="0"/>
      </w:pPr>
      <w:rPr>
        <w:rFonts w:hint="default"/>
      </w:rPr>
    </w:lvl>
    <w:lvl w:ilvl="6">
      <w:start w:val="1"/>
      <w:numFmt w:val="decimal"/>
      <w:pStyle w:val="Heading7"/>
      <w:lvlText w:val="%1.%2.%3.%4.%5.%6.%7"/>
      <w:lvlJc w:val="left"/>
      <w:pPr>
        <w:ind w:left="0" w:firstLine="0"/>
      </w:pPr>
      <w:rPr>
        <w:rFonts w:hint="default"/>
      </w:rPr>
    </w:lvl>
    <w:lvl w:ilvl="7">
      <w:start w:val="1"/>
      <w:numFmt w:val="decimal"/>
      <w:pStyle w:val="Heading8"/>
      <w:lvlText w:val="%1.%2.%3.%4.%5.%6.%7.%8"/>
      <w:lvlJc w:val="left"/>
      <w:pPr>
        <w:ind w:left="0" w:firstLine="0"/>
      </w:pPr>
      <w:rPr>
        <w:rFonts w:hint="default"/>
      </w:rPr>
    </w:lvl>
    <w:lvl w:ilvl="8">
      <w:start w:val="1"/>
      <w:numFmt w:val="decimal"/>
      <w:pStyle w:val="Heading9"/>
      <w:lvlText w:val="%1.%2.%3.%4.%5.%6.%7.%8.%9"/>
      <w:lvlJc w:val="left"/>
      <w:pPr>
        <w:ind w:left="0" w:firstLine="0"/>
      </w:pPr>
      <w:rPr>
        <w:rFonts w:hint="default"/>
      </w:rPr>
    </w:lvl>
  </w:abstractNum>
  <w:abstractNum w:abstractNumId="34">
    <w:nsid w:val="032C6F42"/>
    <w:multiLevelType w:val="hybridMultilevel"/>
    <w:tmpl w:val="29C837D4"/>
    <w:lvl w:ilvl="0" w:tplc="8C368352">
      <w:start w:val="1"/>
      <w:numFmt w:val="bullet"/>
      <w:lvlText w:val=""/>
      <w:lvlJc w:val="left"/>
      <w:pPr>
        <w:ind w:left="720" w:hanging="360"/>
      </w:pPr>
      <w:rPr>
        <w:rFonts w:ascii="Symbol" w:hAnsi="Symbol" w:hint="default"/>
      </w:rPr>
    </w:lvl>
    <w:lvl w:ilvl="1" w:tplc="50BEE52E" w:tentative="1">
      <w:start w:val="1"/>
      <w:numFmt w:val="bullet"/>
      <w:lvlText w:val="o"/>
      <w:lvlJc w:val="left"/>
      <w:pPr>
        <w:ind w:left="1440" w:hanging="360"/>
      </w:pPr>
      <w:rPr>
        <w:rFonts w:ascii="Courier New" w:hAnsi="Courier New" w:cs="Courier New" w:hint="default"/>
      </w:rPr>
    </w:lvl>
    <w:lvl w:ilvl="2" w:tplc="BFC2FC9C" w:tentative="1">
      <w:start w:val="1"/>
      <w:numFmt w:val="bullet"/>
      <w:lvlText w:val=""/>
      <w:lvlJc w:val="left"/>
      <w:pPr>
        <w:ind w:left="2160" w:hanging="360"/>
      </w:pPr>
      <w:rPr>
        <w:rFonts w:ascii="Wingdings" w:hAnsi="Wingdings" w:hint="default"/>
      </w:rPr>
    </w:lvl>
    <w:lvl w:ilvl="3" w:tplc="AC608796" w:tentative="1">
      <w:start w:val="1"/>
      <w:numFmt w:val="bullet"/>
      <w:lvlText w:val=""/>
      <w:lvlJc w:val="left"/>
      <w:pPr>
        <w:ind w:left="2880" w:hanging="360"/>
      </w:pPr>
      <w:rPr>
        <w:rFonts w:ascii="Symbol" w:hAnsi="Symbol" w:hint="default"/>
      </w:rPr>
    </w:lvl>
    <w:lvl w:ilvl="4" w:tplc="F1A619F8" w:tentative="1">
      <w:start w:val="1"/>
      <w:numFmt w:val="bullet"/>
      <w:lvlText w:val="o"/>
      <w:lvlJc w:val="left"/>
      <w:pPr>
        <w:ind w:left="3600" w:hanging="360"/>
      </w:pPr>
      <w:rPr>
        <w:rFonts w:ascii="Courier New" w:hAnsi="Courier New" w:cs="Courier New" w:hint="default"/>
      </w:rPr>
    </w:lvl>
    <w:lvl w:ilvl="5" w:tplc="BAEEEC7E" w:tentative="1">
      <w:start w:val="1"/>
      <w:numFmt w:val="bullet"/>
      <w:lvlText w:val=""/>
      <w:lvlJc w:val="left"/>
      <w:pPr>
        <w:ind w:left="4320" w:hanging="360"/>
      </w:pPr>
      <w:rPr>
        <w:rFonts w:ascii="Wingdings" w:hAnsi="Wingdings" w:hint="default"/>
      </w:rPr>
    </w:lvl>
    <w:lvl w:ilvl="6" w:tplc="3E2EEC90" w:tentative="1">
      <w:start w:val="1"/>
      <w:numFmt w:val="bullet"/>
      <w:lvlText w:val=""/>
      <w:lvlJc w:val="left"/>
      <w:pPr>
        <w:ind w:left="5040" w:hanging="360"/>
      </w:pPr>
      <w:rPr>
        <w:rFonts w:ascii="Symbol" w:hAnsi="Symbol" w:hint="default"/>
      </w:rPr>
    </w:lvl>
    <w:lvl w:ilvl="7" w:tplc="0FCC500E" w:tentative="1">
      <w:start w:val="1"/>
      <w:numFmt w:val="bullet"/>
      <w:lvlText w:val="o"/>
      <w:lvlJc w:val="left"/>
      <w:pPr>
        <w:ind w:left="5760" w:hanging="360"/>
      </w:pPr>
      <w:rPr>
        <w:rFonts w:ascii="Courier New" w:hAnsi="Courier New" w:cs="Courier New" w:hint="default"/>
      </w:rPr>
    </w:lvl>
    <w:lvl w:ilvl="8" w:tplc="B6C8A7CE" w:tentative="1">
      <w:start w:val="1"/>
      <w:numFmt w:val="bullet"/>
      <w:lvlText w:val=""/>
      <w:lvlJc w:val="left"/>
      <w:pPr>
        <w:ind w:left="6480" w:hanging="360"/>
      </w:pPr>
      <w:rPr>
        <w:rFonts w:ascii="Wingdings" w:hAnsi="Wingdings" w:hint="default"/>
      </w:rPr>
    </w:lvl>
  </w:abstractNum>
  <w:abstractNum w:abstractNumId="35">
    <w:nsid w:val="03341AA8"/>
    <w:multiLevelType w:val="hybridMultilevel"/>
    <w:tmpl w:val="891090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03602F2C"/>
    <w:multiLevelType w:val="hybridMultilevel"/>
    <w:tmpl w:val="C056540C"/>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7">
    <w:nsid w:val="03811F80"/>
    <w:multiLevelType w:val="hybridMultilevel"/>
    <w:tmpl w:val="221AC19C"/>
    <w:lvl w:ilvl="0" w:tplc="04090015">
      <w:start w:val="1"/>
      <w:numFmt w:val="upperLetter"/>
      <w:lvlText w:val="%1."/>
      <w:lvlJc w:val="left"/>
      <w:pPr>
        <w:ind w:left="360" w:hanging="360"/>
      </w:pPr>
      <w:rPr>
        <w:rFonts w:hint="default"/>
      </w:rPr>
    </w:lvl>
    <w:lvl w:ilvl="1" w:tplc="B420E25A">
      <w:start w:val="1"/>
      <w:numFmt w:val="decimal"/>
      <w:lvlText w:val="%2."/>
      <w:lvlJc w:val="left"/>
      <w:pPr>
        <w:ind w:left="1080" w:hanging="360"/>
      </w:pPr>
      <w:rPr>
        <w:rFonts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
    <w:nsid w:val="038B256E"/>
    <w:multiLevelType w:val="hybridMultilevel"/>
    <w:tmpl w:val="6C1870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03E0690F"/>
    <w:multiLevelType w:val="hybridMultilevel"/>
    <w:tmpl w:val="57EC6844"/>
    <w:lvl w:ilvl="0" w:tplc="DD083D60">
      <w:start w:val="1"/>
      <w:numFmt w:val="lowerLetter"/>
      <w:lvlText w:val="(%1)"/>
      <w:lvlJc w:val="left"/>
      <w:pPr>
        <w:ind w:left="360" w:hanging="360"/>
      </w:pPr>
      <w:rPr>
        <w:rFonts w:hint="default"/>
      </w:rPr>
    </w:lvl>
    <w:lvl w:ilvl="1" w:tplc="DE54F4A2" w:tentative="1">
      <w:start w:val="1"/>
      <w:numFmt w:val="lowerLetter"/>
      <w:lvlText w:val="%2."/>
      <w:lvlJc w:val="left"/>
      <w:pPr>
        <w:ind w:left="1706" w:hanging="360"/>
      </w:pPr>
    </w:lvl>
    <w:lvl w:ilvl="2" w:tplc="84C29AD4">
      <w:start w:val="1"/>
      <w:numFmt w:val="lowerRoman"/>
      <w:lvlText w:val="%3."/>
      <w:lvlJc w:val="right"/>
      <w:pPr>
        <w:ind w:left="2426" w:hanging="180"/>
      </w:pPr>
    </w:lvl>
    <w:lvl w:ilvl="3" w:tplc="325ECE46" w:tentative="1">
      <w:start w:val="1"/>
      <w:numFmt w:val="decimal"/>
      <w:lvlText w:val="%4."/>
      <w:lvlJc w:val="left"/>
      <w:pPr>
        <w:ind w:left="3146" w:hanging="360"/>
      </w:pPr>
    </w:lvl>
    <w:lvl w:ilvl="4" w:tplc="FF4CA9FA" w:tentative="1">
      <w:start w:val="1"/>
      <w:numFmt w:val="lowerLetter"/>
      <w:lvlText w:val="%5."/>
      <w:lvlJc w:val="left"/>
      <w:pPr>
        <w:ind w:left="3866" w:hanging="360"/>
      </w:pPr>
    </w:lvl>
    <w:lvl w:ilvl="5" w:tplc="7B82D0E4" w:tentative="1">
      <w:start w:val="1"/>
      <w:numFmt w:val="lowerRoman"/>
      <w:lvlText w:val="%6."/>
      <w:lvlJc w:val="right"/>
      <w:pPr>
        <w:ind w:left="4586" w:hanging="180"/>
      </w:pPr>
    </w:lvl>
    <w:lvl w:ilvl="6" w:tplc="777C31E8" w:tentative="1">
      <w:start w:val="1"/>
      <w:numFmt w:val="decimal"/>
      <w:lvlText w:val="%7."/>
      <w:lvlJc w:val="left"/>
      <w:pPr>
        <w:ind w:left="5306" w:hanging="360"/>
      </w:pPr>
    </w:lvl>
    <w:lvl w:ilvl="7" w:tplc="18CA4EDA" w:tentative="1">
      <w:start w:val="1"/>
      <w:numFmt w:val="lowerLetter"/>
      <w:lvlText w:val="%8."/>
      <w:lvlJc w:val="left"/>
      <w:pPr>
        <w:ind w:left="6026" w:hanging="360"/>
      </w:pPr>
    </w:lvl>
    <w:lvl w:ilvl="8" w:tplc="8DAC8C84" w:tentative="1">
      <w:start w:val="1"/>
      <w:numFmt w:val="lowerRoman"/>
      <w:lvlText w:val="%9."/>
      <w:lvlJc w:val="right"/>
      <w:pPr>
        <w:ind w:left="6746" w:hanging="180"/>
      </w:pPr>
    </w:lvl>
  </w:abstractNum>
  <w:abstractNum w:abstractNumId="40">
    <w:nsid w:val="04420F81"/>
    <w:multiLevelType w:val="hybridMultilevel"/>
    <w:tmpl w:val="F0B0548C"/>
    <w:lvl w:ilvl="0" w:tplc="E3F0F9AE">
      <w:start w:val="1"/>
      <w:numFmt w:val="bullet"/>
      <w:lvlText w:val="•"/>
      <w:lvlJc w:val="left"/>
      <w:pPr>
        <w:tabs>
          <w:tab w:val="num" w:pos="720"/>
        </w:tabs>
        <w:ind w:left="720" w:hanging="360"/>
      </w:pPr>
      <w:rPr>
        <w:rFonts w:ascii="Times New Roman" w:hAnsi="Times New Roman" w:hint="default"/>
      </w:rPr>
    </w:lvl>
    <w:lvl w:ilvl="1" w:tplc="0D7ED6D8" w:tentative="1">
      <w:start w:val="1"/>
      <w:numFmt w:val="bullet"/>
      <w:lvlText w:val="•"/>
      <w:lvlJc w:val="left"/>
      <w:pPr>
        <w:tabs>
          <w:tab w:val="num" w:pos="1440"/>
        </w:tabs>
        <w:ind w:left="1440" w:hanging="360"/>
      </w:pPr>
      <w:rPr>
        <w:rFonts w:ascii="Times New Roman" w:hAnsi="Times New Roman" w:hint="default"/>
      </w:rPr>
    </w:lvl>
    <w:lvl w:ilvl="2" w:tplc="A0881376" w:tentative="1">
      <w:start w:val="1"/>
      <w:numFmt w:val="bullet"/>
      <w:lvlText w:val="•"/>
      <w:lvlJc w:val="left"/>
      <w:pPr>
        <w:tabs>
          <w:tab w:val="num" w:pos="2160"/>
        </w:tabs>
        <w:ind w:left="2160" w:hanging="360"/>
      </w:pPr>
      <w:rPr>
        <w:rFonts w:ascii="Times New Roman" w:hAnsi="Times New Roman" w:hint="default"/>
      </w:rPr>
    </w:lvl>
    <w:lvl w:ilvl="3" w:tplc="EF74D2C8" w:tentative="1">
      <w:start w:val="1"/>
      <w:numFmt w:val="bullet"/>
      <w:lvlText w:val="•"/>
      <w:lvlJc w:val="left"/>
      <w:pPr>
        <w:tabs>
          <w:tab w:val="num" w:pos="2880"/>
        </w:tabs>
        <w:ind w:left="2880" w:hanging="360"/>
      </w:pPr>
      <w:rPr>
        <w:rFonts w:ascii="Times New Roman" w:hAnsi="Times New Roman" w:hint="default"/>
      </w:rPr>
    </w:lvl>
    <w:lvl w:ilvl="4" w:tplc="C0B46C70" w:tentative="1">
      <w:start w:val="1"/>
      <w:numFmt w:val="bullet"/>
      <w:lvlText w:val="•"/>
      <w:lvlJc w:val="left"/>
      <w:pPr>
        <w:tabs>
          <w:tab w:val="num" w:pos="3600"/>
        </w:tabs>
        <w:ind w:left="3600" w:hanging="360"/>
      </w:pPr>
      <w:rPr>
        <w:rFonts w:ascii="Times New Roman" w:hAnsi="Times New Roman" w:hint="default"/>
      </w:rPr>
    </w:lvl>
    <w:lvl w:ilvl="5" w:tplc="7CDC6C88" w:tentative="1">
      <w:start w:val="1"/>
      <w:numFmt w:val="bullet"/>
      <w:lvlText w:val="•"/>
      <w:lvlJc w:val="left"/>
      <w:pPr>
        <w:tabs>
          <w:tab w:val="num" w:pos="4320"/>
        </w:tabs>
        <w:ind w:left="4320" w:hanging="360"/>
      </w:pPr>
      <w:rPr>
        <w:rFonts w:ascii="Times New Roman" w:hAnsi="Times New Roman" w:hint="default"/>
      </w:rPr>
    </w:lvl>
    <w:lvl w:ilvl="6" w:tplc="3230E1F2" w:tentative="1">
      <w:start w:val="1"/>
      <w:numFmt w:val="bullet"/>
      <w:lvlText w:val="•"/>
      <w:lvlJc w:val="left"/>
      <w:pPr>
        <w:tabs>
          <w:tab w:val="num" w:pos="5040"/>
        </w:tabs>
        <w:ind w:left="5040" w:hanging="360"/>
      </w:pPr>
      <w:rPr>
        <w:rFonts w:ascii="Times New Roman" w:hAnsi="Times New Roman" w:hint="default"/>
      </w:rPr>
    </w:lvl>
    <w:lvl w:ilvl="7" w:tplc="BAB6878A" w:tentative="1">
      <w:start w:val="1"/>
      <w:numFmt w:val="bullet"/>
      <w:lvlText w:val="•"/>
      <w:lvlJc w:val="left"/>
      <w:pPr>
        <w:tabs>
          <w:tab w:val="num" w:pos="5760"/>
        </w:tabs>
        <w:ind w:left="5760" w:hanging="360"/>
      </w:pPr>
      <w:rPr>
        <w:rFonts w:ascii="Times New Roman" w:hAnsi="Times New Roman" w:hint="default"/>
      </w:rPr>
    </w:lvl>
    <w:lvl w:ilvl="8" w:tplc="2B247650" w:tentative="1">
      <w:start w:val="1"/>
      <w:numFmt w:val="bullet"/>
      <w:lvlText w:val="•"/>
      <w:lvlJc w:val="left"/>
      <w:pPr>
        <w:tabs>
          <w:tab w:val="num" w:pos="6480"/>
        </w:tabs>
        <w:ind w:left="6480" w:hanging="360"/>
      </w:pPr>
      <w:rPr>
        <w:rFonts w:ascii="Times New Roman" w:hAnsi="Times New Roman" w:hint="default"/>
      </w:rPr>
    </w:lvl>
  </w:abstractNum>
  <w:abstractNum w:abstractNumId="41">
    <w:nsid w:val="046C5CC3"/>
    <w:multiLevelType w:val="hybridMultilevel"/>
    <w:tmpl w:val="D2465708"/>
    <w:lvl w:ilvl="0" w:tplc="2F58C698">
      <w:start w:val="1"/>
      <w:numFmt w:val="bullet"/>
      <w:lvlText w:val="•"/>
      <w:lvlJc w:val="left"/>
      <w:pPr>
        <w:tabs>
          <w:tab w:val="num" w:pos="720"/>
        </w:tabs>
        <w:ind w:left="720" w:hanging="360"/>
      </w:pPr>
      <w:rPr>
        <w:rFonts w:ascii="Arial" w:hAnsi="Arial" w:hint="default"/>
      </w:rPr>
    </w:lvl>
    <w:lvl w:ilvl="1" w:tplc="4CF821C2">
      <w:start w:val="1240"/>
      <w:numFmt w:val="bullet"/>
      <w:lvlText w:val="–"/>
      <w:lvlJc w:val="left"/>
      <w:pPr>
        <w:tabs>
          <w:tab w:val="num" w:pos="1440"/>
        </w:tabs>
        <w:ind w:left="1440" w:hanging="360"/>
      </w:pPr>
      <w:rPr>
        <w:rFonts w:ascii="Arial" w:hAnsi="Arial" w:hint="default"/>
      </w:rPr>
    </w:lvl>
    <w:lvl w:ilvl="2" w:tplc="83220D2A" w:tentative="1">
      <w:start w:val="1"/>
      <w:numFmt w:val="bullet"/>
      <w:lvlText w:val="•"/>
      <w:lvlJc w:val="left"/>
      <w:pPr>
        <w:tabs>
          <w:tab w:val="num" w:pos="2160"/>
        </w:tabs>
        <w:ind w:left="2160" w:hanging="360"/>
      </w:pPr>
      <w:rPr>
        <w:rFonts w:ascii="Arial" w:hAnsi="Arial" w:hint="default"/>
      </w:rPr>
    </w:lvl>
    <w:lvl w:ilvl="3" w:tplc="6892291A" w:tentative="1">
      <w:start w:val="1"/>
      <w:numFmt w:val="bullet"/>
      <w:lvlText w:val="•"/>
      <w:lvlJc w:val="left"/>
      <w:pPr>
        <w:tabs>
          <w:tab w:val="num" w:pos="2880"/>
        </w:tabs>
        <w:ind w:left="2880" w:hanging="360"/>
      </w:pPr>
      <w:rPr>
        <w:rFonts w:ascii="Arial" w:hAnsi="Arial" w:hint="default"/>
      </w:rPr>
    </w:lvl>
    <w:lvl w:ilvl="4" w:tplc="220EBB52" w:tentative="1">
      <w:start w:val="1"/>
      <w:numFmt w:val="bullet"/>
      <w:lvlText w:val="•"/>
      <w:lvlJc w:val="left"/>
      <w:pPr>
        <w:tabs>
          <w:tab w:val="num" w:pos="3600"/>
        </w:tabs>
        <w:ind w:left="3600" w:hanging="360"/>
      </w:pPr>
      <w:rPr>
        <w:rFonts w:ascii="Arial" w:hAnsi="Arial" w:hint="default"/>
      </w:rPr>
    </w:lvl>
    <w:lvl w:ilvl="5" w:tplc="B4C69CC4" w:tentative="1">
      <w:start w:val="1"/>
      <w:numFmt w:val="bullet"/>
      <w:lvlText w:val="•"/>
      <w:lvlJc w:val="left"/>
      <w:pPr>
        <w:tabs>
          <w:tab w:val="num" w:pos="4320"/>
        </w:tabs>
        <w:ind w:left="4320" w:hanging="360"/>
      </w:pPr>
      <w:rPr>
        <w:rFonts w:ascii="Arial" w:hAnsi="Arial" w:hint="default"/>
      </w:rPr>
    </w:lvl>
    <w:lvl w:ilvl="6" w:tplc="85161CFA" w:tentative="1">
      <w:start w:val="1"/>
      <w:numFmt w:val="bullet"/>
      <w:lvlText w:val="•"/>
      <w:lvlJc w:val="left"/>
      <w:pPr>
        <w:tabs>
          <w:tab w:val="num" w:pos="5040"/>
        </w:tabs>
        <w:ind w:left="5040" w:hanging="360"/>
      </w:pPr>
      <w:rPr>
        <w:rFonts w:ascii="Arial" w:hAnsi="Arial" w:hint="default"/>
      </w:rPr>
    </w:lvl>
    <w:lvl w:ilvl="7" w:tplc="E9724714" w:tentative="1">
      <w:start w:val="1"/>
      <w:numFmt w:val="bullet"/>
      <w:lvlText w:val="•"/>
      <w:lvlJc w:val="left"/>
      <w:pPr>
        <w:tabs>
          <w:tab w:val="num" w:pos="5760"/>
        </w:tabs>
        <w:ind w:left="5760" w:hanging="360"/>
      </w:pPr>
      <w:rPr>
        <w:rFonts w:ascii="Arial" w:hAnsi="Arial" w:hint="default"/>
      </w:rPr>
    </w:lvl>
    <w:lvl w:ilvl="8" w:tplc="482290F0" w:tentative="1">
      <w:start w:val="1"/>
      <w:numFmt w:val="bullet"/>
      <w:lvlText w:val="•"/>
      <w:lvlJc w:val="left"/>
      <w:pPr>
        <w:tabs>
          <w:tab w:val="num" w:pos="6480"/>
        </w:tabs>
        <w:ind w:left="6480" w:hanging="360"/>
      </w:pPr>
      <w:rPr>
        <w:rFonts w:ascii="Arial" w:hAnsi="Arial" w:hint="default"/>
      </w:rPr>
    </w:lvl>
  </w:abstractNum>
  <w:abstractNum w:abstractNumId="42">
    <w:nsid w:val="047F305E"/>
    <w:multiLevelType w:val="hybridMultilevel"/>
    <w:tmpl w:val="A1E660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048811E6"/>
    <w:multiLevelType w:val="hybridMultilevel"/>
    <w:tmpl w:val="AA9CD6A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3">
      <w:start w:val="1"/>
      <w:numFmt w:val="bullet"/>
      <w:lvlText w:val="o"/>
      <w:lvlJc w:val="left"/>
      <w:pPr>
        <w:ind w:left="2160" w:hanging="360"/>
      </w:pPr>
      <w:rPr>
        <w:rFonts w:ascii="Courier New" w:hAnsi="Courier New" w:cs="Courier New"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048D3FE3"/>
    <w:multiLevelType w:val="hybridMultilevel"/>
    <w:tmpl w:val="323C8786"/>
    <w:lvl w:ilvl="0" w:tplc="477CD498">
      <w:start w:val="1"/>
      <w:numFmt w:val="bullet"/>
      <w:lvlText w:val=""/>
      <w:lvlJc w:val="left"/>
      <w:pPr>
        <w:ind w:left="720" w:hanging="360"/>
      </w:pPr>
      <w:rPr>
        <w:rFonts w:ascii="Symbol" w:hAnsi="Symbol" w:hint="default"/>
      </w:rPr>
    </w:lvl>
    <w:lvl w:ilvl="1" w:tplc="4A5E7834" w:tentative="1">
      <w:start w:val="1"/>
      <w:numFmt w:val="bullet"/>
      <w:lvlText w:val="o"/>
      <w:lvlJc w:val="left"/>
      <w:pPr>
        <w:ind w:left="1440" w:hanging="360"/>
      </w:pPr>
      <w:rPr>
        <w:rFonts w:ascii="Courier New" w:hAnsi="Courier New" w:cs="Courier New" w:hint="default"/>
      </w:rPr>
    </w:lvl>
    <w:lvl w:ilvl="2" w:tplc="DD7ECE34" w:tentative="1">
      <w:start w:val="1"/>
      <w:numFmt w:val="bullet"/>
      <w:lvlText w:val=""/>
      <w:lvlJc w:val="left"/>
      <w:pPr>
        <w:ind w:left="2160" w:hanging="360"/>
      </w:pPr>
      <w:rPr>
        <w:rFonts w:ascii="Wingdings" w:hAnsi="Wingdings" w:hint="default"/>
      </w:rPr>
    </w:lvl>
    <w:lvl w:ilvl="3" w:tplc="40963FEA" w:tentative="1">
      <w:start w:val="1"/>
      <w:numFmt w:val="bullet"/>
      <w:lvlText w:val=""/>
      <w:lvlJc w:val="left"/>
      <w:pPr>
        <w:ind w:left="2880" w:hanging="360"/>
      </w:pPr>
      <w:rPr>
        <w:rFonts w:ascii="Symbol" w:hAnsi="Symbol" w:hint="default"/>
      </w:rPr>
    </w:lvl>
    <w:lvl w:ilvl="4" w:tplc="659EFD7E" w:tentative="1">
      <w:start w:val="1"/>
      <w:numFmt w:val="bullet"/>
      <w:lvlText w:val="o"/>
      <w:lvlJc w:val="left"/>
      <w:pPr>
        <w:ind w:left="3600" w:hanging="360"/>
      </w:pPr>
      <w:rPr>
        <w:rFonts w:ascii="Courier New" w:hAnsi="Courier New" w:cs="Courier New" w:hint="default"/>
      </w:rPr>
    </w:lvl>
    <w:lvl w:ilvl="5" w:tplc="7B34033A" w:tentative="1">
      <w:start w:val="1"/>
      <w:numFmt w:val="bullet"/>
      <w:lvlText w:val=""/>
      <w:lvlJc w:val="left"/>
      <w:pPr>
        <w:ind w:left="4320" w:hanging="360"/>
      </w:pPr>
      <w:rPr>
        <w:rFonts w:ascii="Wingdings" w:hAnsi="Wingdings" w:hint="default"/>
      </w:rPr>
    </w:lvl>
    <w:lvl w:ilvl="6" w:tplc="06506EA2" w:tentative="1">
      <w:start w:val="1"/>
      <w:numFmt w:val="bullet"/>
      <w:lvlText w:val=""/>
      <w:lvlJc w:val="left"/>
      <w:pPr>
        <w:ind w:left="5040" w:hanging="360"/>
      </w:pPr>
      <w:rPr>
        <w:rFonts w:ascii="Symbol" w:hAnsi="Symbol" w:hint="default"/>
      </w:rPr>
    </w:lvl>
    <w:lvl w:ilvl="7" w:tplc="BBA6847A" w:tentative="1">
      <w:start w:val="1"/>
      <w:numFmt w:val="bullet"/>
      <w:lvlText w:val="o"/>
      <w:lvlJc w:val="left"/>
      <w:pPr>
        <w:ind w:left="5760" w:hanging="360"/>
      </w:pPr>
      <w:rPr>
        <w:rFonts w:ascii="Courier New" w:hAnsi="Courier New" w:cs="Courier New" w:hint="default"/>
      </w:rPr>
    </w:lvl>
    <w:lvl w:ilvl="8" w:tplc="E2DA797A" w:tentative="1">
      <w:start w:val="1"/>
      <w:numFmt w:val="bullet"/>
      <w:lvlText w:val=""/>
      <w:lvlJc w:val="left"/>
      <w:pPr>
        <w:ind w:left="6480" w:hanging="360"/>
      </w:pPr>
      <w:rPr>
        <w:rFonts w:ascii="Wingdings" w:hAnsi="Wingdings" w:hint="default"/>
      </w:rPr>
    </w:lvl>
  </w:abstractNum>
  <w:abstractNum w:abstractNumId="45">
    <w:nsid w:val="04973A6F"/>
    <w:multiLevelType w:val="hybridMultilevel"/>
    <w:tmpl w:val="FF4CB070"/>
    <w:lvl w:ilvl="0" w:tplc="04090001">
      <w:start w:val="1"/>
      <w:numFmt w:val="bullet"/>
      <w:lvlText w:val=""/>
      <w:lvlJc w:val="left"/>
      <w:pPr>
        <w:ind w:left="825" w:hanging="360"/>
      </w:pPr>
      <w:rPr>
        <w:rFonts w:ascii="Symbol" w:hAnsi="Symbol" w:hint="default"/>
      </w:rPr>
    </w:lvl>
    <w:lvl w:ilvl="1" w:tplc="04090003" w:tentative="1">
      <w:start w:val="1"/>
      <w:numFmt w:val="bullet"/>
      <w:lvlText w:val="o"/>
      <w:lvlJc w:val="left"/>
      <w:pPr>
        <w:ind w:left="1545" w:hanging="360"/>
      </w:pPr>
      <w:rPr>
        <w:rFonts w:ascii="Courier New" w:hAnsi="Courier New" w:cs="Courier New" w:hint="default"/>
      </w:rPr>
    </w:lvl>
    <w:lvl w:ilvl="2" w:tplc="04090005" w:tentative="1">
      <w:start w:val="1"/>
      <w:numFmt w:val="bullet"/>
      <w:lvlText w:val=""/>
      <w:lvlJc w:val="left"/>
      <w:pPr>
        <w:ind w:left="2265" w:hanging="360"/>
      </w:pPr>
      <w:rPr>
        <w:rFonts w:ascii="Wingdings" w:hAnsi="Wingdings" w:hint="default"/>
      </w:rPr>
    </w:lvl>
    <w:lvl w:ilvl="3" w:tplc="04090001" w:tentative="1">
      <w:start w:val="1"/>
      <w:numFmt w:val="bullet"/>
      <w:lvlText w:val=""/>
      <w:lvlJc w:val="left"/>
      <w:pPr>
        <w:ind w:left="2985" w:hanging="360"/>
      </w:pPr>
      <w:rPr>
        <w:rFonts w:ascii="Symbol" w:hAnsi="Symbol" w:hint="default"/>
      </w:rPr>
    </w:lvl>
    <w:lvl w:ilvl="4" w:tplc="04090003" w:tentative="1">
      <w:start w:val="1"/>
      <w:numFmt w:val="bullet"/>
      <w:lvlText w:val="o"/>
      <w:lvlJc w:val="left"/>
      <w:pPr>
        <w:ind w:left="3705" w:hanging="360"/>
      </w:pPr>
      <w:rPr>
        <w:rFonts w:ascii="Courier New" w:hAnsi="Courier New" w:cs="Courier New" w:hint="default"/>
      </w:rPr>
    </w:lvl>
    <w:lvl w:ilvl="5" w:tplc="04090005" w:tentative="1">
      <w:start w:val="1"/>
      <w:numFmt w:val="bullet"/>
      <w:lvlText w:val=""/>
      <w:lvlJc w:val="left"/>
      <w:pPr>
        <w:ind w:left="4425" w:hanging="360"/>
      </w:pPr>
      <w:rPr>
        <w:rFonts w:ascii="Wingdings" w:hAnsi="Wingdings" w:hint="default"/>
      </w:rPr>
    </w:lvl>
    <w:lvl w:ilvl="6" w:tplc="04090001" w:tentative="1">
      <w:start w:val="1"/>
      <w:numFmt w:val="bullet"/>
      <w:lvlText w:val=""/>
      <w:lvlJc w:val="left"/>
      <w:pPr>
        <w:ind w:left="5145" w:hanging="360"/>
      </w:pPr>
      <w:rPr>
        <w:rFonts w:ascii="Symbol" w:hAnsi="Symbol" w:hint="default"/>
      </w:rPr>
    </w:lvl>
    <w:lvl w:ilvl="7" w:tplc="04090003" w:tentative="1">
      <w:start w:val="1"/>
      <w:numFmt w:val="bullet"/>
      <w:lvlText w:val="o"/>
      <w:lvlJc w:val="left"/>
      <w:pPr>
        <w:ind w:left="5865" w:hanging="360"/>
      </w:pPr>
      <w:rPr>
        <w:rFonts w:ascii="Courier New" w:hAnsi="Courier New" w:cs="Courier New" w:hint="default"/>
      </w:rPr>
    </w:lvl>
    <w:lvl w:ilvl="8" w:tplc="04090005" w:tentative="1">
      <w:start w:val="1"/>
      <w:numFmt w:val="bullet"/>
      <w:lvlText w:val=""/>
      <w:lvlJc w:val="left"/>
      <w:pPr>
        <w:ind w:left="6585" w:hanging="360"/>
      </w:pPr>
      <w:rPr>
        <w:rFonts w:ascii="Wingdings" w:hAnsi="Wingdings" w:hint="default"/>
      </w:rPr>
    </w:lvl>
  </w:abstractNum>
  <w:abstractNum w:abstractNumId="46">
    <w:nsid w:val="04975501"/>
    <w:multiLevelType w:val="hybridMultilevel"/>
    <w:tmpl w:val="77F0A6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04AE36F5"/>
    <w:multiLevelType w:val="hybridMultilevel"/>
    <w:tmpl w:val="38B85E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04AF5DCB"/>
    <w:multiLevelType w:val="hybridMultilevel"/>
    <w:tmpl w:val="C26A1118"/>
    <w:lvl w:ilvl="0" w:tplc="749A9E66">
      <w:start w:val="1"/>
      <w:numFmt w:val="bullet"/>
      <w:lvlText w:val=""/>
      <w:lvlJc w:val="left"/>
      <w:pPr>
        <w:tabs>
          <w:tab w:val="num" w:pos="720"/>
        </w:tabs>
        <w:ind w:left="720" w:hanging="360"/>
      </w:pPr>
      <w:rPr>
        <w:rFonts w:ascii="Symbol" w:hAnsi="Symbol" w:hint="default"/>
      </w:rPr>
    </w:lvl>
    <w:lvl w:ilvl="1" w:tplc="4CFE3374">
      <w:start w:val="1"/>
      <w:numFmt w:val="bullet"/>
      <w:pStyle w:val="Bullet-Square"/>
      <w:lvlText w:val=""/>
      <w:lvlJc w:val="left"/>
      <w:pPr>
        <w:tabs>
          <w:tab w:val="num" w:pos="1530"/>
        </w:tabs>
        <w:ind w:left="1530" w:hanging="360"/>
      </w:pPr>
      <w:rPr>
        <w:rFonts w:ascii="Wingdings" w:hAnsi="Wingdings" w:hint="default"/>
      </w:rPr>
    </w:lvl>
    <w:lvl w:ilvl="2" w:tplc="2F5E8EDC">
      <w:start w:val="1"/>
      <w:numFmt w:val="bullet"/>
      <w:lvlText w:val=""/>
      <w:lvlJc w:val="left"/>
      <w:pPr>
        <w:tabs>
          <w:tab w:val="num" w:pos="2160"/>
        </w:tabs>
        <w:ind w:left="2160" w:hanging="360"/>
      </w:pPr>
      <w:rPr>
        <w:rFonts w:ascii="Wingdings" w:hAnsi="Wingdings" w:hint="default"/>
      </w:rPr>
    </w:lvl>
    <w:lvl w:ilvl="3" w:tplc="34389B18" w:tentative="1">
      <w:start w:val="1"/>
      <w:numFmt w:val="bullet"/>
      <w:lvlText w:val=""/>
      <w:lvlJc w:val="left"/>
      <w:pPr>
        <w:tabs>
          <w:tab w:val="num" w:pos="2880"/>
        </w:tabs>
        <w:ind w:left="2880" w:hanging="360"/>
      </w:pPr>
      <w:rPr>
        <w:rFonts w:ascii="Symbol" w:hAnsi="Symbol" w:hint="default"/>
      </w:rPr>
    </w:lvl>
    <w:lvl w:ilvl="4" w:tplc="70420630" w:tentative="1">
      <w:start w:val="1"/>
      <w:numFmt w:val="bullet"/>
      <w:lvlText w:val="o"/>
      <w:lvlJc w:val="left"/>
      <w:pPr>
        <w:tabs>
          <w:tab w:val="num" w:pos="3600"/>
        </w:tabs>
        <w:ind w:left="3600" w:hanging="360"/>
      </w:pPr>
      <w:rPr>
        <w:rFonts w:ascii="Courier New" w:hAnsi="Courier New" w:cs="Courier New" w:hint="default"/>
      </w:rPr>
    </w:lvl>
    <w:lvl w:ilvl="5" w:tplc="B6C2B7B4" w:tentative="1">
      <w:start w:val="1"/>
      <w:numFmt w:val="bullet"/>
      <w:lvlText w:val=""/>
      <w:lvlJc w:val="left"/>
      <w:pPr>
        <w:tabs>
          <w:tab w:val="num" w:pos="4320"/>
        </w:tabs>
        <w:ind w:left="4320" w:hanging="360"/>
      </w:pPr>
      <w:rPr>
        <w:rFonts w:ascii="Wingdings" w:hAnsi="Wingdings" w:hint="default"/>
      </w:rPr>
    </w:lvl>
    <w:lvl w:ilvl="6" w:tplc="1C18073C" w:tentative="1">
      <w:start w:val="1"/>
      <w:numFmt w:val="bullet"/>
      <w:lvlText w:val=""/>
      <w:lvlJc w:val="left"/>
      <w:pPr>
        <w:tabs>
          <w:tab w:val="num" w:pos="5040"/>
        </w:tabs>
        <w:ind w:left="5040" w:hanging="360"/>
      </w:pPr>
      <w:rPr>
        <w:rFonts w:ascii="Symbol" w:hAnsi="Symbol" w:hint="default"/>
      </w:rPr>
    </w:lvl>
    <w:lvl w:ilvl="7" w:tplc="EFA8ABD8" w:tentative="1">
      <w:start w:val="1"/>
      <w:numFmt w:val="bullet"/>
      <w:lvlText w:val="o"/>
      <w:lvlJc w:val="left"/>
      <w:pPr>
        <w:tabs>
          <w:tab w:val="num" w:pos="5760"/>
        </w:tabs>
        <w:ind w:left="5760" w:hanging="360"/>
      </w:pPr>
      <w:rPr>
        <w:rFonts w:ascii="Courier New" w:hAnsi="Courier New" w:cs="Courier New" w:hint="default"/>
      </w:rPr>
    </w:lvl>
    <w:lvl w:ilvl="8" w:tplc="EF423F72" w:tentative="1">
      <w:start w:val="1"/>
      <w:numFmt w:val="bullet"/>
      <w:lvlText w:val=""/>
      <w:lvlJc w:val="left"/>
      <w:pPr>
        <w:tabs>
          <w:tab w:val="num" w:pos="6480"/>
        </w:tabs>
        <w:ind w:left="6480" w:hanging="360"/>
      </w:pPr>
      <w:rPr>
        <w:rFonts w:ascii="Wingdings" w:hAnsi="Wingdings" w:hint="default"/>
      </w:rPr>
    </w:lvl>
  </w:abstractNum>
  <w:abstractNum w:abstractNumId="49">
    <w:nsid w:val="04B26055"/>
    <w:multiLevelType w:val="hybridMultilevel"/>
    <w:tmpl w:val="91F4EA00"/>
    <w:lvl w:ilvl="0" w:tplc="C4B6F320">
      <w:start w:val="1"/>
      <w:numFmt w:val="bullet"/>
      <w:lvlText w:val=""/>
      <w:lvlJc w:val="left"/>
      <w:pPr>
        <w:ind w:left="72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0">
    <w:nsid w:val="054977B4"/>
    <w:multiLevelType w:val="hybridMultilevel"/>
    <w:tmpl w:val="2E54959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05B34344"/>
    <w:multiLevelType w:val="hybridMultilevel"/>
    <w:tmpl w:val="AEF0AE04"/>
    <w:lvl w:ilvl="0" w:tplc="BE88E404">
      <w:start w:val="3"/>
      <w:numFmt w:val="lowerLetter"/>
      <w:lvlText w:val="(%1)"/>
      <w:lvlJc w:val="left"/>
      <w:pPr>
        <w:tabs>
          <w:tab w:val="num" w:pos="360"/>
        </w:tabs>
        <w:ind w:left="360" w:hanging="360"/>
      </w:pPr>
      <w:rPr>
        <w:rFonts w:cs="Times New Roman"/>
      </w:rPr>
    </w:lvl>
    <w:lvl w:ilvl="1" w:tplc="04090001">
      <w:start w:val="1"/>
      <w:numFmt w:val="bullet"/>
      <w:lvlText w:val=""/>
      <w:lvlJc w:val="left"/>
      <w:pPr>
        <w:tabs>
          <w:tab w:val="num" w:pos="1440"/>
        </w:tabs>
        <w:ind w:left="1440" w:hanging="360"/>
      </w:pPr>
      <w:rPr>
        <w:rFonts w:ascii="Symbol" w:hAnsi="Symbol" w:hint="default"/>
      </w:rPr>
    </w:lvl>
    <w:lvl w:ilvl="2" w:tplc="A13E3792" w:tentative="1">
      <w:start w:val="1"/>
      <w:numFmt w:val="lowerLetter"/>
      <w:lvlText w:val="(%3)"/>
      <w:lvlJc w:val="left"/>
      <w:pPr>
        <w:tabs>
          <w:tab w:val="num" w:pos="2160"/>
        </w:tabs>
        <w:ind w:left="2160" w:hanging="360"/>
      </w:pPr>
      <w:rPr>
        <w:rFonts w:cs="Times New Roman"/>
      </w:rPr>
    </w:lvl>
    <w:lvl w:ilvl="3" w:tplc="5D06395C" w:tentative="1">
      <w:start w:val="1"/>
      <w:numFmt w:val="lowerLetter"/>
      <w:lvlText w:val="(%4)"/>
      <w:lvlJc w:val="left"/>
      <w:pPr>
        <w:tabs>
          <w:tab w:val="num" w:pos="2880"/>
        </w:tabs>
        <w:ind w:left="2880" w:hanging="360"/>
      </w:pPr>
      <w:rPr>
        <w:rFonts w:cs="Times New Roman"/>
      </w:rPr>
    </w:lvl>
    <w:lvl w:ilvl="4" w:tplc="0590AED6" w:tentative="1">
      <w:start w:val="1"/>
      <w:numFmt w:val="lowerLetter"/>
      <w:lvlText w:val="(%5)"/>
      <w:lvlJc w:val="left"/>
      <w:pPr>
        <w:tabs>
          <w:tab w:val="num" w:pos="3600"/>
        </w:tabs>
        <w:ind w:left="3600" w:hanging="360"/>
      </w:pPr>
      <w:rPr>
        <w:rFonts w:cs="Times New Roman"/>
      </w:rPr>
    </w:lvl>
    <w:lvl w:ilvl="5" w:tplc="D8189DC0" w:tentative="1">
      <w:start w:val="1"/>
      <w:numFmt w:val="lowerLetter"/>
      <w:lvlText w:val="(%6)"/>
      <w:lvlJc w:val="left"/>
      <w:pPr>
        <w:tabs>
          <w:tab w:val="num" w:pos="4320"/>
        </w:tabs>
        <w:ind w:left="4320" w:hanging="360"/>
      </w:pPr>
      <w:rPr>
        <w:rFonts w:cs="Times New Roman"/>
      </w:rPr>
    </w:lvl>
    <w:lvl w:ilvl="6" w:tplc="7BB407E4" w:tentative="1">
      <w:start w:val="1"/>
      <w:numFmt w:val="lowerLetter"/>
      <w:lvlText w:val="(%7)"/>
      <w:lvlJc w:val="left"/>
      <w:pPr>
        <w:tabs>
          <w:tab w:val="num" w:pos="5040"/>
        </w:tabs>
        <w:ind w:left="5040" w:hanging="360"/>
      </w:pPr>
      <w:rPr>
        <w:rFonts w:cs="Times New Roman"/>
      </w:rPr>
    </w:lvl>
    <w:lvl w:ilvl="7" w:tplc="07EA102E" w:tentative="1">
      <w:start w:val="1"/>
      <w:numFmt w:val="lowerLetter"/>
      <w:lvlText w:val="(%8)"/>
      <w:lvlJc w:val="left"/>
      <w:pPr>
        <w:tabs>
          <w:tab w:val="num" w:pos="5760"/>
        </w:tabs>
        <w:ind w:left="5760" w:hanging="360"/>
      </w:pPr>
      <w:rPr>
        <w:rFonts w:cs="Times New Roman"/>
      </w:rPr>
    </w:lvl>
    <w:lvl w:ilvl="8" w:tplc="209C8316" w:tentative="1">
      <w:start w:val="1"/>
      <w:numFmt w:val="lowerLetter"/>
      <w:lvlText w:val="(%9)"/>
      <w:lvlJc w:val="left"/>
      <w:pPr>
        <w:tabs>
          <w:tab w:val="num" w:pos="6480"/>
        </w:tabs>
        <w:ind w:left="6480" w:hanging="360"/>
      </w:pPr>
      <w:rPr>
        <w:rFonts w:cs="Times New Roman"/>
      </w:rPr>
    </w:lvl>
  </w:abstractNum>
  <w:abstractNum w:abstractNumId="52">
    <w:nsid w:val="05D73CA0"/>
    <w:multiLevelType w:val="hybridMultilevel"/>
    <w:tmpl w:val="A746DBE8"/>
    <w:lvl w:ilvl="0" w:tplc="6B4EF5A6">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05E252F9"/>
    <w:multiLevelType w:val="hybridMultilevel"/>
    <w:tmpl w:val="DAB6F562"/>
    <w:lvl w:ilvl="0" w:tplc="69A65DFE">
      <w:start w:val="1"/>
      <w:numFmt w:val="decimal"/>
      <w:lvlText w:val="%1."/>
      <w:lvlJc w:val="left"/>
      <w:pPr>
        <w:tabs>
          <w:tab w:val="num" w:pos="360"/>
        </w:tabs>
        <w:ind w:left="360" w:hanging="360"/>
      </w:pPr>
    </w:lvl>
    <w:lvl w:ilvl="1" w:tplc="302EA900">
      <w:start w:val="1"/>
      <w:numFmt w:val="decimal"/>
      <w:lvlText w:val="%2."/>
      <w:lvlJc w:val="left"/>
      <w:pPr>
        <w:tabs>
          <w:tab w:val="num" w:pos="1080"/>
        </w:tabs>
        <w:ind w:left="1080" w:hanging="360"/>
      </w:pPr>
    </w:lvl>
    <w:lvl w:ilvl="2" w:tplc="162E59E2" w:tentative="1">
      <w:start w:val="1"/>
      <w:numFmt w:val="decimal"/>
      <w:lvlText w:val="%3."/>
      <w:lvlJc w:val="left"/>
      <w:pPr>
        <w:tabs>
          <w:tab w:val="num" w:pos="1800"/>
        </w:tabs>
        <w:ind w:left="1800" w:hanging="360"/>
      </w:pPr>
    </w:lvl>
    <w:lvl w:ilvl="3" w:tplc="9E6C4620" w:tentative="1">
      <w:start w:val="1"/>
      <w:numFmt w:val="decimal"/>
      <w:lvlText w:val="%4."/>
      <w:lvlJc w:val="left"/>
      <w:pPr>
        <w:tabs>
          <w:tab w:val="num" w:pos="2520"/>
        </w:tabs>
        <w:ind w:left="2520" w:hanging="360"/>
      </w:pPr>
    </w:lvl>
    <w:lvl w:ilvl="4" w:tplc="BC187512" w:tentative="1">
      <w:start w:val="1"/>
      <w:numFmt w:val="decimal"/>
      <w:lvlText w:val="%5."/>
      <w:lvlJc w:val="left"/>
      <w:pPr>
        <w:tabs>
          <w:tab w:val="num" w:pos="3240"/>
        </w:tabs>
        <w:ind w:left="3240" w:hanging="360"/>
      </w:pPr>
    </w:lvl>
    <w:lvl w:ilvl="5" w:tplc="D17624C6" w:tentative="1">
      <w:start w:val="1"/>
      <w:numFmt w:val="decimal"/>
      <w:lvlText w:val="%6."/>
      <w:lvlJc w:val="left"/>
      <w:pPr>
        <w:tabs>
          <w:tab w:val="num" w:pos="3960"/>
        </w:tabs>
        <w:ind w:left="3960" w:hanging="360"/>
      </w:pPr>
    </w:lvl>
    <w:lvl w:ilvl="6" w:tplc="4C34F15E" w:tentative="1">
      <w:start w:val="1"/>
      <w:numFmt w:val="decimal"/>
      <w:lvlText w:val="%7."/>
      <w:lvlJc w:val="left"/>
      <w:pPr>
        <w:tabs>
          <w:tab w:val="num" w:pos="4680"/>
        </w:tabs>
        <w:ind w:left="4680" w:hanging="360"/>
      </w:pPr>
    </w:lvl>
    <w:lvl w:ilvl="7" w:tplc="680CFC68" w:tentative="1">
      <w:start w:val="1"/>
      <w:numFmt w:val="decimal"/>
      <w:lvlText w:val="%8."/>
      <w:lvlJc w:val="left"/>
      <w:pPr>
        <w:tabs>
          <w:tab w:val="num" w:pos="5400"/>
        </w:tabs>
        <w:ind w:left="5400" w:hanging="360"/>
      </w:pPr>
    </w:lvl>
    <w:lvl w:ilvl="8" w:tplc="C12A0E16" w:tentative="1">
      <w:start w:val="1"/>
      <w:numFmt w:val="decimal"/>
      <w:lvlText w:val="%9."/>
      <w:lvlJc w:val="left"/>
      <w:pPr>
        <w:tabs>
          <w:tab w:val="num" w:pos="6120"/>
        </w:tabs>
        <w:ind w:left="6120" w:hanging="360"/>
      </w:pPr>
    </w:lvl>
  </w:abstractNum>
  <w:abstractNum w:abstractNumId="54">
    <w:nsid w:val="060405A0"/>
    <w:multiLevelType w:val="hybridMultilevel"/>
    <w:tmpl w:val="12E2CC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nsid w:val="060C36DD"/>
    <w:multiLevelType w:val="hybridMultilevel"/>
    <w:tmpl w:val="E54E87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nsid w:val="061E6C00"/>
    <w:multiLevelType w:val="hybridMultilevel"/>
    <w:tmpl w:val="931C33B2"/>
    <w:lvl w:ilvl="0" w:tplc="00CA9A78">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063F47E2"/>
    <w:multiLevelType w:val="hybridMultilevel"/>
    <w:tmpl w:val="FE84B910"/>
    <w:lvl w:ilvl="0" w:tplc="04090003">
      <w:start w:val="1"/>
      <w:numFmt w:val="bullet"/>
      <w:lvlText w:val="o"/>
      <w:lvlJc w:val="left"/>
      <w:pPr>
        <w:ind w:left="1440" w:hanging="360"/>
      </w:pPr>
      <w:rPr>
        <w:rFonts w:ascii="Courier New" w:hAnsi="Courier New" w:cs="Courier New" w:hint="default"/>
        <w:sz w:val="22"/>
        <w:szCs w:val="22"/>
      </w:rPr>
    </w:lvl>
    <w:lvl w:ilvl="1" w:tplc="04090001">
      <w:start w:val="1"/>
      <w:numFmt w:val="bullet"/>
      <w:lvlText w:val=""/>
      <w:lvlJc w:val="left"/>
      <w:pPr>
        <w:ind w:left="2160" w:hanging="360"/>
      </w:pPr>
      <w:rPr>
        <w:rFonts w:ascii="Symbol" w:hAnsi="Symbol" w:hint="default"/>
      </w:rPr>
    </w:lvl>
    <w:lvl w:ilvl="2" w:tplc="8A58C506" w:tentative="1">
      <w:start w:val="1"/>
      <w:numFmt w:val="bullet"/>
      <w:lvlText w:val=""/>
      <w:lvlJc w:val="left"/>
      <w:pPr>
        <w:ind w:left="2880" w:hanging="360"/>
      </w:pPr>
      <w:rPr>
        <w:rFonts w:ascii="Wingdings" w:hAnsi="Wingdings" w:hint="default"/>
      </w:rPr>
    </w:lvl>
    <w:lvl w:ilvl="3" w:tplc="198A0980" w:tentative="1">
      <w:start w:val="1"/>
      <w:numFmt w:val="bullet"/>
      <w:lvlText w:val=""/>
      <w:lvlJc w:val="left"/>
      <w:pPr>
        <w:ind w:left="3600" w:hanging="360"/>
      </w:pPr>
      <w:rPr>
        <w:rFonts w:ascii="Symbol" w:hAnsi="Symbol" w:hint="default"/>
      </w:rPr>
    </w:lvl>
    <w:lvl w:ilvl="4" w:tplc="F6AE0F64" w:tentative="1">
      <w:start w:val="1"/>
      <w:numFmt w:val="bullet"/>
      <w:lvlText w:val="o"/>
      <w:lvlJc w:val="left"/>
      <w:pPr>
        <w:ind w:left="4320" w:hanging="360"/>
      </w:pPr>
      <w:rPr>
        <w:rFonts w:ascii="Courier New" w:hAnsi="Courier New" w:cs="Courier New" w:hint="default"/>
      </w:rPr>
    </w:lvl>
    <w:lvl w:ilvl="5" w:tplc="B6D22D3A" w:tentative="1">
      <w:start w:val="1"/>
      <w:numFmt w:val="bullet"/>
      <w:lvlText w:val=""/>
      <w:lvlJc w:val="left"/>
      <w:pPr>
        <w:ind w:left="5040" w:hanging="360"/>
      </w:pPr>
      <w:rPr>
        <w:rFonts w:ascii="Wingdings" w:hAnsi="Wingdings" w:hint="default"/>
      </w:rPr>
    </w:lvl>
    <w:lvl w:ilvl="6" w:tplc="6FA69FB4" w:tentative="1">
      <w:start w:val="1"/>
      <w:numFmt w:val="bullet"/>
      <w:lvlText w:val=""/>
      <w:lvlJc w:val="left"/>
      <w:pPr>
        <w:ind w:left="5760" w:hanging="360"/>
      </w:pPr>
      <w:rPr>
        <w:rFonts w:ascii="Symbol" w:hAnsi="Symbol" w:hint="default"/>
      </w:rPr>
    </w:lvl>
    <w:lvl w:ilvl="7" w:tplc="66EE3786" w:tentative="1">
      <w:start w:val="1"/>
      <w:numFmt w:val="bullet"/>
      <w:lvlText w:val="o"/>
      <w:lvlJc w:val="left"/>
      <w:pPr>
        <w:ind w:left="6480" w:hanging="360"/>
      </w:pPr>
      <w:rPr>
        <w:rFonts w:ascii="Courier New" w:hAnsi="Courier New" w:cs="Courier New" w:hint="default"/>
      </w:rPr>
    </w:lvl>
    <w:lvl w:ilvl="8" w:tplc="6B2AB2F2" w:tentative="1">
      <w:start w:val="1"/>
      <w:numFmt w:val="bullet"/>
      <w:lvlText w:val=""/>
      <w:lvlJc w:val="left"/>
      <w:pPr>
        <w:ind w:left="7200" w:hanging="360"/>
      </w:pPr>
      <w:rPr>
        <w:rFonts w:ascii="Wingdings" w:hAnsi="Wingdings" w:hint="default"/>
      </w:rPr>
    </w:lvl>
  </w:abstractNum>
  <w:abstractNum w:abstractNumId="58">
    <w:nsid w:val="067D1BC4"/>
    <w:multiLevelType w:val="hybridMultilevel"/>
    <w:tmpl w:val="E1866B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nsid w:val="06B16859"/>
    <w:multiLevelType w:val="hybridMultilevel"/>
    <w:tmpl w:val="E77C39F4"/>
    <w:lvl w:ilvl="0" w:tplc="C14CF402">
      <w:start w:val="1"/>
      <w:numFmt w:val="bullet"/>
      <w:lvlText w:val=""/>
      <w:lvlJc w:val="left"/>
      <w:pPr>
        <w:ind w:left="1440" w:hanging="360"/>
      </w:pPr>
      <w:rPr>
        <w:rFonts w:ascii="Symbol" w:hAnsi="Symbol" w:hint="default"/>
        <w:sz w:val="22"/>
        <w:szCs w:val="22"/>
      </w:rPr>
    </w:lvl>
    <w:lvl w:ilvl="1" w:tplc="04090003">
      <w:start w:val="1"/>
      <w:numFmt w:val="bullet"/>
      <w:lvlText w:val="o"/>
      <w:lvlJc w:val="left"/>
      <w:pPr>
        <w:ind w:left="2160" w:hanging="360"/>
      </w:pPr>
      <w:rPr>
        <w:rFonts w:ascii="Courier New" w:hAnsi="Courier New" w:cs="Courier New" w:hint="default"/>
      </w:rPr>
    </w:lvl>
    <w:lvl w:ilvl="2" w:tplc="8A58C506" w:tentative="1">
      <w:start w:val="1"/>
      <w:numFmt w:val="bullet"/>
      <w:lvlText w:val=""/>
      <w:lvlJc w:val="left"/>
      <w:pPr>
        <w:ind w:left="2880" w:hanging="360"/>
      </w:pPr>
      <w:rPr>
        <w:rFonts w:ascii="Wingdings" w:hAnsi="Wingdings" w:hint="default"/>
      </w:rPr>
    </w:lvl>
    <w:lvl w:ilvl="3" w:tplc="198A0980" w:tentative="1">
      <w:start w:val="1"/>
      <w:numFmt w:val="bullet"/>
      <w:lvlText w:val=""/>
      <w:lvlJc w:val="left"/>
      <w:pPr>
        <w:ind w:left="3600" w:hanging="360"/>
      </w:pPr>
      <w:rPr>
        <w:rFonts w:ascii="Symbol" w:hAnsi="Symbol" w:hint="default"/>
      </w:rPr>
    </w:lvl>
    <w:lvl w:ilvl="4" w:tplc="F6AE0F64" w:tentative="1">
      <w:start w:val="1"/>
      <w:numFmt w:val="bullet"/>
      <w:lvlText w:val="o"/>
      <w:lvlJc w:val="left"/>
      <w:pPr>
        <w:ind w:left="4320" w:hanging="360"/>
      </w:pPr>
      <w:rPr>
        <w:rFonts w:ascii="Courier New" w:hAnsi="Courier New" w:cs="Courier New" w:hint="default"/>
      </w:rPr>
    </w:lvl>
    <w:lvl w:ilvl="5" w:tplc="B6D22D3A" w:tentative="1">
      <w:start w:val="1"/>
      <w:numFmt w:val="bullet"/>
      <w:lvlText w:val=""/>
      <w:lvlJc w:val="left"/>
      <w:pPr>
        <w:ind w:left="5040" w:hanging="360"/>
      </w:pPr>
      <w:rPr>
        <w:rFonts w:ascii="Wingdings" w:hAnsi="Wingdings" w:hint="default"/>
      </w:rPr>
    </w:lvl>
    <w:lvl w:ilvl="6" w:tplc="6FA69FB4" w:tentative="1">
      <w:start w:val="1"/>
      <w:numFmt w:val="bullet"/>
      <w:lvlText w:val=""/>
      <w:lvlJc w:val="left"/>
      <w:pPr>
        <w:ind w:left="5760" w:hanging="360"/>
      </w:pPr>
      <w:rPr>
        <w:rFonts w:ascii="Symbol" w:hAnsi="Symbol" w:hint="default"/>
      </w:rPr>
    </w:lvl>
    <w:lvl w:ilvl="7" w:tplc="66EE3786" w:tentative="1">
      <w:start w:val="1"/>
      <w:numFmt w:val="bullet"/>
      <w:lvlText w:val="o"/>
      <w:lvlJc w:val="left"/>
      <w:pPr>
        <w:ind w:left="6480" w:hanging="360"/>
      </w:pPr>
      <w:rPr>
        <w:rFonts w:ascii="Courier New" w:hAnsi="Courier New" w:cs="Courier New" w:hint="default"/>
      </w:rPr>
    </w:lvl>
    <w:lvl w:ilvl="8" w:tplc="6B2AB2F2" w:tentative="1">
      <w:start w:val="1"/>
      <w:numFmt w:val="bullet"/>
      <w:lvlText w:val=""/>
      <w:lvlJc w:val="left"/>
      <w:pPr>
        <w:ind w:left="7200" w:hanging="360"/>
      </w:pPr>
      <w:rPr>
        <w:rFonts w:ascii="Wingdings" w:hAnsi="Wingdings" w:hint="default"/>
      </w:rPr>
    </w:lvl>
  </w:abstractNum>
  <w:abstractNum w:abstractNumId="60">
    <w:nsid w:val="06E6597A"/>
    <w:multiLevelType w:val="hybridMultilevel"/>
    <w:tmpl w:val="D3029C2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1">
    <w:nsid w:val="07DA717A"/>
    <w:multiLevelType w:val="hybridMultilevel"/>
    <w:tmpl w:val="4BAECC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nsid w:val="07DF2FF0"/>
    <w:multiLevelType w:val="hybridMultilevel"/>
    <w:tmpl w:val="A1583112"/>
    <w:lvl w:ilvl="0" w:tplc="56462826">
      <w:start w:val="3"/>
      <w:numFmt w:val="lowerLetter"/>
      <w:lvlText w:val="(%1)"/>
      <w:lvlJc w:val="left"/>
      <w:pPr>
        <w:tabs>
          <w:tab w:val="num" w:pos="360"/>
        </w:tabs>
        <w:ind w:left="360" w:hanging="360"/>
      </w:pPr>
      <w:rPr>
        <w:rFonts w:cs="Times New Roman"/>
      </w:rPr>
    </w:lvl>
    <w:lvl w:ilvl="1" w:tplc="97FACD34">
      <w:start w:val="1"/>
      <w:numFmt w:val="bullet"/>
      <w:lvlText w:val=""/>
      <w:lvlJc w:val="left"/>
      <w:pPr>
        <w:tabs>
          <w:tab w:val="num" w:pos="1440"/>
        </w:tabs>
        <w:ind w:left="1440" w:hanging="360"/>
      </w:pPr>
      <w:rPr>
        <w:rFonts w:ascii="Symbol" w:hAnsi="Symbol" w:hint="default"/>
      </w:rPr>
    </w:lvl>
    <w:lvl w:ilvl="2" w:tplc="D4147968">
      <w:start w:val="1"/>
      <w:numFmt w:val="lowerLetter"/>
      <w:lvlText w:val="(%3)"/>
      <w:lvlJc w:val="left"/>
      <w:pPr>
        <w:tabs>
          <w:tab w:val="num" w:pos="2160"/>
        </w:tabs>
        <w:ind w:left="2160" w:hanging="360"/>
      </w:pPr>
      <w:rPr>
        <w:rFonts w:cs="Times New Roman"/>
      </w:rPr>
    </w:lvl>
    <w:lvl w:ilvl="3" w:tplc="1E7E2F9E" w:tentative="1">
      <w:start w:val="1"/>
      <w:numFmt w:val="lowerLetter"/>
      <w:lvlText w:val="(%4)"/>
      <w:lvlJc w:val="left"/>
      <w:pPr>
        <w:tabs>
          <w:tab w:val="num" w:pos="2880"/>
        </w:tabs>
        <w:ind w:left="2880" w:hanging="360"/>
      </w:pPr>
      <w:rPr>
        <w:rFonts w:cs="Times New Roman"/>
      </w:rPr>
    </w:lvl>
    <w:lvl w:ilvl="4" w:tplc="3916636A" w:tentative="1">
      <w:start w:val="1"/>
      <w:numFmt w:val="lowerLetter"/>
      <w:lvlText w:val="(%5)"/>
      <w:lvlJc w:val="left"/>
      <w:pPr>
        <w:tabs>
          <w:tab w:val="num" w:pos="3600"/>
        </w:tabs>
        <w:ind w:left="3600" w:hanging="360"/>
      </w:pPr>
      <w:rPr>
        <w:rFonts w:cs="Times New Roman"/>
      </w:rPr>
    </w:lvl>
    <w:lvl w:ilvl="5" w:tplc="5914D820" w:tentative="1">
      <w:start w:val="1"/>
      <w:numFmt w:val="lowerLetter"/>
      <w:lvlText w:val="(%6)"/>
      <w:lvlJc w:val="left"/>
      <w:pPr>
        <w:tabs>
          <w:tab w:val="num" w:pos="4320"/>
        </w:tabs>
        <w:ind w:left="4320" w:hanging="360"/>
      </w:pPr>
      <w:rPr>
        <w:rFonts w:cs="Times New Roman"/>
      </w:rPr>
    </w:lvl>
    <w:lvl w:ilvl="6" w:tplc="E1901314" w:tentative="1">
      <w:start w:val="1"/>
      <w:numFmt w:val="lowerLetter"/>
      <w:lvlText w:val="(%7)"/>
      <w:lvlJc w:val="left"/>
      <w:pPr>
        <w:tabs>
          <w:tab w:val="num" w:pos="5040"/>
        </w:tabs>
        <w:ind w:left="5040" w:hanging="360"/>
      </w:pPr>
      <w:rPr>
        <w:rFonts w:cs="Times New Roman"/>
      </w:rPr>
    </w:lvl>
    <w:lvl w:ilvl="7" w:tplc="57409BC4" w:tentative="1">
      <w:start w:val="1"/>
      <w:numFmt w:val="lowerLetter"/>
      <w:lvlText w:val="(%8)"/>
      <w:lvlJc w:val="left"/>
      <w:pPr>
        <w:tabs>
          <w:tab w:val="num" w:pos="5760"/>
        </w:tabs>
        <w:ind w:left="5760" w:hanging="360"/>
      </w:pPr>
      <w:rPr>
        <w:rFonts w:cs="Times New Roman"/>
      </w:rPr>
    </w:lvl>
    <w:lvl w:ilvl="8" w:tplc="3AF4267C" w:tentative="1">
      <w:start w:val="1"/>
      <w:numFmt w:val="lowerLetter"/>
      <w:lvlText w:val="(%9)"/>
      <w:lvlJc w:val="left"/>
      <w:pPr>
        <w:tabs>
          <w:tab w:val="num" w:pos="6480"/>
        </w:tabs>
        <w:ind w:left="6480" w:hanging="360"/>
      </w:pPr>
      <w:rPr>
        <w:rFonts w:cs="Times New Roman"/>
      </w:rPr>
    </w:lvl>
  </w:abstractNum>
  <w:abstractNum w:abstractNumId="63">
    <w:nsid w:val="08641FFA"/>
    <w:multiLevelType w:val="hybridMultilevel"/>
    <w:tmpl w:val="84AC2562"/>
    <w:lvl w:ilvl="0" w:tplc="7860A002">
      <w:start w:val="1"/>
      <w:numFmt w:val="bullet"/>
      <w:pStyle w:val="BulletedPara"/>
      <w:lvlText w:val=""/>
      <w:lvlJc w:val="left"/>
      <w:pPr>
        <w:tabs>
          <w:tab w:val="num" w:pos="1800"/>
        </w:tabs>
        <w:ind w:left="1800" w:hanging="360"/>
      </w:pPr>
      <w:rPr>
        <w:rFonts w:ascii="Symbol" w:hAnsi="Symbol" w:hint="default"/>
      </w:rPr>
    </w:lvl>
    <w:lvl w:ilvl="1" w:tplc="D81EAEEC">
      <w:start w:val="1"/>
      <w:numFmt w:val="bullet"/>
      <w:lvlText w:val="o"/>
      <w:lvlJc w:val="left"/>
      <w:pPr>
        <w:tabs>
          <w:tab w:val="num" w:pos="2520"/>
        </w:tabs>
        <w:ind w:left="2520" w:hanging="360"/>
      </w:pPr>
      <w:rPr>
        <w:rFonts w:ascii="Courier New" w:hAnsi="Courier New" w:hint="default"/>
      </w:rPr>
    </w:lvl>
    <w:lvl w:ilvl="2" w:tplc="10E21146" w:tentative="1">
      <w:start w:val="1"/>
      <w:numFmt w:val="bullet"/>
      <w:lvlText w:val=""/>
      <w:lvlJc w:val="left"/>
      <w:pPr>
        <w:tabs>
          <w:tab w:val="num" w:pos="3240"/>
        </w:tabs>
        <w:ind w:left="3240" w:hanging="360"/>
      </w:pPr>
      <w:rPr>
        <w:rFonts w:ascii="Wingdings" w:hAnsi="Wingdings" w:hint="default"/>
      </w:rPr>
    </w:lvl>
    <w:lvl w:ilvl="3" w:tplc="FF0621DA">
      <w:start w:val="1"/>
      <w:numFmt w:val="bullet"/>
      <w:lvlText w:val=""/>
      <w:lvlJc w:val="left"/>
      <w:pPr>
        <w:tabs>
          <w:tab w:val="num" w:pos="3960"/>
        </w:tabs>
        <w:ind w:left="3960" w:hanging="360"/>
      </w:pPr>
      <w:rPr>
        <w:rFonts w:ascii="Symbol" w:hAnsi="Symbol" w:hint="default"/>
      </w:rPr>
    </w:lvl>
    <w:lvl w:ilvl="4" w:tplc="0B3C3A1C" w:tentative="1">
      <w:start w:val="1"/>
      <w:numFmt w:val="bullet"/>
      <w:lvlText w:val="o"/>
      <w:lvlJc w:val="left"/>
      <w:pPr>
        <w:tabs>
          <w:tab w:val="num" w:pos="4680"/>
        </w:tabs>
        <w:ind w:left="4680" w:hanging="360"/>
      </w:pPr>
      <w:rPr>
        <w:rFonts w:ascii="Courier New" w:hAnsi="Courier New" w:hint="default"/>
      </w:rPr>
    </w:lvl>
    <w:lvl w:ilvl="5" w:tplc="C8F26518" w:tentative="1">
      <w:start w:val="1"/>
      <w:numFmt w:val="bullet"/>
      <w:lvlText w:val=""/>
      <w:lvlJc w:val="left"/>
      <w:pPr>
        <w:tabs>
          <w:tab w:val="num" w:pos="5400"/>
        </w:tabs>
        <w:ind w:left="5400" w:hanging="360"/>
      </w:pPr>
      <w:rPr>
        <w:rFonts w:ascii="Wingdings" w:hAnsi="Wingdings" w:hint="default"/>
      </w:rPr>
    </w:lvl>
    <w:lvl w:ilvl="6" w:tplc="AC640200" w:tentative="1">
      <w:start w:val="1"/>
      <w:numFmt w:val="bullet"/>
      <w:lvlText w:val=""/>
      <w:lvlJc w:val="left"/>
      <w:pPr>
        <w:tabs>
          <w:tab w:val="num" w:pos="6120"/>
        </w:tabs>
        <w:ind w:left="6120" w:hanging="360"/>
      </w:pPr>
      <w:rPr>
        <w:rFonts w:ascii="Symbol" w:hAnsi="Symbol" w:hint="default"/>
      </w:rPr>
    </w:lvl>
    <w:lvl w:ilvl="7" w:tplc="376A4660" w:tentative="1">
      <w:start w:val="1"/>
      <w:numFmt w:val="bullet"/>
      <w:lvlText w:val="o"/>
      <w:lvlJc w:val="left"/>
      <w:pPr>
        <w:tabs>
          <w:tab w:val="num" w:pos="6840"/>
        </w:tabs>
        <w:ind w:left="6840" w:hanging="360"/>
      </w:pPr>
      <w:rPr>
        <w:rFonts w:ascii="Courier New" w:hAnsi="Courier New" w:hint="default"/>
      </w:rPr>
    </w:lvl>
    <w:lvl w:ilvl="8" w:tplc="20B8B0C0" w:tentative="1">
      <w:start w:val="1"/>
      <w:numFmt w:val="bullet"/>
      <w:lvlText w:val=""/>
      <w:lvlJc w:val="left"/>
      <w:pPr>
        <w:tabs>
          <w:tab w:val="num" w:pos="7560"/>
        </w:tabs>
        <w:ind w:left="7560" w:hanging="360"/>
      </w:pPr>
      <w:rPr>
        <w:rFonts w:ascii="Wingdings" w:hAnsi="Wingdings" w:hint="default"/>
      </w:rPr>
    </w:lvl>
  </w:abstractNum>
  <w:abstractNum w:abstractNumId="64">
    <w:nsid w:val="088E66F0"/>
    <w:multiLevelType w:val="hybridMultilevel"/>
    <w:tmpl w:val="AFAE215E"/>
    <w:lvl w:ilvl="0" w:tplc="955A301A">
      <w:start w:val="1"/>
      <w:numFmt w:val="bullet"/>
      <w:lvlText w:val="–"/>
      <w:lvlJc w:val="left"/>
      <w:pPr>
        <w:tabs>
          <w:tab w:val="num" w:pos="720"/>
        </w:tabs>
        <w:ind w:left="720" w:hanging="360"/>
      </w:pPr>
      <w:rPr>
        <w:rFonts w:ascii="Arial" w:hAnsi="Arial" w:hint="default"/>
      </w:rPr>
    </w:lvl>
    <w:lvl w:ilvl="1" w:tplc="E1284BF4">
      <w:start w:val="1"/>
      <w:numFmt w:val="bullet"/>
      <w:lvlText w:val="–"/>
      <w:lvlJc w:val="left"/>
      <w:pPr>
        <w:tabs>
          <w:tab w:val="num" w:pos="1440"/>
        </w:tabs>
        <w:ind w:left="1440" w:hanging="360"/>
      </w:pPr>
      <w:rPr>
        <w:rFonts w:ascii="Arial" w:hAnsi="Arial" w:hint="default"/>
      </w:rPr>
    </w:lvl>
    <w:lvl w:ilvl="2" w:tplc="22766DC2" w:tentative="1">
      <w:start w:val="1"/>
      <w:numFmt w:val="bullet"/>
      <w:lvlText w:val="–"/>
      <w:lvlJc w:val="left"/>
      <w:pPr>
        <w:tabs>
          <w:tab w:val="num" w:pos="2160"/>
        </w:tabs>
        <w:ind w:left="2160" w:hanging="360"/>
      </w:pPr>
      <w:rPr>
        <w:rFonts w:ascii="Arial" w:hAnsi="Arial" w:hint="default"/>
      </w:rPr>
    </w:lvl>
    <w:lvl w:ilvl="3" w:tplc="1F102190" w:tentative="1">
      <w:start w:val="1"/>
      <w:numFmt w:val="bullet"/>
      <w:lvlText w:val="–"/>
      <w:lvlJc w:val="left"/>
      <w:pPr>
        <w:tabs>
          <w:tab w:val="num" w:pos="2880"/>
        </w:tabs>
        <w:ind w:left="2880" w:hanging="360"/>
      </w:pPr>
      <w:rPr>
        <w:rFonts w:ascii="Arial" w:hAnsi="Arial" w:hint="default"/>
      </w:rPr>
    </w:lvl>
    <w:lvl w:ilvl="4" w:tplc="DCECCF74" w:tentative="1">
      <w:start w:val="1"/>
      <w:numFmt w:val="bullet"/>
      <w:lvlText w:val="–"/>
      <w:lvlJc w:val="left"/>
      <w:pPr>
        <w:tabs>
          <w:tab w:val="num" w:pos="3600"/>
        </w:tabs>
        <w:ind w:left="3600" w:hanging="360"/>
      </w:pPr>
      <w:rPr>
        <w:rFonts w:ascii="Arial" w:hAnsi="Arial" w:hint="default"/>
      </w:rPr>
    </w:lvl>
    <w:lvl w:ilvl="5" w:tplc="4A540F60" w:tentative="1">
      <w:start w:val="1"/>
      <w:numFmt w:val="bullet"/>
      <w:lvlText w:val="–"/>
      <w:lvlJc w:val="left"/>
      <w:pPr>
        <w:tabs>
          <w:tab w:val="num" w:pos="4320"/>
        </w:tabs>
        <w:ind w:left="4320" w:hanging="360"/>
      </w:pPr>
      <w:rPr>
        <w:rFonts w:ascii="Arial" w:hAnsi="Arial" w:hint="default"/>
      </w:rPr>
    </w:lvl>
    <w:lvl w:ilvl="6" w:tplc="3F68DF20" w:tentative="1">
      <w:start w:val="1"/>
      <w:numFmt w:val="bullet"/>
      <w:lvlText w:val="–"/>
      <w:lvlJc w:val="left"/>
      <w:pPr>
        <w:tabs>
          <w:tab w:val="num" w:pos="5040"/>
        </w:tabs>
        <w:ind w:left="5040" w:hanging="360"/>
      </w:pPr>
      <w:rPr>
        <w:rFonts w:ascii="Arial" w:hAnsi="Arial" w:hint="default"/>
      </w:rPr>
    </w:lvl>
    <w:lvl w:ilvl="7" w:tplc="554E1FFA" w:tentative="1">
      <w:start w:val="1"/>
      <w:numFmt w:val="bullet"/>
      <w:lvlText w:val="–"/>
      <w:lvlJc w:val="left"/>
      <w:pPr>
        <w:tabs>
          <w:tab w:val="num" w:pos="5760"/>
        </w:tabs>
        <w:ind w:left="5760" w:hanging="360"/>
      </w:pPr>
      <w:rPr>
        <w:rFonts w:ascii="Arial" w:hAnsi="Arial" w:hint="default"/>
      </w:rPr>
    </w:lvl>
    <w:lvl w:ilvl="8" w:tplc="FFB2FCE6" w:tentative="1">
      <w:start w:val="1"/>
      <w:numFmt w:val="bullet"/>
      <w:lvlText w:val="–"/>
      <w:lvlJc w:val="left"/>
      <w:pPr>
        <w:tabs>
          <w:tab w:val="num" w:pos="6480"/>
        </w:tabs>
        <w:ind w:left="6480" w:hanging="360"/>
      </w:pPr>
      <w:rPr>
        <w:rFonts w:ascii="Arial" w:hAnsi="Arial" w:hint="default"/>
      </w:rPr>
    </w:lvl>
  </w:abstractNum>
  <w:abstractNum w:abstractNumId="65">
    <w:nsid w:val="08F84261"/>
    <w:multiLevelType w:val="hybridMultilevel"/>
    <w:tmpl w:val="41E2E820"/>
    <w:lvl w:ilvl="0" w:tplc="524CA8A8">
      <w:start w:val="1"/>
      <w:numFmt w:val="bullet"/>
      <w:pStyle w:val="Bullets"/>
      <w:lvlText w:val=""/>
      <w:lvlJc w:val="left"/>
      <w:pPr>
        <w:tabs>
          <w:tab w:val="num" w:pos="720"/>
        </w:tabs>
        <w:ind w:left="720" w:hanging="360"/>
      </w:pPr>
      <w:rPr>
        <w:rFonts w:ascii="Symbol" w:hAnsi="Symbol" w:hint="default"/>
        <w:color w:val="008080"/>
      </w:rPr>
    </w:lvl>
    <w:lvl w:ilvl="1" w:tplc="D9E4B94E">
      <w:start w:val="1"/>
      <w:numFmt w:val="decimal"/>
      <w:lvlText w:val="%2."/>
      <w:lvlJc w:val="left"/>
      <w:pPr>
        <w:tabs>
          <w:tab w:val="num" w:pos="1440"/>
        </w:tabs>
        <w:ind w:left="1440" w:hanging="360"/>
      </w:pPr>
      <w:rPr>
        <w:rFonts w:hint="default"/>
      </w:rPr>
    </w:lvl>
    <w:lvl w:ilvl="2" w:tplc="82C2DEC2">
      <w:start w:val="1"/>
      <w:numFmt w:val="bullet"/>
      <w:lvlText w:val=""/>
      <w:lvlJc w:val="left"/>
      <w:pPr>
        <w:tabs>
          <w:tab w:val="num" w:pos="2160"/>
        </w:tabs>
        <w:ind w:left="2160" w:hanging="360"/>
      </w:pPr>
      <w:rPr>
        <w:rFonts w:ascii="Wingdings" w:hAnsi="Wingdings" w:hint="default"/>
      </w:rPr>
    </w:lvl>
    <w:lvl w:ilvl="3" w:tplc="3B626738">
      <w:start w:val="1"/>
      <w:numFmt w:val="decimal"/>
      <w:lvlText w:val="(%4)"/>
      <w:lvlJc w:val="left"/>
      <w:pPr>
        <w:tabs>
          <w:tab w:val="num" w:pos="2880"/>
        </w:tabs>
        <w:ind w:left="2880" w:hanging="360"/>
      </w:pPr>
      <w:rPr>
        <w:rFonts w:cs="Times New Roman" w:hint="default"/>
      </w:rPr>
    </w:lvl>
    <w:lvl w:ilvl="4" w:tplc="26F25B38" w:tentative="1">
      <w:start w:val="1"/>
      <w:numFmt w:val="bullet"/>
      <w:lvlText w:val="o"/>
      <w:lvlJc w:val="left"/>
      <w:pPr>
        <w:tabs>
          <w:tab w:val="num" w:pos="3600"/>
        </w:tabs>
        <w:ind w:left="3600" w:hanging="360"/>
      </w:pPr>
      <w:rPr>
        <w:rFonts w:ascii="Courier New" w:hAnsi="Courier New" w:hint="default"/>
      </w:rPr>
    </w:lvl>
    <w:lvl w:ilvl="5" w:tplc="E20C96AA" w:tentative="1">
      <w:start w:val="1"/>
      <w:numFmt w:val="bullet"/>
      <w:lvlText w:val=""/>
      <w:lvlJc w:val="left"/>
      <w:pPr>
        <w:tabs>
          <w:tab w:val="num" w:pos="4320"/>
        </w:tabs>
        <w:ind w:left="4320" w:hanging="360"/>
      </w:pPr>
      <w:rPr>
        <w:rFonts w:ascii="Wingdings" w:hAnsi="Wingdings" w:hint="default"/>
      </w:rPr>
    </w:lvl>
    <w:lvl w:ilvl="6" w:tplc="9978FA5E" w:tentative="1">
      <w:start w:val="1"/>
      <w:numFmt w:val="bullet"/>
      <w:lvlText w:val=""/>
      <w:lvlJc w:val="left"/>
      <w:pPr>
        <w:tabs>
          <w:tab w:val="num" w:pos="5040"/>
        </w:tabs>
        <w:ind w:left="5040" w:hanging="360"/>
      </w:pPr>
      <w:rPr>
        <w:rFonts w:ascii="Symbol" w:hAnsi="Symbol" w:hint="default"/>
      </w:rPr>
    </w:lvl>
    <w:lvl w:ilvl="7" w:tplc="984C0BF6" w:tentative="1">
      <w:start w:val="1"/>
      <w:numFmt w:val="bullet"/>
      <w:lvlText w:val="o"/>
      <w:lvlJc w:val="left"/>
      <w:pPr>
        <w:tabs>
          <w:tab w:val="num" w:pos="5760"/>
        </w:tabs>
        <w:ind w:left="5760" w:hanging="360"/>
      </w:pPr>
      <w:rPr>
        <w:rFonts w:ascii="Courier New" w:hAnsi="Courier New" w:hint="default"/>
      </w:rPr>
    </w:lvl>
    <w:lvl w:ilvl="8" w:tplc="3CF6236E" w:tentative="1">
      <w:start w:val="1"/>
      <w:numFmt w:val="bullet"/>
      <w:lvlText w:val=""/>
      <w:lvlJc w:val="left"/>
      <w:pPr>
        <w:tabs>
          <w:tab w:val="num" w:pos="6480"/>
        </w:tabs>
        <w:ind w:left="6480" w:hanging="360"/>
      </w:pPr>
      <w:rPr>
        <w:rFonts w:ascii="Wingdings" w:hAnsi="Wingdings" w:hint="default"/>
      </w:rPr>
    </w:lvl>
  </w:abstractNum>
  <w:abstractNum w:abstractNumId="66">
    <w:nsid w:val="095D5EBC"/>
    <w:multiLevelType w:val="hybridMultilevel"/>
    <w:tmpl w:val="E144963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7">
    <w:nsid w:val="09AF1FE7"/>
    <w:multiLevelType w:val="hybridMultilevel"/>
    <w:tmpl w:val="0CDA5CF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nsid w:val="09B52620"/>
    <w:multiLevelType w:val="hybridMultilevel"/>
    <w:tmpl w:val="A99404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nsid w:val="0A1B602C"/>
    <w:multiLevelType w:val="hybridMultilevel"/>
    <w:tmpl w:val="6B6EC5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nsid w:val="0A6D30A1"/>
    <w:multiLevelType w:val="hybridMultilevel"/>
    <w:tmpl w:val="A4640860"/>
    <w:lvl w:ilvl="0" w:tplc="985A214E">
      <w:start w:val="1"/>
      <w:numFmt w:val="bullet"/>
      <w:lvlText w:val="•"/>
      <w:lvlJc w:val="left"/>
      <w:pPr>
        <w:tabs>
          <w:tab w:val="num" w:pos="360"/>
        </w:tabs>
        <w:ind w:left="360" w:hanging="360"/>
      </w:pPr>
      <w:rPr>
        <w:rFonts w:ascii="Times New Roman" w:hAnsi="Times New Roman" w:hint="default"/>
      </w:rPr>
    </w:lvl>
    <w:lvl w:ilvl="1" w:tplc="10365DE0">
      <w:start w:val="1936"/>
      <w:numFmt w:val="bullet"/>
      <w:lvlText w:val="–"/>
      <w:lvlJc w:val="left"/>
      <w:pPr>
        <w:tabs>
          <w:tab w:val="num" w:pos="1080"/>
        </w:tabs>
        <w:ind w:left="1080" w:hanging="360"/>
      </w:pPr>
      <w:rPr>
        <w:rFonts w:ascii="Times New Roman" w:hAnsi="Times New Roman" w:hint="default"/>
      </w:rPr>
    </w:lvl>
    <w:lvl w:ilvl="2" w:tplc="BFB0402C" w:tentative="1">
      <w:start w:val="1"/>
      <w:numFmt w:val="bullet"/>
      <w:lvlText w:val="•"/>
      <w:lvlJc w:val="left"/>
      <w:pPr>
        <w:tabs>
          <w:tab w:val="num" w:pos="1800"/>
        </w:tabs>
        <w:ind w:left="1800" w:hanging="360"/>
      </w:pPr>
      <w:rPr>
        <w:rFonts w:ascii="Times New Roman" w:hAnsi="Times New Roman" w:hint="default"/>
      </w:rPr>
    </w:lvl>
    <w:lvl w:ilvl="3" w:tplc="43A0E4E4" w:tentative="1">
      <w:start w:val="1"/>
      <w:numFmt w:val="bullet"/>
      <w:lvlText w:val="•"/>
      <w:lvlJc w:val="left"/>
      <w:pPr>
        <w:tabs>
          <w:tab w:val="num" w:pos="2520"/>
        </w:tabs>
        <w:ind w:left="2520" w:hanging="360"/>
      </w:pPr>
      <w:rPr>
        <w:rFonts w:ascii="Times New Roman" w:hAnsi="Times New Roman" w:hint="default"/>
      </w:rPr>
    </w:lvl>
    <w:lvl w:ilvl="4" w:tplc="C586342E" w:tentative="1">
      <w:start w:val="1"/>
      <w:numFmt w:val="bullet"/>
      <w:lvlText w:val="•"/>
      <w:lvlJc w:val="left"/>
      <w:pPr>
        <w:tabs>
          <w:tab w:val="num" w:pos="3240"/>
        </w:tabs>
        <w:ind w:left="3240" w:hanging="360"/>
      </w:pPr>
      <w:rPr>
        <w:rFonts w:ascii="Times New Roman" w:hAnsi="Times New Roman" w:hint="default"/>
      </w:rPr>
    </w:lvl>
    <w:lvl w:ilvl="5" w:tplc="1422DEDE" w:tentative="1">
      <w:start w:val="1"/>
      <w:numFmt w:val="bullet"/>
      <w:lvlText w:val="•"/>
      <w:lvlJc w:val="left"/>
      <w:pPr>
        <w:tabs>
          <w:tab w:val="num" w:pos="3960"/>
        </w:tabs>
        <w:ind w:left="3960" w:hanging="360"/>
      </w:pPr>
      <w:rPr>
        <w:rFonts w:ascii="Times New Roman" w:hAnsi="Times New Roman" w:hint="default"/>
      </w:rPr>
    </w:lvl>
    <w:lvl w:ilvl="6" w:tplc="A91E5A0E" w:tentative="1">
      <w:start w:val="1"/>
      <w:numFmt w:val="bullet"/>
      <w:lvlText w:val="•"/>
      <w:lvlJc w:val="left"/>
      <w:pPr>
        <w:tabs>
          <w:tab w:val="num" w:pos="4680"/>
        </w:tabs>
        <w:ind w:left="4680" w:hanging="360"/>
      </w:pPr>
      <w:rPr>
        <w:rFonts w:ascii="Times New Roman" w:hAnsi="Times New Roman" w:hint="default"/>
      </w:rPr>
    </w:lvl>
    <w:lvl w:ilvl="7" w:tplc="3E745B8A" w:tentative="1">
      <w:start w:val="1"/>
      <w:numFmt w:val="bullet"/>
      <w:lvlText w:val="•"/>
      <w:lvlJc w:val="left"/>
      <w:pPr>
        <w:tabs>
          <w:tab w:val="num" w:pos="5400"/>
        </w:tabs>
        <w:ind w:left="5400" w:hanging="360"/>
      </w:pPr>
      <w:rPr>
        <w:rFonts w:ascii="Times New Roman" w:hAnsi="Times New Roman" w:hint="default"/>
      </w:rPr>
    </w:lvl>
    <w:lvl w:ilvl="8" w:tplc="218C3A5E" w:tentative="1">
      <w:start w:val="1"/>
      <w:numFmt w:val="bullet"/>
      <w:lvlText w:val="•"/>
      <w:lvlJc w:val="left"/>
      <w:pPr>
        <w:tabs>
          <w:tab w:val="num" w:pos="6120"/>
        </w:tabs>
        <w:ind w:left="6120" w:hanging="360"/>
      </w:pPr>
      <w:rPr>
        <w:rFonts w:ascii="Times New Roman" w:hAnsi="Times New Roman" w:hint="default"/>
      </w:rPr>
    </w:lvl>
  </w:abstractNum>
  <w:abstractNum w:abstractNumId="71">
    <w:nsid w:val="0A9652F3"/>
    <w:multiLevelType w:val="hybridMultilevel"/>
    <w:tmpl w:val="D3F4B70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2">
    <w:nsid w:val="0AE526E4"/>
    <w:multiLevelType w:val="hybridMultilevel"/>
    <w:tmpl w:val="E6D2907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73">
    <w:nsid w:val="0AE65B1C"/>
    <w:multiLevelType w:val="hybridMultilevel"/>
    <w:tmpl w:val="6D421D1C"/>
    <w:lvl w:ilvl="0" w:tplc="05C22B02">
      <w:start w:val="1"/>
      <w:numFmt w:val="bullet"/>
      <w:lvlText w:val=""/>
      <w:lvlJc w:val="left"/>
      <w:pPr>
        <w:tabs>
          <w:tab w:val="num" w:pos="720"/>
        </w:tabs>
        <w:ind w:left="720" w:hanging="360"/>
      </w:pPr>
      <w:rPr>
        <w:rFonts w:ascii="Symbol" w:hAnsi="Symbol" w:hint="default"/>
        <w:color w:val="auto"/>
      </w:rPr>
    </w:lvl>
    <w:lvl w:ilvl="1" w:tplc="04090019">
      <w:start w:val="1"/>
      <w:numFmt w:val="decimal"/>
      <w:pStyle w:val="NumberedList"/>
      <w:lvlText w:val="%2."/>
      <w:lvlJc w:val="left"/>
      <w:pPr>
        <w:tabs>
          <w:tab w:val="num" w:pos="1440"/>
        </w:tabs>
        <w:ind w:left="1440" w:hanging="360"/>
      </w:pPr>
      <w:rPr>
        <w:rFonts w:hint="default"/>
      </w:rPr>
    </w:lvl>
    <w:lvl w:ilvl="2" w:tplc="0409001B">
      <w:start w:val="1"/>
      <w:numFmt w:val="bullet"/>
      <w:lvlText w:val=""/>
      <w:lvlJc w:val="left"/>
      <w:pPr>
        <w:tabs>
          <w:tab w:val="num" w:pos="2160"/>
        </w:tabs>
        <w:ind w:left="2160" w:hanging="360"/>
      </w:pPr>
      <w:rPr>
        <w:rFonts w:ascii="Wingdings" w:hAnsi="Wingdings" w:hint="default"/>
      </w:rPr>
    </w:lvl>
    <w:lvl w:ilvl="3" w:tplc="0409000F">
      <w:start w:val="1"/>
      <w:numFmt w:val="decimal"/>
      <w:lvlText w:val="(%4)"/>
      <w:lvlJc w:val="left"/>
      <w:pPr>
        <w:tabs>
          <w:tab w:val="num" w:pos="2880"/>
        </w:tabs>
        <w:ind w:left="2880" w:hanging="360"/>
      </w:pPr>
      <w:rPr>
        <w:rFonts w:cs="Times New Roman" w:hint="default"/>
      </w:rPr>
    </w:lvl>
    <w:lvl w:ilvl="4" w:tplc="04090019" w:tentative="1">
      <w:start w:val="1"/>
      <w:numFmt w:val="bullet"/>
      <w:lvlText w:val="o"/>
      <w:lvlJc w:val="left"/>
      <w:pPr>
        <w:tabs>
          <w:tab w:val="num" w:pos="3600"/>
        </w:tabs>
        <w:ind w:left="3600" w:hanging="360"/>
      </w:pPr>
      <w:rPr>
        <w:rFonts w:ascii="Courier New" w:hAnsi="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74">
    <w:nsid w:val="0B2250BA"/>
    <w:multiLevelType w:val="hybridMultilevel"/>
    <w:tmpl w:val="58A2B3D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3">
      <w:start w:val="1"/>
      <w:numFmt w:val="bullet"/>
      <w:lvlText w:val="o"/>
      <w:lvlJc w:val="left"/>
      <w:pPr>
        <w:ind w:left="2160" w:hanging="360"/>
      </w:pPr>
      <w:rPr>
        <w:rFonts w:ascii="Courier New" w:hAnsi="Courier New" w:cs="Courier New" w:hint="default"/>
        <w:vertAlign w:val="baseline"/>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nsid w:val="0B2D7D7C"/>
    <w:multiLevelType w:val="hybridMultilevel"/>
    <w:tmpl w:val="9B44E7A4"/>
    <w:lvl w:ilvl="0" w:tplc="04090003">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nsid w:val="0B810C36"/>
    <w:multiLevelType w:val="hybridMultilevel"/>
    <w:tmpl w:val="68A63A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nsid w:val="0B852EBA"/>
    <w:multiLevelType w:val="hybridMultilevel"/>
    <w:tmpl w:val="AC5CC0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nsid w:val="0BCE082A"/>
    <w:multiLevelType w:val="hybridMultilevel"/>
    <w:tmpl w:val="DCB216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nsid w:val="0BDA6E45"/>
    <w:multiLevelType w:val="hybridMultilevel"/>
    <w:tmpl w:val="3EF6C70C"/>
    <w:lvl w:ilvl="0" w:tplc="0409001B">
      <w:start w:val="4"/>
      <w:numFmt w:val="bullet"/>
      <w:lvlText w:val="–"/>
      <w:lvlJc w:val="left"/>
      <w:pPr>
        <w:ind w:left="4320" w:hanging="360"/>
      </w:pPr>
      <w:rPr>
        <w:rFonts w:ascii="Arial" w:eastAsia="Times New Roman" w:hAnsi="Arial" w:cs="Arial" w:hint="default"/>
      </w:rPr>
    </w:lvl>
    <w:lvl w:ilvl="1" w:tplc="04090003">
      <w:start w:val="1"/>
      <w:numFmt w:val="bullet"/>
      <w:lvlText w:val="o"/>
      <w:lvlJc w:val="left"/>
      <w:pPr>
        <w:ind w:left="5040" w:hanging="360"/>
      </w:pPr>
      <w:rPr>
        <w:rFonts w:ascii="Courier New" w:hAnsi="Courier New" w:cs="Courier New" w:hint="default"/>
      </w:rPr>
    </w:lvl>
    <w:lvl w:ilvl="2" w:tplc="04090005" w:tentative="1">
      <w:start w:val="1"/>
      <w:numFmt w:val="bullet"/>
      <w:lvlText w:val=""/>
      <w:lvlJc w:val="left"/>
      <w:pPr>
        <w:ind w:left="5760" w:hanging="360"/>
      </w:pPr>
      <w:rPr>
        <w:rFonts w:ascii="Wingdings" w:hAnsi="Wingdings" w:hint="default"/>
      </w:rPr>
    </w:lvl>
    <w:lvl w:ilvl="3" w:tplc="04090001" w:tentative="1">
      <w:start w:val="1"/>
      <w:numFmt w:val="bullet"/>
      <w:lvlText w:val=""/>
      <w:lvlJc w:val="left"/>
      <w:pPr>
        <w:ind w:left="6480" w:hanging="360"/>
      </w:pPr>
      <w:rPr>
        <w:rFonts w:ascii="Symbol" w:hAnsi="Symbol" w:hint="default"/>
      </w:rPr>
    </w:lvl>
    <w:lvl w:ilvl="4" w:tplc="04090003" w:tentative="1">
      <w:start w:val="1"/>
      <w:numFmt w:val="bullet"/>
      <w:lvlText w:val="o"/>
      <w:lvlJc w:val="left"/>
      <w:pPr>
        <w:ind w:left="7200" w:hanging="360"/>
      </w:pPr>
      <w:rPr>
        <w:rFonts w:ascii="Courier New" w:hAnsi="Courier New" w:cs="Courier New" w:hint="default"/>
      </w:rPr>
    </w:lvl>
    <w:lvl w:ilvl="5" w:tplc="04090005" w:tentative="1">
      <w:start w:val="1"/>
      <w:numFmt w:val="bullet"/>
      <w:lvlText w:val=""/>
      <w:lvlJc w:val="left"/>
      <w:pPr>
        <w:ind w:left="7920" w:hanging="360"/>
      </w:pPr>
      <w:rPr>
        <w:rFonts w:ascii="Wingdings" w:hAnsi="Wingdings" w:hint="default"/>
      </w:rPr>
    </w:lvl>
    <w:lvl w:ilvl="6" w:tplc="04090001" w:tentative="1">
      <w:start w:val="1"/>
      <w:numFmt w:val="bullet"/>
      <w:lvlText w:val=""/>
      <w:lvlJc w:val="left"/>
      <w:pPr>
        <w:ind w:left="8640" w:hanging="360"/>
      </w:pPr>
      <w:rPr>
        <w:rFonts w:ascii="Symbol" w:hAnsi="Symbol" w:hint="default"/>
      </w:rPr>
    </w:lvl>
    <w:lvl w:ilvl="7" w:tplc="04090003" w:tentative="1">
      <w:start w:val="1"/>
      <w:numFmt w:val="bullet"/>
      <w:lvlText w:val="o"/>
      <w:lvlJc w:val="left"/>
      <w:pPr>
        <w:ind w:left="9360" w:hanging="360"/>
      </w:pPr>
      <w:rPr>
        <w:rFonts w:ascii="Courier New" w:hAnsi="Courier New" w:cs="Courier New" w:hint="default"/>
      </w:rPr>
    </w:lvl>
    <w:lvl w:ilvl="8" w:tplc="04090005" w:tentative="1">
      <w:start w:val="1"/>
      <w:numFmt w:val="bullet"/>
      <w:lvlText w:val=""/>
      <w:lvlJc w:val="left"/>
      <w:pPr>
        <w:ind w:left="10080" w:hanging="360"/>
      </w:pPr>
      <w:rPr>
        <w:rFonts w:ascii="Wingdings" w:hAnsi="Wingdings" w:hint="default"/>
      </w:rPr>
    </w:lvl>
  </w:abstractNum>
  <w:abstractNum w:abstractNumId="80">
    <w:nsid w:val="0BDC3651"/>
    <w:multiLevelType w:val="hybridMultilevel"/>
    <w:tmpl w:val="E36EA57A"/>
    <w:lvl w:ilvl="0" w:tplc="B8064E66">
      <w:start w:val="1"/>
      <w:numFmt w:val="bullet"/>
      <w:lvlText w:val=""/>
      <w:lvlJc w:val="left"/>
      <w:pPr>
        <w:ind w:left="720" w:hanging="360"/>
      </w:pPr>
      <w:rPr>
        <w:rFonts w:ascii="Wingdings" w:hAnsi="Wingdings" w:hint="default"/>
        <w:b/>
        <w:i w:val="0"/>
        <w:sz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nsid w:val="0C0F5E67"/>
    <w:multiLevelType w:val="hybridMultilevel"/>
    <w:tmpl w:val="CB9483C6"/>
    <w:lvl w:ilvl="0" w:tplc="DD083D60">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82">
    <w:nsid w:val="0D0114D0"/>
    <w:multiLevelType w:val="hybridMultilevel"/>
    <w:tmpl w:val="4FCCD2F6"/>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3">
    <w:nsid w:val="0D73230E"/>
    <w:multiLevelType w:val="hybridMultilevel"/>
    <w:tmpl w:val="37181D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981622FC">
      <w:start w:val="1"/>
      <w:numFmt w:val="bullet"/>
      <w:lvlText w:val="-"/>
      <w:lvlJc w:val="left"/>
      <w:pPr>
        <w:ind w:left="2160" w:hanging="360"/>
      </w:pPr>
      <w:rPr>
        <w:rFonts w:ascii="Courier New" w:hAnsi="Courier New" w:hint="default"/>
        <w:vertAlign w:val="baseline"/>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nsid w:val="0D8A09A0"/>
    <w:multiLevelType w:val="hybridMultilevel"/>
    <w:tmpl w:val="CD0CC1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nsid w:val="0D8A1DC5"/>
    <w:multiLevelType w:val="hybridMultilevel"/>
    <w:tmpl w:val="975C389A"/>
    <w:lvl w:ilvl="0" w:tplc="04090001">
      <w:start w:val="1"/>
      <w:numFmt w:val="bullet"/>
      <w:lvlText w:val=""/>
      <w:lvlJc w:val="left"/>
      <w:pPr>
        <w:ind w:left="1440" w:hanging="360"/>
      </w:pPr>
      <w:rPr>
        <w:rFonts w:ascii="Symbol" w:hAnsi="Symbol" w:hint="default"/>
        <w:sz w:val="22"/>
        <w:szCs w:val="22"/>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6">
    <w:nsid w:val="0DA76CD9"/>
    <w:multiLevelType w:val="hybridMultilevel"/>
    <w:tmpl w:val="222C5E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nsid w:val="0DB05899"/>
    <w:multiLevelType w:val="hybridMultilevel"/>
    <w:tmpl w:val="39B2F3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nsid w:val="0E07639F"/>
    <w:multiLevelType w:val="hybridMultilevel"/>
    <w:tmpl w:val="559EEA70"/>
    <w:lvl w:ilvl="0" w:tplc="DF7C4256">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9">
    <w:nsid w:val="0E0A3B14"/>
    <w:multiLevelType w:val="hybridMultilevel"/>
    <w:tmpl w:val="3A729E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nsid w:val="0E1C0947"/>
    <w:multiLevelType w:val="hybridMultilevel"/>
    <w:tmpl w:val="4D182A06"/>
    <w:lvl w:ilvl="0" w:tplc="BE88E404">
      <w:start w:val="1"/>
      <w:numFmt w:val="bullet"/>
      <w:lvlText w:val=""/>
      <w:lvlJc w:val="left"/>
      <w:pPr>
        <w:ind w:left="720" w:hanging="360"/>
      </w:pPr>
      <w:rPr>
        <w:rFonts w:ascii="Symbol" w:hAnsi="Symbol" w:hint="default"/>
      </w:rPr>
    </w:lvl>
    <w:lvl w:ilvl="1" w:tplc="04090001" w:tentative="1">
      <w:start w:val="1"/>
      <w:numFmt w:val="bullet"/>
      <w:lvlText w:val="o"/>
      <w:lvlJc w:val="left"/>
      <w:pPr>
        <w:ind w:left="1440" w:hanging="360"/>
      </w:pPr>
      <w:rPr>
        <w:rFonts w:ascii="Courier New" w:hAnsi="Courier New" w:cs="Courier New" w:hint="default"/>
      </w:rPr>
    </w:lvl>
    <w:lvl w:ilvl="2" w:tplc="A13E3792" w:tentative="1">
      <w:start w:val="1"/>
      <w:numFmt w:val="bullet"/>
      <w:lvlText w:val=""/>
      <w:lvlJc w:val="left"/>
      <w:pPr>
        <w:ind w:left="2160" w:hanging="360"/>
      </w:pPr>
      <w:rPr>
        <w:rFonts w:ascii="Wingdings" w:hAnsi="Wingdings" w:hint="default"/>
      </w:rPr>
    </w:lvl>
    <w:lvl w:ilvl="3" w:tplc="5D06395C" w:tentative="1">
      <w:start w:val="1"/>
      <w:numFmt w:val="bullet"/>
      <w:lvlText w:val=""/>
      <w:lvlJc w:val="left"/>
      <w:pPr>
        <w:ind w:left="2880" w:hanging="360"/>
      </w:pPr>
      <w:rPr>
        <w:rFonts w:ascii="Symbol" w:hAnsi="Symbol" w:hint="default"/>
      </w:rPr>
    </w:lvl>
    <w:lvl w:ilvl="4" w:tplc="0590AED6" w:tentative="1">
      <w:start w:val="1"/>
      <w:numFmt w:val="bullet"/>
      <w:lvlText w:val="o"/>
      <w:lvlJc w:val="left"/>
      <w:pPr>
        <w:ind w:left="3600" w:hanging="360"/>
      </w:pPr>
      <w:rPr>
        <w:rFonts w:ascii="Courier New" w:hAnsi="Courier New" w:cs="Courier New" w:hint="default"/>
      </w:rPr>
    </w:lvl>
    <w:lvl w:ilvl="5" w:tplc="D8189DC0" w:tentative="1">
      <w:start w:val="1"/>
      <w:numFmt w:val="bullet"/>
      <w:lvlText w:val=""/>
      <w:lvlJc w:val="left"/>
      <w:pPr>
        <w:ind w:left="4320" w:hanging="360"/>
      </w:pPr>
      <w:rPr>
        <w:rFonts w:ascii="Wingdings" w:hAnsi="Wingdings" w:hint="default"/>
      </w:rPr>
    </w:lvl>
    <w:lvl w:ilvl="6" w:tplc="7BB407E4" w:tentative="1">
      <w:start w:val="1"/>
      <w:numFmt w:val="bullet"/>
      <w:lvlText w:val=""/>
      <w:lvlJc w:val="left"/>
      <w:pPr>
        <w:ind w:left="5040" w:hanging="360"/>
      </w:pPr>
      <w:rPr>
        <w:rFonts w:ascii="Symbol" w:hAnsi="Symbol" w:hint="default"/>
      </w:rPr>
    </w:lvl>
    <w:lvl w:ilvl="7" w:tplc="07EA102E" w:tentative="1">
      <w:start w:val="1"/>
      <w:numFmt w:val="bullet"/>
      <w:lvlText w:val="o"/>
      <w:lvlJc w:val="left"/>
      <w:pPr>
        <w:ind w:left="5760" w:hanging="360"/>
      </w:pPr>
      <w:rPr>
        <w:rFonts w:ascii="Courier New" w:hAnsi="Courier New" w:cs="Courier New" w:hint="default"/>
      </w:rPr>
    </w:lvl>
    <w:lvl w:ilvl="8" w:tplc="209C8316" w:tentative="1">
      <w:start w:val="1"/>
      <w:numFmt w:val="bullet"/>
      <w:lvlText w:val=""/>
      <w:lvlJc w:val="left"/>
      <w:pPr>
        <w:ind w:left="6480" w:hanging="360"/>
      </w:pPr>
      <w:rPr>
        <w:rFonts w:ascii="Wingdings" w:hAnsi="Wingdings" w:hint="default"/>
      </w:rPr>
    </w:lvl>
  </w:abstractNum>
  <w:abstractNum w:abstractNumId="91">
    <w:nsid w:val="0E5639CF"/>
    <w:multiLevelType w:val="hybridMultilevel"/>
    <w:tmpl w:val="F032412A"/>
    <w:lvl w:ilvl="0" w:tplc="04090001">
      <w:start w:val="1"/>
      <w:numFmt w:val="bullet"/>
      <w:lvlText w:val=""/>
      <w:lvlJc w:val="left"/>
      <w:pPr>
        <w:ind w:left="750" w:hanging="360"/>
      </w:pPr>
      <w:rPr>
        <w:rFonts w:ascii="Symbol" w:hAnsi="Symbol" w:hint="default"/>
      </w:rPr>
    </w:lvl>
    <w:lvl w:ilvl="1" w:tplc="04090003" w:tentative="1">
      <w:start w:val="1"/>
      <w:numFmt w:val="bullet"/>
      <w:lvlText w:val="o"/>
      <w:lvlJc w:val="left"/>
      <w:pPr>
        <w:ind w:left="1470" w:hanging="360"/>
      </w:pPr>
      <w:rPr>
        <w:rFonts w:ascii="Courier New" w:hAnsi="Courier New" w:cs="Courier New" w:hint="default"/>
      </w:rPr>
    </w:lvl>
    <w:lvl w:ilvl="2" w:tplc="04090005" w:tentative="1">
      <w:start w:val="1"/>
      <w:numFmt w:val="bullet"/>
      <w:lvlText w:val=""/>
      <w:lvlJc w:val="left"/>
      <w:pPr>
        <w:ind w:left="2190" w:hanging="360"/>
      </w:pPr>
      <w:rPr>
        <w:rFonts w:ascii="Wingdings" w:hAnsi="Wingdings" w:hint="default"/>
      </w:rPr>
    </w:lvl>
    <w:lvl w:ilvl="3" w:tplc="04090001" w:tentative="1">
      <w:start w:val="1"/>
      <w:numFmt w:val="bullet"/>
      <w:lvlText w:val=""/>
      <w:lvlJc w:val="left"/>
      <w:pPr>
        <w:ind w:left="2910" w:hanging="360"/>
      </w:pPr>
      <w:rPr>
        <w:rFonts w:ascii="Symbol" w:hAnsi="Symbol" w:hint="default"/>
      </w:rPr>
    </w:lvl>
    <w:lvl w:ilvl="4" w:tplc="04090003" w:tentative="1">
      <w:start w:val="1"/>
      <w:numFmt w:val="bullet"/>
      <w:lvlText w:val="o"/>
      <w:lvlJc w:val="left"/>
      <w:pPr>
        <w:ind w:left="3630" w:hanging="360"/>
      </w:pPr>
      <w:rPr>
        <w:rFonts w:ascii="Courier New" w:hAnsi="Courier New" w:cs="Courier New" w:hint="default"/>
      </w:rPr>
    </w:lvl>
    <w:lvl w:ilvl="5" w:tplc="04090005" w:tentative="1">
      <w:start w:val="1"/>
      <w:numFmt w:val="bullet"/>
      <w:lvlText w:val=""/>
      <w:lvlJc w:val="left"/>
      <w:pPr>
        <w:ind w:left="4350" w:hanging="360"/>
      </w:pPr>
      <w:rPr>
        <w:rFonts w:ascii="Wingdings" w:hAnsi="Wingdings" w:hint="default"/>
      </w:rPr>
    </w:lvl>
    <w:lvl w:ilvl="6" w:tplc="04090001" w:tentative="1">
      <w:start w:val="1"/>
      <w:numFmt w:val="bullet"/>
      <w:lvlText w:val=""/>
      <w:lvlJc w:val="left"/>
      <w:pPr>
        <w:ind w:left="5070" w:hanging="360"/>
      </w:pPr>
      <w:rPr>
        <w:rFonts w:ascii="Symbol" w:hAnsi="Symbol" w:hint="default"/>
      </w:rPr>
    </w:lvl>
    <w:lvl w:ilvl="7" w:tplc="04090003" w:tentative="1">
      <w:start w:val="1"/>
      <w:numFmt w:val="bullet"/>
      <w:lvlText w:val="o"/>
      <w:lvlJc w:val="left"/>
      <w:pPr>
        <w:ind w:left="5790" w:hanging="360"/>
      </w:pPr>
      <w:rPr>
        <w:rFonts w:ascii="Courier New" w:hAnsi="Courier New" w:cs="Courier New" w:hint="default"/>
      </w:rPr>
    </w:lvl>
    <w:lvl w:ilvl="8" w:tplc="04090005" w:tentative="1">
      <w:start w:val="1"/>
      <w:numFmt w:val="bullet"/>
      <w:lvlText w:val=""/>
      <w:lvlJc w:val="left"/>
      <w:pPr>
        <w:ind w:left="6510" w:hanging="360"/>
      </w:pPr>
      <w:rPr>
        <w:rFonts w:ascii="Wingdings" w:hAnsi="Wingdings" w:hint="default"/>
      </w:rPr>
    </w:lvl>
  </w:abstractNum>
  <w:abstractNum w:abstractNumId="92">
    <w:nsid w:val="0E6C0A1C"/>
    <w:multiLevelType w:val="hybridMultilevel"/>
    <w:tmpl w:val="1DCA14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nsid w:val="0E852FD5"/>
    <w:multiLevelType w:val="hybridMultilevel"/>
    <w:tmpl w:val="632C2A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nsid w:val="0EC954E4"/>
    <w:multiLevelType w:val="hybridMultilevel"/>
    <w:tmpl w:val="CB4EF100"/>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5">
    <w:nsid w:val="0EE4645F"/>
    <w:multiLevelType w:val="hybridMultilevel"/>
    <w:tmpl w:val="9B4EA0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nsid w:val="0EEB1246"/>
    <w:multiLevelType w:val="hybridMultilevel"/>
    <w:tmpl w:val="658297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nsid w:val="0F316ECB"/>
    <w:multiLevelType w:val="hybridMultilevel"/>
    <w:tmpl w:val="4E881F48"/>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8">
    <w:nsid w:val="0F4D2C99"/>
    <w:multiLevelType w:val="hybridMultilevel"/>
    <w:tmpl w:val="87A4308A"/>
    <w:lvl w:ilvl="0" w:tplc="9E10378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nsid w:val="0F94641F"/>
    <w:multiLevelType w:val="hybridMultilevel"/>
    <w:tmpl w:val="71569250"/>
    <w:lvl w:ilvl="0" w:tplc="981622FC">
      <w:start w:val="1"/>
      <w:numFmt w:val="bullet"/>
      <w:lvlText w:val="-"/>
      <w:lvlJc w:val="left"/>
      <w:pPr>
        <w:ind w:left="720" w:hanging="360"/>
      </w:pPr>
      <w:rPr>
        <w:rFonts w:ascii="Courier New" w:hAnsi="Courier New" w:hint="default"/>
        <w:vertAlign w:val="baseli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nsid w:val="0F9E5EAC"/>
    <w:multiLevelType w:val="hybridMultilevel"/>
    <w:tmpl w:val="7DDA89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nsid w:val="0FC82873"/>
    <w:multiLevelType w:val="hybridMultilevel"/>
    <w:tmpl w:val="EA7E8AD0"/>
    <w:lvl w:ilvl="0" w:tplc="53C042C4">
      <w:start w:val="1"/>
      <w:numFmt w:val="lowerLetter"/>
      <w:lvlText w:val="(%1)"/>
      <w:lvlJc w:val="left"/>
      <w:pPr>
        <w:ind w:left="360" w:hanging="360"/>
      </w:pPr>
      <w:rPr>
        <w:rFonts w:hint="default"/>
      </w:rPr>
    </w:lvl>
    <w:lvl w:ilvl="1" w:tplc="B2F6268E" w:tentative="1">
      <w:start w:val="1"/>
      <w:numFmt w:val="lowerLetter"/>
      <w:lvlText w:val="%2."/>
      <w:lvlJc w:val="left"/>
      <w:pPr>
        <w:ind w:left="1080" w:hanging="360"/>
      </w:pPr>
    </w:lvl>
    <w:lvl w:ilvl="2" w:tplc="7FF2EF6C" w:tentative="1">
      <w:start w:val="1"/>
      <w:numFmt w:val="lowerRoman"/>
      <w:lvlText w:val="%3."/>
      <w:lvlJc w:val="right"/>
      <w:pPr>
        <w:ind w:left="1800" w:hanging="180"/>
      </w:pPr>
    </w:lvl>
    <w:lvl w:ilvl="3" w:tplc="947E4E44" w:tentative="1">
      <w:start w:val="1"/>
      <w:numFmt w:val="decimal"/>
      <w:lvlText w:val="%4."/>
      <w:lvlJc w:val="left"/>
      <w:pPr>
        <w:ind w:left="2520" w:hanging="360"/>
      </w:pPr>
    </w:lvl>
    <w:lvl w:ilvl="4" w:tplc="E8D24AB8" w:tentative="1">
      <w:start w:val="1"/>
      <w:numFmt w:val="lowerLetter"/>
      <w:lvlText w:val="%5."/>
      <w:lvlJc w:val="left"/>
      <w:pPr>
        <w:ind w:left="3240" w:hanging="360"/>
      </w:pPr>
    </w:lvl>
    <w:lvl w:ilvl="5" w:tplc="D7AED490" w:tentative="1">
      <w:start w:val="1"/>
      <w:numFmt w:val="lowerRoman"/>
      <w:lvlText w:val="%6."/>
      <w:lvlJc w:val="right"/>
      <w:pPr>
        <w:ind w:left="3960" w:hanging="180"/>
      </w:pPr>
    </w:lvl>
    <w:lvl w:ilvl="6" w:tplc="579EBBEC" w:tentative="1">
      <w:start w:val="1"/>
      <w:numFmt w:val="decimal"/>
      <w:lvlText w:val="%7."/>
      <w:lvlJc w:val="left"/>
      <w:pPr>
        <w:ind w:left="4680" w:hanging="360"/>
      </w:pPr>
    </w:lvl>
    <w:lvl w:ilvl="7" w:tplc="C04E1FA2" w:tentative="1">
      <w:start w:val="1"/>
      <w:numFmt w:val="lowerLetter"/>
      <w:lvlText w:val="%8."/>
      <w:lvlJc w:val="left"/>
      <w:pPr>
        <w:ind w:left="5400" w:hanging="360"/>
      </w:pPr>
    </w:lvl>
    <w:lvl w:ilvl="8" w:tplc="0D140C18" w:tentative="1">
      <w:start w:val="1"/>
      <w:numFmt w:val="lowerRoman"/>
      <w:lvlText w:val="%9."/>
      <w:lvlJc w:val="right"/>
      <w:pPr>
        <w:ind w:left="6120" w:hanging="180"/>
      </w:pPr>
    </w:lvl>
  </w:abstractNum>
  <w:abstractNum w:abstractNumId="102">
    <w:nsid w:val="0FEE48E0"/>
    <w:multiLevelType w:val="hybridMultilevel"/>
    <w:tmpl w:val="EB7CBD66"/>
    <w:lvl w:ilvl="0" w:tplc="6E10F054">
      <w:start w:val="1"/>
      <w:numFmt w:val="bullet"/>
      <w:lvlText w:val="•"/>
      <w:lvlJc w:val="left"/>
      <w:pPr>
        <w:tabs>
          <w:tab w:val="num" w:pos="720"/>
        </w:tabs>
        <w:ind w:left="720" w:hanging="360"/>
      </w:pPr>
      <w:rPr>
        <w:rFonts w:ascii="Arial" w:hAnsi="Arial" w:hint="default"/>
      </w:rPr>
    </w:lvl>
    <w:lvl w:ilvl="1" w:tplc="7234C638">
      <w:start w:val="1545"/>
      <w:numFmt w:val="bullet"/>
      <w:lvlText w:val="–"/>
      <w:lvlJc w:val="left"/>
      <w:pPr>
        <w:tabs>
          <w:tab w:val="num" w:pos="1440"/>
        </w:tabs>
        <w:ind w:left="1440" w:hanging="360"/>
      </w:pPr>
      <w:rPr>
        <w:rFonts w:ascii="Arial" w:hAnsi="Arial" w:hint="default"/>
      </w:rPr>
    </w:lvl>
    <w:lvl w:ilvl="2" w:tplc="039AA5B4" w:tentative="1">
      <w:start w:val="1"/>
      <w:numFmt w:val="bullet"/>
      <w:lvlText w:val="•"/>
      <w:lvlJc w:val="left"/>
      <w:pPr>
        <w:tabs>
          <w:tab w:val="num" w:pos="2160"/>
        </w:tabs>
        <w:ind w:left="2160" w:hanging="360"/>
      </w:pPr>
      <w:rPr>
        <w:rFonts w:ascii="Arial" w:hAnsi="Arial" w:hint="default"/>
      </w:rPr>
    </w:lvl>
    <w:lvl w:ilvl="3" w:tplc="9B7A1DEE" w:tentative="1">
      <w:start w:val="1"/>
      <w:numFmt w:val="bullet"/>
      <w:lvlText w:val="•"/>
      <w:lvlJc w:val="left"/>
      <w:pPr>
        <w:tabs>
          <w:tab w:val="num" w:pos="2880"/>
        </w:tabs>
        <w:ind w:left="2880" w:hanging="360"/>
      </w:pPr>
      <w:rPr>
        <w:rFonts w:ascii="Arial" w:hAnsi="Arial" w:hint="default"/>
      </w:rPr>
    </w:lvl>
    <w:lvl w:ilvl="4" w:tplc="74F2CC0A" w:tentative="1">
      <w:start w:val="1"/>
      <w:numFmt w:val="bullet"/>
      <w:lvlText w:val="•"/>
      <w:lvlJc w:val="left"/>
      <w:pPr>
        <w:tabs>
          <w:tab w:val="num" w:pos="3600"/>
        </w:tabs>
        <w:ind w:left="3600" w:hanging="360"/>
      </w:pPr>
      <w:rPr>
        <w:rFonts w:ascii="Arial" w:hAnsi="Arial" w:hint="default"/>
      </w:rPr>
    </w:lvl>
    <w:lvl w:ilvl="5" w:tplc="48D2FA7A" w:tentative="1">
      <w:start w:val="1"/>
      <w:numFmt w:val="bullet"/>
      <w:lvlText w:val="•"/>
      <w:lvlJc w:val="left"/>
      <w:pPr>
        <w:tabs>
          <w:tab w:val="num" w:pos="4320"/>
        </w:tabs>
        <w:ind w:left="4320" w:hanging="360"/>
      </w:pPr>
      <w:rPr>
        <w:rFonts w:ascii="Arial" w:hAnsi="Arial" w:hint="default"/>
      </w:rPr>
    </w:lvl>
    <w:lvl w:ilvl="6" w:tplc="E65A8CF4" w:tentative="1">
      <w:start w:val="1"/>
      <w:numFmt w:val="bullet"/>
      <w:lvlText w:val="•"/>
      <w:lvlJc w:val="left"/>
      <w:pPr>
        <w:tabs>
          <w:tab w:val="num" w:pos="5040"/>
        </w:tabs>
        <w:ind w:left="5040" w:hanging="360"/>
      </w:pPr>
      <w:rPr>
        <w:rFonts w:ascii="Arial" w:hAnsi="Arial" w:hint="default"/>
      </w:rPr>
    </w:lvl>
    <w:lvl w:ilvl="7" w:tplc="CEC287B8" w:tentative="1">
      <w:start w:val="1"/>
      <w:numFmt w:val="bullet"/>
      <w:lvlText w:val="•"/>
      <w:lvlJc w:val="left"/>
      <w:pPr>
        <w:tabs>
          <w:tab w:val="num" w:pos="5760"/>
        </w:tabs>
        <w:ind w:left="5760" w:hanging="360"/>
      </w:pPr>
      <w:rPr>
        <w:rFonts w:ascii="Arial" w:hAnsi="Arial" w:hint="default"/>
      </w:rPr>
    </w:lvl>
    <w:lvl w:ilvl="8" w:tplc="3312B4E8" w:tentative="1">
      <w:start w:val="1"/>
      <w:numFmt w:val="bullet"/>
      <w:lvlText w:val="•"/>
      <w:lvlJc w:val="left"/>
      <w:pPr>
        <w:tabs>
          <w:tab w:val="num" w:pos="6480"/>
        </w:tabs>
        <w:ind w:left="6480" w:hanging="360"/>
      </w:pPr>
      <w:rPr>
        <w:rFonts w:ascii="Arial" w:hAnsi="Arial" w:hint="default"/>
      </w:rPr>
    </w:lvl>
  </w:abstractNum>
  <w:abstractNum w:abstractNumId="103">
    <w:nsid w:val="106811F9"/>
    <w:multiLevelType w:val="hybridMultilevel"/>
    <w:tmpl w:val="83CA78C4"/>
    <w:lvl w:ilvl="0" w:tplc="BE88E404">
      <w:start w:val="1"/>
      <w:numFmt w:val="bullet"/>
      <w:lvlText w:val=""/>
      <w:lvlJc w:val="left"/>
      <w:pPr>
        <w:ind w:left="720" w:hanging="360"/>
      </w:pPr>
      <w:rPr>
        <w:rFonts w:ascii="Symbol" w:hAnsi="Symbol" w:hint="default"/>
      </w:rPr>
    </w:lvl>
    <w:lvl w:ilvl="1" w:tplc="04090001" w:tentative="1">
      <w:start w:val="1"/>
      <w:numFmt w:val="bullet"/>
      <w:lvlText w:val="o"/>
      <w:lvlJc w:val="left"/>
      <w:pPr>
        <w:ind w:left="1440" w:hanging="360"/>
      </w:pPr>
      <w:rPr>
        <w:rFonts w:ascii="Courier New" w:hAnsi="Courier New" w:cs="Courier New" w:hint="default"/>
      </w:rPr>
    </w:lvl>
    <w:lvl w:ilvl="2" w:tplc="A13E3792" w:tentative="1">
      <w:start w:val="1"/>
      <w:numFmt w:val="bullet"/>
      <w:lvlText w:val=""/>
      <w:lvlJc w:val="left"/>
      <w:pPr>
        <w:ind w:left="2160" w:hanging="360"/>
      </w:pPr>
      <w:rPr>
        <w:rFonts w:ascii="Wingdings" w:hAnsi="Wingdings" w:hint="default"/>
      </w:rPr>
    </w:lvl>
    <w:lvl w:ilvl="3" w:tplc="5D06395C" w:tentative="1">
      <w:start w:val="1"/>
      <w:numFmt w:val="bullet"/>
      <w:lvlText w:val=""/>
      <w:lvlJc w:val="left"/>
      <w:pPr>
        <w:ind w:left="2880" w:hanging="360"/>
      </w:pPr>
      <w:rPr>
        <w:rFonts w:ascii="Symbol" w:hAnsi="Symbol" w:hint="default"/>
      </w:rPr>
    </w:lvl>
    <w:lvl w:ilvl="4" w:tplc="0590AED6" w:tentative="1">
      <w:start w:val="1"/>
      <w:numFmt w:val="bullet"/>
      <w:lvlText w:val="o"/>
      <w:lvlJc w:val="left"/>
      <w:pPr>
        <w:ind w:left="3600" w:hanging="360"/>
      </w:pPr>
      <w:rPr>
        <w:rFonts w:ascii="Courier New" w:hAnsi="Courier New" w:cs="Courier New" w:hint="default"/>
      </w:rPr>
    </w:lvl>
    <w:lvl w:ilvl="5" w:tplc="D8189DC0" w:tentative="1">
      <w:start w:val="1"/>
      <w:numFmt w:val="bullet"/>
      <w:lvlText w:val=""/>
      <w:lvlJc w:val="left"/>
      <w:pPr>
        <w:ind w:left="4320" w:hanging="360"/>
      </w:pPr>
      <w:rPr>
        <w:rFonts w:ascii="Wingdings" w:hAnsi="Wingdings" w:hint="default"/>
      </w:rPr>
    </w:lvl>
    <w:lvl w:ilvl="6" w:tplc="7BB407E4" w:tentative="1">
      <w:start w:val="1"/>
      <w:numFmt w:val="bullet"/>
      <w:lvlText w:val=""/>
      <w:lvlJc w:val="left"/>
      <w:pPr>
        <w:ind w:left="5040" w:hanging="360"/>
      </w:pPr>
      <w:rPr>
        <w:rFonts w:ascii="Symbol" w:hAnsi="Symbol" w:hint="default"/>
      </w:rPr>
    </w:lvl>
    <w:lvl w:ilvl="7" w:tplc="07EA102E" w:tentative="1">
      <w:start w:val="1"/>
      <w:numFmt w:val="bullet"/>
      <w:lvlText w:val="o"/>
      <w:lvlJc w:val="left"/>
      <w:pPr>
        <w:ind w:left="5760" w:hanging="360"/>
      </w:pPr>
      <w:rPr>
        <w:rFonts w:ascii="Courier New" w:hAnsi="Courier New" w:cs="Courier New" w:hint="default"/>
      </w:rPr>
    </w:lvl>
    <w:lvl w:ilvl="8" w:tplc="209C8316" w:tentative="1">
      <w:start w:val="1"/>
      <w:numFmt w:val="bullet"/>
      <w:lvlText w:val=""/>
      <w:lvlJc w:val="left"/>
      <w:pPr>
        <w:ind w:left="6480" w:hanging="360"/>
      </w:pPr>
      <w:rPr>
        <w:rFonts w:ascii="Wingdings" w:hAnsi="Wingdings" w:hint="default"/>
      </w:rPr>
    </w:lvl>
  </w:abstractNum>
  <w:abstractNum w:abstractNumId="104">
    <w:nsid w:val="10900998"/>
    <w:multiLevelType w:val="hybridMultilevel"/>
    <w:tmpl w:val="77129270"/>
    <w:lvl w:ilvl="0" w:tplc="4E58FDDA">
      <w:start w:val="1"/>
      <w:numFmt w:val="bullet"/>
      <w:lvlText w:val="•"/>
      <w:lvlJc w:val="left"/>
      <w:pPr>
        <w:tabs>
          <w:tab w:val="num" w:pos="720"/>
        </w:tabs>
        <w:ind w:left="720" w:hanging="360"/>
      </w:pPr>
      <w:rPr>
        <w:rFonts w:ascii="Times New Roman" w:hAnsi="Times New Roman" w:hint="default"/>
      </w:rPr>
    </w:lvl>
    <w:lvl w:ilvl="1" w:tplc="44CA5DA6" w:tentative="1">
      <w:start w:val="1"/>
      <w:numFmt w:val="bullet"/>
      <w:lvlText w:val="•"/>
      <w:lvlJc w:val="left"/>
      <w:pPr>
        <w:tabs>
          <w:tab w:val="num" w:pos="1440"/>
        </w:tabs>
        <w:ind w:left="1440" w:hanging="360"/>
      </w:pPr>
      <w:rPr>
        <w:rFonts w:ascii="Times New Roman" w:hAnsi="Times New Roman" w:hint="default"/>
      </w:rPr>
    </w:lvl>
    <w:lvl w:ilvl="2" w:tplc="017AEA00" w:tentative="1">
      <w:start w:val="1"/>
      <w:numFmt w:val="bullet"/>
      <w:lvlText w:val="•"/>
      <w:lvlJc w:val="left"/>
      <w:pPr>
        <w:tabs>
          <w:tab w:val="num" w:pos="2160"/>
        </w:tabs>
        <w:ind w:left="2160" w:hanging="360"/>
      </w:pPr>
      <w:rPr>
        <w:rFonts w:ascii="Times New Roman" w:hAnsi="Times New Roman" w:hint="default"/>
      </w:rPr>
    </w:lvl>
    <w:lvl w:ilvl="3" w:tplc="8C0C2C7E" w:tentative="1">
      <w:start w:val="1"/>
      <w:numFmt w:val="bullet"/>
      <w:lvlText w:val="•"/>
      <w:lvlJc w:val="left"/>
      <w:pPr>
        <w:tabs>
          <w:tab w:val="num" w:pos="2880"/>
        </w:tabs>
        <w:ind w:left="2880" w:hanging="360"/>
      </w:pPr>
      <w:rPr>
        <w:rFonts w:ascii="Times New Roman" w:hAnsi="Times New Roman" w:hint="default"/>
      </w:rPr>
    </w:lvl>
    <w:lvl w:ilvl="4" w:tplc="4A2E2EAE" w:tentative="1">
      <w:start w:val="1"/>
      <w:numFmt w:val="bullet"/>
      <w:lvlText w:val="•"/>
      <w:lvlJc w:val="left"/>
      <w:pPr>
        <w:tabs>
          <w:tab w:val="num" w:pos="3600"/>
        </w:tabs>
        <w:ind w:left="3600" w:hanging="360"/>
      </w:pPr>
      <w:rPr>
        <w:rFonts w:ascii="Times New Roman" w:hAnsi="Times New Roman" w:hint="default"/>
      </w:rPr>
    </w:lvl>
    <w:lvl w:ilvl="5" w:tplc="106424FE" w:tentative="1">
      <w:start w:val="1"/>
      <w:numFmt w:val="bullet"/>
      <w:lvlText w:val="•"/>
      <w:lvlJc w:val="left"/>
      <w:pPr>
        <w:tabs>
          <w:tab w:val="num" w:pos="4320"/>
        </w:tabs>
        <w:ind w:left="4320" w:hanging="360"/>
      </w:pPr>
      <w:rPr>
        <w:rFonts w:ascii="Times New Roman" w:hAnsi="Times New Roman" w:hint="default"/>
      </w:rPr>
    </w:lvl>
    <w:lvl w:ilvl="6" w:tplc="8EE4271E" w:tentative="1">
      <w:start w:val="1"/>
      <w:numFmt w:val="bullet"/>
      <w:lvlText w:val="•"/>
      <w:lvlJc w:val="left"/>
      <w:pPr>
        <w:tabs>
          <w:tab w:val="num" w:pos="5040"/>
        </w:tabs>
        <w:ind w:left="5040" w:hanging="360"/>
      </w:pPr>
      <w:rPr>
        <w:rFonts w:ascii="Times New Roman" w:hAnsi="Times New Roman" w:hint="default"/>
      </w:rPr>
    </w:lvl>
    <w:lvl w:ilvl="7" w:tplc="2DBCEF2E" w:tentative="1">
      <w:start w:val="1"/>
      <w:numFmt w:val="bullet"/>
      <w:lvlText w:val="•"/>
      <w:lvlJc w:val="left"/>
      <w:pPr>
        <w:tabs>
          <w:tab w:val="num" w:pos="5760"/>
        </w:tabs>
        <w:ind w:left="5760" w:hanging="360"/>
      </w:pPr>
      <w:rPr>
        <w:rFonts w:ascii="Times New Roman" w:hAnsi="Times New Roman" w:hint="default"/>
      </w:rPr>
    </w:lvl>
    <w:lvl w:ilvl="8" w:tplc="4788BE60" w:tentative="1">
      <w:start w:val="1"/>
      <w:numFmt w:val="bullet"/>
      <w:lvlText w:val="•"/>
      <w:lvlJc w:val="left"/>
      <w:pPr>
        <w:tabs>
          <w:tab w:val="num" w:pos="6480"/>
        </w:tabs>
        <w:ind w:left="6480" w:hanging="360"/>
      </w:pPr>
      <w:rPr>
        <w:rFonts w:ascii="Times New Roman" w:hAnsi="Times New Roman" w:hint="default"/>
      </w:rPr>
    </w:lvl>
  </w:abstractNum>
  <w:abstractNum w:abstractNumId="105">
    <w:nsid w:val="10C0364C"/>
    <w:multiLevelType w:val="hybridMultilevel"/>
    <w:tmpl w:val="8CB8DF58"/>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6">
    <w:nsid w:val="10CD38AB"/>
    <w:multiLevelType w:val="hybridMultilevel"/>
    <w:tmpl w:val="7BF62B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nsid w:val="10D31AAD"/>
    <w:multiLevelType w:val="hybridMultilevel"/>
    <w:tmpl w:val="12186100"/>
    <w:lvl w:ilvl="0" w:tplc="AE162E88">
      <w:start w:val="1"/>
      <w:numFmt w:val="bullet"/>
      <w:lvlText w:val="•"/>
      <w:lvlJc w:val="left"/>
      <w:pPr>
        <w:tabs>
          <w:tab w:val="num" w:pos="720"/>
        </w:tabs>
        <w:ind w:left="720" w:hanging="360"/>
      </w:pPr>
      <w:rPr>
        <w:rFonts w:ascii="Arial" w:hAnsi="Arial" w:hint="default"/>
      </w:rPr>
    </w:lvl>
    <w:lvl w:ilvl="1" w:tplc="5B9C0BEE">
      <w:start w:val="2220"/>
      <w:numFmt w:val="bullet"/>
      <w:lvlText w:val="–"/>
      <w:lvlJc w:val="left"/>
      <w:pPr>
        <w:tabs>
          <w:tab w:val="num" w:pos="1440"/>
        </w:tabs>
        <w:ind w:left="1440" w:hanging="360"/>
      </w:pPr>
      <w:rPr>
        <w:rFonts w:ascii="Arial" w:hAnsi="Arial" w:hint="default"/>
      </w:rPr>
    </w:lvl>
    <w:lvl w:ilvl="2" w:tplc="EA8C8956">
      <w:start w:val="2220"/>
      <w:numFmt w:val="bullet"/>
      <w:lvlText w:val="•"/>
      <w:lvlJc w:val="left"/>
      <w:pPr>
        <w:tabs>
          <w:tab w:val="num" w:pos="2160"/>
        </w:tabs>
        <w:ind w:left="2160" w:hanging="360"/>
      </w:pPr>
      <w:rPr>
        <w:rFonts w:ascii="Arial" w:hAnsi="Arial" w:hint="default"/>
      </w:rPr>
    </w:lvl>
    <w:lvl w:ilvl="3" w:tplc="24F2DE40" w:tentative="1">
      <w:start w:val="1"/>
      <w:numFmt w:val="bullet"/>
      <w:lvlText w:val="•"/>
      <w:lvlJc w:val="left"/>
      <w:pPr>
        <w:tabs>
          <w:tab w:val="num" w:pos="2880"/>
        </w:tabs>
        <w:ind w:left="2880" w:hanging="360"/>
      </w:pPr>
      <w:rPr>
        <w:rFonts w:ascii="Arial" w:hAnsi="Arial" w:hint="default"/>
      </w:rPr>
    </w:lvl>
    <w:lvl w:ilvl="4" w:tplc="E5848AF0" w:tentative="1">
      <w:start w:val="1"/>
      <w:numFmt w:val="bullet"/>
      <w:lvlText w:val="•"/>
      <w:lvlJc w:val="left"/>
      <w:pPr>
        <w:tabs>
          <w:tab w:val="num" w:pos="3600"/>
        </w:tabs>
        <w:ind w:left="3600" w:hanging="360"/>
      </w:pPr>
      <w:rPr>
        <w:rFonts w:ascii="Arial" w:hAnsi="Arial" w:hint="default"/>
      </w:rPr>
    </w:lvl>
    <w:lvl w:ilvl="5" w:tplc="8EB2EC48" w:tentative="1">
      <w:start w:val="1"/>
      <w:numFmt w:val="bullet"/>
      <w:lvlText w:val="•"/>
      <w:lvlJc w:val="left"/>
      <w:pPr>
        <w:tabs>
          <w:tab w:val="num" w:pos="4320"/>
        </w:tabs>
        <w:ind w:left="4320" w:hanging="360"/>
      </w:pPr>
      <w:rPr>
        <w:rFonts w:ascii="Arial" w:hAnsi="Arial" w:hint="default"/>
      </w:rPr>
    </w:lvl>
    <w:lvl w:ilvl="6" w:tplc="0F9673E0" w:tentative="1">
      <w:start w:val="1"/>
      <w:numFmt w:val="bullet"/>
      <w:lvlText w:val="•"/>
      <w:lvlJc w:val="left"/>
      <w:pPr>
        <w:tabs>
          <w:tab w:val="num" w:pos="5040"/>
        </w:tabs>
        <w:ind w:left="5040" w:hanging="360"/>
      </w:pPr>
      <w:rPr>
        <w:rFonts w:ascii="Arial" w:hAnsi="Arial" w:hint="default"/>
      </w:rPr>
    </w:lvl>
    <w:lvl w:ilvl="7" w:tplc="F55A24A0" w:tentative="1">
      <w:start w:val="1"/>
      <w:numFmt w:val="bullet"/>
      <w:lvlText w:val="•"/>
      <w:lvlJc w:val="left"/>
      <w:pPr>
        <w:tabs>
          <w:tab w:val="num" w:pos="5760"/>
        </w:tabs>
        <w:ind w:left="5760" w:hanging="360"/>
      </w:pPr>
      <w:rPr>
        <w:rFonts w:ascii="Arial" w:hAnsi="Arial" w:hint="default"/>
      </w:rPr>
    </w:lvl>
    <w:lvl w:ilvl="8" w:tplc="5ABC3D3E" w:tentative="1">
      <w:start w:val="1"/>
      <w:numFmt w:val="bullet"/>
      <w:lvlText w:val="•"/>
      <w:lvlJc w:val="left"/>
      <w:pPr>
        <w:tabs>
          <w:tab w:val="num" w:pos="6480"/>
        </w:tabs>
        <w:ind w:left="6480" w:hanging="360"/>
      </w:pPr>
      <w:rPr>
        <w:rFonts w:ascii="Arial" w:hAnsi="Arial" w:hint="default"/>
      </w:rPr>
    </w:lvl>
  </w:abstractNum>
  <w:abstractNum w:abstractNumId="108">
    <w:nsid w:val="10F77F4F"/>
    <w:multiLevelType w:val="hybridMultilevel"/>
    <w:tmpl w:val="ABD236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
    <w:nsid w:val="10FF3B2B"/>
    <w:multiLevelType w:val="hybridMultilevel"/>
    <w:tmpl w:val="35789CB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0">
    <w:nsid w:val="114C4DDA"/>
    <w:multiLevelType w:val="hybridMultilevel"/>
    <w:tmpl w:val="E8FEEAD0"/>
    <w:lvl w:ilvl="0" w:tplc="D7E633CA">
      <w:start w:val="1"/>
      <w:numFmt w:val="bullet"/>
      <w:lvlText w:val="•"/>
      <w:lvlJc w:val="left"/>
      <w:pPr>
        <w:tabs>
          <w:tab w:val="num" w:pos="720"/>
        </w:tabs>
        <w:ind w:left="720" w:hanging="360"/>
      </w:pPr>
      <w:rPr>
        <w:rFonts w:ascii="Arial" w:hAnsi="Arial" w:hint="default"/>
      </w:rPr>
    </w:lvl>
    <w:lvl w:ilvl="1" w:tplc="1CF07B5E">
      <w:start w:val="1"/>
      <w:numFmt w:val="bullet"/>
      <w:lvlText w:val="•"/>
      <w:lvlJc w:val="left"/>
      <w:pPr>
        <w:tabs>
          <w:tab w:val="num" w:pos="1440"/>
        </w:tabs>
        <w:ind w:left="1440" w:hanging="360"/>
      </w:pPr>
      <w:rPr>
        <w:rFonts w:ascii="Arial" w:hAnsi="Arial" w:hint="default"/>
      </w:rPr>
    </w:lvl>
    <w:lvl w:ilvl="2" w:tplc="51A236E6" w:tentative="1">
      <w:start w:val="1"/>
      <w:numFmt w:val="bullet"/>
      <w:lvlText w:val="•"/>
      <w:lvlJc w:val="left"/>
      <w:pPr>
        <w:tabs>
          <w:tab w:val="num" w:pos="2160"/>
        </w:tabs>
        <w:ind w:left="2160" w:hanging="360"/>
      </w:pPr>
      <w:rPr>
        <w:rFonts w:ascii="Arial" w:hAnsi="Arial" w:hint="default"/>
      </w:rPr>
    </w:lvl>
    <w:lvl w:ilvl="3" w:tplc="89283534" w:tentative="1">
      <w:start w:val="1"/>
      <w:numFmt w:val="bullet"/>
      <w:lvlText w:val="•"/>
      <w:lvlJc w:val="left"/>
      <w:pPr>
        <w:tabs>
          <w:tab w:val="num" w:pos="2880"/>
        </w:tabs>
        <w:ind w:left="2880" w:hanging="360"/>
      </w:pPr>
      <w:rPr>
        <w:rFonts w:ascii="Arial" w:hAnsi="Arial" w:hint="default"/>
      </w:rPr>
    </w:lvl>
    <w:lvl w:ilvl="4" w:tplc="543873DE" w:tentative="1">
      <w:start w:val="1"/>
      <w:numFmt w:val="bullet"/>
      <w:lvlText w:val="•"/>
      <w:lvlJc w:val="left"/>
      <w:pPr>
        <w:tabs>
          <w:tab w:val="num" w:pos="3600"/>
        </w:tabs>
        <w:ind w:left="3600" w:hanging="360"/>
      </w:pPr>
      <w:rPr>
        <w:rFonts w:ascii="Arial" w:hAnsi="Arial" w:hint="default"/>
      </w:rPr>
    </w:lvl>
    <w:lvl w:ilvl="5" w:tplc="7700AB2E" w:tentative="1">
      <w:start w:val="1"/>
      <w:numFmt w:val="bullet"/>
      <w:lvlText w:val="•"/>
      <w:lvlJc w:val="left"/>
      <w:pPr>
        <w:tabs>
          <w:tab w:val="num" w:pos="4320"/>
        </w:tabs>
        <w:ind w:left="4320" w:hanging="360"/>
      </w:pPr>
      <w:rPr>
        <w:rFonts w:ascii="Arial" w:hAnsi="Arial" w:hint="default"/>
      </w:rPr>
    </w:lvl>
    <w:lvl w:ilvl="6" w:tplc="A6EAF3CC" w:tentative="1">
      <w:start w:val="1"/>
      <w:numFmt w:val="bullet"/>
      <w:lvlText w:val="•"/>
      <w:lvlJc w:val="left"/>
      <w:pPr>
        <w:tabs>
          <w:tab w:val="num" w:pos="5040"/>
        </w:tabs>
        <w:ind w:left="5040" w:hanging="360"/>
      </w:pPr>
      <w:rPr>
        <w:rFonts w:ascii="Arial" w:hAnsi="Arial" w:hint="default"/>
      </w:rPr>
    </w:lvl>
    <w:lvl w:ilvl="7" w:tplc="6BE4A6B4" w:tentative="1">
      <w:start w:val="1"/>
      <w:numFmt w:val="bullet"/>
      <w:lvlText w:val="•"/>
      <w:lvlJc w:val="left"/>
      <w:pPr>
        <w:tabs>
          <w:tab w:val="num" w:pos="5760"/>
        </w:tabs>
        <w:ind w:left="5760" w:hanging="360"/>
      </w:pPr>
      <w:rPr>
        <w:rFonts w:ascii="Arial" w:hAnsi="Arial" w:hint="default"/>
      </w:rPr>
    </w:lvl>
    <w:lvl w:ilvl="8" w:tplc="BC4C4432" w:tentative="1">
      <w:start w:val="1"/>
      <w:numFmt w:val="bullet"/>
      <w:lvlText w:val="•"/>
      <w:lvlJc w:val="left"/>
      <w:pPr>
        <w:tabs>
          <w:tab w:val="num" w:pos="6480"/>
        </w:tabs>
        <w:ind w:left="6480" w:hanging="360"/>
      </w:pPr>
      <w:rPr>
        <w:rFonts w:ascii="Arial" w:hAnsi="Arial" w:hint="default"/>
      </w:rPr>
    </w:lvl>
  </w:abstractNum>
  <w:abstractNum w:abstractNumId="111">
    <w:nsid w:val="11AB7601"/>
    <w:multiLevelType w:val="hybridMultilevel"/>
    <w:tmpl w:val="AA90F146"/>
    <w:lvl w:ilvl="0" w:tplc="04090003">
      <w:start w:val="1"/>
      <w:numFmt w:val="bullet"/>
      <w:lvlText w:val="o"/>
      <w:lvlJc w:val="left"/>
      <w:pPr>
        <w:ind w:left="1440" w:hanging="360"/>
      </w:pPr>
      <w:rPr>
        <w:rFonts w:ascii="Courier New" w:hAnsi="Courier New" w:cs="Courier New" w:hint="default"/>
        <w:sz w:val="22"/>
        <w:szCs w:val="22"/>
      </w:rPr>
    </w:lvl>
    <w:lvl w:ilvl="1" w:tplc="04090001">
      <w:start w:val="1"/>
      <w:numFmt w:val="bullet"/>
      <w:lvlText w:val=""/>
      <w:lvlJc w:val="left"/>
      <w:pPr>
        <w:ind w:left="2160" w:hanging="360"/>
      </w:pPr>
      <w:rPr>
        <w:rFonts w:ascii="Symbol" w:hAnsi="Symbol" w:hint="default"/>
      </w:rPr>
    </w:lvl>
    <w:lvl w:ilvl="2" w:tplc="8A58C506" w:tentative="1">
      <w:start w:val="1"/>
      <w:numFmt w:val="bullet"/>
      <w:lvlText w:val=""/>
      <w:lvlJc w:val="left"/>
      <w:pPr>
        <w:ind w:left="2880" w:hanging="360"/>
      </w:pPr>
      <w:rPr>
        <w:rFonts w:ascii="Wingdings" w:hAnsi="Wingdings" w:hint="default"/>
      </w:rPr>
    </w:lvl>
    <w:lvl w:ilvl="3" w:tplc="198A0980" w:tentative="1">
      <w:start w:val="1"/>
      <w:numFmt w:val="bullet"/>
      <w:lvlText w:val=""/>
      <w:lvlJc w:val="left"/>
      <w:pPr>
        <w:ind w:left="3600" w:hanging="360"/>
      </w:pPr>
      <w:rPr>
        <w:rFonts w:ascii="Symbol" w:hAnsi="Symbol" w:hint="default"/>
      </w:rPr>
    </w:lvl>
    <w:lvl w:ilvl="4" w:tplc="F6AE0F64" w:tentative="1">
      <w:start w:val="1"/>
      <w:numFmt w:val="bullet"/>
      <w:lvlText w:val="o"/>
      <w:lvlJc w:val="left"/>
      <w:pPr>
        <w:ind w:left="4320" w:hanging="360"/>
      </w:pPr>
      <w:rPr>
        <w:rFonts w:ascii="Courier New" w:hAnsi="Courier New" w:cs="Courier New" w:hint="default"/>
      </w:rPr>
    </w:lvl>
    <w:lvl w:ilvl="5" w:tplc="B6D22D3A" w:tentative="1">
      <w:start w:val="1"/>
      <w:numFmt w:val="bullet"/>
      <w:lvlText w:val=""/>
      <w:lvlJc w:val="left"/>
      <w:pPr>
        <w:ind w:left="5040" w:hanging="360"/>
      </w:pPr>
      <w:rPr>
        <w:rFonts w:ascii="Wingdings" w:hAnsi="Wingdings" w:hint="default"/>
      </w:rPr>
    </w:lvl>
    <w:lvl w:ilvl="6" w:tplc="6FA69FB4" w:tentative="1">
      <w:start w:val="1"/>
      <w:numFmt w:val="bullet"/>
      <w:lvlText w:val=""/>
      <w:lvlJc w:val="left"/>
      <w:pPr>
        <w:ind w:left="5760" w:hanging="360"/>
      </w:pPr>
      <w:rPr>
        <w:rFonts w:ascii="Symbol" w:hAnsi="Symbol" w:hint="default"/>
      </w:rPr>
    </w:lvl>
    <w:lvl w:ilvl="7" w:tplc="66EE3786" w:tentative="1">
      <w:start w:val="1"/>
      <w:numFmt w:val="bullet"/>
      <w:lvlText w:val="o"/>
      <w:lvlJc w:val="left"/>
      <w:pPr>
        <w:ind w:left="6480" w:hanging="360"/>
      </w:pPr>
      <w:rPr>
        <w:rFonts w:ascii="Courier New" w:hAnsi="Courier New" w:cs="Courier New" w:hint="default"/>
      </w:rPr>
    </w:lvl>
    <w:lvl w:ilvl="8" w:tplc="6B2AB2F2" w:tentative="1">
      <w:start w:val="1"/>
      <w:numFmt w:val="bullet"/>
      <w:lvlText w:val=""/>
      <w:lvlJc w:val="left"/>
      <w:pPr>
        <w:ind w:left="7200" w:hanging="360"/>
      </w:pPr>
      <w:rPr>
        <w:rFonts w:ascii="Wingdings" w:hAnsi="Wingdings" w:hint="default"/>
      </w:rPr>
    </w:lvl>
  </w:abstractNum>
  <w:abstractNum w:abstractNumId="112">
    <w:nsid w:val="11D9B295"/>
    <w:multiLevelType w:val="hybridMultilevel"/>
    <w:tmpl w:val="5EFF618F"/>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13">
    <w:nsid w:val="12405339"/>
    <w:multiLevelType w:val="hybridMultilevel"/>
    <w:tmpl w:val="03E274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4">
    <w:nsid w:val="1266780C"/>
    <w:multiLevelType w:val="hybridMultilevel"/>
    <w:tmpl w:val="64B8595A"/>
    <w:lvl w:ilvl="0" w:tplc="6F28B8E0">
      <w:start w:val="1"/>
      <w:numFmt w:val="bullet"/>
      <w:lvlText w:val="•"/>
      <w:lvlJc w:val="left"/>
      <w:pPr>
        <w:tabs>
          <w:tab w:val="num" w:pos="720"/>
        </w:tabs>
        <w:ind w:left="720" w:hanging="360"/>
      </w:pPr>
      <w:rPr>
        <w:rFonts w:ascii="Times New Roman" w:hAnsi="Times New Roman" w:hint="default"/>
      </w:rPr>
    </w:lvl>
    <w:lvl w:ilvl="1" w:tplc="E946CBEC" w:tentative="1">
      <w:start w:val="1"/>
      <w:numFmt w:val="bullet"/>
      <w:lvlText w:val="•"/>
      <w:lvlJc w:val="left"/>
      <w:pPr>
        <w:tabs>
          <w:tab w:val="num" w:pos="1440"/>
        </w:tabs>
        <w:ind w:left="1440" w:hanging="360"/>
      </w:pPr>
      <w:rPr>
        <w:rFonts w:ascii="Times New Roman" w:hAnsi="Times New Roman" w:hint="default"/>
      </w:rPr>
    </w:lvl>
    <w:lvl w:ilvl="2" w:tplc="BD7CE83A" w:tentative="1">
      <w:start w:val="1"/>
      <w:numFmt w:val="bullet"/>
      <w:lvlText w:val="•"/>
      <w:lvlJc w:val="left"/>
      <w:pPr>
        <w:tabs>
          <w:tab w:val="num" w:pos="2160"/>
        </w:tabs>
        <w:ind w:left="2160" w:hanging="360"/>
      </w:pPr>
      <w:rPr>
        <w:rFonts w:ascii="Times New Roman" w:hAnsi="Times New Roman" w:hint="default"/>
      </w:rPr>
    </w:lvl>
    <w:lvl w:ilvl="3" w:tplc="8A6CDB76" w:tentative="1">
      <w:start w:val="1"/>
      <w:numFmt w:val="bullet"/>
      <w:lvlText w:val="•"/>
      <w:lvlJc w:val="left"/>
      <w:pPr>
        <w:tabs>
          <w:tab w:val="num" w:pos="2880"/>
        </w:tabs>
        <w:ind w:left="2880" w:hanging="360"/>
      </w:pPr>
      <w:rPr>
        <w:rFonts w:ascii="Times New Roman" w:hAnsi="Times New Roman" w:hint="default"/>
      </w:rPr>
    </w:lvl>
    <w:lvl w:ilvl="4" w:tplc="EE5A8FC2" w:tentative="1">
      <w:start w:val="1"/>
      <w:numFmt w:val="bullet"/>
      <w:lvlText w:val="•"/>
      <w:lvlJc w:val="left"/>
      <w:pPr>
        <w:tabs>
          <w:tab w:val="num" w:pos="3600"/>
        </w:tabs>
        <w:ind w:left="3600" w:hanging="360"/>
      </w:pPr>
      <w:rPr>
        <w:rFonts w:ascii="Times New Roman" w:hAnsi="Times New Roman" w:hint="default"/>
      </w:rPr>
    </w:lvl>
    <w:lvl w:ilvl="5" w:tplc="98102B66" w:tentative="1">
      <w:start w:val="1"/>
      <w:numFmt w:val="bullet"/>
      <w:lvlText w:val="•"/>
      <w:lvlJc w:val="left"/>
      <w:pPr>
        <w:tabs>
          <w:tab w:val="num" w:pos="4320"/>
        </w:tabs>
        <w:ind w:left="4320" w:hanging="360"/>
      </w:pPr>
      <w:rPr>
        <w:rFonts w:ascii="Times New Roman" w:hAnsi="Times New Roman" w:hint="default"/>
      </w:rPr>
    </w:lvl>
    <w:lvl w:ilvl="6" w:tplc="361C5340" w:tentative="1">
      <w:start w:val="1"/>
      <w:numFmt w:val="bullet"/>
      <w:lvlText w:val="•"/>
      <w:lvlJc w:val="left"/>
      <w:pPr>
        <w:tabs>
          <w:tab w:val="num" w:pos="5040"/>
        </w:tabs>
        <w:ind w:left="5040" w:hanging="360"/>
      </w:pPr>
      <w:rPr>
        <w:rFonts w:ascii="Times New Roman" w:hAnsi="Times New Roman" w:hint="default"/>
      </w:rPr>
    </w:lvl>
    <w:lvl w:ilvl="7" w:tplc="2C52A202" w:tentative="1">
      <w:start w:val="1"/>
      <w:numFmt w:val="bullet"/>
      <w:lvlText w:val="•"/>
      <w:lvlJc w:val="left"/>
      <w:pPr>
        <w:tabs>
          <w:tab w:val="num" w:pos="5760"/>
        </w:tabs>
        <w:ind w:left="5760" w:hanging="360"/>
      </w:pPr>
      <w:rPr>
        <w:rFonts w:ascii="Times New Roman" w:hAnsi="Times New Roman" w:hint="default"/>
      </w:rPr>
    </w:lvl>
    <w:lvl w:ilvl="8" w:tplc="BACA8004" w:tentative="1">
      <w:start w:val="1"/>
      <w:numFmt w:val="bullet"/>
      <w:lvlText w:val="•"/>
      <w:lvlJc w:val="left"/>
      <w:pPr>
        <w:tabs>
          <w:tab w:val="num" w:pos="6480"/>
        </w:tabs>
        <w:ind w:left="6480" w:hanging="360"/>
      </w:pPr>
      <w:rPr>
        <w:rFonts w:ascii="Times New Roman" w:hAnsi="Times New Roman" w:hint="default"/>
      </w:rPr>
    </w:lvl>
  </w:abstractNum>
  <w:abstractNum w:abstractNumId="115">
    <w:nsid w:val="129229D7"/>
    <w:multiLevelType w:val="hybridMultilevel"/>
    <w:tmpl w:val="CFF45BB8"/>
    <w:lvl w:ilvl="0" w:tplc="EF5E97BE">
      <w:start w:val="1"/>
      <w:numFmt w:val="bullet"/>
      <w:lvlText w:val="–"/>
      <w:lvlJc w:val="left"/>
      <w:pPr>
        <w:ind w:left="1800" w:hanging="360"/>
      </w:pPr>
      <w:rPr>
        <w:rFonts w:ascii="Times New Roman" w:hAnsi="Times New Roman" w:cs="Times New Roman"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16">
    <w:nsid w:val="12D53A79"/>
    <w:multiLevelType w:val="hybridMultilevel"/>
    <w:tmpl w:val="F522992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7">
    <w:nsid w:val="12F85CB8"/>
    <w:multiLevelType w:val="hybridMultilevel"/>
    <w:tmpl w:val="6DDE4B2E"/>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8">
    <w:nsid w:val="12F85ED8"/>
    <w:multiLevelType w:val="hybridMultilevel"/>
    <w:tmpl w:val="A9384C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9">
    <w:nsid w:val="131D02A1"/>
    <w:multiLevelType w:val="hybridMultilevel"/>
    <w:tmpl w:val="353209CA"/>
    <w:lvl w:ilvl="0" w:tplc="015C9696">
      <w:start w:val="1"/>
      <w:numFmt w:val="bullet"/>
      <w:lvlText w:val=""/>
      <w:lvlJc w:val="left"/>
      <w:pPr>
        <w:ind w:left="720" w:hanging="360"/>
      </w:pPr>
      <w:rPr>
        <w:rFonts w:ascii="Symbol" w:hAnsi="Symbol" w:hint="default"/>
      </w:rPr>
    </w:lvl>
    <w:lvl w:ilvl="1" w:tplc="A7ACEDEC" w:tentative="1">
      <w:start w:val="1"/>
      <w:numFmt w:val="bullet"/>
      <w:lvlText w:val="o"/>
      <w:lvlJc w:val="left"/>
      <w:pPr>
        <w:ind w:left="1440" w:hanging="360"/>
      </w:pPr>
      <w:rPr>
        <w:rFonts w:ascii="Courier New" w:hAnsi="Courier New" w:cs="Courier New" w:hint="default"/>
      </w:rPr>
    </w:lvl>
    <w:lvl w:ilvl="2" w:tplc="1466E1A2" w:tentative="1">
      <w:start w:val="1"/>
      <w:numFmt w:val="bullet"/>
      <w:lvlText w:val=""/>
      <w:lvlJc w:val="left"/>
      <w:pPr>
        <w:ind w:left="2160" w:hanging="360"/>
      </w:pPr>
      <w:rPr>
        <w:rFonts w:ascii="Wingdings" w:hAnsi="Wingdings" w:hint="default"/>
      </w:rPr>
    </w:lvl>
    <w:lvl w:ilvl="3" w:tplc="874E2C20" w:tentative="1">
      <w:start w:val="1"/>
      <w:numFmt w:val="bullet"/>
      <w:lvlText w:val=""/>
      <w:lvlJc w:val="left"/>
      <w:pPr>
        <w:ind w:left="2880" w:hanging="360"/>
      </w:pPr>
      <w:rPr>
        <w:rFonts w:ascii="Symbol" w:hAnsi="Symbol" w:hint="default"/>
      </w:rPr>
    </w:lvl>
    <w:lvl w:ilvl="4" w:tplc="3E0E210E" w:tentative="1">
      <w:start w:val="1"/>
      <w:numFmt w:val="bullet"/>
      <w:lvlText w:val="o"/>
      <w:lvlJc w:val="left"/>
      <w:pPr>
        <w:ind w:left="3600" w:hanging="360"/>
      </w:pPr>
      <w:rPr>
        <w:rFonts w:ascii="Courier New" w:hAnsi="Courier New" w:cs="Courier New" w:hint="default"/>
      </w:rPr>
    </w:lvl>
    <w:lvl w:ilvl="5" w:tplc="5A70CF9A" w:tentative="1">
      <w:start w:val="1"/>
      <w:numFmt w:val="bullet"/>
      <w:lvlText w:val=""/>
      <w:lvlJc w:val="left"/>
      <w:pPr>
        <w:ind w:left="4320" w:hanging="360"/>
      </w:pPr>
      <w:rPr>
        <w:rFonts w:ascii="Wingdings" w:hAnsi="Wingdings" w:hint="default"/>
      </w:rPr>
    </w:lvl>
    <w:lvl w:ilvl="6" w:tplc="F6303D62" w:tentative="1">
      <w:start w:val="1"/>
      <w:numFmt w:val="bullet"/>
      <w:lvlText w:val=""/>
      <w:lvlJc w:val="left"/>
      <w:pPr>
        <w:ind w:left="5040" w:hanging="360"/>
      </w:pPr>
      <w:rPr>
        <w:rFonts w:ascii="Symbol" w:hAnsi="Symbol" w:hint="default"/>
      </w:rPr>
    </w:lvl>
    <w:lvl w:ilvl="7" w:tplc="228A49A6" w:tentative="1">
      <w:start w:val="1"/>
      <w:numFmt w:val="bullet"/>
      <w:lvlText w:val="o"/>
      <w:lvlJc w:val="left"/>
      <w:pPr>
        <w:ind w:left="5760" w:hanging="360"/>
      </w:pPr>
      <w:rPr>
        <w:rFonts w:ascii="Courier New" w:hAnsi="Courier New" w:cs="Courier New" w:hint="default"/>
      </w:rPr>
    </w:lvl>
    <w:lvl w:ilvl="8" w:tplc="B2B8D576" w:tentative="1">
      <w:start w:val="1"/>
      <w:numFmt w:val="bullet"/>
      <w:lvlText w:val=""/>
      <w:lvlJc w:val="left"/>
      <w:pPr>
        <w:ind w:left="6480" w:hanging="360"/>
      </w:pPr>
      <w:rPr>
        <w:rFonts w:ascii="Wingdings" w:hAnsi="Wingdings" w:hint="default"/>
      </w:rPr>
    </w:lvl>
  </w:abstractNum>
  <w:abstractNum w:abstractNumId="120">
    <w:nsid w:val="13A54F82"/>
    <w:multiLevelType w:val="hybridMultilevel"/>
    <w:tmpl w:val="F2B6D97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1">
    <w:nsid w:val="13B671E0"/>
    <w:multiLevelType w:val="hybridMultilevel"/>
    <w:tmpl w:val="C15ED43A"/>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2">
    <w:nsid w:val="14361B52"/>
    <w:multiLevelType w:val="hybridMultilevel"/>
    <w:tmpl w:val="97ECC62C"/>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3">
      <w:start w:val="1"/>
      <w:numFmt w:val="bullet"/>
      <w:lvlText w:val="o"/>
      <w:lvlJc w:val="left"/>
      <w:pPr>
        <w:ind w:left="2160" w:hanging="360"/>
      </w:pPr>
      <w:rPr>
        <w:rFonts w:ascii="Courier New" w:hAnsi="Courier New" w:cs="Courier New"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3">
    <w:nsid w:val="143F7BD1"/>
    <w:multiLevelType w:val="hybridMultilevel"/>
    <w:tmpl w:val="8812A380"/>
    <w:lvl w:ilvl="0" w:tplc="EF5E97BE">
      <w:start w:val="1"/>
      <w:numFmt w:val="bullet"/>
      <w:lvlText w:val="–"/>
      <w:lvlJc w:val="left"/>
      <w:pPr>
        <w:ind w:left="2160" w:hanging="360"/>
      </w:pPr>
      <w:rPr>
        <w:rFonts w:ascii="Times New Roman" w:hAnsi="Times New Roman" w:cs="Times New Roman"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24">
    <w:nsid w:val="144F572B"/>
    <w:multiLevelType w:val="hybridMultilevel"/>
    <w:tmpl w:val="B5B683CC"/>
    <w:lvl w:ilvl="0" w:tplc="AE7A0118">
      <w:start w:val="1"/>
      <w:numFmt w:val="bullet"/>
      <w:lvlText w:val=""/>
      <w:lvlJc w:val="left"/>
      <w:pPr>
        <w:ind w:left="720" w:hanging="360"/>
      </w:pPr>
      <w:rPr>
        <w:rFonts w:ascii="Symbol" w:hAnsi="Symbol" w:hint="default"/>
      </w:rPr>
    </w:lvl>
    <w:lvl w:ilvl="1" w:tplc="490CE0A0" w:tentative="1">
      <w:start w:val="1"/>
      <w:numFmt w:val="bullet"/>
      <w:lvlText w:val="o"/>
      <w:lvlJc w:val="left"/>
      <w:pPr>
        <w:ind w:left="1440" w:hanging="360"/>
      </w:pPr>
      <w:rPr>
        <w:rFonts w:ascii="Courier New" w:hAnsi="Courier New" w:cs="Courier New" w:hint="default"/>
      </w:rPr>
    </w:lvl>
    <w:lvl w:ilvl="2" w:tplc="D5EC4F62" w:tentative="1">
      <w:start w:val="1"/>
      <w:numFmt w:val="bullet"/>
      <w:lvlText w:val=""/>
      <w:lvlJc w:val="left"/>
      <w:pPr>
        <w:ind w:left="2160" w:hanging="360"/>
      </w:pPr>
      <w:rPr>
        <w:rFonts w:ascii="Wingdings" w:hAnsi="Wingdings" w:hint="default"/>
      </w:rPr>
    </w:lvl>
    <w:lvl w:ilvl="3" w:tplc="FB40518C" w:tentative="1">
      <w:start w:val="1"/>
      <w:numFmt w:val="bullet"/>
      <w:lvlText w:val=""/>
      <w:lvlJc w:val="left"/>
      <w:pPr>
        <w:ind w:left="2880" w:hanging="360"/>
      </w:pPr>
      <w:rPr>
        <w:rFonts w:ascii="Symbol" w:hAnsi="Symbol" w:hint="default"/>
      </w:rPr>
    </w:lvl>
    <w:lvl w:ilvl="4" w:tplc="C3A8800E" w:tentative="1">
      <w:start w:val="1"/>
      <w:numFmt w:val="bullet"/>
      <w:lvlText w:val="o"/>
      <w:lvlJc w:val="left"/>
      <w:pPr>
        <w:ind w:left="3600" w:hanging="360"/>
      </w:pPr>
      <w:rPr>
        <w:rFonts w:ascii="Courier New" w:hAnsi="Courier New" w:cs="Courier New" w:hint="default"/>
      </w:rPr>
    </w:lvl>
    <w:lvl w:ilvl="5" w:tplc="2488DE20" w:tentative="1">
      <w:start w:val="1"/>
      <w:numFmt w:val="bullet"/>
      <w:lvlText w:val=""/>
      <w:lvlJc w:val="left"/>
      <w:pPr>
        <w:ind w:left="4320" w:hanging="360"/>
      </w:pPr>
      <w:rPr>
        <w:rFonts w:ascii="Wingdings" w:hAnsi="Wingdings" w:hint="default"/>
      </w:rPr>
    </w:lvl>
    <w:lvl w:ilvl="6" w:tplc="17103130" w:tentative="1">
      <w:start w:val="1"/>
      <w:numFmt w:val="bullet"/>
      <w:lvlText w:val=""/>
      <w:lvlJc w:val="left"/>
      <w:pPr>
        <w:ind w:left="5040" w:hanging="360"/>
      </w:pPr>
      <w:rPr>
        <w:rFonts w:ascii="Symbol" w:hAnsi="Symbol" w:hint="default"/>
      </w:rPr>
    </w:lvl>
    <w:lvl w:ilvl="7" w:tplc="65DC4314" w:tentative="1">
      <w:start w:val="1"/>
      <w:numFmt w:val="bullet"/>
      <w:lvlText w:val="o"/>
      <w:lvlJc w:val="left"/>
      <w:pPr>
        <w:ind w:left="5760" w:hanging="360"/>
      </w:pPr>
      <w:rPr>
        <w:rFonts w:ascii="Courier New" w:hAnsi="Courier New" w:cs="Courier New" w:hint="default"/>
      </w:rPr>
    </w:lvl>
    <w:lvl w:ilvl="8" w:tplc="C818D2A8" w:tentative="1">
      <w:start w:val="1"/>
      <w:numFmt w:val="bullet"/>
      <w:lvlText w:val=""/>
      <w:lvlJc w:val="left"/>
      <w:pPr>
        <w:ind w:left="6480" w:hanging="360"/>
      </w:pPr>
      <w:rPr>
        <w:rFonts w:ascii="Wingdings" w:hAnsi="Wingdings" w:hint="default"/>
      </w:rPr>
    </w:lvl>
  </w:abstractNum>
  <w:abstractNum w:abstractNumId="125">
    <w:nsid w:val="146F19C6"/>
    <w:multiLevelType w:val="hybridMultilevel"/>
    <w:tmpl w:val="DA7C7B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6">
    <w:nsid w:val="15451F02"/>
    <w:multiLevelType w:val="hybridMultilevel"/>
    <w:tmpl w:val="71265994"/>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7">
    <w:nsid w:val="15482D17"/>
    <w:multiLevelType w:val="hybridMultilevel"/>
    <w:tmpl w:val="C4E06A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8">
    <w:nsid w:val="155217B9"/>
    <w:multiLevelType w:val="hybridMultilevel"/>
    <w:tmpl w:val="B0FAE20E"/>
    <w:lvl w:ilvl="0" w:tplc="0409001B">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9">
    <w:nsid w:val="157030B6"/>
    <w:multiLevelType w:val="hybridMultilevel"/>
    <w:tmpl w:val="050AD28A"/>
    <w:lvl w:ilvl="0" w:tplc="04090003">
      <w:start w:val="1"/>
      <w:numFmt w:val="bullet"/>
      <w:lvlText w:val="o"/>
      <w:lvlJc w:val="left"/>
      <w:pPr>
        <w:ind w:left="1111" w:hanging="360"/>
      </w:pPr>
      <w:rPr>
        <w:rFonts w:ascii="Courier New" w:hAnsi="Courier New" w:cs="Courier New" w:hint="default"/>
      </w:rPr>
    </w:lvl>
    <w:lvl w:ilvl="1" w:tplc="04090003" w:tentative="1">
      <w:start w:val="1"/>
      <w:numFmt w:val="bullet"/>
      <w:lvlText w:val="o"/>
      <w:lvlJc w:val="left"/>
      <w:pPr>
        <w:ind w:left="1831" w:hanging="360"/>
      </w:pPr>
      <w:rPr>
        <w:rFonts w:ascii="Courier New" w:hAnsi="Courier New" w:cs="Courier New" w:hint="default"/>
      </w:rPr>
    </w:lvl>
    <w:lvl w:ilvl="2" w:tplc="04090005" w:tentative="1">
      <w:start w:val="1"/>
      <w:numFmt w:val="bullet"/>
      <w:lvlText w:val=""/>
      <w:lvlJc w:val="left"/>
      <w:pPr>
        <w:ind w:left="2551" w:hanging="360"/>
      </w:pPr>
      <w:rPr>
        <w:rFonts w:ascii="Wingdings" w:hAnsi="Wingdings" w:hint="default"/>
      </w:rPr>
    </w:lvl>
    <w:lvl w:ilvl="3" w:tplc="04090001" w:tentative="1">
      <w:start w:val="1"/>
      <w:numFmt w:val="bullet"/>
      <w:lvlText w:val=""/>
      <w:lvlJc w:val="left"/>
      <w:pPr>
        <w:ind w:left="3271" w:hanging="360"/>
      </w:pPr>
      <w:rPr>
        <w:rFonts w:ascii="Symbol" w:hAnsi="Symbol" w:hint="default"/>
      </w:rPr>
    </w:lvl>
    <w:lvl w:ilvl="4" w:tplc="04090003" w:tentative="1">
      <w:start w:val="1"/>
      <w:numFmt w:val="bullet"/>
      <w:lvlText w:val="o"/>
      <w:lvlJc w:val="left"/>
      <w:pPr>
        <w:ind w:left="3991" w:hanging="360"/>
      </w:pPr>
      <w:rPr>
        <w:rFonts w:ascii="Courier New" w:hAnsi="Courier New" w:cs="Courier New" w:hint="default"/>
      </w:rPr>
    </w:lvl>
    <w:lvl w:ilvl="5" w:tplc="04090005" w:tentative="1">
      <w:start w:val="1"/>
      <w:numFmt w:val="bullet"/>
      <w:lvlText w:val=""/>
      <w:lvlJc w:val="left"/>
      <w:pPr>
        <w:ind w:left="4711" w:hanging="360"/>
      </w:pPr>
      <w:rPr>
        <w:rFonts w:ascii="Wingdings" w:hAnsi="Wingdings" w:hint="default"/>
      </w:rPr>
    </w:lvl>
    <w:lvl w:ilvl="6" w:tplc="04090001" w:tentative="1">
      <w:start w:val="1"/>
      <w:numFmt w:val="bullet"/>
      <w:lvlText w:val=""/>
      <w:lvlJc w:val="left"/>
      <w:pPr>
        <w:ind w:left="5431" w:hanging="360"/>
      </w:pPr>
      <w:rPr>
        <w:rFonts w:ascii="Symbol" w:hAnsi="Symbol" w:hint="default"/>
      </w:rPr>
    </w:lvl>
    <w:lvl w:ilvl="7" w:tplc="04090003" w:tentative="1">
      <w:start w:val="1"/>
      <w:numFmt w:val="bullet"/>
      <w:lvlText w:val="o"/>
      <w:lvlJc w:val="left"/>
      <w:pPr>
        <w:ind w:left="6151" w:hanging="360"/>
      </w:pPr>
      <w:rPr>
        <w:rFonts w:ascii="Courier New" w:hAnsi="Courier New" w:cs="Courier New" w:hint="default"/>
      </w:rPr>
    </w:lvl>
    <w:lvl w:ilvl="8" w:tplc="04090005" w:tentative="1">
      <w:start w:val="1"/>
      <w:numFmt w:val="bullet"/>
      <w:lvlText w:val=""/>
      <w:lvlJc w:val="left"/>
      <w:pPr>
        <w:ind w:left="6871" w:hanging="360"/>
      </w:pPr>
      <w:rPr>
        <w:rFonts w:ascii="Wingdings" w:hAnsi="Wingdings" w:hint="default"/>
      </w:rPr>
    </w:lvl>
  </w:abstractNum>
  <w:abstractNum w:abstractNumId="130">
    <w:nsid w:val="16130F7B"/>
    <w:multiLevelType w:val="hybridMultilevel"/>
    <w:tmpl w:val="2F041154"/>
    <w:lvl w:ilvl="0" w:tplc="0A0494D6">
      <w:start w:val="1"/>
      <w:numFmt w:val="bullet"/>
      <w:lvlText w:val="•"/>
      <w:lvlJc w:val="left"/>
      <w:pPr>
        <w:tabs>
          <w:tab w:val="num" w:pos="720"/>
        </w:tabs>
        <w:ind w:left="720" w:hanging="360"/>
      </w:pPr>
      <w:rPr>
        <w:rFonts w:ascii="Arial" w:hAnsi="Arial" w:hint="default"/>
      </w:rPr>
    </w:lvl>
    <w:lvl w:ilvl="1" w:tplc="71DEE58E">
      <w:start w:val="1279"/>
      <w:numFmt w:val="bullet"/>
      <w:lvlText w:val="–"/>
      <w:lvlJc w:val="left"/>
      <w:pPr>
        <w:tabs>
          <w:tab w:val="num" w:pos="1440"/>
        </w:tabs>
        <w:ind w:left="1440" w:hanging="360"/>
      </w:pPr>
      <w:rPr>
        <w:rFonts w:ascii="Arial" w:hAnsi="Arial" w:hint="default"/>
      </w:rPr>
    </w:lvl>
    <w:lvl w:ilvl="2" w:tplc="3CFAA9BA">
      <w:start w:val="1279"/>
      <w:numFmt w:val="bullet"/>
      <w:lvlText w:val="•"/>
      <w:lvlJc w:val="left"/>
      <w:pPr>
        <w:tabs>
          <w:tab w:val="num" w:pos="2160"/>
        </w:tabs>
        <w:ind w:left="2160" w:hanging="360"/>
      </w:pPr>
      <w:rPr>
        <w:rFonts w:ascii="Arial" w:hAnsi="Arial" w:hint="default"/>
      </w:rPr>
    </w:lvl>
    <w:lvl w:ilvl="3" w:tplc="BAE682CC" w:tentative="1">
      <w:start w:val="1"/>
      <w:numFmt w:val="bullet"/>
      <w:lvlText w:val="•"/>
      <w:lvlJc w:val="left"/>
      <w:pPr>
        <w:tabs>
          <w:tab w:val="num" w:pos="2880"/>
        </w:tabs>
        <w:ind w:left="2880" w:hanging="360"/>
      </w:pPr>
      <w:rPr>
        <w:rFonts w:ascii="Arial" w:hAnsi="Arial" w:hint="default"/>
      </w:rPr>
    </w:lvl>
    <w:lvl w:ilvl="4" w:tplc="6778E04A" w:tentative="1">
      <w:start w:val="1"/>
      <w:numFmt w:val="bullet"/>
      <w:lvlText w:val="•"/>
      <w:lvlJc w:val="left"/>
      <w:pPr>
        <w:tabs>
          <w:tab w:val="num" w:pos="3600"/>
        </w:tabs>
        <w:ind w:left="3600" w:hanging="360"/>
      </w:pPr>
      <w:rPr>
        <w:rFonts w:ascii="Arial" w:hAnsi="Arial" w:hint="default"/>
      </w:rPr>
    </w:lvl>
    <w:lvl w:ilvl="5" w:tplc="3A4A8EC0" w:tentative="1">
      <w:start w:val="1"/>
      <w:numFmt w:val="bullet"/>
      <w:lvlText w:val="•"/>
      <w:lvlJc w:val="left"/>
      <w:pPr>
        <w:tabs>
          <w:tab w:val="num" w:pos="4320"/>
        </w:tabs>
        <w:ind w:left="4320" w:hanging="360"/>
      </w:pPr>
      <w:rPr>
        <w:rFonts w:ascii="Arial" w:hAnsi="Arial" w:hint="default"/>
      </w:rPr>
    </w:lvl>
    <w:lvl w:ilvl="6" w:tplc="BEDA29AA" w:tentative="1">
      <w:start w:val="1"/>
      <w:numFmt w:val="bullet"/>
      <w:lvlText w:val="•"/>
      <w:lvlJc w:val="left"/>
      <w:pPr>
        <w:tabs>
          <w:tab w:val="num" w:pos="5040"/>
        </w:tabs>
        <w:ind w:left="5040" w:hanging="360"/>
      </w:pPr>
      <w:rPr>
        <w:rFonts w:ascii="Arial" w:hAnsi="Arial" w:hint="default"/>
      </w:rPr>
    </w:lvl>
    <w:lvl w:ilvl="7" w:tplc="E27AFB1E" w:tentative="1">
      <w:start w:val="1"/>
      <w:numFmt w:val="bullet"/>
      <w:lvlText w:val="•"/>
      <w:lvlJc w:val="left"/>
      <w:pPr>
        <w:tabs>
          <w:tab w:val="num" w:pos="5760"/>
        </w:tabs>
        <w:ind w:left="5760" w:hanging="360"/>
      </w:pPr>
      <w:rPr>
        <w:rFonts w:ascii="Arial" w:hAnsi="Arial" w:hint="default"/>
      </w:rPr>
    </w:lvl>
    <w:lvl w:ilvl="8" w:tplc="310879A0" w:tentative="1">
      <w:start w:val="1"/>
      <w:numFmt w:val="bullet"/>
      <w:lvlText w:val="•"/>
      <w:lvlJc w:val="left"/>
      <w:pPr>
        <w:tabs>
          <w:tab w:val="num" w:pos="6480"/>
        </w:tabs>
        <w:ind w:left="6480" w:hanging="360"/>
      </w:pPr>
      <w:rPr>
        <w:rFonts w:ascii="Arial" w:hAnsi="Arial" w:hint="default"/>
      </w:rPr>
    </w:lvl>
  </w:abstractNum>
  <w:abstractNum w:abstractNumId="131">
    <w:nsid w:val="16CD69CE"/>
    <w:multiLevelType w:val="hybridMultilevel"/>
    <w:tmpl w:val="895AD7B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2">
    <w:nsid w:val="16D404B9"/>
    <w:multiLevelType w:val="hybridMultilevel"/>
    <w:tmpl w:val="A5FE75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3">
    <w:nsid w:val="17124D10"/>
    <w:multiLevelType w:val="hybridMultilevel"/>
    <w:tmpl w:val="4D10B0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4">
    <w:nsid w:val="171C4DD3"/>
    <w:multiLevelType w:val="multilevel"/>
    <w:tmpl w:val="03B20A4A"/>
    <w:lvl w:ilvl="0">
      <w:start w:val="1"/>
      <w:numFmt w:val="decimal"/>
      <w:suff w:val="space"/>
      <w:lvlText w:val="Section %1"/>
      <w:lvlJc w:val="left"/>
      <w:pPr>
        <w:ind w:left="0" w:firstLine="0"/>
      </w:pPr>
      <w:rPr>
        <w:rFonts w:ascii="Calibri" w:hAnsi="Calibri" w:cs="Times New Roman" w:hint="default"/>
        <w:b/>
        <w:i w:val="0"/>
        <w:color w:val="0070C0"/>
        <w:sz w:val="36"/>
      </w:rPr>
    </w:lvl>
    <w:lvl w:ilvl="1">
      <w:start w:val="1"/>
      <w:numFmt w:val="decimal"/>
      <w:suff w:val="space"/>
      <w:lvlText w:val="%1.%2"/>
      <w:lvlJc w:val="left"/>
      <w:pPr>
        <w:ind w:left="0" w:firstLine="0"/>
      </w:pPr>
      <w:rPr>
        <w:rFonts w:ascii="Calibri" w:hAnsi="Calibri" w:cs="Times New Roman" w:hint="default"/>
        <w:b/>
        <w:i w:val="0"/>
        <w:sz w:val="24"/>
      </w:rPr>
    </w:lvl>
    <w:lvl w:ilvl="2">
      <w:start w:val="1"/>
      <w:numFmt w:val="decimal"/>
      <w:suff w:val="space"/>
      <w:lvlText w:val="%2.%1.%3"/>
      <w:lvlJc w:val="left"/>
      <w:pPr>
        <w:ind w:left="0" w:firstLine="0"/>
      </w:pPr>
      <w:rPr>
        <w:rFonts w:hint="default"/>
        <w:b w:val="0"/>
        <w:bCs w:val="0"/>
        <w:i w:val="0"/>
        <w:iCs w:val="0"/>
        <w:caps w:val="0"/>
        <w:smallCaps w:val="0"/>
        <w:strike w:val="0"/>
        <w:dstrike w:val="0"/>
        <w:outline w:val="0"/>
        <w:shadow w:val="0"/>
        <w:emboss w:val="0"/>
        <w:imprint w:val="0"/>
        <w:noProof w:val="0"/>
        <w:vanish w:val="0"/>
        <w:color w:val="auto"/>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suff w:val="space"/>
      <w:lvlText w:val="%1.%2.%3.%4"/>
      <w:lvlJc w:val="left"/>
      <w:pPr>
        <w:ind w:left="0" w:firstLine="0"/>
      </w:pPr>
      <w:rPr>
        <w:rFonts w:ascii="Calibri" w:hAnsi="Calibri" w:cs="Times New Roman" w:hint="default"/>
        <w:b w:val="0"/>
        <w:i/>
        <w:sz w:val="20"/>
        <w:szCs w:val="20"/>
      </w:rPr>
    </w:lvl>
    <w:lvl w:ilvl="4">
      <w:start w:val="1"/>
      <w:numFmt w:val="decimal"/>
      <w:lvlRestart w:val="0"/>
      <w:suff w:val="space"/>
      <w:lvlText w:val="%1.%2.%3.%4.%5"/>
      <w:lvlJc w:val="left"/>
      <w:pPr>
        <w:ind w:left="0" w:firstLine="0"/>
      </w:pPr>
      <w:rPr>
        <w:rFonts w:cs="Times New Roman" w:hint="default"/>
      </w:rPr>
    </w:lvl>
    <w:lvl w:ilvl="5">
      <w:start w:val="1"/>
      <w:numFmt w:val="decimal"/>
      <w:lvlRestart w:val="0"/>
      <w:lvlText w:val="%1.%2.%3.%4.%5.%6"/>
      <w:lvlJc w:val="left"/>
      <w:pPr>
        <w:tabs>
          <w:tab w:val="num" w:pos="1800"/>
        </w:tabs>
        <w:ind w:left="0" w:firstLine="0"/>
      </w:pPr>
      <w:rPr>
        <w:rFonts w:cs="Times New Roman" w:hint="default"/>
      </w:rPr>
    </w:lvl>
    <w:lvl w:ilvl="6">
      <w:start w:val="1"/>
      <w:numFmt w:val="decimal"/>
      <w:lvlRestart w:val="0"/>
      <w:lvlText w:val="%1.%2.%3.%4.%5.%6.%7"/>
      <w:lvlJc w:val="left"/>
      <w:pPr>
        <w:tabs>
          <w:tab w:val="num" w:pos="2160"/>
        </w:tabs>
        <w:ind w:left="0" w:firstLine="0"/>
      </w:pPr>
      <w:rPr>
        <w:rFonts w:cs="Times New Roman" w:hint="default"/>
      </w:rPr>
    </w:lvl>
    <w:lvl w:ilvl="7">
      <w:start w:val="1"/>
      <w:numFmt w:val="decimal"/>
      <w:lvlRestart w:val="0"/>
      <w:lvlText w:val="%1.%2.%3.%4.%5.%6.%7.%8"/>
      <w:lvlJc w:val="left"/>
      <w:pPr>
        <w:tabs>
          <w:tab w:val="num" w:pos="2520"/>
        </w:tabs>
        <w:ind w:left="0" w:firstLine="0"/>
      </w:pPr>
      <w:rPr>
        <w:rFonts w:cs="Times New Roman" w:hint="default"/>
      </w:rPr>
    </w:lvl>
    <w:lvl w:ilvl="8">
      <w:start w:val="1"/>
      <w:numFmt w:val="decimal"/>
      <w:lvlRestart w:val="0"/>
      <w:lvlText w:val="%1.%2.%3.%4.%5.%6.%7.%8.%9"/>
      <w:lvlJc w:val="left"/>
      <w:pPr>
        <w:tabs>
          <w:tab w:val="num" w:pos="2880"/>
        </w:tabs>
        <w:ind w:left="0" w:firstLine="0"/>
      </w:pPr>
      <w:rPr>
        <w:rFonts w:cs="Times New Roman" w:hint="default"/>
      </w:rPr>
    </w:lvl>
  </w:abstractNum>
  <w:abstractNum w:abstractNumId="135">
    <w:nsid w:val="173C10A0"/>
    <w:multiLevelType w:val="hybridMultilevel"/>
    <w:tmpl w:val="EB0A5F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6">
    <w:nsid w:val="173F0FA7"/>
    <w:multiLevelType w:val="hybridMultilevel"/>
    <w:tmpl w:val="4FDC29D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7">
    <w:nsid w:val="17FB6565"/>
    <w:multiLevelType w:val="hybridMultilevel"/>
    <w:tmpl w:val="6D9E81BF"/>
    <w:lvl w:ilvl="0" w:tplc="FFFFFFFF">
      <w:start w:val="1"/>
      <w:numFmt w:val="ideographDigital"/>
      <w:lvlText w:val=""/>
      <w:lvlJc w:val="left"/>
    </w:lvl>
    <w:lvl w:ilvl="1" w:tplc="FFFFFFFF">
      <w:start w:val="1"/>
      <w:numFmt w:val="ideographDigit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38">
    <w:nsid w:val="183270C8"/>
    <w:multiLevelType w:val="hybridMultilevel"/>
    <w:tmpl w:val="E52A37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9">
    <w:nsid w:val="18467AEA"/>
    <w:multiLevelType w:val="hybridMultilevel"/>
    <w:tmpl w:val="78E8D1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0">
    <w:nsid w:val="18594F81"/>
    <w:multiLevelType w:val="multilevel"/>
    <w:tmpl w:val="914A5A0E"/>
    <w:lvl w:ilvl="0">
      <w:start w:val="1"/>
      <w:numFmt w:val="decimal"/>
      <w:suff w:val="nothing"/>
      <w:lvlText w:val="Section %1"/>
      <w:lvlJc w:val="left"/>
      <w:pPr>
        <w:ind w:left="0" w:firstLine="0"/>
      </w:pPr>
      <w:rPr>
        <w:rFonts w:ascii="Calibri" w:hAnsi="Calibri" w:hint="default"/>
        <w:b/>
        <w:i w:val="0"/>
        <w:color w:val="0070C0"/>
        <w:sz w:val="36"/>
        <w:u w:val="none"/>
      </w:rPr>
    </w:lvl>
    <w:lvl w:ilvl="1">
      <w:start w:val="1"/>
      <w:numFmt w:val="decimal"/>
      <w:suff w:val="space"/>
      <w:lvlText w:val="%1.%2"/>
      <w:lvlJc w:val="left"/>
      <w:pPr>
        <w:ind w:left="0" w:firstLine="0"/>
      </w:pPr>
      <w:rPr>
        <w:rFonts w:ascii="Calibri" w:hAnsi="Calibri" w:hint="default"/>
        <w:b/>
        <w:i w:val="0"/>
        <w:color w:val="auto"/>
        <w:sz w:val="24"/>
        <w:u w:val="none"/>
      </w:rPr>
    </w:lvl>
    <w:lvl w:ilvl="2">
      <w:start w:val="1"/>
      <w:numFmt w:val="decimal"/>
      <w:suff w:val="space"/>
      <w:lvlText w:val="%1.%2.%3"/>
      <w:lvlJc w:val="left"/>
      <w:pPr>
        <w:ind w:left="0" w:firstLine="0"/>
      </w:pPr>
      <w:rPr>
        <w:rFonts w:ascii="Calibri" w:hAnsi="Calibri" w:cs="Times New Roman" w:hint="default"/>
        <w:b/>
        <w:bCs w:val="0"/>
        <w:i w:val="0"/>
        <w:iCs w:val="0"/>
        <w:caps w:val="0"/>
        <w:smallCaps w:val="0"/>
        <w:strike w:val="0"/>
        <w:dstrike w:val="0"/>
        <w:vanish w:val="0"/>
        <w:color w:val="000000"/>
        <w:spacing w:val="0"/>
        <w:kern w:val="0"/>
        <w:position w:val="0"/>
        <w:sz w:val="20"/>
        <w:u w:val="none"/>
        <w:vertAlign w:val="baseline"/>
        <w:em w:val="none"/>
      </w:rPr>
    </w:lvl>
    <w:lvl w:ilvl="3">
      <w:start w:val="1"/>
      <w:numFmt w:val="decimal"/>
      <w:suff w:val="space"/>
      <w:lvlText w:val="%1.%2.%3.%4"/>
      <w:lvlJc w:val="left"/>
      <w:pPr>
        <w:ind w:left="0" w:firstLine="0"/>
      </w:pPr>
      <w:rPr>
        <w:rFonts w:hint="default"/>
        <w:i w:val="0"/>
        <w:iCs w:val="0"/>
        <w:caps w:val="0"/>
        <w:smallCaps w:val="0"/>
        <w:strike w:val="0"/>
        <w:dstrike w:val="0"/>
        <w:outline w:val="0"/>
        <w:shadow w:val="0"/>
        <w:emboss w:val="0"/>
        <w:imprint w:val="0"/>
        <w:vanish w:val="0"/>
        <w:color w:val="auto"/>
        <w:spacing w:val="0"/>
        <w:kern w:val="0"/>
        <w:position w:val="0"/>
        <w:u w:val="none"/>
        <w:effect w:val="none"/>
        <w:vertAlign w:val="baseline"/>
        <w:em w:val="none"/>
      </w:rPr>
    </w:lvl>
    <w:lvl w:ilvl="4">
      <w:start w:val="1"/>
      <w:numFmt w:val="lowerLetter"/>
      <w:lvlText w:val="(%5)"/>
      <w:lvlJc w:val="left"/>
      <w:pPr>
        <w:ind w:left="0" w:firstLine="0"/>
      </w:pPr>
      <w:rPr>
        <w:rFonts w:hint="default"/>
      </w:rPr>
    </w:lvl>
    <w:lvl w:ilvl="5">
      <w:start w:val="1"/>
      <w:numFmt w:val="lowerRoman"/>
      <w:lvlText w:val="(%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141">
    <w:nsid w:val="190C0BD0"/>
    <w:multiLevelType w:val="hybridMultilevel"/>
    <w:tmpl w:val="E67019D2"/>
    <w:lvl w:ilvl="0" w:tplc="951E4C04">
      <w:start w:val="1"/>
      <w:numFmt w:val="upperRoman"/>
      <w:lvlText w:val="%1."/>
      <w:lvlJc w:val="left"/>
      <w:pPr>
        <w:ind w:left="810" w:hanging="720"/>
      </w:pPr>
      <w:rPr>
        <w:rFonts w:hint="default"/>
      </w:rPr>
    </w:lvl>
    <w:lvl w:ilvl="1" w:tplc="04090019">
      <w:start w:val="1"/>
      <w:numFmt w:val="lowerLetter"/>
      <w:lvlText w:val="%2."/>
      <w:lvlJc w:val="left"/>
      <w:pPr>
        <w:ind w:left="1440" w:hanging="360"/>
      </w:pPr>
    </w:lvl>
    <w:lvl w:ilvl="2" w:tplc="14D8F470">
      <w:start w:val="8"/>
      <w:numFmt w:val="upperRoman"/>
      <w:lvlText w:val="%3&gt;"/>
      <w:lvlJc w:val="left"/>
      <w:pPr>
        <w:ind w:left="2700" w:hanging="72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2">
    <w:nsid w:val="19422E43"/>
    <w:multiLevelType w:val="hybridMultilevel"/>
    <w:tmpl w:val="F828D18C"/>
    <w:lvl w:ilvl="0" w:tplc="04090001">
      <w:start w:val="1"/>
      <w:numFmt w:val="bullet"/>
      <w:lvlText w:val=""/>
      <w:lvlJc w:val="left"/>
      <w:pPr>
        <w:ind w:left="767" w:hanging="360"/>
      </w:pPr>
      <w:rPr>
        <w:rFonts w:ascii="Symbol" w:hAnsi="Symbol" w:hint="default"/>
      </w:rPr>
    </w:lvl>
    <w:lvl w:ilvl="1" w:tplc="04090003" w:tentative="1">
      <w:start w:val="1"/>
      <w:numFmt w:val="bullet"/>
      <w:lvlText w:val="o"/>
      <w:lvlJc w:val="left"/>
      <w:pPr>
        <w:ind w:left="1487" w:hanging="360"/>
      </w:pPr>
      <w:rPr>
        <w:rFonts w:ascii="Courier New" w:hAnsi="Courier New" w:cs="Courier New" w:hint="default"/>
      </w:rPr>
    </w:lvl>
    <w:lvl w:ilvl="2" w:tplc="04090005" w:tentative="1">
      <w:start w:val="1"/>
      <w:numFmt w:val="bullet"/>
      <w:lvlText w:val=""/>
      <w:lvlJc w:val="left"/>
      <w:pPr>
        <w:ind w:left="2207" w:hanging="360"/>
      </w:pPr>
      <w:rPr>
        <w:rFonts w:ascii="Wingdings" w:hAnsi="Wingdings" w:hint="default"/>
      </w:rPr>
    </w:lvl>
    <w:lvl w:ilvl="3" w:tplc="04090001" w:tentative="1">
      <w:start w:val="1"/>
      <w:numFmt w:val="bullet"/>
      <w:lvlText w:val=""/>
      <w:lvlJc w:val="left"/>
      <w:pPr>
        <w:ind w:left="2927" w:hanging="360"/>
      </w:pPr>
      <w:rPr>
        <w:rFonts w:ascii="Symbol" w:hAnsi="Symbol" w:hint="default"/>
      </w:rPr>
    </w:lvl>
    <w:lvl w:ilvl="4" w:tplc="04090003" w:tentative="1">
      <w:start w:val="1"/>
      <w:numFmt w:val="bullet"/>
      <w:lvlText w:val="o"/>
      <w:lvlJc w:val="left"/>
      <w:pPr>
        <w:ind w:left="3647" w:hanging="360"/>
      </w:pPr>
      <w:rPr>
        <w:rFonts w:ascii="Courier New" w:hAnsi="Courier New" w:cs="Courier New" w:hint="default"/>
      </w:rPr>
    </w:lvl>
    <w:lvl w:ilvl="5" w:tplc="04090005" w:tentative="1">
      <w:start w:val="1"/>
      <w:numFmt w:val="bullet"/>
      <w:lvlText w:val=""/>
      <w:lvlJc w:val="left"/>
      <w:pPr>
        <w:ind w:left="4367" w:hanging="360"/>
      </w:pPr>
      <w:rPr>
        <w:rFonts w:ascii="Wingdings" w:hAnsi="Wingdings" w:hint="default"/>
      </w:rPr>
    </w:lvl>
    <w:lvl w:ilvl="6" w:tplc="04090001" w:tentative="1">
      <w:start w:val="1"/>
      <w:numFmt w:val="bullet"/>
      <w:lvlText w:val=""/>
      <w:lvlJc w:val="left"/>
      <w:pPr>
        <w:ind w:left="5087" w:hanging="360"/>
      </w:pPr>
      <w:rPr>
        <w:rFonts w:ascii="Symbol" w:hAnsi="Symbol" w:hint="default"/>
      </w:rPr>
    </w:lvl>
    <w:lvl w:ilvl="7" w:tplc="04090003" w:tentative="1">
      <w:start w:val="1"/>
      <w:numFmt w:val="bullet"/>
      <w:lvlText w:val="o"/>
      <w:lvlJc w:val="left"/>
      <w:pPr>
        <w:ind w:left="5807" w:hanging="360"/>
      </w:pPr>
      <w:rPr>
        <w:rFonts w:ascii="Courier New" w:hAnsi="Courier New" w:cs="Courier New" w:hint="default"/>
      </w:rPr>
    </w:lvl>
    <w:lvl w:ilvl="8" w:tplc="04090005" w:tentative="1">
      <w:start w:val="1"/>
      <w:numFmt w:val="bullet"/>
      <w:lvlText w:val=""/>
      <w:lvlJc w:val="left"/>
      <w:pPr>
        <w:ind w:left="6527" w:hanging="360"/>
      </w:pPr>
      <w:rPr>
        <w:rFonts w:ascii="Wingdings" w:hAnsi="Wingdings" w:hint="default"/>
      </w:rPr>
    </w:lvl>
  </w:abstractNum>
  <w:abstractNum w:abstractNumId="143">
    <w:nsid w:val="197A0A2C"/>
    <w:multiLevelType w:val="hybridMultilevel"/>
    <w:tmpl w:val="D61800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4">
    <w:nsid w:val="19A57BE1"/>
    <w:multiLevelType w:val="multilevel"/>
    <w:tmpl w:val="E2B6E5A2"/>
    <w:lvl w:ilvl="0">
      <w:start w:val="1"/>
      <w:numFmt w:val="decimal"/>
      <w:suff w:val="space"/>
      <w:lvlText w:val="Section %1"/>
      <w:lvlJc w:val="left"/>
      <w:pPr>
        <w:ind w:left="0" w:firstLine="0"/>
      </w:pPr>
      <w:rPr>
        <w:rFonts w:ascii="Calibri" w:hAnsi="Calibri" w:hint="default"/>
        <w:b/>
        <w:i w:val="0"/>
        <w:color w:val="0070C0"/>
        <w:sz w:val="36"/>
      </w:rPr>
    </w:lvl>
    <w:lvl w:ilvl="1">
      <w:start w:val="1"/>
      <w:numFmt w:val="decimal"/>
      <w:suff w:val="space"/>
      <w:lvlText w:val="%1.%2"/>
      <w:lvlJc w:val="left"/>
      <w:pPr>
        <w:ind w:left="0" w:firstLine="0"/>
      </w:pPr>
      <w:rPr>
        <w:rFonts w:ascii="Calibri" w:hAnsi="Calibri" w:hint="default"/>
        <w:b/>
        <w:i w:val="0"/>
        <w:color w:val="62777F" w:themeColor="text1"/>
        <w:sz w:val="24"/>
      </w:rPr>
    </w:lvl>
    <w:lvl w:ilvl="2">
      <w:start w:val="1"/>
      <w:numFmt w:val="decimal"/>
      <w:suff w:val="space"/>
      <w:lvlText w:val="%1.%2.%3"/>
      <w:lvlJc w:val="left"/>
      <w:pPr>
        <w:ind w:left="0" w:firstLine="0"/>
      </w:pPr>
      <w:rPr>
        <w:rFonts w:ascii="Calibri" w:hAnsi="Calibri" w:cs="Times New Roman" w:hint="default"/>
        <w:b/>
        <w:bCs w:val="0"/>
        <w:i w:val="0"/>
        <w:iCs w:val="0"/>
        <w:caps w:val="0"/>
        <w:smallCaps w:val="0"/>
        <w:strike w:val="0"/>
        <w:dstrike w:val="0"/>
        <w:outline w:val="0"/>
        <w:shadow w:val="0"/>
        <w:emboss w:val="0"/>
        <w:imprint w:val="0"/>
        <w:noProof w:val="0"/>
        <w:vanish w:val="0"/>
        <w:color w:val="62777F" w:themeColor="text1"/>
        <w:spacing w:val="0"/>
        <w:kern w:val="0"/>
        <w:position w:val="0"/>
        <w:sz w:val="20"/>
        <w:szCs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suff w:val="space"/>
      <w:lvlText w:val="%1.%2.%3.%4"/>
      <w:lvlJc w:val="left"/>
      <w:pPr>
        <w:ind w:left="0" w:firstLine="0"/>
      </w:pPr>
      <w:rPr>
        <w:rFonts w:ascii="Calibri" w:hAnsi="Calibri" w:hint="default"/>
        <w:b w:val="0"/>
        <w:i/>
        <w:color w:val="62777F" w:themeColor="text1"/>
        <w:sz w:val="20"/>
        <w:szCs w:val="20"/>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145">
    <w:nsid w:val="19B035B9"/>
    <w:multiLevelType w:val="hybridMultilevel"/>
    <w:tmpl w:val="6B08AB7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6">
    <w:nsid w:val="1A1128FD"/>
    <w:multiLevelType w:val="hybridMultilevel"/>
    <w:tmpl w:val="55A8877C"/>
    <w:lvl w:ilvl="0" w:tplc="B8064E66">
      <w:start w:val="1"/>
      <w:numFmt w:val="bullet"/>
      <w:lvlText w:val=""/>
      <w:lvlJc w:val="left"/>
      <w:pPr>
        <w:ind w:left="720" w:hanging="360"/>
      </w:pPr>
      <w:rPr>
        <w:rFonts w:ascii="Wingdings" w:hAnsi="Wingdings" w:hint="default"/>
        <w:b/>
        <w:i w:val="0"/>
        <w:sz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7">
    <w:nsid w:val="1A172697"/>
    <w:multiLevelType w:val="hybridMultilevel"/>
    <w:tmpl w:val="424E2240"/>
    <w:lvl w:ilvl="0" w:tplc="04090001">
      <w:start w:val="1"/>
      <w:numFmt w:val="bullet"/>
      <w:lvlText w:val=""/>
      <w:lvlJc w:val="left"/>
      <w:pPr>
        <w:ind w:left="770" w:hanging="360"/>
      </w:pPr>
      <w:rPr>
        <w:rFonts w:ascii="Symbol" w:hAnsi="Symbol" w:hint="default"/>
      </w:rPr>
    </w:lvl>
    <w:lvl w:ilvl="1" w:tplc="04090003" w:tentative="1">
      <w:start w:val="1"/>
      <w:numFmt w:val="bullet"/>
      <w:lvlText w:val="o"/>
      <w:lvlJc w:val="left"/>
      <w:pPr>
        <w:ind w:left="1490" w:hanging="360"/>
      </w:pPr>
      <w:rPr>
        <w:rFonts w:ascii="Courier New" w:hAnsi="Courier New" w:cs="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cs="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cs="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148">
    <w:nsid w:val="1A39404A"/>
    <w:multiLevelType w:val="hybridMultilevel"/>
    <w:tmpl w:val="4DCC25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9">
    <w:nsid w:val="1A5A3191"/>
    <w:multiLevelType w:val="hybridMultilevel"/>
    <w:tmpl w:val="8C8424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0">
    <w:nsid w:val="1AC10585"/>
    <w:multiLevelType w:val="hybridMultilevel"/>
    <w:tmpl w:val="B99E5F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1">
    <w:nsid w:val="1AEB5D4E"/>
    <w:multiLevelType w:val="hybridMultilevel"/>
    <w:tmpl w:val="95D45A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2">
    <w:nsid w:val="1B5952F6"/>
    <w:multiLevelType w:val="hybridMultilevel"/>
    <w:tmpl w:val="CFD811B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3">
    <w:nsid w:val="1B6660B1"/>
    <w:multiLevelType w:val="hybridMultilevel"/>
    <w:tmpl w:val="442CC7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4">
    <w:nsid w:val="1B746BA7"/>
    <w:multiLevelType w:val="hybridMultilevel"/>
    <w:tmpl w:val="88D6E1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5">
    <w:nsid w:val="1B8F6DCA"/>
    <w:multiLevelType w:val="hybridMultilevel"/>
    <w:tmpl w:val="7C960C3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6">
    <w:nsid w:val="1C18719D"/>
    <w:multiLevelType w:val="hybridMultilevel"/>
    <w:tmpl w:val="EB54B8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7">
    <w:nsid w:val="1C45410B"/>
    <w:multiLevelType w:val="hybridMultilevel"/>
    <w:tmpl w:val="009A92BC"/>
    <w:lvl w:ilvl="0" w:tplc="EF5E97BE">
      <w:start w:val="1"/>
      <w:numFmt w:val="bullet"/>
      <w:lvlText w:val="–"/>
      <w:lvlJc w:val="left"/>
      <w:pPr>
        <w:ind w:left="360" w:hanging="360"/>
      </w:pPr>
      <w:rPr>
        <w:rFonts w:ascii="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8">
    <w:nsid w:val="1C466854"/>
    <w:multiLevelType w:val="hybridMultilevel"/>
    <w:tmpl w:val="64B62F1C"/>
    <w:lvl w:ilvl="0" w:tplc="8996AE4E">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9">
    <w:nsid w:val="1CEE03C4"/>
    <w:multiLevelType w:val="hybridMultilevel"/>
    <w:tmpl w:val="C3DA2E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0">
    <w:nsid w:val="1D4D4486"/>
    <w:multiLevelType w:val="hybridMultilevel"/>
    <w:tmpl w:val="317E013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1">
    <w:nsid w:val="1D6669BE"/>
    <w:multiLevelType w:val="hybridMultilevel"/>
    <w:tmpl w:val="9FDB0ADC"/>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62">
    <w:nsid w:val="1D74268F"/>
    <w:multiLevelType w:val="hybridMultilevel"/>
    <w:tmpl w:val="DD2CA3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3">
    <w:nsid w:val="1D7831CF"/>
    <w:multiLevelType w:val="multilevel"/>
    <w:tmpl w:val="50A89914"/>
    <w:styleLink w:val="ISOReportStyle"/>
    <w:lvl w:ilvl="0">
      <w:start w:val="1"/>
      <w:numFmt w:val="decimal"/>
      <w:suff w:val="space"/>
      <w:lvlText w:val="Section %1"/>
      <w:lvlJc w:val="left"/>
      <w:pPr>
        <w:ind w:left="0" w:firstLine="0"/>
      </w:pPr>
      <w:rPr>
        <w:rFonts w:ascii="Calibri" w:hAnsi="Calibri" w:cs="Times New Roman" w:hint="default"/>
        <w:b/>
        <w:i w:val="0"/>
        <w:color w:val="0070C0"/>
        <w:sz w:val="36"/>
      </w:rPr>
    </w:lvl>
    <w:lvl w:ilvl="1">
      <w:start w:val="1"/>
      <w:numFmt w:val="decimal"/>
      <w:suff w:val="space"/>
      <w:lvlText w:val="%1.%2"/>
      <w:lvlJc w:val="left"/>
      <w:pPr>
        <w:ind w:left="0" w:firstLine="0"/>
      </w:pPr>
      <w:rPr>
        <w:rFonts w:ascii="Calibri" w:hAnsi="Calibri" w:cs="Times New Roman" w:hint="default"/>
        <w:b/>
        <w:i w:val="0"/>
        <w:color w:val="auto"/>
        <w:sz w:val="24"/>
      </w:rPr>
    </w:lvl>
    <w:lvl w:ilvl="2">
      <w:start w:val="1"/>
      <w:numFmt w:val="decimal"/>
      <w:suff w:val="space"/>
      <w:lvlText w:val="%2.%1.%3"/>
      <w:lvlJc w:val="left"/>
      <w:pPr>
        <w:ind w:left="0" w:firstLine="0"/>
      </w:pPr>
      <w:rPr>
        <w:rFonts w:ascii="Calibri" w:hAnsi="Calibri" w:cs="Times New Roman" w:hint="default"/>
        <w:b/>
        <w:i w:val="0"/>
        <w:color w:val="auto"/>
        <w:sz w:val="20"/>
        <w:szCs w:val="20"/>
      </w:rPr>
    </w:lvl>
    <w:lvl w:ilvl="3">
      <w:start w:val="1"/>
      <w:numFmt w:val="decimal"/>
      <w:suff w:val="space"/>
      <w:lvlText w:val="%1.%2.%3.%4"/>
      <w:lvlJc w:val="left"/>
      <w:pPr>
        <w:ind w:left="0" w:firstLine="0"/>
      </w:pPr>
      <w:rPr>
        <w:rFonts w:ascii="Calibri" w:hAnsi="Calibri" w:cs="Times New Roman" w:hint="default"/>
        <w:b w:val="0"/>
        <w:i/>
        <w:sz w:val="20"/>
        <w:szCs w:val="20"/>
      </w:rPr>
    </w:lvl>
    <w:lvl w:ilvl="4">
      <w:start w:val="1"/>
      <w:numFmt w:val="decimal"/>
      <w:lvlRestart w:val="0"/>
      <w:suff w:val="space"/>
      <w:lvlText w:val="%1.%2.%3.%4.%5"/>
      <w:lvlJc w:val="left"/>
      <w:pPr>
        <w:ind w:left="0" w:firstLine="0"/>
      </w:pPr>
      <w:rPr>
        <w:rFonts w:cs="Times New Roman" w:hint="default"/>
      </w:rPr>
    </w:lvl>
    <w:lvl w:ilvl="5">
      <w:start w:val="1"/>
      <w:numFmt w:val="decimal"/>
      <w:lvlRestart w:val="0"/>
      <w:lvlText w:val="%1.%2.%3.%4.%5.%6"/>
      <w:lvlJc w:val="left"/>
      <w:pPr>
        <w:tabs>
          <w:tab w:val="num" w:pos="1800"/>
        </w:tabs>
        <w:ind w:left="0" w:firstLine="0"/>
      </w:pPr>
      <w:rPr>
        <w:rFonts w:cs="Times New Roman" w:hint="default"/>
      </w:rPr>
    </w:lvl>
    <w:lvl w:ilvl="6">
      <w:start w:val="1"/>
      <w:numFmt w:val="decimal"/>
      <w:lvlRestart w:val="0"/>
      <w:lvlText w:val="%1.%2.%3.%4.%5.%6.%7"/>
      <w:lvlJc w:val="left"/>
      <w:pPr>
        <w:tabs>
          <w:tab w:val="num" w:pos="2160"/>
        </w:tabs>
        <w:ind w:left="0" w:firstLine="0"/>
      </w:pPr>
      <w:rPr>
        <w:rFonts w:cs="Times New Roman" w:hint="default"/>
      </w:rPr>
    </w:lvl>
    <w:lvl w:ilvl="7">
      <w:start w:val="1"/>
      <w:numFmt w:val="decimal"/>
      <w:lvlRestart w:val="0"/>
      <w:lvlText w:val="%1.%2.%3.%4.%5.%6.%7.%8"/>
      <w:lvlJc w:val="left"/>
      <w:pPr>
        <w:tabs>
          <w:tab w:val="num" w:pos="2520"/>
        </w:tabs>
        <w:ind w:left="0" w:firstLine="0"/>
      </w:pPr>
      <w:rPr>
        <w:rFonts w:cs="Times New Roman" w:hint="default"/>
      </w:rPr>
    </w:lvl>
    <w:lvl w:ilvl="8">
      <w:start w:val="1"/>
      <w:numFmt w:val="decimal"/>
      <w:lvlRestart w:val="0"/>
      <w:lvlText w:val="%1.%2.%3.%4.%5.%6.%7.%8.%9"/>
      <w:lvlJc w:val="left"/>
      <w:pPr>
        <w:tabs>
          <w:tab w:val="num" w:pos="2880"/>
        </w:tabs>
        <w:ind w:left="0" w:firstLine="0"/>
      </w:pPr>
      <w:rPr>
        <w:rFonts w:cs="Times New Roman" w:hint="default"/>
      </w:rPr>
    </w:lvl>
  </w:abstractNum>
  <w:abstractNum w:abstractNumId="164">
    <w:nsid w:val="1D9B06C8"/>
    <w:multiLevelType w:val="hybridMultilevel"/>
    <w:tmpl w:val="8A182B0C"/>
    <w:lvl w:ilvl="0" w:tplc="4F76E20C">
      <w:start w:val="1"/>
      <w:numFmt w:val="decimal"/>
      <w:lvlText w:val="(%1)"/>
      <w:lvlJc w:val="left"/>
      <w:pPr>
        <w:ind w:left="390" w:hanging="360"/>
      </w:pPr>
      <w:rPr>
        <w:rFonts w:hint="default"/>
      </w:rPr>
    </w:lvl>
    <w:lvl w:ilvl="1" w:tplc="04090019" w:tentative="1">
      <w:start w:val="1"/>
      <w:numFmt w:val="lowerLetter"/>
      <w:lvlText w:val="%2."/>
      <w:lvlJc w:val="left"/>
      <w:pPr>
        <w:ind w:left="1110" w:hanging="360"/>
      </w:pPr>
    </w:lvl>
    <w:lvl w:ilvl="2" w:tplc="0409001B" w:tentative="1">
      <w:start w:val="1"/>
      <w:numFmt w:val="lowerRoman"/>
      <w:lvlText w:val="%3."/>
      <w:lvlJc w:val="right"/>
      <w:pPr>
        <w:ind w:left="1830" w:hanging="180"/>
      </w:pPr>
    </w:lvl>
    <w:lvl w:ilvl="3" w:tplc="0409000F" w:tentative="1">
      <w:start w:val="1"/>
      <w:numFmt w:val="decimal"/>
      <w:lvlText w:val="%4."/>
      <w:lvlJc w:val="left"/>
      <w:pPr>
        <w:ind w:left="2550" w:hanging="360"/>
      </w:pPr>
    </w:lvl>
    <w:lvl w:ilvl="4" w:tplc="04090019" w:tentative="1">
      <w:start w:val="1"/>
      <w:numFmt w:val="lowerLetter"/>
      <w:lvlText w:val="%5."/>
      <w:lvlJc w:val="left"/>
      <w:pPr>
        <w:ind w:left="3270" w:hanging="360"/>
      </w:pPr>
    </w:lvl>
    <w:lvl w:ilvl="5" w:tplc="0409001B" w:tentative="1">
      <w:start w:val="1"/>
      <w:numFmt w:val="lowerRoman"/>
      <w:lvlText w:val="%6."/>
      <w:lvlJc w:val="right"/>
      <w:pPr>
        <w:ind w:left="3990" w:hanging="180"/>
      </w:pPr>
    </w:lvl>
    <w:lvl w:ilvl="6" w:tplc="0409000F" w:tentative="1">
      <w:start w:val="1"/>
      <w:numFmt w:val="decimal"/>
      <w:lvlText w:val="%7."/>
      <w:lvlJc w:val="left"/>
      <w:pPr>
        <w:ind w:left="4710" w:hanging="360"/>
      </w:pPr>
    </w:lvl>
    <w:lvl w:ilvl="7" w:tplc="04090019" w:tentative="1">
      <w:start w:val="1"/>
      <w:numFmt w:val="lowerLetter"/>
      <w:lvlText w:val="%8."/>
      <w:lvlJc w:val="left"/>
      <w:pPr>
        <w:ind w:left="5430" w:hanging="360"/>
      </w:pPr>
    </w:lvl>
    <w:lvl w:ilvl="8" w:tplc="0409001B" w:tentative="1">
      <w:start w:val="1"/>
      <w:numFmt w:val="lowerRoman"/>
      <w:lvlText w:val="%9."/>
      <w:lvlJc w:val="right"/>
      <w:pPr>
        <w:ind w:left="6150" w:hanging="180"/>
      </w:pPr>
    </w:lvl>
  </w:abstractNum>
  <w:abstractNum w:abstractNumId="165">
    <w:nsid w:val="1DFA31FC"/>
    <w:multiLevelType w:val="hybridMultilevel"/>
    <w:tmpl w:val="9D9A87F4"/>
    <w:lvl w:ilvl="0" w:tplc="31DA0568">
      <w:start w:val="1"/>
      <w:numFmt w:val="bullet"/>
      <w:lvlText w:val="•"/>
      <w:lvlJc w:val="left"/>
      <w:pPr>
        <w:tabs>
          <w:tab w:val="num" w:pos="720"/>
        </w:tabs>
        <w:ind w:left="720" w:hanging="360"/>
      </w:pPr>
      <w:rPr>
        <w:rFonts w:ascii="Times New Roman" w:hAnsi="Times New Roman" w:hint="default"/>
      </w:rPr>
    </w:lvl>
    <w:lvl w:ilvl="1" w:tplc="D3422DC6" w:tentative="1">
      <w:start w:val="1"/>
      <w:numFmt w:val="bullet"/>
      <w:lvlText w:val="•"/>
      <w:lvlJc w:val="left"/>
      <w:pPr>
        <w:tabs>
          <w:tab w:val="num" w:pos="1440"/>
        </w:tabs>
        <w:ind w:left="1440" w:hanging="360"/>
      </w:pPr>
      <w:rPr>
        <w:rFonts w:ascii="Times New Roman" w:hAnsi="Times New Roman" w:hint="default"/>
      </w:rPr>
    </w:lvl>
    <w:lvl w:ilvl="2" w:tplc="4D763572" w:tentative="1">
      <w:start w:val="1"/>
      <w:numFmt w:val="bullet"/>
      <w:lvlText w:val="•"/>
      <w:lvlJc w:val="left"/>
      <w:pPr>
        <w:tabs>
          <w:tab w:val="num" w:pos="2160"/>
        </w:tabs>
        <w:ind w:left="2160" w:hanging="360"/>
      </w:pPr>
      <w:rPr>
        <w:rFonts w:ascii="Times New Roman" w:hAnsi="Times New Roman" w:hint="default"/>
      </w:rPr>
    </w:lvl>
    <w:lvl w:ilvl="3" w:tplc="AAF8920E" w:tentative="1">
      <w:start w:val="1"/>
      <w:numFmt w:val="bullet"/>
      <w:lvlText w:val="•"/>
      <w:lvlJc w:val="left"/>
      <w:pPr>
        <w:tabs>
          <w:tab w:val="num" w:pos="2880"/>
        </w:tabs>
        <w:ind w:left="2880" w:hanging="360"/>
      </w:pPr>
      <w:rPr>
        <w:rFonts w:ascii="Times New Roman" w:hAnsi="Times New Roman" w:hint="default"/>
      </w:rPr>
    </w:lvl>
    <w:lvl w:ilvl="4" w:tplc="BC488C22" w:tentative="1">
      <w:start w:val="1"/>
      <w:numFmt w:val="bullet"/>
      <w:lvlText w:val="•"/>
      <w:lvlJc w:val="left"/>
      <w:pPr>
        <w:tabs>
          <w:tab w:val="num" w:pos="3600"/>
        </w:tabs>
        <w:ind w:left="3600" w:hanging="360"/>
      </w:pPr>
      <w:rPr>
        <w:rFonts w:ascii="Times New Roman" w:hAnsi="Times New Roman" w:hint="default"/>
      </w:rPr>
    </w:lvl>
    <w:lvl w:ilvl="5" w:tplc="9F8A0674" w:tentative="1">
      <w:start w:val="1"/>
      <w:numFmt w:val="bullet"/>
      <w:lvlText w:val="•"/>
      <w:lvlJc w:val="left"/>
      <w:pPr>
        <w:tabs>
          <w:tab w:val="num" w:pos="4320"/>
        </w:tabs>
        <w:ind w:left="4320" w:hanging="360"/>
      </w:pPr>
      <w:rPr>
        <w:rFonts w:ascii="Times New Roman" w:hAnsi="Times New Roman" w:hint="default"/>
      </w:rPr>
    </w:lvl>
    <w:lvl w:ilvl="6" w:tplc="F4924C1C" w:tentative="1">
      <w:start w:val="1"/>
      <w:numFmt w:val="bullet"/>
      <w:lvlText w:val="•"/>
      <w:lvlJc w:val="left"/>
      <w:pPr>
        <w:tabs>
          <w:tab w:val="num" w:pos="5040"/>
        </w:tabs>
        <w:ind w:left="5040" w:hanging="360"/>
      </w:pPr>
      <w:rPr>
        <w:rFonts w:ascii="Times New Roman" w:hAnsi="Times New Roman" w:hint="default"/>
      </w:rPr>
    </w:lvl>
    <w:lvl w:ilvl="7" w:tplc="30580756" w:tentative="1">
      <w:start w:val="1"/>
      <w:numFmt w:val="bullet"/>
      <w:lvlText w:val="•"/>
      <w:lvlJc w:val="left"/>
      <w:pPr>
        <w:tabs>
          <w:tab w:val="num" w:pos="5760"/>
        </w:tabs>
        <w:ind w:left="5760" w:hanging="360"/>
      </w:pPr>
      <w:rPr>
        <w:rFonts w:ascii="Times New Roman" w:hAnsi="Times New Roman" w:hint="default"/>
      </w:rPr>
    </w:lvl>
    <w:lvl w:ilvl="8" w:tplc="EA88FBE2" w:tentative="1">
      <w:start w:val="1"/>
      <w:numFmt w:val="bullet"/>
      <w:lvlText w:val="•"/>
      <w:lvlJc w:val="left"/>
      <w:pPr>
        <w:tabs>
          <w:tab w:val="num" w:pos="6480"/>
        </w:tabs>
        <w:ind w:left="6480" w:hanging="360"/>
      </w:pPr>
      <w:rPr>
        <w:rFonts w:ascii="Times New Roman" w:hAnsi="Times New Roman" w:hint="default"/>
      </w:rPr>
    </w:lvl>
  </w:abstractNum>
  <w:abstractNum w:abstractNumId="166">
    <w:nsid w:val="1E055E64"/>
    <w:multiLevelType w:val="hybridMultilevel"/>
    <w:tmpl w:val="B5B44D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7">
    <w:nsid w:val="1E59EE4A"/>
    <w:multiLevelType w:val="hybridMultilevel"/>
    <w:tmpl w:val="5883D866"/>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68">
    <w:nsid w:val="1EF43F12"/>
    <w:multiLevelType w:val="hybridMultilevel"/>
    <w:tmpl w:val="B31A8C9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9">
    <w:nsid w:val="1F03682B"/>
    <w:multiLevelType w:val="hybridMultilevel"/>
    <w:tmpl w:val="340639E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0">
    <w:nsid w:val="1F2F1837"/>
    <w:multiLevelType w:val="hybridMultilevel"/>
    <w:tmpl w:val="7A64BE24"/>
    <w:lvl w:ilvl="0" w:tplc="04090003">
      <w:start w:val="1"/>
      <w:numFmt w:val="bullet"/>
      <w:lvlText w:val="o"/>
      <w:lvlJc w:val="left"/>
      <w:pPr>
        <w:ind w:left="1800" w:hanging="360"/>
      </w:pPr>
      <w:rPr>
        <w:rFonts w:ascii="Courier New" w:hAnsi="Courier New" w:cs="Courier New"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71">
    <w:nsid w:val="1F745C6D"/>
    <w:multiLevelType w:val="hybridMultilevel"/>
    <w:tmpl w:val="26C2241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2">
    <w:nsid w:val="1F970F0B"/>
    <w:multiLevelType w:val="hybridMultilevel"/>
    <w:tmpl w:val="9FA2AB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3">
    <w:nsid w:val="1F9A7D13"/>
    <w:multiLevelType w:val="hybridMultilevel"/>
    <w:tmpl w:val="0D4437F6"/>
    <w:lvl w:ilvl="0" w:tplc="0409000F">
      <w:start w:val="1"/>
      <w:numFmt w:val="decimal"/>
      <w:lvlText w:val="%1."/>
      <w:lvlJc w:val="left"/>
      <w:pPr>
        <w:ind w:left="360" w:hanging="360"/>
      </w:pPr>
      <w:rPr>
        <w:rFonts w:cs="Times New Roman"/>
      </w:rPr>
    </w:lvl>
    <w:lvl w:ilvl="1" w:tplc="04090019">
      <w:start w:val="1"/>
      <w:numFmt w:val="lowerLetter"/>
      <w:lvlText w:val="%2."/>
      <w:lvlJc w:val="left"/>
      <w:pPr>
        <w:ind w:left="1080" w:hanging="360"/>
      </w:pPr>
      <w:rPr>
        <w:rFonts w:cs="Times New Roman"/>
      </w:rPr>
    </w:lvl>
    <w:lvl w:ilvl="2" w:tplc="0409001B">
      <w:start w:val="1"/>
      <w:numFmt w:val="lowerRoman"/>
      <w:lvlText w:val="%3."/>
      <w:lvlJc w:val="right"/>
      <w:pPr>
        <w:ind w:left="1800" w:hanging="180"/>
      </w:pPr>
      <w:rPr>
        <w:rFonts w:cs="Times New Roman"/>
      </w:rPr>
    </w:lvl>
    <w:lvl w:ilvl="3" w:tplc="0409000F">
      <w:start w:val="1"/>
      <w:numFmt w:val="decimal"/>
      <w:lvlText w:val="%4."/>
      <w:lvlJc w:val="left"/>
      <w:pPr>
        <w:ind w:left="2520" w:hanging="360"/>
      </w:pPr>
      <w:rPr>
        <w:rFonts w:cs="Times New Roman"/>
      </w:rPr>
    </w:lvl>
    <w:lvl w:ilvl="4" w:tplc="04090019">
      <w:start w:val="1"/>
      <w:numFmt w:val="lowerLetter"/>
      <w:lvlText w:val="%5."/>
      <w:lvlJc w:val="left"/>
      <w:pPr>
        <w:ind w:left="3240" w:hanging="360"/>
      </w:pPr>
      <w:rPr>
        <w:rFonts w:cs="Times New Roman"/>
      </w:rPr>
    </w:lvl>
    <w:lvl w:ilvl="5" w:tplc="0409001B">
      <w:start w:val="1"/>
      <w:numFmt w:val="lowerRoman"/>
      <w:lvlText w:val="%6."/>
      <w:lvlJc w:val="right"/>
      <w:pPr>
        <w:ind w:left="3960" w:hanging="180"/>
      </w:pPr>
      <w:rPr>
        <w:rFonts w:cs="Times New Roman"/>
      </w:rPr>
    </w:lvl>
    <w:lvl w:ilvl="6" w:tplc="0409000F">
      <w:start w:val="1"/>
      <w:numFmt w:val="decimal"/>
      <w:lvlText w:val="%7."/>
      <w:lvlJc w:val="left"/>
      <w:pPr>
        <w:ind w:left="4680" w:hanging="360"/>
      </w:pPr>
      <w:rPr>
        <w:rFonts w:cs="Times New Roman"/>
      </w:rPr>
    </w:lvl>
    <w:lvl w:ilvl="7" w:tplc="04090019">
      <w:start w:val="1"/>
      <w:numFmt w:val="lowerLetter"/>
      <w:lvlText w:val="%8."/>
      <w:lvlJc w:val="left"/>
      <w:pPr>
        <w:ind w:left="5400" w:hanging="360"/>
      </w:pPr>
      <w:rPr>
        <w:rFonts w:cs="Times New Roman"/>
      </w:rPr>
    </w:lvl>
    <w:lvl w:ilvl="8" w:tplc="0409001B">
      <w:start w:val="1"/>
      <w:numFmt w:val="lowerRoman"/>
      <w:lvlText w:val="%9."/>
      <w:lvlJc w:val="right"/>
      <w:pPr>
        <w:ind w:left="6120" w:hanging="180"/>
      </w:pPr>
      <w:rPr>
        <w:rFonts w:cs="Times New Roman"/>
      </w:rPr>
    </w:lvl>
  </w:abstractNum>
  <w:abstractNum w:abstractNumId="174">
    <w:nsid w:val="1FFB0EE8"/>
    <w:multiLevelType w:val="hybridMultilevel"/>
    <w:tmpl w:val="398E7D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5">
    <w:nsid w:val="203D0150"/>
    <w:multiLevelType w:val="hybridMultilevel"/>
    <w:tmpl w:val="3258CD8C"/>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6">
    <w:nsid w:val="2050581F"/>
    <w:multiLevelType w:val="hybridMultilevel"/>
    <w:tmpl w:val="D90674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7">
    <w:nsid w:val="20576670"/>
    <w:multiLevelType w:val="hybridMultilevel"/>
    <w:tmpl w:val="6510AFE4"/>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8">
    <w:nsid w:val="207A3158"/>
    <w:multiLevelType w:val="hybridMultilevel"/>
    <w:tmpl w:val="8640AF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9">
    <w:nsid w:val="207D2032"/>
    <w:multiLevelType w:val="hybridMultilevel"/>
    <w:tmpl w:val="CEA4040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0">
    <w:nsid w:val="20EE75BA"/>
    <w:multiLevelType w:val="multilevel"/>
    <w:tmpl w:val="4CC47128"/>
    <w:lvl w:ilvl="0">
      <w:start w:val="3"/>
      <w:numFmt w:val="decimal"/>
      <w:lvlText w:val="%1"/>
      <w:lvlJc w:val="left"/>
      <w:pPr>
        <w:ind w:left="375" w:hanging="375"/>
      </w:pPr>
      <w:rPr>
        <w:rFonts w:hint="default"/>
      </w:rPr>
    </w:lvl>
    <w:lvl w:ilvl="1">
      <w:start w:val="3"/>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81">
    <w:nsid w:val="20FE5960"/>
    <w:multiLevelType w:val="hybridMultilevel"/>
    <w:tmpl w:val="6F0206EE"/>
    <w:lvl w:ilvl="0" w:tplc="97CAC638">
      <w:start w:val="1"/>
      <w:numFmt w:val="decimal"/>
      <w:pStyle w:val="number-left"/>
      <w:lvlText w:val="%1."/>
      <w:lvlJc w:val="left"/>
      <w:pPr>
        <w:tabs>
          <w:tab w:val="num" w:pos="1080"/>
        </w:tabs>
        <w:ind w:left="1080" w:hanging="360"/>
      </w:p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82">
    <w:nsid w:val="2129548C"/>
    <w:multiLevelType w:val="hybridMultilevel"/>
    <w:tmpl w:val="867CC8E4"/>
    <w:lvl w:ilvl="0" w:tplc="04090015">
      <w:start w:val="1"/>
      <w:numFmt w:val="upperLetter"/>
      <w:lvlText w:val="%1."/>
      <w:lvlJc w:val="left"/>
      <w:pPr>
        <w:ind w:left="360" w:hanging="360"/>
      </w:pPr>
      <w:rPr>
        <w:rFonts w:hint="default"/>
      </w:rPr>
    </w:lvl>
    <w:lvl w:ilvl="1" w:tplc="115E9A1A">
      <w:start w:val="1"/>
      <w:numFmt w:val="decimal"/>
      <w:lvlText w:val="%2."/>
      <w:lvlJc w:val="left"/>
      <w:pPr>
        <w:ind w:left="1080" w:hanging="360"/>
      </w:pPr>
      <w:rPr>
        <w:rFonts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3">
    <w:nsid w:val="21420EF8"/>
    <w:multiLevelType w:val="hybridMultilevel"/>
    <w:tmpl w:val="F440DA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4">
    <w:nsid w:val="2167131A"/>
    <w:multiLevelType w:val="hybridMultilevel"/>
    <w:tmpl w:val="F4E81124"/>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5">
    <w:nsid w:val="21A578AA"/>
    <w:multiLevelType w:val="hybridMultilevel"/>
    <w:tmpl w:val="BD4CB712"/>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6">
    <w:nsid w:val="21D401BA"/>
    <w:multiLevelType w:val="hybridMultilevel"/>
    <w:tmpl w:val="DAB278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7">
    <w:nsid w:val="220977AB"/>
    <w:multiLevelType w:val="hybridMultilevel"/>
    <w:tmpl w:val="45287216"/>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3">
      <w:start w:val="1"/>
      <w:numFmt w:val="bullet"/>
      <w:lvlText w:val="o"/>
      <w:lvlJc w:val="left"/>
      <w:pPr>
        <w:ind w:left="2160" w:hanging="360"/>
      </w:pPr>
      <w:rPr>
        <w:rFonts w:ascii="Courier New" w:hAnsi="Courier New" w:cs="Courier New" w:hint="default"/>
        <w:vertAlign w:val="baseline"/>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8">
    <w:nsid w:val="22183727"/>
    <w:multiLevelType w:val="hybridMultilevel"/>
    <w:tmpl w:val="484E50F0"/>
    <w:lvl w:ilvl="0" w:tplc="04090001">
      <w:start w:val="1"/>
      <w:numFmt w:val="bullet"/>
      <w:lvlText w:val=""/>
      <w:lvlJc w:val="left"/>
      <w:pPr>
        <w:ind w:left="720" w:hanging="360"/>
      </w:pPr>
      <w:rPr>
        <w:rFonts w:ascii="Symbol" w:hAnsi="Symbol" w:cs="Times New Roman" w:hint="default"/>
      </w:rPr>
    </w:lvl>
    <w:lvl w:ilvl="1" w:tplc="04090019">
      <w:start w:val="1"/>
      <w:numFmt w:val="lowerLetter"/>
      <w:lvlText w:val="%2."/>
      <w:lvlJc w:val="left"/>
      <w:pPr>
        <w:ind w:left="1440" w:hanging="360"/>
      </w:pPr>
      <w:rPr>
        <w:rFonts w:ascii="Times New Roman" w:hAnsi="Times New Roman" w:cs="Times New Roman"/>
      </w:rPr>
    </w:lvl>
    <w:lvl w:ilvl="2" w:tplc="0409001B">
      <w:start w:val="1"/>
      <w:numFmt w:val="lowerRoman"/>
      <w:lvlText w:val="%3."/>
      <w:lvlJc w:val="right"/>
      <w:pPr>
        <w:ind w:left="2160" w:hanging="180"/>
      </w:pPr>
      <w:rPr>
        <w:rFonts w:ascii="Times New Roman" w:hAnsi="Times New Roman" w:cs="Times New Roman"/>
      </w:rPr>
    </w:lvl>
    <w:lvl w:ilvl="3" w:tplc="0409000F">
      <w:start w:val="1"/>
      <w:numFmt w:val="decimal"/>
      <w:lvlText w:val="%4."/>
      <w:lvlJc w:val="left"/>
      <w:pPr>
        <w:ind w:left="2880" w:hanging="360"/>
      </w:pPr>
      <w:rPr>
        <w:rFonts w:ascii="Times New Roman" w:hAnsi="Times New Roman" w:cs="Times New Roman"/>
      </w:rPr>
    </w:lvl>
    <w:lvl w:ilvl="4" w:tplc="04090019">
      <w:start w:val="1"/>
      <w:numFmt w:val="lowerLetter"/>
      <w:lvlText w:val="%5."/>
      <w:lvlJc w:val="left"/>
      <w:pPr>
        <w:ind w:left="3600" w:hanging="360"/>
      </w:pPr>
      <w:rPr>
        <w:rFonts w:ascii="Times New Roman" w:hAnsi="Times New Roman" w:cs="Times New Roman"/>
      </w:rPr>
    </w:lvl>
    <w:lvl w:ilvl="5" w:tplc="0409001B">
      <w:start w:val="1"/>
      <w:numFmt w:val="lowerRoman"/>
      <w:lvlText w:val="%6."/>
      <w:lvlJc w:val="right"/>
      <w:pPr>
        <w:ind w:left="4320" w:hanging="180"/>
      </w:pPr>
      <w:rPr>
        <w:rFonts w:ascii="Times New Roman" w:hAnsi="Times New Roman" w:cs="Times New Roman"/>
      </w:rPr>
    </w:lvl>
    <w:lvl w:ilvl="6" w:tplc="0409000F">
      <w:start w:val="1"/>
      <w:numFmt w:val="decimal"/>
      <w:lvlText w:val="%7."/>
      <w:lvlJc w:val="left"/>
      <w:pPr>
        <w:ind w:left="5040" w:hanging="360"/>
      </w:pPr>
      <w:rPr>
        <w:rFonts w:ascii="Times New Roman" w:hAnsi="Times New Roman" w:cs="Times New Roman"/>
      </w:rPr>
    </w:lvl>
    <w:lvl w:ilvl="7" w:tplc="04090019">
      <w:start w:val="1"/>
      <w:numFmt w:val="lowerLetter"/>
      <w:lvlText w:val="%8."/>
      <w:lvlJc w:val="left"/>
      <w:pPr>
        <w:ind w:left="5760" w:hanging="360"/>
      </w:pPr>
      <w:rPr>
        <w:rFonts w:ascii="Times New Roman" w:hAnsi="Times New Roman" w:cs="Times New Roman"/>
      </w:rPr>
    </w:lvl>
    <w:lvl w:ilvl="8" w:tplc="0409001B">
      <w:start w:val="1"/>
      <w:numFmt w:val="lowerRoman"/>
      <w:lvlText w:val="%9."/>
      <w:lvlJc w:val="right"/>
      <w:pPr>
        <w:ind w:left="6480" w:hanging="180"/>
      </w:pPr>
      <w:rPr>
        <w:rFonts w:ascii="Times New Roman" w:hAnsi="Times New Roman" w:cs="Times New Roman"/>
      </w:rPr>
    </w:lvl>
  </w:abstractNum>
  <w:abstractNum w:abstractNumId="189">
    <w:nsid w:val="22875258"/>
    <w:multiLevelType w:val="hybridMultilevel"/>
    <w:tmpl w:val="2BC82764"/>
    <w:lvl w:ilvl="0" w:tplc="04090003">
      <w:start w:val="1"/>
      <w:numFmt w:val="bullet"/>
      <w:lvlText w:val="o"/>
      <w:lvlJc w:val="left"/>
      <w:pPr>
        <w:ind w:left="1440" w:hanging="360"/>
      </w:pPr>
      <w:rPr>
        <w:rFonts w:ascii="Courier New" w:hAnsi="Courier New" w:cs="Courier New"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0">
    <w:nsid w:val="22D57E9E"/>
    <w:multiLevelType w:val="hybridMultilevel"/>
    <w:tmpl w:val="B04251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1">
    <w:nsid w:val="22EF68F2"/>
    <w:multiLevelType w:val="hybridMultilevel"/>
    <w:tmpl w:val="D908C414"/>
    <w:lvl w:ilvl="0" w:tplc="B8064E66">
      <w:start w:val="1"/>
      <w:numFmt w:val="bullet"/>
      <w:lvlText w:val=""/>
      <w:lvlJc w:val="left"/>
      <w:pPr>
        <w:ind w:left="720" w:hanging="360"/>
      </w:pPr>
      <w:rPr>
        <w:rFonts w:ascii="Wingdings" w:hAnsi="Wingdings" w:hint="default"/>
        <w:b/>
        <w:i w:val="0"/>
        <w:sz w:val="22"/>
      </w:rPr>
    </w:lvl>
    <w:lvl w:ilvl="1" w:tplc="B8064E66">
      <w:start w:val="1"/>
      <w:numFmt w:val="bullet"/>
      <w:lvlText w:val=""/>
      <w:lvlJc w:val="left"/>
      <w:pPr>
        <w:ind w:left="1440" w:hanging="360"/>
      </w:pPr>
      <w:rPr>
        <w:rFonts w:ascii="Wingdings" w:hAnsi="Wingdings" w:hint="default"/>
        <w:b/>
        <w:i w:val="0"/>
        <w:sz w:val="22"/>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2">
    <w:nsid w:val="230F31EC"/>
    <w:multiLevelType w:val="hybridMultilevel"/>
    <w:tmpl w:val="DCA65A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3">
    <w:nsid w:val="231D57C9"/>
    <w:multiLevelType w:val="hybridMultilevel"/>
    <w:tmpl w:val="06EE37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4">
    <w:nsid w:val="23466EDF"/>
    <w:multiLevelType w:val="hybridMultilevel"/>
    <w:tmpl w:val="E4DC8B0E"/>
    <w:lvl w:ilvl="0" w:tplc="51E6595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5">
    <w:nsid w:val="23AE0D21"/>
    <w:multiLevelType w:val="hybridMultilevel"/>
    <w:tmpl w:val="5EE02D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6">
    <w:nsid w:val="23E83D1A"/>
    <w:multiLevelType w:val="hybridMultilevel"/>
    <w:tmpl w:val="78501966"/>
    <w:lvl w:ilvl="0" w:tplc="9F889342">
      <w:start w:val="1"/>
      <w:numFmt w:val="bullet"/>
      <w:lvlText w:val="•"/>
      <w:lvlJc w:val="left"/>
      <w:pPr>
        <w:tabs>
          <w:tab w:val="num" w:pos="720"/>
        </w:tabs>
        <w:ind w:left="720" w:hanging="360"/>
      </w:pPr>
      <w:rPr>
        <w:rFonts w:ascii="Times New Roman" w:hAnsi="Times New Roman" w:hint="default"/>
      </w:rPr>
    </w:lvl>
    <w:lvl w:ilvl="1" w:tplc="ED64D53A" w:tentative="1">
      <w:start w:val="1"/>
      <w:numFmt w:val="bullet"/>
      <w:lvlText w:val="•"/>
      <w:lvlJc w:val="left"/>
      <w:pPr>
        <w:tabs>
          <w:tab w:val="num" w:pos="1440"/>
        </w:tabs>
        <w:ind w:left="1440" w:hanging="360"/>
      </w:pPr>
      <w:rPr>
        <w:rFonts w:ascii="Times New Roman" w:hAnsi="Times New Roman" w:hint="default"/>
      </w:rPr>
    </w:lvl>
    <w:lvl w:ilvl="2" w:tplc="A3603FAE" w:tentative="1">
      <w:start w:val="1"/>
      <w:numFmt w:val="bullet"/>
      <w:lvlText w:val="•"/>
      <w:lvlJc w:val="left"/>
      <w:pPr>
        <w:tabs>
          <w:tab w:val="num" w:pos="2160"/>
        </w:tabs>
        <w:ind w:left="2160" w:hanging="360"/>
      </w:pPr>
      <w:rPr>
        <w:rFonts w:ascii="Times New Roman" w:hAnsi="Times New Roman" w:hint="default"/>
      </w:rPr>
    </w:lvl>
    <w:lvl w:ilvl="3" w:tplc="45AE9E4A" w:tentative="1">
      <w:start w:val="1"/>
      <w:numFmt w:val="bullet"/>
      <w:lvlText w:val="•"/>
      <w:lvlJc w:val="left"/>
      <w:pPr>
        <w:tabs>
          <w:tab w:val="num" w:pos="2880"/>
        </w:tabs>
        <w:ind w:left="2880" w:hanging="360"/>
      </w:pPr>
      <w:rPr>
        <w:rFonts w:ascii="Times New Roman" w:hAnsi="Times New Roman" w:hint="default"/>
      </w:rPr>
    </w:lvl>
    <w:lvl w:ilvl="4" w:tplc="01C2E54A" w:tentative="1">
      <w:start w:val="1"/>
      <w:numFmt w:val="bullet"/>
      <w:lvlText w:val="•"/>
      <w:lvlJc w:val="left"/>
      <w:pPr>
        <w:tabs>
          <w:tab w:val="num" w:pos="3600"/>
        </w:tabs>
        <w:ind w:left="3600" w:hanging="360"/>
      </w:pPr>
      <w:rPr>
        <w:rFonts w:ascii="Times New Roman" w:hAnsi="Times New Roman" w:hint="default"/>
      </w:rPr>
    </w:lvl>
    <w:lvl w:ilvl="5" w:tplc="C84EE0D6" w:tentative="1">
      <w:start w:val="1"/>
      <w:numFmt w:val="bullet"/>
      <w:lvlText w:val="•"/>
      <w:lvlJc w:val="left"/>
      <w:pPr>
        <w:tabs>
          <w:tab w:val="num" w:pos="4320"/>
        </w:tabs>
        <w:ind w:left="4320" w:hanging="360"/>
      </w:pPr>
      <w:rPr>
        <w:rFonts w:ascii="Times New Roman" w:hAnsi="Times New Roman" w:hint="default"/>
      </w:rPr>
    </w:lvl>
    <w:lvl w:ilvl="6" w:tplc="00ECBCFA" w:tentative="1">
      <w:start w:val="1"/>
      <w:numFmt w:val="bullet"/>
      <w:lvlText w:val="•"/>
      <w:lvlJc w:val="left"/>
      <w:pPr>
        <w:tabs>
          <w:tab w:val="num" w:pos="5040"/>
        </w:tabs>
        <w:ind w:left="5040" w:hanging="360"/>
      </w:pPr>
      <w:rPr>
        <w:rFonts w:ascii="Times New Roman" w:hAnsi="Times New Roman" w:hint="default"/>
      </w:rPr>
    </w:lvl>
    <w:lvl w:ilvl="7" w:tplc="6D168720" w:tentative="1">
      <w:start w:val="1"/>
      <w:numFmt w:val="bullet"/>
      <w:lvlText w:val="•"/>
      <w:lvlJc w:val="left"/>
      <w:pPr>
        <w:tabs>
          <w:tab w:val="num" w:pos="5760"/>
        </w:tabs>
        <w:ind w:left="5760" w:hanging="360"/>
      </w:pPr>
      <w:rPr>
        <w:rFonts w:ascii="Times New Roman" w:hAnsi="Times New Roman" w:hint="default"/>
      </w:rPr>
    </w:lvl>
    <w:lvl w:ilvl="8" w:tplc="81F2A69E" w:tentative="1">
      <w:start w:val="1"/>
      <w:numFmt w:val="bullet"/>
      <w:lvlText w:val="•"/>
      <w:lvlJc w:val="left"/>
      <w:pPr>
        <w:tabs>
          <w:tab w:val="num" w:pos="6480"/>
        </w:tabs>
        <w:ind w:left="6480" w:hanging="360"/>
      </w:pPr>
      <w:rPr>
        <w:rFonts w:ascii="Times New Roman" w:hAnsi="Times New Roman" w:hint="default"/>
      </w:rPr>
    </w:lvl>
  </w:abstractNum>
  <w:abstractNum w:abstractNumId="197">
    <w:nsid w:val="2437102E"/>
    <w:multiLevelType w:val="hybridMultilevel"/>
    <w:tmpl w:val="C1B03030"/>
    <w:lvl w:ilvl="0" w:tplc="877C12A6">
      <w:start w:val="1"/>
      <w:numFmt w:val="lowerLetter"/>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198">
    <w:nsid w:val="2460216E"/>
    <w:multiLevelType w:val="hybridMultilevel"/>
    <w:tmpl w:val="6D5CEB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9">
    <w:nsid w:val="248412D6"/>
    <w:multiLevelType w:val="hybridMultilevel"/>
    <w:tmpl w:val="AC363B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0">
    <w:nsid w:val="24922FAE"/>
    <w:multiLevelType w:val="hybridMultilevel"/>
    <w:tmpl w:val="D930B29C"/>
    <w:lvl w:ilvl="0" w:tplc="965CEE56">
      <w:start w:val="1"/>
      <w:numFmt w:val="bullet"/>
      <w:lvlText w:val="•"/>
      <w:lvlJc w:val="left"/>
      <w:pPr>
        <w:tabs>
          <w:tab w:val="num" w:pos="720"/>
        </w:tabs>
        <w:ind w:left="720" w:hanging="360"/>
      </w:pPr>
      <w:rPr>
        <w:rFonts w:ascii="Arial" w:hAnsi="Arial" w:hint="default"/>
      </w:rPr>
    </w:lvl>
    <w:lvl w:ilvl="1" w:tplc="DF9CFE40">
      <w:start w:val="1200"/>
      <w:numFmt w:val="bullet"/>
      <w:lvlText w:val="–"/>
      <w:lvlJc w:val="left"/>
      <w:pPr>
        <w:tabs>
          <w:tab w:val="num" w:pos="1440"/>
        </w:tabs>
        <w:ind w:left="1440" w:hanging="360"/>
      </w:pPr>
      <w:rPr>
        <w:rFonts w:ascii="Arial" w:hAnsi="Arial" w:hint="default"/>
      </w:rPr>
    </w:lvl>
    <w:lvl w:ilvl="2" w:tplc="84A88072">
      <w:start w:val="1200"/>
      <w:numFmt w:val="bullet"/>
      <w:lvlText w:val="•"/>
      <w:lvlJc w:val="left"/>
      <w:pPr>
        <w:tabs>
          <w:tab w:val="num" w:pos="2160"/>
        </w:tabs>
        <w:ind w:left="2160" w:hanging="360"/>
      </w:pPr>
      <w:rPr>
        <w:rFonts w:ascii="Arial" w:hAnsi="Arial" w:hint="default"/>
      </w:rPr>
    </w:lvl>
    <w:lvl w:ilvl="3" w:tplc="F7865712" w:tentative="1">
      <w:start w:val="1"/>
      <w:numFmt w:val="bullet"/>
      <w:lvlText w:val="•"/>
      <w:lvlJc w:val="left"/>
      <w:pPr>
        <w:tabs>
          <w:tab w:val="num" w:pos="2880"/>
        </w:tabs>
        <w:ind w:left="2880" w:hanging="360"/>
      </w:pPr>
      <w:rPr>
        <w:rFonts w:ascii="Arial" w:hAnsi="Arial" w:hint="default"/>
      </w:rPr>
    </w:lvl>
    <w:lvl w:ilvl="4" w:tplc="A09AC86E" w:tentative="1">
      <w:start w:val="1"/>
      <w:numFmt w:val="bullet"/>
      <w:lvlText w:val="•"/>
      <w:lvlJc w:val="left"/>
      <w:pPr>
        <w:tabs>
          <w:tab w:val="num" w:pos="3600"/>
        </w:tabs>
        <w:ind w:left="3600" w:hanging="360"/>
      </w:pPr>
      <w:rPr>
        <w:rFonts w:ascii="Arial" w:hAnsi="Arial" w:hint="default"/>
      </w:rPr>
    </w:lvl>
    <w:lvl w:ilvl="5" w:tplc="A4DAECA8" w:tentative="1">
      <w:start w:val="1"/>
      <w:numFmt w:val="bullet"/>
      <w:lvlText w:val="•"/>
      <w:lvlJc w:val="left"/>
      <w:pPr>
        <w:tabs>
          <w:tab w:val="num" w:pos="4320"/>
        </w:tabs>
        <w:ind w:left="4320" w:hanging="360"/>
      </w:pPr>
      <w:rPr>
        <w:rFonts w:ascii="Arial" w:hAnsi="Arial" w:hint="default"/>
      </w:rPr>
    </w:lvl>
    <w:lvl w:ilvl="6" w:tplc="90408B92" w:tentative="1">
      <w:start w:val="1"/>
      <w:numFmt w:val="bullet"/>
      <w:lvlText w:val="•"/>
      <w:lvlJc w:val="left"/>
      <w:pPr>
        <w:tabs>
          <w:tab w:val="num" w:pos="5040"/>
        </w:tabs>
        <w:ind w:left="5040" w:hanging="360"/>
      </w:pPr>
      <w:rPr>
        <w:rFonts w:ascii="Arial" w:hAnsi="Arial" w:hint="default"/>
      </w:rPr>
    </w:lvl>
    <w:lvl w:ilvl="7" w:tplc="CBA6141A" w:tentative="1">
      <w:start w:val="1"/>
      <w:numFmt w:val="bullet"/>
      <w:lvlText w:val="•"/>
      <w:lvlJc w:val="left"/>
      <w:pPr>
        <w:tabs>
          <w:tab w:val="num" w:pos="5760"/>
        </w:tabs>
        <w:ind w:left="5760" w:hanging="360"/>
      </w:pPr>
      <w:rPr>
        <w:rFonts w:ascii="Arial" w:hAnsi="Arial" w:hint="default"/>
      </w:rPr>
    </w:lvl>
    <w:lvl w:ilvl="8" w:tplc="719E1E10" w:tentative="1">
      <w:start w:val="1"/>
      <w:numFmt w:val="bullet"/>
      <w:lvlText w:val="•"/>
      <w:lvlJc w:val="left"/>
      <w:pPr>
        <w:tabs>
          <w:tab w:val="num" w:pos="6480"/>
        </w:tabs>
        <w:ind w:left="6480" w:hanging="360"/>
      </w:pPr>
      <w:rPr>
        <w:rFonts w:ascii="Arial" w:hAnsi="Arial" w:hint="default"/>
      </w:rPr>
    </w:lvl>
  </w:abstractNum>
  <w:abstractNum w:abstractNumId="201">
    <w:nsid w:val="24E51F1E"/>
    <w:multiLevelType w:val="hybridMultilevel"/>
    <w:tmpl w:val="E5EAE9B2"/>
    <w:lvl w:ilvl="0" w:tplc="04090001">
      <w:start w:val="1"/>
      <w:numFmt w:val="bullet"/>
      <w:lvlText w:val=""/>
      <w:lvlJc w:val="left"/>
      <w:pPr>
        <w:ind w:left="1350" w:hanging="360"/>
      </w:pPr>
      <w:rPr>
        <w:rFonts w:ascii="Symbol" w:hAnsi="Symbol" w:hint="default"/>
      </w:rPr>
    </w:lvl>
    <w:lvl w:ilvl="1" w:tplc="04090003">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202">
    <w:nsid w:val="259F0357"/>
    <w:multiLevelType w:val="hybridMultilevel"/>
    <w:tmpl w:val="9ABA7B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3">
    <w:nsid w:val="25BB40CE"/>
    <w:multiLevelType w:val="hybridMultilevel"/>
    <w:tmpl w:val="DDA6AF46"/>
    <w:lvl w:ilvl="0" w:tplc="04090001">
      <w:start w:val="955"/>
      <w:numFmt w:val="bullet"/>
      <w:lvlText w:val="–"/>
      <w:lvlJc w:val="left"/>
      <w:pPr>
        <w:ind w:left="1440" w:hanging="360"/>
      </w:pPr>
      <w:rPr>
        <w:rFonts w:ascii="Times New Roman" w:hAnsi="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4">
    <w:nsid w:val="2608383E"/>
    <w:multiLevelType w:val="multilevel"/>
    <w:tmpl w:val="93AE256C"/>
    <w:lvl w:ilvl="0">
      <w:start w:val="1"/>
      <w:numFmt w:val="decimal"/>
      <w:suff w:val="space"/>
      <w:lvlText w:val="Section %1"/>
      <w:lvlJc w:val="left"/>
      <w:pPr>
        <w:ind w:left="0" w:firstLine="0"/>
      </w:pPr>
      <w:rPr>
        <w:rFonts w:ascii="Calibri" w:hAnsi="Calibri" w:hint="default"/>
        <w:b/>
        <w:i w:val="0"/>
        <w:color w:val="0070C0"/>
        <w:sz w:val="36"/>
      </w:rPr>
    </w:lvl>
    <w:lvl w:ilvl="1">
      <w:start w:val="1"/>
      <w:numFmt w:val="decimal"/>
      <w:suff w:val="space"/>
      <w:lvlText w:val="%1.%2"/>
      <w:lvlJc w:val="left"/>
      <w:pPr>
        <w:ind w:left="0" w:firstLine="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suff w:val="space"/>
      <w:lvlText w:val="%1.%2.%3"/>
      <w:lvlJc w:val="left"/>
      <w:pPr>
        <w:ind w:left="0" w:firstLine="0"/>
      </w:pPr>
      <w:rPr>
        <w:rFonts w:ascii="Calibri" w:hAnsi="Calibri" w:cs="Times New Roman" w:hint="default"/>
        <w:b/>
        <w:bCs w:val="0"/>
        <w:i w:val="0"/>
        <w:iCs w:val="0"/>
        <w:caps w:val="0"/>
        <w:smallCaps w:val="0"/>
        <w:strike w:val="0"/>
        <w:dstrike w:val="0"/>
        <w:outline w:val="0"/>
        <w:shadow w:val="0"/>
        <w:emboss w:val="0"/>
        <w:imprint w:val="0"/>
        <w:noProof w:val="0"/>
        <w:vanish w:val="0"/>
        <w:color w:val="62777F" w:themeColor="text1"/>
        <w:spacing w:val="0"/>
        <w:kern w:val="0"/>
        <w:position w:val="0"/>
        <w:sz w:val="20"/>
        <w:szCs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suff w:val="space"/>
      <w:lvlText w:val="%1.%2.%3.%4"/>
      <w:lvlJc w:val="left"/>
      <w:pPr>
        <w:ind w:left="0" w:firstLine="0"/>
      </w:pPr>
      <w:rPr>
        <w:rFonts w:ascii="Calibri" w:hAnsi="Calibri" w:hint="default"/>
        <w:b w:val="0"/>
        <w:i/>
        <w:color w:val="62777F" w:themeColor="text1"/>
        <w:sz w:val="20"/>
        <w:szCs w:val="20"/>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205">
    <w:nsid w:val="26111BBE"/>
    <w:multiLevelType w:val="hybridMultilevel"/>
    <w:tmpl w:val="FCE46EC4"/>
    <w:lvl w:ilvl="0" w:tplc="04090003">
      <w:start w:val="1"/>
      <w:numFmt w:val="bullet"/>
      <w:lvlText w:val="o"/>
      <w:lvlJc w:val="left"/>
      <w:pPr>
        <w:ind w:left="1800" w:hanging="360"/>
      </w:pPr>
      <w:rPr>
        <w:rFonts w:ascii="Courier New" w:hAnsi="Courier New" w:cs="Courier New"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06">
    <w:nsid w:val="26513AF8"/>
    <w:multiLevelType w:val="hybridMultilevel"/>
    <w:tmpl w:val="DCA8D72E"/>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7">
    <w:nsid w:val="26526044"/>
    <w:multiLevelType w:val="hybridMultilevel"/>
    <w:tmpl w:val="A0DA39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8">
    <w:nsid w:val="26717342"/>
    <w:multiLevelType w:val="hybridMultilevel"/>
    <w:tmpl w:val="D1E28B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9">
    <w:nsid w:val="26762595"/>
    <w:multiLevelType w:val="hybridMultilevel"/>
    <w:tmpl w:val="EAF6A272"/>
    <w:lvl w:ilvl="0" w:tplc="04090003">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0">
    <w:nsid w:val="268736DB"/>
    <w:multiLevelType w:val="hybridMultilevel"/>
    <w:tmpl w:val="ECD0A19E"/>
    <w:lvl w:ilvl="0" w:tplc="0BA64516">
      <w:start w:val="1"/>
      <w:numFmt w:val="bullet"/>
      <w:pStyle w:val="Bullet-Open"/>
      <w:lvlText w:val="o"/>
      <w:lvlJc w:val="left"/>
      <w:pPr>
        <w:ind w:left="1440" w:hanging="360"/>
      </w:pPr>
      <w:rPr>
        <w:rFonts w:ascii="Courier New" w:hAnsi="Courier New" w:cs="Courier New"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11">
    <w:nsid w:val="270930F2"/>
    <w:multiLevelType w:val="hybridMultilevel"/>
    <w:tmpl w:val="EFDC83BC"/>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3">
      <w:start w:val="1"/>
      <w:numFmt w:val="bullet"/>
      <w:lvlText w:val="o"/>
      <w:lvlJc w:val="left"/>
      <w:pPr>
        <w:ind w:left="2160" w:hanging="360"/>
      </w:pPr>
      <w:rPr>
        <w:rFonts w:ascii="Courier New" w:hAnsi="Courier New" w:cs="Courier New" w:hint="default"/>
        <w:vertAlign w:val="baseline"/>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2">
    <w:nsid w:val="270E738F"/>
    <w:multiLevelType w:val="multilevel"/>
    <w:tmpl w:val="A03A395C"/>
    <w:numStyleLink w:val="BulletedList"/>
  </w:abstractNum>
  <w:abstractNum w:abstractNumId="213">
    <w:nsid w:val="272026FF"/>
    <w:multiLevelType w:val="hybridMultilevel"/>
    <w:tmpl w:val="7144C122"/>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4">
    <w:nsid w:val="276A533E"/>
    <w:multiLevelType w:val="hybridMultilevel"/>
    <w:tmpl w:val="62804C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5">
    <w:nsid w:val="279E0851"/>
    <w:multiLevelType w:val="multilevel"/>
    <w:tmpl w:val="77603366"/>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ind w:left="360" w:hanging="360"/>
      </w:pPr>
      <w:rPr>
        <w:rFonts w:hint="default"/>
      </w:rPr>
    </w:lvl>
    <w:lvl w:ilvl="2">
      <w:start w:val="1"/>
      <w:numFmt w:val="lowerLetter"/>
      <w:lvlText w:val="(%3)"/>
      <w:lvlJc w:val="left"/>
      <w:pPr>
        <w:ind w:left="2160" w:hanging="360"/>
      </w:pPr>
      <w:rPr>
        <w:rFonts w:hint="default"/>
        <w:color w:val="000000"/>
      </w:rPr>
    </w:lvl>
    <w:lvl w:ilvl="3">
      <w:start w:val="1"/>
      <w:numFmt w:val="decimal"/>
      <w:lvlText w:val="%4)"/>
      <w:lvlJc w:val="left"/>
      <w:pPr>
        <w:ind w:left="2880" w:hanging="360"/>
      </w:pPr>
      <w:rPr>
        <w:rFonts w:hint="default"/>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6">
    <w:nsid w:val="27BF1123"/>
    <w:multiLevelType w:val="hybridMultilevel"/>
    <w:tmpl w:val="5948BAD6"/>
    <w:lvl w:ilvl="0" w:tplc="981622FC">
      <w:start w:val="1"/>
      <w:numFmt w:val="bullet"/>
      <w:lvlText w:val="-"/>
      <w:lvlJc w:val="left"/>
      <w:pPr>
        <w:ind w:left="720" w:hanging="360"/>
      </w:pPr>
      <w:rPr>
        <w:rFonts w:ascii="Courier New" w:hAnsi="Courier New" w:hint="default"/>
        <w:vertAlign w:val="baseli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7">
    <w:nsid w:val="27D97800"/>
    <w:multiLevelType w:val="hybridMultilevel"/>
    <w:tmpl w:val="931C33B2"/>
    <w:lvl w:ilvl="0" w:tplc="00CA9A78">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8">
    <w:nsid w:val="27E83710"/>
    <w:multiLevelType w:val="hybridMultilevel"/>
    <w:tmpl w:val="19D68A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9">
    <w:nsid w:val="280B63C6"/>
    <w:multiLevelType w:val="hybridMultilevel"/>
    <w:tmpl w:val="E2B24C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0">
    <w:nsid w:val="2812731D"/>
    <w:multiLevelType w:val="hybridMultilevel"/>
    <w:tmpl w:val="F8069B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1">
    <w:nsid w:val="286571EE"/>
    <w:multiLevelType w:val="hybridMultilevel"/>
    <w:tmpl w:val="2B92E6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2">
    <w:nsid w:val="287B27BF"/>
    <w:multiLevelType w:val="multilevel"/>
    <w:tmpl w:val="EEBE9DBE"/>
    <w:lvl w:ilvl="0">
      <w:start w:val="6"/>
      <w:numFmt w:val="decimal"/>
      <w:lvlText w:val="%1"/>
      <w:lvlJc w:val="left"/>
      <w:pPr>
        <w:ind w:left="450" w:hanging="450"/>
      </w:pPr>
      <w:rPr>
        <w:rFonts w:hint="default"/>
      </w:rPr>
    </w:lvl>
    <w:lvl w:ilvl="1">
      <w:start w:val="1"/>
      <w:numFmt w:val="bullet"/>
      <w:lvlText w:val=""/>
      <w:lvlJc w:val="left"/>
      <w:pPr>
        <w:ind w:left="810" w:hanging="450"/>
      </w:pPr>
      <w:rPr>
        <w:rFonts w:ascii="Symbol" w:hAnsi="Symbol" w:hint="default"/>
      </w:rPr>
    </w:lvl>
    <w:lvl w:ilvl="2">
      <w:start w:val="2"/>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23">
    <w:nsid w:val="28A87FDF"/>
    <w:multiLevelType w:val="hybridMultilevel"/>
    <w:tmpl w:val="DD20A3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4">
    <w:nsid w:val="28DF3B24"/>
    <w:multiLevelType w:val="hybridMultilevel"/>
    <w:tmpl w:val="33442E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5">
    <w:nsid w:val="2953041B"/>
    <w:multiLevelType w:val="hybridMultilevel"/>
    <w:tmpl w:val="7F6CD6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6">
    <w:nsid w:val="295F5D6A"/>
    <w:multiLevelType w:val="hybridMultilevel"/>
    <w:tmpl w:val="5A7A6E0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7">
    <w:nsid w:val="29850781"/>
    <w:multiLevelType w:val="hybridMultilevel"/>
    <w:tmpl w:val="914EF4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8">
    <w:nsid w:val="299A3AB5"/>
    <w:multiLevelType w:val="multilevel"/>
    <w:tmpl w:val="FDD45046"/>
    <w:lvl w:ilvl="0">
      <w:start w:val="1"/>
      <w:numFmt w:val="decimal"/>
      <w:suff w:val="space"/>
      <w:lvlText w:val="Section %1"/>
      <w:lvlJc w:val="left"/>
      <w:pPr>
        <w:ind w:left="0" w:firstLine="0"/>
      </w:pPr>
      <w:rPr>
        <w:rFonts w:ascii="Calibri" w:hAnsi="Calibri" w:cs="Times New Roman" w:hint="default"/>
        <w:b/>
        <w:i w:val="0"/>
        <w:caps w:val="0"/>
        <w:strike w:val="0"/>
        <w:dstrike w:val="0"/>
        <w:vanish w:val="0"/>
        <w:color w:val="0070C0"/>
        <w:sz w:val="36"/>
        <w:vertAlign w:val="baseline"/>
      </w:rPr>
    </w:lvl>
    <w:lvl w:ilvl="1">
      <w:start w:val="1"/>
      <w:numFmt w:val="decimal"/>
      <w:suff w:val="space"/>
      <w:lvlText w:val="%1.%2"/>
      <w:lvlJc w:val="left"/>
      <w:pPr>
        <w:ind w:left="0" w:firstLine="0"/>
      </w:pPr>
      <w:rPr>
        <w:rFonts w:ascii="Calibri" w:hAnsi="Calibri" w:cs="Times New Roman" w:hint="default"/>
        <w:b/>
        <w:i w:val="0"/>
        <w:caps w:val="0"/>
        <w:strike w:val="0"/>
        <w:dstrike w:val="0"/>
        <w:vanish w:val="0"/>
        <w:sz w:val="24"/>
        <w:vertAlign w:val="baseline"/>
      </w:rPr>
    </w:lvl>
    <w:lvl w:ilvl="2">
      <w:start w:val="1"/>
      <w:numFmt w:val="decimal"/>
      <w:suff w:val="space"/>
      <w:lvlText w:val="%2.%1.%3"/>
      <w:lvlJc w:val="left"/>
      <w:pPr>
        <w:ind w:left="0" w:firstLine="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suff w:val="space"/>
      <w:lvlText w:val="%1.%2.%3.%4"/>
      <w:lvlJc w:val="left"/>
      <w:pPr>
        <w:ind w:left="0" w:firstLine="0"/>
      </w:pPr>
      <w:rPr>
        <w:rFonts w:ascii="Calibri" w:hAnsi="Calibri" w:cs="Times New Roman" w:hint="default"/>
        <w:b w:val="0"/>
        <w:i/>
        <w:caps w:val="0"/>
        <w:strike w:val="0"/>
        <w:dstrike w:val="0"/>
        <w:vanish w:val="0"/>
        <w:sz w:val="20"/>
        <w:szCs w:val="20"/>
        <w:vertAlign w:val="baseline"/>
      </w:rPr>
    </w:lvl>
    <w:lvl w:ilvl="4">
      <w:start w:val="1"/>
      <w:numFmt w:val="decimal"/>
      <w:lvlRestart w:val="0"/>
      <w:suff w:val="space"/>
      <w:lvlText w:val="%1.%2.%3.%4.%5"/>
      <w:lvlJc w:val="left"/>
      <w:pPr>
        <w:ind w:left="0" w:firstLine="0"/>
      </w:pPr>
      <w:rPr>
        <w:rFonts w:cs="Times New Roman" w:hint="default"/>
      </w:rPr>
    </w:lvl>
    <w:lvl w:ilvl="5">
      <w:start w:val="1"/>
      <w:numFmt w:val="decimal"/>
      <w:lvlRestart w:val="0"/>
      <w:lvlText w:val="%1.%2.%3.%4.%5.%6"/>
      <w:lvlJc w:val="left"/>
      <w:pPr>
        <w:tabs>
          <w:tab w:val="num" w:pos="1800"/>
        </w:tabs>
        <w:ind w:left="0" w:firstLine="0"/>
      </w:pPr>
      <w:rPr>
        <w:rFonts w:cs="Times New Roman" w:hint="default"/>
      </w:rPr>
    </w:lvl>
    <w:lvl w:ilvl="6">
      <w:start w:val="1"/>
      <w:numFmt w:val="decimal"/>
      <w:lvlRestart w:val="0"/>
      <w:lvlText w:val="%1.%2.%3.%4.%5.%6.%7"/>
      <w:lvlJc w:val="left"/>
      <w:pPr>
        <w:tabs>
          <w:tab w:val="num" w:pos="2160"/>
        </w:tabs>
        <w:ind w:left="0" w:firstLine="0"/>
      </w:pPr>
      <w:rPr>
        <w:rFonts w:cs="Times New Roman" w:hint="default"/>
      </w:rPr>
    </w:lvl>
    <w:lvl w:ilvl="7">
      <w:start w:val="1"/>
      <w:numFmt w:val="decimal"/>
      <w:lvlRestart w:val="0"/>
      <w:lvlText w:val="%1.%2.%3.%4.%5.%6.%7.%8"/>
      <w:lvlJc w:val="left"/>
      <w:pPr>
        <w:tabs>
          <w:tab w:val="num" w:pos="2520"/>
        </w:tabs>
        <w:ind w:left="0" w:firstLine="0"/>
      </w:pPr>
      <w:rPr>
        <w:rFonts w:cs="Times New Roman" w:hint="default"/>
      </w:rPr>
    </w:lvl>
    <w:lvl w:ilvl="8">
      <w:start w:val="1"/>
      <w:numFmt w:val="decimal"/>
      <w:lvlRestart w:val="0"/>
      <w:lvlText w:val="%1.%2.%3.%4.%5.%6.%7.%8.%9"/>
      <w:lvlJc w:val="left"/>
      <w:pPr>
        <w:tabs>
          <w:tab w:val="num" w:pos="2880"/>
        </w:tabs>
        <w:ind w:left="0" w:firstLine="0"/>
      </w:pPr>
      <w:rPr>
        <w:rFonts w:cs="Times New Roman" w:hint="default"/>
      </w:rPr>
    </w:lvl>
  </w:abstractNum>
  <w:abstractNum w:abstractNumId="229">
    <w:nsid w:val="29B95A24"/>
    <w:multiLevelType w:val="hybridMultilevel"/>
    <w:tmpl w:val="D8D4DD0A"/>
    <w:lvl w:ilvl="0" w:tplc="04090001">
      <w:start w:val="955"/>
      <w:numFmt w:val="bullet"/>
      <w:lvlText w:val="–"/>
      <w:lvlJc w:val="left"/>
      <w:pPr>
        <w:ind w:left="-5400" w:hanging="360"/>
      </w:pPr>
      <w:rPr>
        <w:rFonts w:ascii="Times New Roman" w:hAnsi="Times New Roman" w:hint="default"/>
      </w:rPr>
    </w:lvl>
    <w:lvl w:ilvl="1" w:tplc="04090003">
      <w:start w:val="1"/>
      <w:numFmt w:val="bullet"/>
      <w:lvlText w:val="o"/>
      <w:lvlJc w:val="left"/>
      <w:pPr>
        <w:ind w:left="-4680" w:hanging="360"/>
      </w:pPr>
      <w:rPr>
        <w:rFonts w:ascii="Courier New" w:hAnsi="Courier New" w:cs="Courier New" w:hint="default"/>
      </w:rPr>
    </w:lvl>
    <w:lvl w:ilvl="2" w:tplc="04090005">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1800" w:hanging="360"/>
      </w:pPr>
      <w:rPr>
        <w:rFonts w:ascii="Wingdings" w:hAnsi="Wingdings" w:hint="default"/>
      </w:rPr>
    </w:lvl>
    <w:lvl w:ilvl="6" w:tplc="04090001" w:tentative="1">
      <w:start w:val="1"/>
      <w:numFmt w:val="bullet"/>
      <w:lvlText w:val=""/>
      <w:lvlJc w:val="left"/>
      <w:pPr>
        <w:ind w:left="-1080" w:hanging="360"/>
      </w:pPr>
      <w:rPr>
        <w:rFonts w:ascii="Symbol" w:hAnsi="Symbol" w:hint="default"/>
      </w:rPr>
    </w:lvl>
    <w:lvl w:ilvl="7" w:tplc="04090003" w:tentative="1">
      <w:start w:val="1"/>
      <w:numFmt w:val="bullet"/>
      <w:lvlText w:val="o"/>
      <w:lvlJc w:val="left"/>
      <w:pPr>
        <w:ind w:left="-360" w:hanging="360"/>
      </w:pPr>
      <w:rPr>
        <w:rFonts w:ascii="Courier New" w:hAnsi="Courier New" w:cs="Courier New" w:hint="default"/>
      </w:rPr>
    </w:lvl>
    <w:lvl w:ilvl="8" w:tplc="04090005" w:tentative="1">
      <w:start w:val="1"/>
      <w:numFmt w:val="bullet"/>
      <w:lvlText w:val=""/>
      <w:lvlJc w:val="left"/>
      <w:pPr>
        <w:ind w:left="360" w:hanging="360"/>
      </w:pPr>
      <w:rPr>
        <w:rFonts w:ascii="Wingdings" w:hAnsi="Wingdings" w:hint="default"/>
      </w:rPr>
    </w:lvl>
  </w:abstractNum>
  <w:abstractNum w:abstractNumId="230">
    <w:nsid w:val="2A1F1097"/>
    <w:multiLevelType w:val="hybridMultilevel"/>
    <w:tmpl w:val="430C80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1">
    <w:nsid w:val="2A274831"/>
    <w:multiLevelType w:val="hybridMultilevel"/>
    <w:tmpl w:val="7C24D6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2">
    <w:nsid w:val="2A343C77"/>
    <w:multiLevelType w:val="hybridMultilevel"/>
    <w:tmpl w:val="A7D066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3">
    <w:nsid w:val="2A540C30"/>
    <w:multiLevelType w:val="hybridMultilevel"/>
    <w:tmpl w:val="6242D9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4">
    <w:nsid w:val="2AC3383B"/>
    <w:multiLevelType w:val="hybridMultilevel"/>
    <w:tmpl w:val="DB0CF6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5">
    <w:nsid w:val="2B1F7863"/>
    <w:multiLevelType w:val="hybridMultilevel"/>
    <w:tmpl w:val="747AE4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6">
    <w:nsid w:val="2B313680"/>
    <w:multiLevelType w:val="hybridMultilevel"/>
    <w:tmpl w:val="20384D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7">
    <w:nsid w:val="2B551AC1"/>
    <w:multiLevelType w:val="hybridMultilevel"/>
    <w:tmpl w:val="A7DAE76C"/>
    <w:lvl w:ilvl="0" w:tplc="DB0AC60E">
      <w:start w:val="1"/>
      <w:numFmt w:val="lowerLetter"/>
      <w:lvlText w:val="(%1)"/>
      <w:lvlJc w:val="left"/>
      <w:pPr>
        <w:ind w:left="1890" w:hanging="360"/>
      </w:pPr>
      <w:rPr>
        <w:rFonts w:hint="default"/>
      </w:rPr>
    </w:lvl>
    <w:lvl w:ilvl="1" w:tplc="04090019" w:tentative="1">
      <w:start w:val="1"/>
      <w:numFmt w:val="lowerLetter"/>
      <w:lvlText w:val="%2."/>
      <w:lvlJc w:val="left"/>
      <w:pPr>
        <w:ind w:left="2610" w:hanging="360"/>
      </w:pPr>
    </w:lvl>
    <w:lvl w:ilvl="2" w:tplc="0409001B" w:tentative="1">
      <w:start w:val="1"/>
      <w:numFmt w:val="lowerRoman"/>
      <w:lvlText w:val="%3."/>
      <w:lvlJc w:val="right"/>
      <w:pPr>
        <w:ind w:left="3330" w:hanging="180"/>
      </w:pPr>
    </w:lvl>
    <w:lvl w:ilvl="3" w:tplc="0409000F" w:tentative="1">
      <w:start w:val="1"/>
      <w:numFmt w:val="decimal"/>
      <w:lvlText w:val="%4."/>
      <w:lvlJc w:val="left"/>
      <w:pPr>
        <w:ind w:left="4050" w:hanging="360"/>
      </w:pPr>
    </w:lvl>
    <w:lvl w:ilvl="4" w:tplc="04090019" w:tentative="1">
      <w:start w:val="1"/>
      <w:numFmt w:val="lowerLetter"/>
      <w:lvlText w:val="%5."/>
      <w:lvlJc w:val="left"/>
      <w:pPr>
        <w:ind w:left="4770" w:hanging="360"/>
      </w:pPr>
    </w:lvl>
    <w:lvl w:ilvl="5" w:tplc="0409001B" w:tentative="1">
      <w:start w:val="1"/>
      <w:numFmt w:val="lowerRoman"/>
      <w:lvlText w:val="%6."/>
      <w:lvlJc w:val="right"/>
      <w:pPr>
        <w:ind w:left="5490" w:hanging="180"/>
      </w:pPr>
    </w:lvl>
    <w:lvl w:ilvl="6" w:tplc="0409000F" w:tentative="1">
      <w:start w:val="1"/>
      <w:numFmt w:val="decimal"/>
      <w:lvlText w:val="%7."/>
      <w:lvlJc w:val="left"/>
      <w:pPr>
        <w:ind w:left="6210" w:hanging="360"/>
      </w:pPr>
    </w:lvl>
    <w:lvl w:ilvl="7" w:tplc="04090019" w:tentative="1">
      <w:start w:val="1"/>
      <w:numFmt w:val="lowerLetter"/>
      <w:lvlText w:val="%8."/>
      <w:lvlJc w:val="left"/>
      <w:pPr>
        <w:ind w:left="6930" w:hanging="360"/>
      </w:pPr>
    </w:lvl>
    <w:lvl w:ilvl="8" w:tplc="0409001B" w:tentative="1">
      <w:start w:val="1"/>
      <w:numFmt w:val="lowerRoman"/>
      <w:lvlText w:val="%9."/>
      <w:lvlJc w:val="right"/>
      <w:pPr>
        <w:ind w:left="7650" w:hanging="180"/>
      </w:pPr>
    </w:lvl>
  </w:abstractNum>
  <w:abstractNum w:abstractNumId="238">
    <w:nsid w:val="2B7F61B2"/>
    <w:multiLevelType w:val="hybridMultilevel"/>
    <w:tmpl w:val="7120687C"/>
    <w:lvl w:ilvl="0" w:tplc="B32059EA">
      <w:start w:val="1"/>
      <w:numFmt w:val="lowerLetter"/>
      <w:lvlText w:val="(%1)"/>
      <w:lvlJc w:val="left"/>
      <w:pPr>
        <w:tabs>
          <w:tab w:val="num" w:pos="720"/>
        </w:tabs>
        <w:ind w:left="720" w:hanging="360"/>
      </w:pPr>
      <w:rPr>
        <w:rFonts w:asciiTheme="minorHAnsi" w:eastAsia="Times New Roman" w:hAnsiTheme="minorHAnsi" w:cs="Arial" w:hint="default"/>
      </w:rPr>
    </w:lvl>
    <w:lvl w:ilvl="1" w:tplc="04090003" w:tentative="1">
      <w:start w:val="1"/>
      <w:numFmt w:val="bullet"/>
      <w:lvlText w:val="•"/>
      <w:lvlJc w:val="left"/>
      <w:pPr>
        <w:tabs>
          <w:tab w:val="num" w:pos="1440"/>
        </w:tabs>
        <w:ind w:left="1440" w:hanging="360"/>
      </w:pPr>
      <w:rPr>
        <w:rFonts w:ascii="Times New Roman" w:hAnsi="Times New Roman" w:hint="default"/>
      </w:rPr>
    </w:lvl>
    <w:lvl w:ilvl="2" w:tplc="04090005" w:tentative="1">
      <w:start w:val="1"/>
      <w:numFmt w:val="bullet"/>
      <w:lvlText w:val="•"/>
      <w:lvlJc w:val="left"/>
      <w:pPr>
        <w:tabs>
          <w:tab w:val="num" w:pos="2160"/>
        </w:tabs>
        <w:ind w:left="2160" w:hanging="360"/>
      </w:pPr>
      <w:rPr>
        <w:rFonts w:ascii="Times New Roman" w:hAnsi="Times New Roman" w:hint="default"/>
      </w:rPr>
    </w:lvl>
    <w:lvl w:ilvl="3" w:tplc="04090001" w:tentative="1">
      <w:start w:val="1"/>
      <w:numFmt w:val="bullet"/>
      <w:lvlText w:val="•"/>
      <w:lvlJc w:val="left"/>
      <w:pPr>
        <w:tabs>
          <w:tab w:val="num" w:pos="2880"/>
        </w:tabs>
        <w:ind w:left="2880" w:hanging="360"/>
      </w:pPr>
      <w:rPr>
        <w:rFonts w:ascii="Times New Roman" w:hAnsi="Times New Roman" w:hint="default"/>
      </w:rPr>
    </w:lvl>
    <w:lvl w:ilvl="4" w:tplc="04090003" w:tentative="1">
      <w:start w:val="1"/>
      <w:numFmt w:val="bullet"/>
      <w:lvlText w:val="•"/>
      <w:lvlJc w:val="left"/>
      <w:pPr>
        <w:tabs>
          <w:tab w:val="num" w:pos="3600"/>
        </w:tabs>
        <w:ind w:left="3600" w:hanging="360"/>
      </w:pPr>
      <w:rPr>
        <w:rFonts w:ascii="Times New Roman" w:hAnsi="Times New Roman" w:hint="default"/>
      </w:rPr>
    </w:lvl>
    <w:lvl w:ilvl="5" w:tplc="04090005" w:tentative="1">
      <w:start w:val="1"/>
      <w:numFmt w:val="bullet"/>
      <w:lvlText w:val="•"/>
      <w:lvlJc w:val="left"/>
      <w:pPr>
        <w:tabs>
          <w:tab w:val="num" w:pos="4320"/>
        </w:tabs>
        <w:ind w:left="4320" w:hanging="360"/>
      </w:pPr>
      <w:rPr>
        <w:rFonts w:ascii="Times New Roman" w:hAnsi="Times New Roman" w:hint="default"/>
      </w:rPr>
    </w:lvl>
    <w:lvl w:ilvl="6" w:tplc="04090001" w:tentative="1">
      <w:start w:val="1"/>
      <w:numFmt w:val="bullet"/>
      <w:lvlText w:val="•"/>
      <w:lvlJc w:val="left"/>
      <w:pPr>
        <w:tabs>
          <w:tab w:val="num" w:pos="5040"/>
        </w:tabs>
        <w:ind w:left="5040" w:hanging="360"/>
      </w:pPr>
      <w:rPr>
        <w:rFonts w:ascii="Times New Roman" w:hAnsi="Times New Roman" w:hint="default"/>
      </w:rPr>
    </w:lvl>
    <w:lvl w:ilvl="7" w:tplc="04090003" w:tentative="1">
      <w:start w:val="1"/>
      <w:numFmt w:val="bullet"/>
      <w:lvlText w:val="•"/>
      <w:lvlJc w:val="left"/>
      <w:pPr>
        <w:tabs>
          <w:tab w:val="num" w:pos="5760"/>
        </w:tabs>
        <w:ind w:left="5760" w:hanging="360"/>
      </w:pPr>
      <w:rPr>
        <w:rFonts w:ascii="Times New Roman" w:hAnsi="Times New Roman" w:hint="default"/>
      </w:rPr>
    </w:lvl>
    <w:lvl w:ilvl="8" w:tplc="04090005" w:tentative="1">
      <w:start w:val="1"/>
      <w:numFmt w:val="bullet"/>
      <w:lvlText w:val="•"/>
      <w:lvlJc w:val="left"/>
      <w:pPr>
        <w:tabs>
          <w:tab w:val="num" w:pos="6480"/>
        </w:tabs>
        <w:ind w:left="6480" w:hanging="360"/>
      </w:pPr>
      <w:rPr>
        <w:rFonts w:ascii="Times New Roman" w:hAnsi="Times New Roman" w:hint="default"/>
      </w:rPr>
    </w:lvl>
  </w:abstractNum>
  <w:abstractNum w:abstractNumId="239">
    <w:nsid w:val="2B9E0407"/>
    <w:multiLevelType w:val="hybridMultilevel"/>
    <w:tmpl w:val="826CEF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0">
    <w:nsid w:val="2BCD101B"/>
    <w:multiLevelType w:val="hybridMultilevel"/>
    <w:tmpl w:val="127C645A"/>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41">
    <w:nsid w:val="2BFD3C2C"/>
    <w:multiLevelType w:val="hybridMultilevel"/>
    <w:tmpl w:val="4EEC45E6"/>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42">
    <w:nsid w:val="2C171FF2"/>
    <w:multiLevelType w:val="hybridMultilevel"/>
    <w:tmpl w:val="6B7032A4"/>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3">
    <w:nsid w:val="2C3B16CD"/>
    <w:multiLevelType w:val="hybridMultilevel"/>
    <w:tmpl w:val="ECC027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4">
    <w:nsid w:val="2C601640"/>
    <w:multiLevelType w:val="hybridMultilevel"/>
    <w:tmpl w:val="4246C996"/>
    <w:lvl w:ilvl="0" w:tplc="07FA6A08">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5">
    <w:nsid w:val="2C882A5D"/>
    <w:multiLevelType w:val="hybridMultilevel"/>
    <w:tmpl w:val="CA06F7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6">
    <w:nsid w:val="2CBF69C3"/>
    <w:multiLevelType w:val="hybridMultilevel"/>
    <w:tmpl w:val="6DA4A3D0"/>
    <w:lvl w:ilvl="0" w:tplc="EF5E97BE">
      <w:start w:val="1"/>
      <w:numFmt w:val="bullet"/>
      <w:lvlText w:val="–"/>
      <w:lvlJc w:val="left"/>
      <w:pPr>
        <w:ind w:left="1800" w:hanging="360"/>
      </w:pPr>
      <w:rPr>
        <w:rFonts w:ascii="Times New Roman" w:hAnsi="Times New Roman" w:cs="Times New Roman"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47">
    <w:nsid w:val="2CCC376E"/>
    <w:multiLevelType w:val="hybridMultilevel"/>
    <w:tmpl w:val="4CF83FC4"/>
    <w:lvl w:ilvl="0" w:tplc="C7083710">
      <w:start w:val="1"/>
      <w:numFmt w:val="bullet"/>
      <w:lvlText w:val="•"/>
      <w:lvlJc w:val="left"/>
      <w:pPr>
        <w:tabs>
          <w:tab w:val="num" w:pos="720"/>
        </w:tabs>
        <w:ind w:left="720" w:hanging="360"/>
      </w:pPr>
      <w:rPr>
        <w:rFonts w:ascii="Times New Roman" w:hAnsi="Times New Roman" w:cs="Times New Roman" w:hint="default"/>
      </w:rPr>
    </w:lvl>
    <w:lvl w:ilvl="1" w:tplc="B846DB62">
      <w:start w:val="1"/>
      <w:numFmt w:val="decimal"/>
      <w:lvlText w:val="%2."/>
      <w:lvlJc w:val="left"/>
      <w:pPr>
        <w:tabs>
          <w:tab w:val="num" w:pos="1440"/>
        </w:tabs>
        <w:ind w:left="1440" w:hanging="360"/>
      </w:pPr>
    </w:lvl>
    <w:lvl w:ilvl="2" w:tplc="D01A2ACA">
      <w:start w:val="1"/>
      <w:numFmt w:val="decimal"/>
      <w:lvlText w:val="%3."/>
      <w:lvlJc w:val="left"/>
      <w:pPr>
        <w:tabs>
          <w:tab w:val="num" w:pos="2160"/>
        </w:tabs>
        <w:ind w:left="2160" w:hanging="360"/>
      </w:pPr>
    </w:lvl>
    <w:lvl w:ilvl="3" w:tplc="E08620D6">
      <w:start w:val="1"/>
      <w:numFmt w:val="decimal"/>
      <w:lvlText w:val="%4."/>
      <w:lvlJc w:val="left"/>
      <w:pPr>
        <w:tabs>
          <w:tab w:val="num" w:pos="2880"/>
        </w:tabs>
        <w:ind w:left="2880" w:hanging="360"/>
      </w:pPr>
    </w:lvl>
    <w:lvl w:ilvl="4" w:tplc="0DAC0210">
      <w:start w:val="1"/>
      <w:numFmt w:val="decimal"/>
      <w:lvlText w:val="%5."/>
      <w:lvlJc w:val="left"/>
      <w:pPr>
        <w:tabs>
          <w:tab w:val="num" w:pos="3600"/>
        </w:tabs>
        <w:ind w:left="3600" w:hanging="360"/>
      </w:pPr>
    </w:lvl>
    <w:lvl w:ilvl="5" w:tplc="98E4F5FA">
      <w:start w:val="1"/>
      <w:numFmt w:val="decimal"/>
      <w:lvlText w:val="%6."/>
      <w:lvlJc w:val="left"/>
      <w:pPr>
        <w:tabs>
          <w:tab w:val="num" w:pos="4320"/>
        </w:tabs>
        <w:ind w:left="4320" w:hanging="360"/>
      </w:pPr>
    </w:lvl>
    <w:lvl w:ilvl="6" w:tplc="25BC1ED2">
      <w:start w:val="1"/>
      <w:numFmt w:val="decimal"/>
      <w:lvlText w:val="%7."/>
      <w:lvlJc w:val="left"/>
      <w:pPr>
        <w:tabs>
          <w:tab w:val="num" w:pos="5040"/>
        </w:tabs>
        <w:ind w:left="5040" w:hanging="360"/>
      </w:pPr>
    </w:lvl>
    <w:lvl w:ilvl="7" w:tplc="C85E4F24">
      <w:start w:val="1"/>
      <w:numFmt w:val="decimal"/>
      <w:lvlText w:val="%8."/>
      <w:lvlJc w:val="left"/>
      <w:pPr>
        <w:tabs>
          <w:tab w:val="num" w:pos="5760"/>
        </w:tabs>
        <w:ind w:left="5760" w:hanging="360"/>
      </w:pPr>
    </w:lvl>
    <w:lvl w:ilvl="8" w:tplc="7FC4E006">
      <w:start w:val="1"/>
      <w:numFmt w:val="decimal"/>
      <w:lvlText w:val="%9."/>
      <w:lvlJc w:val="left"/>
      <w:pPr>
        <w:tabs>
          <w:tab w:val="num" w:pos="6480"/>
        </w:tabs>
        <w:ind w:left="6480" w:hanging="360"/>
      </w:pPr>
    </w:lvl>
  </w:abstractNum>
  <w:abstractNum w:abstractNumId="248">
    <w:nsid w:val="2CF748DA"/>
    <w:multiLevelType w:val="hybridMultilevel"/>
    <w:tmpl w:val="37CC1CFA"/>
    <w:lvl w:ilvl="0" w:tplc="0024D81E">
      <w:start w:val="1"/>
      <w:numFmt w:val="bullet"/>
      <w:lvlText w:val="•"/>
      <w:lvlJc w:val="left"/>
      <w:pPr>
        <w:tabs>
          <w:tab w:val="num" w:pos="720"/>
        </w:tabs>
        <w:ind w:left="720" w:hanging="360"/>
      </w:pPr>
      <w:rPr>
        <w:rFonts w:ascii="Arial" w:hAnsi="Arial" w:hint="default"/>
      </w:rPr>
    </w:lvl>
    <w:lvl w:ilvl="1" w:tplc="82F46D5A">
      <w:start w:val="3057"/>
      <w:numFmt w:val="bullet"/>
      <w:lvlText w:val="–"/>
      <w:lvlJc w:val="left"/>
      <w:pPr>
        <w:tabs>
          <w:tab w:val="num" w:pos="1440"/>
        </w:tabs>
        <w:ind w:left="1440" w:hanging="360"/>
      </w:pPr>
      <w:rPr>
        <w:rFonts w:ascii="Arial" w:hAnsi="Arial" w:hint="default"/>
      </w:rPr>
    </w:lvl>
    <w:lvl w:ilvl="2" w:tplc="94843088" w:tentative="1">
      <w:start w:val="1"/>
      <w:numFmt w:val="bullet"/>
      <w:lvlText w:val="•"/>
      <w:lvlJc w:val="left"/>
      <w:pPr>
        <w:tabs>
          <w:tab w:val="num" w:pos="2160"/>
        </w:tabs>
        <w:ind w:left="2160" w:hanging="360"/>
      </w:pPr>
      <w:rPr>
        <w:rFonts w:ascii="Arial" w:hAnsi="Arial" w:hint="default"/>
      </w:rPr>
    </w:lvl>
    <w:lvl w:ilvl="3" w:tplc="29201172" w:tentative="1">
      <w:start w:val="1"/>
      <w:numFmt w:val="bullet"/>
      <w:lvlText w:val="•"/>
      <w:lvlJc w:val="left"/>
      <w:pPr>
        <w:tabs>
          <w:tab w:val="num" w:pos="2880"/>
        </w:tabs>
        <w:ind w:left="2880" w:hanging="360"/>
      </w:pPr>
      <w:rPr>
        <w:rFonts w:ascii="Arial" w:hAnsi="Arial" w:hint="default"/>
      </w:rPr>
    </w:lvl>
    <w:lvl w:ilvl="4" w:tplc="90FC9BBA" w:tentative="1">
      <w:start w:val="1"/>
      <w:numFmt w:val="bullet"/>
      <w:lvlText w:val="•"/>
      <w:lvlJc w:val="left"/>
      <w:pPr>
        <w:tabs>
          <w:tab w:val="num" w:pos="3600"/>
        </w:tabs>
        <w:ind w:left="3600" w:hanging="360"/>
      </w:pPr>
      <w:rPr>
        <w:rFonts w:ascii="Arial" w:hAnsi="Arial" w:hint="default"/>
      </w:rPr>
    </w:lvl>
    <w:lvl w:ilvl="5" w:tplc="CA3E5752" w:tentative="1">
      <w:start w:val="1"/>
      <w:numFmt w:val="bullet"/>
      <w:lvlText w:val="•"/>
      <w:lvlJc w:val="left"/>
      <w:pPr>
        <w:tabs>
          <w:tab w:val="num" w:pos="4320"/>
        </w:tabs>
        <w:ind w:left="4320" w:hanging="360"/>
      </w:pPr>
      <w:rPr>
        <w:rFonts w:ascii="Arial" w:hAnsi="Arial" w:hint="default"/>
      </w:rPr>
    </w:lvl>
    <w:lvl w:ilvl="6" w:tplc="3D3A5516" w:tentative="1">
      <w:start w:val="1"/>
      <w:numFmt w:val="bullet"/>
      <w:lvlText w:val="•"/>
      <w:lvlJc w:val="left"/>
      <w:pPr>
        <w:tabs>
          <w:tab w:val="num" w:pos="5040"/>
        </w:tabs>
        <w:ind w:left="5040" w:hanging="360"/>
      </w:pPr>
      <w:rPr>
        <w:rFonts w:ascii="Arial" w:hAnsi="Arial" w:hint="default"/>
      </w:rPr>
    </w:lvl>
    <w:lvl w:ilvl="7" w:tplc="BE3CB168" w:tentative="1">
      <w:start w:val="1"/>
      <w:numFmt w:val="bullet"/>
      <w:lvlText w:val="•"/>
      <w:lvlJc w:val="left"/>
      <w:pPr>
        <w:tabs>
          <w:tab w:val="num" w:pos="5760"/>
        </w:tabs>
        <w:ind w:left="5760" w:hanging="360"/>
      </w:pPr>
      <w:rPr>
        <w:rFonts w:ascii="Arial" w:hAnsi="Arial" w:hint="default"/>
      </w:rPr>
    </w:lvl>
    <w:lvl w:ilvl="8" w:tplc="6C5A3682" w:tentative="1">
      <w:start w:val="1"/>
      <w:numFmt w:val="bullet"/>
      <w:lvlText w:val="•"/>
      <w:lvlJc w:val="left"/>
      <w:pPr>
        <w:tabs>
          <w:tab w:val="num" w:pos="6480"/>
        </w:tabs>
        <w:ind w:left="6480" w:hanging="360"/>
      </w:pPr>
      <w:rPr>
        <w:rFonts w:ascii="Arial" w:hAnsi="Arial" w:hint="default"/>
      </w:rPr>
    </w:lvl>
  </w:abstractNum>
  <w:abstractNum w:abstractNumId="249">
    <w:nsid w:val="2DB23C00"/>
    <w:multiLevelType w:val="hybridMultilevel"/>
    <w:tmpl w:val="1910E878"/>
    <w:lvl w:ilvl="0" w:tplc="EF5E97BE">
      <w:start w:val="1"/>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0">
    <w:nsid w:val="2DB95A3E"/>
    <w:multiLevelType w:val="hybridMultilevel"/>
    <w:tmpl w:val="93AE1338"/>
    <w:lvl w:ilvl="0" w:tplc="2140E6DE">
      <w:start w:val="1"/>
      <w:numFmt w:val="bullet"/>
      <w:lvlText w:val="−"/>
      <w:lvlJc w:val="left"/>
      <w:pPr>
        <w:ind w:left="1800" w:hanging="360"/>
      </w:pPr>
      <w:rPr>
        <w:rFonts w:ascii="Calibri" w:hAnsi="Calibri"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51">
    <w:nsid w:val="2DD2161F"/>
    <w:multiLevelType w:val="hybridMultilevel"/>
    <w:tmpl w:val="A47CBC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52">
    <w:nsid w:val="2DFB3741"/>
    <w:multiLevelType w:val="hybridMultilevel"/>
    <w:tmpl w:val="E31664F6"/>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53">
    <w:nsid w:val="2E04A805"/>
    <w:multiLevelType w:val="hybridMultilevel"/>
    <w:tmpl w:val="9AA771FE"/>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54">
    <w:nsid w:val="2E250324"/>
    <w:multiLevelType w:val="hybridMultilevel"/>
    <w:tmpl w:val="470AC848"/>
    <w:lvl w:ilvl="0" w:tplc="B8064E66">
      <w:start w:val="1"/>
      <w:numFmt w:val="bullet"/>
      <w:lvlText w:val=""/>
      <w:lvlJc w:val="left"/>
      <w:pPr>
        <w:ind w:left="720" w:hanging="360"/>
      </w:pPr>
      <w:rPr>
        <w:rFonts w:ascii="Wingdings" w:hAnsi="Wingdings" w:hint="default"/>
        <w:b/>
        <w:i w:val="0"/>
        <w:sz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5">
    <w:nsid w:val="2E4B2ABC"/>
    <w:multiLevelType w:val="hybridMultilevel"/>
    <w:tmpl w:val="4BA45B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6">
    <w:nsid w:val="2ED554E1"/>
    <w:multiLevelType w:val="hybridMultilevel"/>
    <w:tmpl w:val="500E8CA6"/>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257">
    <w:nsid w:val="2EEF4E80"/>
    <w:multiLevelType w:val="hybridMultilevel"/>
    <w:tmpl w:val="8DCA06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8">
    <w:nsid w:val="2F8A7904"/>
    <w:multiLevelType w:val="hybridMultilevel"/>
    <w:tmpl w:val="9C7EFE6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59">
    <w:nsid w:val="2FA5004A"/>
    <w:multiLevelType w:val="hybridMultilevel"/>
    <w:tmpl w:val="C9520104"/>
    <w:lvl w:ilvl="0" w:tplc="1B12CD76">
      <w:start w:val="1"/>
      <w:numFmt w:val="lowerLetter"/>
      <w:lvlText w:val="(%1)"/>
      <w:lvlJc w:val="left"/>
      <w:pPr>
        <w:ind w:left="270" w:hanging="360"/>
      </w:pPr>
      <w:rPr>
        <w:rFonts w:hint="default"/>
      </w:rPr>
    </w:lvl>
    <w:lvl w:ilvl="1" w:tplc="04090019" w:tentative="1">
      <w:start w:val="1"/>
      <w:numFmt w:val="lowerLetter"/>
      <w:lvlText w:val="%2."/>
      <w:lvlJc w:val="left"/>
      <w:pPr>
        <w:ind w:left="990" w:hanging="360"/>
      </w:pPr>
    </w:lvl>
    <w:lvl w:ilvl="2" w:tplc="0409001B" w:tentative="1">
      <w:start w:val="1"/>
      <w:numFmt w:val="lowerRoman"/>
      <w:lvlText w:val="%3."/>
      <w:lvlJc w:val="right"/>
      <w:pPr>
        <w:ind w:left="1710" w:hanging="180"/>
      </w:pPr>
    </w:lvl>
    <w:lvl w:ilvl="3" w:tplc="0409000F" w:tentative="1">
      <w:start w:val="1"/>
      <w:numFmt w:val="decimal"/>
      <w:lvlText w:val="%4."/>
      <w:lvlJc w:val="left"/>
      <w:pPr>
        <w:ind w:left="2430" w:hanging="360"/>
      </w:pPr>
    </w:lvl>
    <w:lvl w:ilvl="4" w:tplc="04090019" w:tentative="1">
      <w:start w:val="1"/>
      <w:numFmt w:val="lowerLetter"/>
      <w:lvlText w:val="%5."/>
      <w:lvlJc w:val="left"/>
      <w:pPr>
        <w:ind w:left="3150" w:hanging="360"/>
      </w:pPr>
    </w:lvl>
    <w:lvl w:ilvl="5" w:tplc="0409001B" w:tentative="1">
      <w:start w:val="1"/>
      <w:numFmt w:val="lowerRoman"/>
      <w:lvlText w:val="%6."/>
      <w:lvlJc w:val="right"/>
      <w:pPr>
        <w:ind w:left="3870" w:hanging="180"/>
      </w:pPr>
    </w:lvl>
    <w:lvl w:ilvl="6" w:tplc="0409000F" w:tentative="1">
      <w:start w:val="1"/>
      <w:numFmt w:val="decimal"/>
      <w:lvlText w:val="%7."/>
      <w:lvlJc w:val="left"/>
      <w:pPr>
        <w:ind w:left="4590" w:hanging="360"/>
      </w:pPr>
    </w:lvl>
    <w:lvl w:ilvl="7" w:tplc="04090019" w:tentative="1">
      <w:start w:val="1"/>
      <w:numFmt w:val="lowerLetter"/>
      <w:lvlText w:val="%8."/>
      <w:lvlJc w:val="left"/>
      <w:pPr>
        <w:ind w:left="5310" w:hanging="360"/>
      </w:pPr>
    </w:lvl>
    <w:lvl w:ilvl="8" w:tplc="0409001B" w:tentative="1">
      <w:start w:val="1"/>
      <w:numFmt w:val="lowerRoman"/>
      <w:lvlText w:val="%9."/>
      <w:lvlJc w:val="right"/>
      <w:pPr>
        <w:ind w:left="6030" w:hanging="180"/>
      </w:pPr>
    </w:lvl>
  </w:abstractNum>
  <w:abstractNum w:abstractNumId="260">
    <w:nsid w:val="2FCE3E4E"/>
    <w:multiLevelType w:val="hybridMultilevel"/>
    <w:tmpl w:val="11809F6C"/>
    <w:lvl w:ilvl="0" w:tplc="04090003">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3">
      <w:start w:val="1"/>
      <w:numFmt w:val="bullet"/>
      <w:lvlText w:val="o"/>
      <w:lvlJc w:val="left"/>
      <w:pPr>
        <w:ind w:left="2160" w:hanging="360"/>
      </w:pPr>
      <w:rPr>
        <w:rFonts w:ascii="Courier New" w:hAnsi="Courier New" w:cs="Courier New" w:hint="default"/>
        <w:vertAlign w:val="baseline"/>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1">
    <w:nsid w:val="2FFC18F2"/>
    <w:multiLevelType w:val="hybridMultilevel"/>
    <w:tmpl w:val="52725F96"/>
    <w:lvl w:ilvl="0" w:tplc="B5B2047C">
      <w:start w:val="1"/>
      <w:numFmt w:val="bullet"/>
      <w:lvlText w:val=""/>
      <w:lvlJc w:val="left"/>
      <w:pPr>
        <w:ind w:left="720" w:hanging="360"/>
      </w:pPr>
      <w:rPr>
        <w:rFonts w:ascii="Symbol" w:hAnsi="Symbol" w:hint="default"/>
      </w:rPr>
    </w:lvl>
    <w:lvl w:ilvl="1" w:tplc="71D69056" w:tentative="1">
      <w:start w:val="1"/>
      <w:numFmt w:val="bullet"/>
      <w:lvlText w:val="o"/>
      <w:lvlJc w:val="left"/>
      <w:pPr>
        <w:ind w:left="1440" w:hanging="360"/>
      </w:pPr>
      <w:rPr>
        <w:rFonts w:ascii="Courier New" w:hAnsi="Courier New" w:cs="Courier New" w:hint="default"/>
      </w:rPr>
    </w:lvl>
    <w:lvl w:ilvl="2" w:tplc="CA884164" w:tentative="1">
      <w:start w:val="1"/>
      <w:numFmt w:val="bullet"/>
      <w:lvlText w:val=""/>
      <w:lvlJc w:val="left"/>
      <w:pPr>
        <w:ind w:left="2160" w:hanging="360"/>
      </w:pPr>
      <w:rPr>
        <w:rFonts w:ascii="Wingdings" w:hAnsi="Wingdings" w:hint="default"/>
      </w:rPr>
    </w:lvl>
    <w:lvl w:ilvl="3" w:tplc="2E7C9B5A" w:tentative="1">
      <w:start w:val="1"/>
      <w:numFmt w:val="bullet"/>
      <w:lvlText w:val=""/>
      <w:lvlJc w:val="left"/>
      <w:pPr>
        <w:ind w:left="2880" w:hanging="360"/>
      </w:pPr>
      <w:rPr>
        <w:rFonts w:ascii="Symbol" w:hAnsi="Symbol" w:hint="default"/>
      </w:rPr>
    </w:lvl>
    <w:lvl w:ilvl="4" w:tplc="5EE03C8C" w:tentative="1">
      <w:start w:val="1"/>
      <w:numFmt w:val="bullet"/>
      <w:lvlText w:val="o"/>
      <w:lvlJc w:val="left"/>
      <w:pPr>
        <w:ind w:left="3600" w:hanging="360"/>
      </w:pPr>
      <w:rPr>
        <w:rFonts w:ascii="Courier New" w:hAnsi="Courier New" w:cs="Courier New" w:hint="default"/>
      </w:rPr>
    </w:lvl>
    <w:lvl w:ilvl="5" w:tplc="1F8ED6A0" w:tentative="1">
      <w:start w:val="1"/>
      <w:numFmt w:val="bullet"/>
      <w:lvlText w:val=""/>
      <w:lvlJc w:val="left"/>
      <w:pPr>
        <w:ind w:left="4320" w:hanging="360"/>
      </w:pPr>
      <w:rPr>
        <w:rFonts w:ascii="Wingdings" w:hAnsi="Wingdings" w:hint="default"/>
      </w:rPr>
    </w:lvl>
    <w:lvl w:ilvl="6" w:tplc="50F6609A" w:tentative="1">
      <w:start w:val="1"/>
      <w:numFmt w:val="bullet"/>
      <w:lvlText w:val=""/>
      <w:lvlJc w:val="left"/>
      <w:pPr>
        <w:ind w:left="5040" w:hanging="360"/>
      </w:pPr>
      <w:rPr>
        <w:rFonts w:ascii="Symbol" w:hAnsi="Symbol" w:hint="default"/>
      </w:rPr>
    </w:lvl>
    <w:lvl w:ilvl="7" w:tplc="6262C736" w:tentative="1">
      <w:start w:val="1"/>
      <w:numFmt w:val="bullet"/>
      <w:lvlText w:val="o"/>
      <w:lvlJc w:val="left"/>
      <w:pPr>
        <w:ind w:left="5760" w:hanging="360"/>
      </w:pPr>
      <w:rPr>
        <w:rFonts w:ascii="Courier New" w:hAnsi="Courier New" w:cs="Courier New" w:hint="default"/>
      </w:rPr>
    </w:lvl>
    <w:lvl w:ilvl="8" w:tplc="E3AA7E72" w:tentative="1">
      <w:start w:val="1"/>
      <w:numFmt w:val="bullet"/>
      <w:lvlText w:val=""/>
      <w:lvlJc w:val="left"/>
      <w:pPr>
        <w:ind w:left="6480" w:hanging="360"/>
      </w:pPr>
      <w:rPr>
        <w:rFonts w:ascii="Wingdings" w:hAnsi="Wingdings" w:hint="default"/>
      </w:rPr>
    </w:lvl>
  </w:abstractNum>
  <w:abstractNum w:abstractNumId="262">
    <w:nsid w:val="303B7D41"/>
    <w:multiLevelType w:val="hybridMultilevel"/>
    <w:tmpl w:val="0C8CB5A0"/>
    <w:lvl w:ilvl="0" w:tplc="2140E6DE">
      <w:start w:val="1"/>
      <w:numFmt w:val="bullet"/>
      <w:lvlText w:val="−"/>
      <w:lvlJc w:val="left"/>
      <w:pPr>
        <w:ind w:left="1800" w:hanging="360"/>
      </w:pPr>
      <w:rPr>
        <w:rFonts w:ascii="Calibri" w:hAnsi="Calibri"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63">
    <w:nsid w:val="304913AC"/>
    <w:multiLevelType w:val="hybridMultilevel"/>
    <w:tmpl w:val="D8DE513C"/>
    <w:lvl w:ilvl="0" w:tplc="EF5E97B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4">
    <w:nsid w:val="307C347D"/>
    <w:multiLevelType w:val="hybridMultilevel"/>
    <w:tmpl w:val="D460EB3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5">
    <w:nsid w:val="30BD7E7B"/>
    <w:multiLevelType w:val="hybridMultilevel"/>
    <w:tmpl w:val="F97467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6">
    <w:nsid w:val="318B6DCD"/>
    <w:multiLevelType w:val="hybridMultilevel"/>
    <w:tmpl w:val="376CB9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7">
    <w:nsid w:val="31900BA3"/>
    <w:multiLevelType w:val="hybridMultilevel"/>
    <w:tmpl w:val="2AB824CE"/>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8">
    <w:nsid w:val="31A67B56"/>
    <w:multiLevelType w:val="hybridMultilevel"/>
    <w:tmpl w:val="B664C042"/>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9">
    <w:nsid w:val="32495DB8"/>
    <w:multiLevelType w:val="hybridMultilevel"/>
    <w:tmpl w:val="384E5D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0">
    <w:nsid w:val="32715B11"/>
    <w:multiLevelType w:val="hybridMultilevel"/>
    <w:tmpl w:val="A9B05F4E"/>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271">
    <w:nsid w:val="327B2E28"/>
    <w:multiLevelType w:val="hybridMultilevel"/>
    <w:tmpl w:val="723119F5"/>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72">
    <w:nsid w:val="32A1071A"/>
    <w:multiLevelType w:val="hybridMultilevel"/>
    <w:tmpl w:val="670248D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3">
    <w:nsid w:val="32C84D0D"/>
    <w:multiLevelType w:val="multilevel"/>
    <w:tmpl w:val="3A9E20A0"/>
    <w:lvl w:ilvl="0">
      <w:start w:val="1"/>
      <w:numFmt w:val="decimal"/>
      <w:suff w:val="nothing"/>
      <w:lvlText w:val="Section %1"/>
      <w:lvlJc w:val="left"/>
      <w:pPr>
        <w:ind w:left="0" w:firstLine="0"/>
      </w:pPr>
      <w:rPr>
        <w:rFonts w:ascii="Calibri" w:hAnsi="Calibri" w:hint="default"/>
        <w:b/>
        <w:i w:val="0"/>
        <w:color w:val="0070C0"/>
        <w:sz w:val="36"/>
        <w:u w:val="none"/>
      </w:rPr>
    </w:lvl>
    <w:lvl w:ilvl="1">
      <w:start w:val="1"/>
      <w:numFmt w:val="decimal"/>
      <w:suff w:val="space"/>
      <w:lvlText w:val="%1.%2"/>
      <w:lvlJc w:val="left"/>
      <w:pPr>
        <w:ind w:left="0" w:firstLine="0"/>
      </w:pPr>
      <w:rPr>
        <w:rFonts w:ascii="Calibri" w:hAnsi="Calibri" w:hint="default"/>
        <w:b/>
        <w:i w:val="0"/>
        <w:color w:val="62777F" w:themeColor="text1"/>
        <w:sz w:val="24"/>
        <w:u w:val="none"/>
      </w:rPr>
    </w:lvl>
    <w:lvl w:ilvl="2">
      <w:start w:val="1"/>
      <w:numFmt w:val="decimal"/>
      <w:suff w:val="space"/>
      <w:lvlText w:val="%1.%2.%3"/>
      <w:lvlJc w:val="left"/>
      <w:pPr>
        <w:ind w:left="0" w:firstLine="0"/>
      </w:pPr>
      <w:rPr>
        <w:rFonts w:cs="Times New Roman" w:hint="default"/>
        <w:b/>
        <w:bCs w:val="0"/>
        <w:i w:val="0"/>
        <w:iCs w:val="0"/>
        <w:caps w:val="0"/>
        <w:smallCaps w:val="0"/>
        <w:strike w:val="0"/>
        <w:dstrike w:val="0"/>
        <w:noProof w:val="0"/>
        <w:vanish w:val="0"/>
        <w:color w:val="62777F" w:themeColor="text1"/>
        <w:spacing w:val="0"/>
        <w:kern w:val="0"/>
        <w:position w:val="0"/>
        <w:u w:val="none"/>
        <w:vertAlign w:val="baseline"/>
        <w:em w:val="none"/>
        <w:specVanish w:val="0"/>
      </w:rPr>
    </w:lvl>
    <w:lvl w:ilvl="3">
      <w:start w:val="1"/>
      <w:numFmt w:val="decimal"/>
      <w:suff w:val="space"/>
      <w:lvlText w:val="%1.%2.%3.%4"/>
      <w:lvlJc w:val="left"/>
      <w:pPr>
        <w:ind w:left="0" w:firstLine="0"/>
      </w:pPr>
      <w:rPr>
        <w:rFonts w:ascii="Calibri" w:hAnsi="Calibri" w:hint="default"/>
        <w:b w:val="0"/>
        <w:i/>
        <w:color w:val="62777F" w:themeColor="text1"/>
        <w:sz w:val="20"/>
        <w:u w:val="none"/>
      </w:rPr>
    </w:lvl>
    <w:lvl w:ilvl="4">
      <w:start w:val="1"/>
      <w:numFmt w:val="lowerLetter"/>
      <w:lvlText w:val="(%5)"/>
      <w:lvlJc w:val="left"/>
      <w:pPr>
        <w:ind w:left="0" w:firstLine="0"/>
      </w:pPr>
      <w:rPr>
        <w:rFonts w:hint="default"/>
      </w:rPr>
    </w:lvl>
    <w:lvl w:ilvl="5">
      <w:start w:val="1"/>
      <w:numFmt w:val="lowerRoman"/>
      <w:lvlText w:val="(%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274">
    <w:nsid w:val="33004EE2"/>
    <w:multiLevelType w:val="hybridMultilevel"/>
    <w:tmpl w:val="4FACD45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75">
    <w:nsid w:val="3306309E"/>
    <w:multiLevelType w:val="hybridMultilevel"/>
    <w:tmpl w:val="BFF481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6">
    <w:nsid w:val="33446FBD"/>
    <w:multiLevelType w:val="hybridMultilevel"/>
    <w:tmpl w:val="DC460D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7">
    <w:nsid w:val="3386544F"/>
    <w:multiLevelType w:val="hybridMultilevel"/>
    <w:tmpl w:val="1FF4226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8">
    <w:nsid w:val="339A50CD"/>
    <w:multiLevelType w:val="hybridMultilevel"/>
    <w:tmpl w:val="FB1E3D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9">
    <w:nsid w:val="341E2E57"/>
    <w:multiLevelType w:val="hybridMultilevel"/>
    <w:tmpl w:val="009843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0">
    <w:nsid w:val="342539F0"/>
    <w:multiLevelType w:val="hybridMultilevel"/>
    <w:tmpl w:val="E104E7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1">
    <w:nsid w:val="34DD4E1F"/>
    <w:multiLevelType w:val="hybridMultilevel"/>
    <w:tmpl w:val="C4906D1A"/>
    <w:lvl w:ilvl="0" w:tplc="0472D5AC">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282">
    <w:nsid w:val="34E20F73"/>
    <w:multiLevelType w:val="hybridMultilevel"/>
    <w:tmpl w:val="9E4EA9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3">
    <w:nsid w:val="359B272D"/>
    <w:multiLevelType w:val="multilevel"/>
    <w:tmpl w:val="A20A0C80"/>
    <w:lvl w:ilvl="0">
      <w:start w:val="1"/>
      <w:numFmt w:val="decimal"/>
      <w:lvlText w:val="%1."/>
      <w:lvlJc w:val="left"/>
      <w:pPr>
        <w:ind w:left="119" w:hanging="401"/>
      </w:pPr>
      <w:rPr>
        <w:rFonts w:ascii="Arial" w:eastAsia="Arial" w:hAnsi="Arial" w:hint="default"/>
        <w:b/>
        <w:bCs/>
        <w:color w:val="1F497D"/>
        <w:spacing w:val="-2"/>
        <w:sz w:val="36"/>
        <w:szCs w:val="36"/>
      </w:rPr>
    </w:lvl>
    <w:lvl w:ilvl="1">
      <w:start w:val="1"/>
      <w:numFmt w:val="decimal"/>
      <w:lvlText w:val="%1.%2"/>
      <w:lvlJc w:val="left"/>
      <w:pPr>
        <w:ind w:left="489" w:hanging="370"/>
      </w:pPr>
      <w:rPr>
        <w:rFonts w:ascii="Arial" w:eastAsia="Arial" w:hAnsi="Arial" w:hint="default"/>
        <w:b/>
        <w:bCs/>
        <w:spacing w:val="-1"/>
        <w:sz w:val="22"/>
        <w:szCs w:val="22"/>
      </w:rPr>
    </w:lvl>
    <w:lvl w:ilvl="2">
      <w:start w:val="1"/>
      <w:numFmt w:val="bullet"/>
      <w:lvlText w:val=""/>
      <w:lvlJc w:val="left"/>
      <w:pPr>
        <w:ind w:left="1199" w:hanging="361"/>
      </w:pPr>
      <w:rPr>
        <w:rFonts w:ascii="Symbol" w:eastAsia="Symbol" w:hAnsi="Symbol" w:hint="default"/>
        <w:w w:val="76"/>
        <w:sz w:val="22"/>
        <w:szCs w:val="22"/>
      </w:rPr>
    </w:lvl>
    <w:lvl w:ilvl="3">
      <w:start w:val="1"/>
      <w:numFmt w:val="bullet"/>
      <w:lvlText w:val="•"/>
      <w:lvlJc w:val="left"/>
      <w:pPr>
        <w:ind w:left="1199" w:hanging="361"/>
      </w:pPr>
      <w:rPr>
        <w:rFonts w:hint="default"/>
      </w:rPr>
    </w:lvl>
    <w:lvl w:ilvl="4">
      <w:start w:val="1"/>
      <w:numFmt w:val="bullet"/>
      <w:lvlText w:val="•"/>
      <w:lvlJc w:val="left"/>
      <w:pPr>
        <w:ind w:left="2297" w:hanging="361"/>
      </w:pPr>
      <w:rPr>
        <w:rFonts w:hint="default"/>
      </w:rPr>
    </w:lvl>
    <w:lvl w:ilvl="5">
      <w:start w:val="1"/>
      <w:numFmt w:val="bullet"/>
      <w:lvlText w:val="•"/>
      <w:lvlJc w:val="left"/>
      <w:pPr>
        <w:ind w:left="3394" w:hanging="361"/>
      </w:pPr>
      <w:rPr>
        <w:rFonts w:hint="default"/>
      </w:rPr>
    </w:lvl>
    <w:lvl w:ilvl="6">
      <w:start w:val="1"/>
      <w:numFmt w:val="bullet"/>
      <w:lvlText w:val="•"/>
      <w:lvlJc w:val="left"/>
      <w:pPr>
        <w:ind w:left="4491" w:hanging="361"/>
      </w:pPr>
      <w:rPr>
        <w:rFonts w:hint="default"/>
      </w:rPr>
    </w:lvl>
    <w:lvl w:ilvl="7">
      <w:start w:val="1"/>
      <w:numFmt w:val="bullet"/>
      <w:lvlText w:val="•"/>
      <w:lvlJc w:val="left"/>
      <w:pPr>
        <w:ind w:left="5588" w:hanging="361"/>
      </w:pPr>
      <w:rPr>
        <w:rFonts w:hint="default"/>
      </w:rPr>
    </w:lvl>
    <w:lvl w:ilvl="8">
      <w:start w:val="1"/>
      <w:numFmt w:val="bullet"/>
      <w:lvlText w:val="•"/>
      <w:lvlJc w:val="left"/>
      <w:pPr>
        <w:ind w:left="6685" w:hanging="361"/>
      </w:pPr>
      <w:rPr>
        <w:rFonts w:hint="default"/>
      </w:rPr>
    </w:lvl>
  </w:abstractNum>
  <w:abstractNum w:abstractNumId="284">
    <w:nsid w:val="363B44F9"/>
    <w:multiLevelType w:val="hybridMultilevel"/>
    <w:tmpl w:val="311C7AD0"/>
    <w:lvl w:ilvl="0" w:tplc="6E124832">
      <w:numFmt w:val="bullet"/>
      <w:lvlText w:val="•"/>
      <w:lvlJc w:val="left"/>
      <w:pPr>
        <w:ind w:left="1080" w:hanging="720"/>
      </w:pPr>
      <w:rPr>
        <w:rFonts w:ascii="Cambria" w:eastAsiaTheme="minorHAnsi" w:hAnsi="Cambria"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5">
    <w:nsid w:val="368434E5"/>
    <w:multiLevelType w:val="hybridMultilevel"/>
    <w:tmpl w:val="B99651B4"/>
    <w:lvl w:ilvl="0" w:tplc="5C92DF8C">
      <w:start w:val="1"/>
      <w:numFmt w:val="lowerLetter"/>
      <w:lvlText w:val="(%1)"/>
      <w:lvlJc w:val="left"/>
      <w:pPr>
        <w:ind w:left="1890" w:hanging="360"/>
      </w:pPr>
      <w:rPr>
        <w:rFonts w:hint="default"/>
        <w:color w:val="auto"/>
      </w:rPr>
    </w:lvl>
    <w:lvl w:ilvl="1" w:tplc="04090019" w:tentative="1">
      <w:start w:val="1"/>
      <w:numFmt w:val="lowerLetter"/>
      <w:lvlText w:val="%2."/>
      <w:lvlJc w:val="left"/>
      <w:pPr>
        <w:ind w:left="2610" w:hanging="360"/>
      </w:pPr>
    </w:lvl>
    <w:lvl w:ilvl="2" w:tplc="0409001B" w:tentative="1">
      <w:start w:val="1"/>
      <w:numFmt w:val="lowerRoman"/>
      <w:lvlText w:val="%3."/>
      <w:lvlJc w:val="right"/>
      <w:pPr>
        <w:ind w:left="3330" w:hanging="180"/>
      </w:pPr>
    </w:lvl>
    <w:lvl w:ilvl="3" w:tplc="0409000F" w:tentative="1">
      <w:start w:val="1"/>
      <w:numFmt w:val="decimal"/>
      <w:lvlText w:val="%4."/>
      <w:lvlJc w:val="left"/>
      <w:pPr>
        <w:ind w:left="4050" w:hanging="360"/>
      </w:pPr>
    </w:lvl>
    <w:lvl w:ilvl="4" w:tplc="04090019" w:tentative="1">
      <w:start w:val="1"/>
      <w:numFmt w:val="lowerLetter"/>
      <w:lvlText w:val="%5."/>
      <w:lvlJc w:val="left"/>
      <w:pPr>
        <w:ind w:left="4770" w:hanging="360"/>
      </w:pPr>
    </w:lvl>
    <w:lvl w:ilvl="5" w:tplc="0409001B" w:tentative="1">
      <w:start w:val="1"/>
      <w:numFmt w:val="lowerRoman"/>
      <w:lvlText w:val="%6."/>
      <w:lvlJc w:val="right"/>
      <w:pPr>
        <w:ind w:left="5490" w:hanging="180"/>
      </w:pPr>
    </w:lvl>
    <w:lvl w:ilvl="6" w:tplc="0409000F" w:tentative="1">
      <w:start w:val="1"/>
      <w:numFmt w:val="decimal"/>
      <w:lvlText w:val="%7."/>
      <w:lvlJc w:val="left"/>
      <w:pPr>
        <w:ind w:left="6210" w:hanging="360"/>
      </w:pPr>
    </w:lvl>
    <w:lvl w:ilvl="7" w:tplc="04090019" w:tentative="1">
      <w:start w:val="1"/>
      <w:numFmt w:val="lowerLetter"/>
      <w:lvlText w:val="%8."/>
      <w:lvlJc w:val="left"/>
      <w:pPr>
        <w:ind w:left="6930" w:hanging="360"/>
      </w:pPr>
    </w:lvl>
    <w:lvl w:ilvl="8" w:tplc="0409001B" w:tentative="1">
      <w:start w:val="1"/>
      <w:numFmt w:val="lowerRoman"/>
      <w:lvlText w:val="%9."/>
      <w:lvlJc w:val="right"/>
      <w:pPr>
        <w:ind w:left="7650" w:hanging="180"/>
      </w:pPr>
    </w:lvl>
  </w:abstractNum>
  <w:abstractNum w:abstractNumId="286">
    <w:nsid w:val="36E82985"/>
    <w:multiLevelType w:val="hybridMultilevel"/>
    <w:tmpl w:val="06F091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7">
    <w:nsid w:val="37306DA0"/>
    <w:multiLevelType w:val="hybridMultilevel"/>
    <w:tmpl w:val="47168BFE"/>
    <w:lvl w:ilvl="0" w:tplc="41A851FA">
      <w:numFmt w:val="bullet"/>
      <w:lvlText w:val="•"/>
      <w:lvlJc w:val="left"/>
      <w:pPr>
        <w:ind w:left="1080" w:hanging="720"/>
      </w:pPr>
      <w:rPr>
        <w:rFonts w:ascii="Cambria" w:eastAsiaTheme="minorHAnsi" w:hAnsi="Cambria"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8">
    <w:nsid w:val="37463771"/>
    <w:multiLevelType w:val="hybridMultilevel"/>
    <w:tmpl w:val="3FDE8F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9">
    <w:nsid w:val="375739E1"/>
    <w:multiLevelType w:val="hybridMultilevel"/>
    <w:tmpl w:val="5E0697F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90">
    <w:nsid w:val="377E2B24"/>
    <w:multiLevelType w:val="hybridMultilevel"/>
    <w:tmpl w:val="63E850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1">
    <w:nsid w:val="379F7FD4"/>
    <w:multiLevelType w:val="hybridMultilevel"/>
    <w:tmpl w:val="764CE192"/>
    <w:lvl w:ilvl="0" w:tplc="04090001">
      <w:start w:val="1"/>
      <w:numFmt w:val="bullet"/>
      <w:lvlText w:val=""/>
      <w:lvlJc w:val="left"/>
      <w:pPr>
        <w:ind w:left="761" w:hanging="360"/>
      </w:pPr>
      <w:rPr>
        <w:rFonts w:ascii="Symbol" w:hAnsi="Symbol" w:hint="default"/>
      </w:rPr>
    </w:lvl>
    <w:lvl w:ilvl="1" w:tplc="04090003" w:tentative="1">
      <w:start w:val="1"/>
      <w:numFmt w:val="bullet"/>
      <w:lvlText w:val="o"/>
      <w:lvlJc w:val="left"/>
      <w:pPr>
        <w:ind w:left="1481" w:hanging="360"/>
      </w:pPr>
      <w:rPr>
        <w:rFonts w:ascii="Courier New" w:hAnsi="Courier New" w:cs="Courier New" w:hint="default"/>
      </w:rPr>
    </w:lvl>
    <w:lvl w:ilvl="2" w:tplc="04090005" w:tentative="1">
      <w:start w:val="1"/>
      <w:numFmt w:val="bullet"/>
      <w:lvlText w:val=""/>
      <w:lvlJc w:val="left"/>
      <w:pPr>
        <w:ind w:left="2201" w:hanging="360"/>
      </w:pPr>
      <w:rPr>
        <w:rFonts w:ascii="Wingdings" w:hAnsi="Wingdings" w:hint="default"/>
      </w:rPr>
    </w:lvl>
    <w:lvl w:ilvl="3" w:tplc="04090001" w:tentative="1">
      <w:start w:val="1"/>
      <w:numFmt w:val="bullet"/>
      <w:lvlText w:val=""/>
      <w:lvlJc w:val="left"/>
      <w:pPr>
        <w:ind w:left="2921" w:hanging="360"/>
      </w:pPr>
      <w:rPr>
        <w:rFonts w:ascii="Symbol" w:hAnsi="Symbol" w:hint="default"/>
      </w:rPr>
    </w:lvl>
    <w:lvl w:ilvl="4" w:tplc="04090003" w:tentative="1">
      <w:start w:val="1"/>
      <w:numFmt w:val="bullet"/>
      <w:lvlText w:val="o"/>
      <w:lvlJc w:val="left"/>
      <w:pPr>
        <w:ind w:left="3641" w:hanging="360"/>
      </w:pPr>
      <w:rPr>
        <w:rFonts w:ascii="Courier New" w:hAnsi="Courier New" w:cs="Courier New" w:hint="default"/>
      </w:rPr>
    </w:lvl>
    <w:lvl w:ilvl="5" w:tplc="04090005" w:tentative="1">
      <w:start w:val="1"/>
      <w:numFmt w:val="bullet"/>
      <w:lvlText w:val=""/>
      <w:lvlJc w:val="left"/>
      <w:pPr>
        <w:ind w:left="4361" w:hanging="360"/>
      </w:pPr>
      <w:rPr>
        <w:rFonts w:ascii="Wingdings" w:hAnsi="Wingdings" w:hint="default"/>
      </w:rPr>
    </w:lvl>
    <w:lvl w:ilvl="6" w:tplc="04090001" w:tentative="1">
      <w:start w:val="1"/>
      <w:numFmt w:val="bullet"/>
      <w:lvlText w:val=""/>
      <w:lvlJc w:val="left"/>
      <w:pPr>
        <w:ind w:left="5081" w:hanging="360"/>
      </w:pPr>
      <w:rPr>
        <w:rFonts w:ascii="Symbol" w:hAnsi="Symbol" w:hint="default"/>
      </w:rPr>
    </w:lvl>
    <w:lvl w:ilvl="7" w:tplc="04090003" w:tentative="1">
      <w:start w:val="1"/>
      <w:numFmt w:val="bullet"/>
      <w:lvlText w:val="o"/>
      <w:lvlJc w:val="left"/>
      <w:pPr>
        <w:ind w:left="5801" w:hanging="360"/>
      </w:pPr>
      <w:rPr>
        <w:rFonts w:ascii="Courier New" w:hAnsi="Courier New" w:cs="Courier New" w:hint="default"/>
      </w:rPr>
    </w:lvl>
    <w:lvl w:ilvl="8" w:tplc="04090005" w:tentative="1">
      <w:start w:val="1"/>
      <w:numFmt w:val="bullet"/>
      <w:lvlText w:val=""/>
      <w:lvlJc w:val="left"/>
      <w:pPr>
        <w:ind w:left="6521" w:hanging="360"/>
      </w:pPr>
      <w:rPr>
        <w:rFonts w:ascii="Wingdings" w:hAnsi="Wingdings" w:hint="default"/>
      </w:rPr>
    </w:lvl>
  </w:abstractNum>
  <w:abstractNum w:abstractNumId="292">
    <w:nsid w:val="38350978"/>
    <w:multiLevelType w:val="hybridMultilevel"/>
    <w:tmpl w:val="DD5229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3">
    <w:nsid w:val="384038FE"/>
    <w:multiLevelType w:val="hybridMultilevel"/>
    <w:tmpl w:val="6A3CE0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4">
    <w:nsid w:val="387E0A3D"/>
    <w:multiLevelType w:val="hybridMultilevel"/>
    <w:tmpl w:val="E508EC6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5">
    <w:nsid w:val="38C34B8A"/>
    <w:multiLevelType w:val="hybridMultilevel"/>
    <w:tmpl w:val="9B6C14B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6">
    <w:nsid w:val="38E72513"/>
    <w:multiLevelType w:val="hybridMultilevel"/>
    <w:tmpl w:val="720E1E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7">
    <w:nsid w:val="390D5A47"/>
    <w:multiLevelType w:val="hybridMultilevel"/>
    <w:tmpl w:val="4F9ECC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8">
    <w:nsid w:val="39110078"/>
    <w:multiLevelType w:val="hybridMultilevel"/>
    <w:tmpl w:val="3FC6F60C"/>
    <w:lvl w:ilvl="0" w:tplc="04090003">
      <w:start w:val="1"/>
      <w:numFmt w:val="bullet"/>
      <w:lvlText w:val="o"/>
      <w:lvlJc w:val="left"/>
      <w:pPr>
        <w:ind w:left="1440" w:hanging="360"/>
      </w:pPr>
      <w:rPr>
        <w:rFonts w:ascii="Courier New" w:hAnsi="Courier New" w:cs="Courier New"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99">
    <w:nsid w:val="391B0300"/>
    <w:multiLevelType w:val="hybridMultilevel"/>
    <w:tmpl w:val="F35E020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0">
    <w:nsid w:val="39570555"/>
    <w:multiLevelType w:val="multilevel"/>
    <w:tmpl w:val="0422D414"/>
    <w:lvl w:ilvl="0">
      <w:start w:val="1"/>
      <w:numFmt w:val="decimal"/>
      <w:suff w:val="space"/>
      <w:lvlText w:val="Section %1"/>
      <w:lvlJc w:val="left"/>
      <w:pPr>
        <w:ind w:left="0" w:firstLine="0"/>
      </w:pPr>
      <w:rPr>
        <w:rFonts w:ascii="Calibri" w:hAnsi="Calibri" w:cs="Times New Roman" w:hint="default"/>
        <w:b/>
        <w:i w:val="0"/>
        <w:color w:val="0070C0"/>
        <w:sz w:val="36"/>
        <w:u w:val="none" w:color="0070C0"/>
      </w:rPr>
    </w:lvl>
    <w:lvl w:ilvl="1">
      <w:start w:val="1"/>
      <w:numFmt w:val="decimal"/>
      <w:suff w:val="space"/>
      <w:lvlText w:val="%1.%2"/>
      <w:lvlJc w:val="left"/>
      <w:pPr>
        <w:ind w:left="0" w:firstLine="0"/>
      </w:pPr>
      <w:rPr>
        <w:rFonts w:ascii="Calibri" w:hAnsi="Calibri" w:cs="Times New Roman" w:hint="default"/>
        <w:b/>
        <w:i w:val="0"/>
        <w:color w:val="auto"/>
        <w:sz w:val="24"/>
      </w:rPr>
    </w:lvl>
    <w:lvl w:ilvl="2">
      <w:start w:val="1"/>
      <w:numFmt w:val="decimal"/>
      <w:suff w:val="space"/>
      <w:lvlText w:val="%2.%1.%3"/>
      <w:lvlJc w:val="left"/>
      <w:pPr>
        <w:ind w:left="0" w:firstLine="0"/>
      </w:pPr>
      <w:rPr>
        <w:rFonts w:ascii="Calibri" w:hAnsi="Calibri" w:cs="Times New Roman" w:hint="default"/>
        <w:b/>
        <w:i w:val="0"/>
        <w:sz w:val="20"/>
        <w:szCs w:val="20"/>
      </w:rPr>
    </w:lvl>
    <w:lvl w:ilvl="3">
      <w:start w:val="1"/>
      <w:numFmt w:val="decimal"/>
      <w:suff w:val="space"/>
      <w:lvlText w:val="%1.%2.%3.%4"/>
      <w:lvlJc w:val="left"/>
      <w:pPr>
        <w:ind w:left="0" w:firstLine="0"/>
      </w:pPr>
      <w:rPr>
        <w:rFonts w:ascii="Arial" w:hAnsi="Arial" w:cs="Times New Roman" w:hint="default"/>
        <w:b w:val="0"/>
        <w:i/>
        <w:sz w:val="20"/>
        <w:szCs w:val="20"/>
      </w:rPr>
    </w:lvl>
    <w:lvl w:ilvl="4">
      <w:start w:val="1"/>
      <w:numFmt w:val="decimal"/>
      <w:lvlRestart w:val="0"/>
      <w:suff w:val="space"/>
      <w:lvlText w:val="%1.%2.%3.%4.%5"/>
      <w:lvlJc w:val="left"/>
      <w:pPr>
        <w:ind w:left="0" w:firstLine="0"/>
      </w:pPr>
      <w:rPr>
        <w:rFonts w:cs="Times New Roman" w:hint="default"/>
      </w:rPr>
    </w:lvl>
    <w:lvl w:ilvl="5">
      <w:start w:val="1"/>
      <w:numFmt w:val="decimal"/>
      <w:lvlRestart w:val="0"/>
      <w:lvlText w:val="%1.%2.%3.%4.%5.%6"/>
      <w:lvlJc w:val="left"/>
      <w:pPr>
        <w:tabs>
          <w:tab w:val="num" w:pos="1800"/>
        </w:tabs>
        <w:ind w:left="0" w:firstLine="0"/>
      </w:pPr>
      <w:rPr>
        <w:rFonts w:cs="Times New Roman" w:hint="default"/>
      </w:rPr>
    </w:lvl>
    <w:lvl w:ilvl="6">
      <w:start w:val="1"/>
      <w:numFmt w:val="decimal"/>
      <w:lvlRestart w:val="0"/>
      <w:lvlText w:val="%1.%2.%3.%4.%5.%6.%7"/>
      <w:lvlJc w:val="left"/>
      <w:pPr>
        <w:tabs>
          <w:tab w:val="num" w:pos="2160"/>
        </w:tabs>
        <w:ind w:left="0" w:firstLine="0"/>
      </w:pPr>
      <w:rPr>
        <w:rFonts w:cs="Times New Roman" w:hint="default"/>
      </w:rPr>
    </w:lvl>
    <w:lvl w:ilvl="7">
      <w:start w:val="1"/>
      <w:numFmt w:val="decimal"/>
      <w:lvlRestart w:val="0"/>
      <w:lvlText w:val="%1.%2.%3.%4.%5.%6.%7.%8"/>
      <w:lvlJc w:val="left"/>
      <w:pPr>
        <w:tabs>
          <w:tab w:val="num" w:pos="2520"/>
        </w:tabs>
        <w:ind w:left="0" w:firstLine="0"/>
      </w:pPr>
      <w:rPr>
        <w:rFonts w:cs="Times New Roman" w:hint="default"/>
      </w:rPr>
    </w:lvl>
    <w:lvl w:ilvl="8">
      <w:start w:val="1"/>
      <w:numFmt w:val="decimal"/>
      <w:lvlRestart w:val="0"/>
      <w:lvlText w:val="%1.%2.%3.%4.%5.%6.%7.%8.%9"/>
      <w:lvlJc w:val="left"/>
      <w:pPr>
        <w:tabs>
          <w:tab w:val="num" w:pos="2880"/>
        </w:tabs>
        <w:ind w:left="0" w:firstLine="0"/>
      </w:pPr>
      <w:rPr>
        <w:rFonts w:cs="Times New Roman" w:hint="default"/>
      </w:rPr>
    </w:lvl>
  </w:abstractNum>
  <w:abstractNum w:abstractNumId="301">
    <w:nsid w:val="397A3C0C"/>
    <w:multiLevelType w:val="hybridMultilevel"/>
    <w:tmpl w:val="8FECEA68"/>
    <w:lvl w:ilvl="0" w:tplc="EF5E97BE">
      <w:start w:val="1"/>
      <w:numFmt w:val="bullet"/>
      <w:lvlText w:val="–"/>
      <w:lvlJc w:val="left"/>
      <w:pPr>
        <w:ind w:left="1080" w:hanging="360"/>
      </w:pPr>
      <w:rPr>
        <w:rFonts w:ascii="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02">
    <w:nsid w:val="397A43D5"/>
    <w:multiLevelType w:val="hybridMultilevel"/>
    <w:tmpl w:val="24B824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3">
    <w:nsid w:val="397B5876"/>
    <w:multiLevelType w:val="hybridMultilevel"/>
    <w:tmpl w:val="EB6404B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4">
    <w:nsid w:val="39971F21"/>
    <w:multiLevelType w:val="hybridMultilevel"/>
    <w:tmpl w:val="EF506F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5">
    <w:nsid w:val="39AB0E21"/>
    <w:multiLevelType w:val="hybridMultilevel"/>
    <w:tmpl w:val="661A83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6">
    <w:nsid w:val="39AB145A"/>
    <w:multiLevelType w:val="hybridMultilevel"/>
    <w:tmpl w:val="C63ECD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7">
    <w:nsid w:val="39C159D4"/>
    <w:multiLevelType w:val="multilevel"/>
    <w:tmpl w:val="64B2967E"/>
    <w:lvl w:ilvl="0">
      <w:start w:val="1"/>
      <w:numFmt w:val="decimal"/>
      <w:suff w:val="space"/>
      <w:lvlText w:val="Section %1"/>
      <w:lvlJc w:val="left"/>
      <w:pPr>
        <w:ind w:left="0" w:firstLine="0"/>
      </w:pPr>
      <w:rPr>
        <w:rFonts w:cs="Times New Roman" w:hint="default"/>
        <w:i w:val="0"/>
        <w:caps w:val="0"/>
        <w:smallCaps w:val="0"/>
        <w:strike w:val="0"/>
        <w:dstrike w:val="0"/>
        <w:noProof w:val="0"/>
        <w:vanish w:val="0"/>
        <w:color w:val="1E6A9A" w:themeColor="text2"/>
        <w:spacing w:val="0"/>
        <w:kern w:val="0"/>
        <w:position w:val="0"/>
        <w:u w:val="none"/>
        <w:vertAlign w:val="baseline"/>
        <w:em w:val="none"/>
      </w:rPr>
    </w:lvl>
    <w:lvl w:ilvl="1">
      <w:start w:val="1"/>
      <w:numFmt w:val="decimal"/>
      <w:suff w:val="space"/>
      <w:lvlText w:val="%1.%2"/>
      <w:lvlJc w:val="left"/>
      <w:pPr>
        <w:ind w:left="630" w:firstLine="0"/>
      </w:pPr>
      <w:rPr>
        <w:rFonts w:ascii="Calibri" w:hAnsi="Calibri" w:cs="Times New Roman" w:hint="default"/>
        <w:b/>
        <w:i w:val="0"/>
        <w:iCs w:val="0"/>
        <w:caps w:val="0"/>
        <w:smallCaps w:val="0"/>
        <w:strike w:val="0"/>
        <w:dstrike w:val="0"/>
        <w:vanish w:val="0"/>
        <w:color w:val="62777F" w:themeColor="text1"/>
        <w:spacing w:val="0"/>
        <w:kern w:val="0"/>
        <w:position w:val="0"/>
        <w:sz w:val="28"/>
        <w:u w:val="none"/>
        <w:vertAlign w:val="baseline"/>
        <w:em w:val="none"/>
      </w:rPr>
    </w:lvl>
    <w:lvl w:ilvl="2">
      <w:start w:val="1"/>
      <w:numFmt w:val="decimal"/>
      <w:suff w:val="space"/>
      <w:lvlText w:val="%1.%2.%3"/>
      <w:lvlJc w:val="left"/>
      <w:pPr>
        <w:ind w:left="90" w:firstLine="0"/>
      </w:pPr>
      <w:rPr>
        <w:rFonts w:ascii="Calibri" w:hAnsi="Calibri" w:cs="Times New Roman" w:hint="default"/>
        <w:b/>
        <w:i w:val="0"/>
        <w:iCs w:val="0"/>
        <w:caps w:val="0"/>
        <w:smallCaps w:val="0"/>
        <w:strike w:val="0"/>
        <w:dstrike w:val="0"/>
        <w:vanish w:val="0"/>
        <w:color w:val="62777F" w:themeColor="text1"/>
        <w:spacing w:val="0"/>
        <w:kern w:val="0"/>
        <w:position w:val="0"/>
        <w:sz w:val="20"/>
        <w:u w:val="none"/>
        <w:vertAlign w:val="baseline"/>
        <w:em w:val="none"/>
      </w:rPr>
    </w:lvl>
    <w:lvl w:ilvl="3">
      <w:start w:val="1"/>
      <w:numFmt w:val="decimal"/>
      <w:suff w:val="space"/>
      <w:lvlText w:val="%1.%2.%3.%4"/>
      <w:lvlJc w:val="left"/>
      <w:pPr>
        <w:ind w:left="0" w:firstLine="0"/>
      </w:pPr>
      <w:rPr>
        <w:rFonts w:ascii="Calibri" w:hAnsi="Calibri" w:cs="Times New Roman" w:hint="default"/>
        <w:b w:val="0"/>
        <w:i/>
        <w:color w:val="62777F" w:themeColor="text1"/>
        <w:sz w:val="20"/>
        <w:szCs w:val="20"/>
      </w:rPr>
    </w:lvl>
    <w:lvl w:ilvl="4">
      <w:start w:val="1"/>
      <w:numFmt w:val="decimal"/>
      <w:suff w:val="space"/>
      <w:lvlText w:val="%1.%2.%3.%4.%5"/>
      <w:lvlJc w:val="left"/>
      <w:pPr>
        <w:ind w:left="0" w:firstLine="0"/>
      </w:pPr>
      <w:rPr>
        <w:rFonts w:cs="Times New Roman" w:hint="default"/>
        <w:color w:val="auto"/>
      </w:rPr>
    </w:lvl>
    <w:lvl w:ilvl="5">
      <w:start w:val="1"/>
      <w:numFmt w:val="decimal"/>
      <w:suff w:val="space"/>
      <w:lvlText w:val="%1.%2.%3.%4.%5.%6"/>
      <w:lvlJc w:val="left"/>
      <w:pPr>
        <w:ind w:left="0" w:firstLine="0"/>
      </w:pPr>
      <w:rPr>
        <w:rFonts w:cs="Times New Roman" w:hint="default"/>
        <w:color w:val="auto"/>
      </w:rPr>
    </w:lvl>
    <w:lvl w:ilvl="6">
      <w:start w:val="1"/>
      <w:numFmt w:val="decimal"/>
      <w:suff w:val="space"/>
      <w:lvlText w:val="%1.%2.%3.%4.%5.%6.%7"/>
      <w:lvlJc w:val="left"/>
      <w:pPr>
        <w:ind w:left="0" w:firstLine="0"/>
      </w:pPr>
      <w:rPr>
        <w:rFonts w:cs="Times New Roman" w:hint="default"/>
        <w:color w:val="auto"/>
      </w:rPr>
    </w:lvl>
    <w:lvl w:ilvl="7">
      <w:start w:val="1"/>
      <w:numFmt w:val="decimal"/>
      <w:suff w:val="space"/>
      <w:lvlText w:val="%1.%2.%3.%4.%5.%6.%7.%8"/>
      <w:lvlJc w:val="left"/>
      <w:pPr>
        <w:ind w:left="0" w:firstLine="0"/>
      </w:pPr>
      <w:rPr>
        <w:rFonts w:cs="Times New Roman" w:hint="default"/>
        <w:color w:val="auto"/>
      </w:rPr>
    </w:lvl>
    <w:lvl w:ilvl="8">
      <w:start w:val="1"/>
      <w:numFmt w:val="decimal"/>
      <w:suff w:val="space"/>
      <w:lvlText w:val="%1.%2.%3.%4.%5.%6.%7.%8.%9"/>
      <w:lvlJc w:val="left"/>
      <w:pPr>
        <w:ind w:left="0" w:firstLine="0"/>
      </w:pPr>
      <w:rPr>
        <w:rFonts w:cs="Times New Roman" w:hint="default"/>
        <w:color w:val="auto"/>
      </w:rPr>
    </w:lvl>
  </w:abstractNum>
  <w:abstractNum w:abstractNumId="308">
    <w:nsid w:val="3A16204F"/>
    <w:multiLevelType w:val="hybridMultilevel"/>
    <w:tmpl w:val="64C687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9">
    <w:nsid w:val="3A377CAB"/>
    <w:multiLevelType w:val="hybridMultilevel"/>
    <w:tmpl w:val="E8745A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0">
    <w:nsid w:val="3A8E24B0"/>
    <w:multiLevelType w:val="hybridMultilevel"/>
    <w:tmpl w:val="6D3858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1">
    <w:nsid w:val="3AA4648A"/>
    <w:multiLevelType w:val="hybridMultilevel"/>
    <w:tmpl w:val="7CD430C2"/>
    <w:lvl w:ilvl="0" w:tplc="DD083D60">
      <w:start w:val="1"/>
      <w:numFmt w:val="lowerLetter"/>
      <w:lvlText w:val="(%1)"/>
      <w:lvlJc w:val="left"/>
      <w:pPr>
        <w:ind w:left="360" w:hanging="360"/>
      </w:pPr>
      <w:rPr>
        <w:rFonts w:hint="default"/>
      </w:rPr>
    </w:lvl>
    <w:lvl w:ilvl="1" w:tplc="DD083D60">
      <w:start w:val="1"/>
      <w:numFmt w:val="lowerLetter"/>
      <w:lvlText w:val="(%2)"/>
      <w:lvlJc w:val="left"/>
      <w:pPr>
        <w:ind w:left="1706" w:hanging="360"/>
      </w:pPr>
      <w:rPr>
        <w:rFonts w:hint="default"/>
      </w:rPr>
    </w:lvl>
    <w:lvl w:ilvl="2" w:tplc="84C29AD4">
      <w:start w:val="1"/>
      <w:numFmt w:val="lowerRoman"/>
      <w:lvlText w:val="%3."/>
      <w:lvlJc w:val="right"/>
      <w:pPr>
        <w:ind w:left="2426" w:hanging="180"/>
      </w:pPr>
    </w:lvl>
    <w:lvl w:ilvl="3" w:tplc="325ECE46" w:tentative="1">
      <w:start w:val="1"/>
      <w:numFmt w:val="decimal"/>
      <w:lvlText w:val="%4."/>
      <w:lvlJc w:val="left"/>
      <w:pPr>
        <w:ind w:left="3146" w:hanging="360"/>
      </w:pPr>
    </w:lvl>
    <w:lvl w:ilvl="4" w:tplc="FF4CA9FA" w:tentative="1">
      <w:start w:val="1"/>
      <w:numFmt w:val="lowerLetter"/>
      <w:lvlText w:val="%5."/>
      <w:lvlJc w:val="left"/>
      <w:pPr>
        <w:ind w:left="3866" w:hanging="360"/>
      </w:pPr>
    </w:lvl>
    <w:lvl w:ilvl="5" w:tplc="7B82D0E4" w:tentative="1">
      <w:start w:val="1"/>
      <w:numFmt w:val="lowerRoman"/>
      <w:lvlText w:val="%6."/>
      <w:lvlJc w:val="right"/>
      <w:pPr>
        <w:ind w:left="4586" w:hanging="180"/>
      </w:pPr>
    </w:lvl>
    <w:lvl w:ilvl="6" w:tplc="777C31E8" w:tentative="1">
      <w:start w:val="1"/>
      <w:numFmt w:val="decimal"/>
      <w:lvlText w:val="%7."/>
      <w:lvlJc w:val="left"/>
      <w:pPr>
        <w:ind w:left="5306" w:hanging="360"/>
      </w:pPr>
    </w:lvl>
    <w:lvl w:ilvl="7" w:tplc="18CA4EDA" w:tentative="1">
      <w:start w:val="1"/>
      <w:numFmt w:val="lowerLetter"/>
      <w:lvlText w:val="%8."/>
      <w:lvlJc w:val="left"/>
      <w:pPr>
        <w:ind w:left="6026" w:hanging="360"/>
      </w:pPr>
    </w:lvl>
    <w:lvl w:ilvl="8" w:tplc="8DAC8C84" w:tentative="1">
      <w:start w:val="1"/>
      <w:numFmt w:val="lowerRoman"/>
      <w:lvlText w:val="%9."/>
      <w:lvlJc w:val="right"/>
      <w:pPr>
        <w:ind w:left="6746" w:hanging="180"/>
      </w:pPr>
    </w:lvl>
  </w:abstractNum>
  <w:abstractNum w:abstractNumId="312">
    <w:nsid w:val="3AB62062"/>
    <w:multiLevelType w:val="hybridMultilevel"/>
    <w:tmpl w:val="3996B942"/>
    <w:lvl w:ilvl="0" w:tplc="04090001">
      <w:start w:val="3"/>
      <w:numFmt w:val="lowerLetter"/>
      <w:lvlText w:val="(%1)"/>
      <w:lvlJc w:val="left"/>
      <w:pPr>
        <w:tabs>
          <w:tab w:val="num" w:pos="360"/>
        </w:tabs>
        <w:ind w:left="360" w:hanging="360"/>
      </w:pPr>
      <w:rPr>
        <w:rFonts w:cs="Times New Roman"/>
      </w:rPr>
    </w:lvl>
    <w:lvl w:ilvl="1" w:tplc="04090003">
      <w:start w:val="3"/>
      <w:numFmt w:val="lowerLetter"/>
      <w:lvlText w:val="(%2)"/>
      <w:lvlJc w:val="left"/>
      <w:pPr>
        <w:tabs>
          <w:tab w:val="num" w:pos="360"/>
        </w:tabs>
        <w:ind w:left="360" w:hanging="360"/>
      </w:pPr>
      <w:rPr>
        <w:rFonts w:cs="Times New Roman" w:hint="default"/>
      </w:rPr>
    </w:lvl>
    <w:lvl w:ilvl="2" w:tplc="04090005" w:tentative="1">
      <w:start w:val="1"/>
      <w:numFmt w:val="lowerLetter"/>
      <w:lvlText w:val="(%3)"/>
      <w:lvlJc w:val="left"/>
      <w:pPr>
        <w:tabs>
          <w:tab w:val="num" w:pos="2160"/>
        </w:tabs>
        <w:ind w:left="2160" w:hanging="360"/>
      </w:pPr>
      <w:rPr>
        <w:rFonts w:cs="Times New Roman"/>
      </w:rPr>
    </w:lvl>
    <w:lvl w:ilvl="3" w:tplc="04090001" w:tentative="1">
      <w:start w:val="1"/>
      <w:numFmt w:val="lowerLetter"/>
      <w:lvlText w:val="(%4)"/>
      <w:lvlJc w:val="left"/>
      <w:pPr>
        <w:tabs>
          <w:tab w:val="num" w:pos="2880"/>
        </w:tabs>
        <w:ind w:left="2880" w:hanging="360"/>
      </w:pPr>
      <w:rPr>
        <w:rFonts w:cs="Times New Roman"/>
      </w:rPr>
    </w:lvl>
    <w:lvl w:ilvl="4" w:tplc="04090003" w:tentative="1">
      <w:start w:val="1"/>
      <w:numFmt w:val="lowerLetter"/>
      <w:lvlText w:val="(%5)"/>
      <w:lvlJc w:val="left"/>
      <w:pPr>
        <w:tabs>
          <w:tab w:val="num" w:pos="3600"/>
        </w:tabs>
        <w:ind w:left="3600" w:hanging="360"/>
      </w:pPr>
      <w:rPr>
        <w:rFonts w:cs="Times New Roman"/>
      </w:rPr>
    </w:lvl>
    <w:lvl w:ilvl="5" w:tplc="04090005" w:tentative="1">
      <w:start w:val="1"/>
      <w:numFmt w:val="lowerLetter"/>
      <w:lvlText w:val="(%6)"/>
      <w:lvlJc w:val="left"/>
      <w:pPr>
        <w:tabs>
          <w:tab w:val="num" w:pos="4320"/>
        </w:tabs>
        <w:ind w:left="4320" w:hanging="360"/>
      </w:pPr>
      <w:rPr>
        <w:rFonts w:cs="Times New Roman"/>
      </w:rPr>
    </w:lvl>
    <w:lvl w:ilvl="6" w:tplc="04090001" w:tentative="1">
      <w:start w:val="1"/>
      <w:numFmt w:val="lowerLetter"/>
      <w:lvlText w:val="(%7)"/>
      <w:lvlJc w:val="left"/>
      <w:pPr>
        <w:tabs>
          <w:tab w:val="num" w:pos="5040"/>
        </w:tabs>
        <w:ind w:left="5040" w:hanging="360"/>
      </w:pPr>
      <w:rPr>
        <w:rFonts w:cs="Times New Roman"/>
      </w:rPr>
    </w:lvl>
    <w:lvl w:ilvl="7" w:tplc="04090003" w:tentative="1">
      <w:start w:val="1"/>
      <w:numFmt w:val="lowerLetter"/>
      <w:lvlText w:val="(%8)"/>
      <w:lvlJc w:val="left"/>
      <w:pPr>
        <w:tabs>
          <w:tab w:val="num" w:pos="5760"/>
        </w:tabs>
        <w:ind w:left="5760" w:hanging="360"/>
      </w:pPr>
      <w:rPr>
        <w:rFonts w:cs="Times New Roman"/>
      </w:rPr>
    </w:lvl>
    <w:lvl w:ilvl="8" w:tplc="04090005" w:tentative="1">
      <w:start w:val="1"/>
      <w:numFmt w:val="lowerLetter"/>
      <w:lvlText w:val="(%9)"/>
      <w:lvlJc w:val="left"/>
      <w:pPr>
        <w:tabs>
          <w:tab w:val="num" w:pos="6480"/>
        </w:tabs>
        <w:ind w:left="6480" w:hanging="360"/>
      </w:pPr>
      <w:rPr>
        <w:rFonts w:cs="Times New Roman"/>
      </w:rPr>
    </w:lvl>
  </w:abstractNum>
  <w:abstractNum w:abstractNumId="313">
    <w:nsid w:val="3B1C589B"/>
    <w:multiLevelType w:val="hybridMultilevel"/>
    <w:tmpl w:val="E25696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4">
    <w:nsid w:val="3B1C5F68"/>
    <w:multiLevelType w:val="hybridMultilevel"/>
    <w:tmpl w:val="E738D830"/>
    <w:lvl w:ilvl="0" w:tplc="EAA2044A">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5">
    <w:nsid w:val="3B236DAE"/>
    <w:multiLevelType w:val="hybridMultilevel"/>
    <w:tmpl w:val="0E4A695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16">
    <w:nsid w:val="3B364488"/>
    <w:multiLevelType w:val="hybridMultilevel"/>
    <w:tmpl w:val="A918923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17">
    <w:nsid w:val="3BE46ACD"/>
    <w:multiLevelType w:val="hybridMultilevel"/>
    <w:tmpl w:val="69D69154"/>
    <w:lvl w:ilvl="0" w:tplc="A5867E6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18">
    <w:nsid w:val="3BFF5ABA"/>
    <w:multiLevelType w:val="hybridMultilevel"/>
    <w:tmpl w:val="9018503C"/>
    <w:lvl w:ilvl="0" w:tplc="2140E6DE">
      <w:start w:val="1"/>
      <w:numFmt w:val="bullet"/>
      <w:lvlText w:val="−"/>
      <w:lvlJc w:val="left"/>
      <w:pPr>
        <w:ind w:left="1111" w:hanging="360"/>
      </w:pPr>
      <w:rPr>
        <w:rFonts w:ascii="Calibri" w:hAnsi="Calibri" w:hint="default"/>
      </w:rPr>
    </w:lvl>
    <w:lvl w:ilvl="1" w:tplc="04090003" w:tentative="1">
      <w:start w:val="1"/>
      <w:numFmt w:val="bullet"/>
      <w:lvlText w:val="o"/>
      <w:lvlJc w:val="left"/>
      <w:pPr>
        <w:ind w:left="1831" w:hanging="360"/>
      </w:pPr>
      <w:rPr>
        <w:rFonts w:ascii="Courier New" w:hAnsi="Courier New" w:cs="Courier New" w:hint="default"/>
      </w:rPr>
    </w:lvl>
    <w:lvl w:ilvl="2" w:tplc="04090005" w:tentative="1">
      <w:start w:val="1"/>
      <w:numFmt w:val="bullet"/>
      <w:lvlText w:val=""/>
      <w:lvlJc w:val="left"/>
      <w:pPr>
        <w:ind w:left="2551" w:hanging="360"/>
      </w:pPr>
      <w:rPr>
        <w:rFonts w:ascii="Wingdings" w:hAnsi="Wingdings" w:hint="default"/>
      </w:rPr>
    </w:lvl>
    <w:lvl w:ilvl="3" w:tplc="04090001" w:tentative="1">
      <w:start w:val="1"/>
      <w:numFmt w:val="bullet"/>
      <w:lvlText w:val=""/>
      <w:lvlJc w:val="left"/>
      <w:pPr>
        <w:ind w:left="3271" w:hanging="360"/>
      </w:pPr>
      <w:rPr>
        <w:rFonts w:ascii="Symbol" w:hAnsi="Symbol" w:hint="default"/>
      </w:rPr>
    </w:lvl>
    <w:lvl w:ilvl="4" w:tplc="04090003" w:tentative="1">
      <w:start w:val="1"/>
      <w:numFmt w:val="bullet"/>
      <w:lvlText w:val="o"/>
      <w:lvlJc w:val="left"/>
      <w:pPr>
        <w:ind w:left="3991" w:hanging="360"/>
      </w:pPr>
      <w:rPr>
        <w:rFonts w:ascii="Courier New" w:hAnsi="Courier New" w:cs="Courier New" w:hint="default"/>
      </w:rPr>
    </w:lvl>
    <w:lvl w:ilvl="5" w:tplc="04090005" w:tentative="1">
      <w:start w:val="1"/>
      <w:numFmt w:val="bullet"/>
      <w:lvlText w:val=""/>
      <w:lvlJc w:val="left"/>
      <w:pPr>
        <w:ind w:left="4711" w:hanging="360"/>
      </w:pPr>
      <w:rPr>
        <w:rFonts w:ascii="Wingdings" w:hAnsi="Wingdings" w:hint="default"/>
      </w:rPr>
    </w:lvl>
    <w:lvl w:ilvl="6" w:tplc="04090001" w:tentative="1">
      <w:start w:val="1"/>
      <w:numFmt w:val="bullet"/>
      <w:lvlText w:val=""/>
      <w:lvlJc w:val="left"/>
      <w:pPr>
        <w:ind w:left="5431" w:hanging="360"/>
      </w:pPr>
      <w:rPr>
        <w:rFonts w:ascii="Symbol" w:hAnsi="Symbol" w:hint="default"/>
      </w:rPr>
    </w:lvl>
    <w:lvl w:ilvl="7" w:tplc="04090003" w:tentative="1">
      <w:start w:val="1"/>
      <w:numFmt w:val="bullet"/>
      <w:lvlText w:val="o"/>
      <w:lvlJc w:val="left"/>
      <w:pPr>
        <w:ind w:left="6151" w:hanging="360"/>
      </w:pPr>
      <w:rPr>
        <w:rFonts w:ascii="Courier New" w:hAnsi="Courier New" w:cs="Courier New" w:hint="default"/>
      </w:rPr>
    </w:lvl>
    <w:lvl w:ilvl="8" w:tplc="04090005" w:tentative="1">
      <w:start w:val="1"/>
      <w:numFmt w:val="bullet"/>
      <w:lvlText w:val=""/>
      <w:lvlJc w:val="left"/>
      <w:pPr>
        <w:ind w:left="6871" w:hanging="360"/>
      </w:pPr>
      <w:rPr>
        <w:rFonts w:ascii="Wingdings" w:hAnsi="Wingdings" w:hint="default"/>
      </w:rPr>
    </w:lvl>
  </w:abstractNum>
  <w:abstractNum w:abstractNumId="319">
    <w:nsid w:val="3C1A0289"/>
    <w:multiLevelType w:val="hybridMultilevel"/>
    <w:tmpl w:val="DC121B2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0">
    <w:nsid w:val="3C1B207F"/>
    <w:multiLevelType w:val="hybridMultilevel"/>
    <w:tmpl w:val="BDAC0A84"/>
    <w:lvl w:ilvl="0" w:tplc="A9743826">
      <w:start w:val="1"/>
      <w:numFmt w:val="bullet"/>
      <w:lvlText w:val="–"/>
      <w:lvlJc w:val="left"/>
      <w:pPr>
        <w:tabs>
          <w:tab w:val="num" w:pos="720"/>
        </w:tabs>
        <w:ind w:left="720" w:hanging="360"/>
      </w:pPr>
      <w:rPr>
        <w:rFonts w:ascii="Arial" w:hAnsi="Arial" w:hint="default"/>
      </w:rPr>
    </w:lvl>
    <w:lvl w:ilvl="1" w:tplc="8FB6C0C0">
      <w:start w:val="1"/>
      <w:numFmt w:val="bullet"/>
      <w:lvlText w:val="–"/>
      <w:lvlJc w:val="left"/>
      <w:pPr>
        <w:tabs>
          <w:tab w:val="num" w:pos="1440"/>
        </w:tabs>
        <w:ind w:left="1440" w:hanging="360"/>
      </w:pPr>
      <w:rPr>
        <w:rFonts w:ascii="Arial" w:hAnsi="Arial" w:hint="default"/>
      </w:rPr>
    </w:lvl>
    <w:lvl w:ilvl="2" w:tplc="377CE092" w:tentative="1">
      <w:start w:val="1"/>
      <w:numFmt w:val="bullet"/>
      <w:lvlText w:val="–"/>
      <w:lvlJc w:val="left"/>
      <w:pPr>
        <w:tabs>
          <w:tab w:val="num" w:pos="2160"/>
        </w:tabs>
        <w:ind w:left="2160" w:hanging="360"/>
      </w:pPr>
      <w:rPr>
        <w:rFonts w:ascii="Arial" w:hAnsi="Arial" w:hint="default"/>
      </w:rPr>
    </w:lvl>
    <w:lvl w:ilvl="3" w:tplc="FEBCF4D4" w:tentative="1">
      <w:start w:val="1"/>
      <w:numFmt w:val="bullet"/>
      <w:lvlText w:val="–"/>
      <w:lvlJc w:val="left"/>
      <w:pPr>
        <w:tabs>
          <w:tab w:val="num" w:pos="2880"/>
        </w:tabs>
        <w:ind w:left="2880" w:hanging="360"/>
      </w:pPr>
      <w:rPr>
        <w:rFonts w:ascii="Arial" w:hAnsi="Arial" w:hint="default"/>
      </w:rPr>
    </w:lvl>
    <w:lvl w:ilvl="4" w:tplc="3066105C" w:tentative="1">
      <w:start w:val="1"/>
      <w:numFmt w:val="bullet"/>
      <w:lvlText w:val="–"/>
      <w:lvlJc w:val="left"/>
      <w:pPr>
        <w:tabs>
          <w:tab w:val="num" w:pos="3600"/>
        </w:tabs>
        <w:ind w:left="3600" w:hanging="360"/>
      </w:pPr>
      <w:rPr>
        <w:rFonts w:ascii="Arial" w:hAnsi="Arial" w:hint="default"/>
      </w:rPr>
    </w:lvl>
    <w:lvl w:ilvl="5" w:tplc="E342EC44" w:tentative="1">
      <w:start w:val="1"/>
      <w:numFmt w:val="bullet"/>
      <w:lvlText w:val="–"/>
      <w:lvlJc w:val="left"/>
      <w:pPr>
        <w:tabs>
          <w:tab w:val="num" w:pos="4320"/>
        </w:tabs>
        <w:ind w:left="4320" w:hanging="360"/>
      </w:pPr>
      <w:rPr>
        <w:rFonts w:ascii="Arial" w:hAnsi="Arial" w:hint="default"/>
      </w:rPr>
    </w:lvl>
    <w:lvl w:ilvl="6" w:tplc="AE9AC52A" w:tentative="1">
      <w:start w:val="1"/>
      <w:numFmt w:val="bullet"/>
      <w:lvlText w:val="–"/>
      <w:lvlJc w:val="left"/>
      <w:pPr>
        <w:tabs>
          <w:tab w:val="num" w:pos="5040"/>
        </w:tabs>
        <w:ind w:left="5040" w:hanging="360"/>
      </w:pPr>
      <w:rPr>
        <w:rFonts w:ascii="Arial" w:hAnsi="Arial" w:hint="default"/>
      </w:rPr>
    </w:lvl>
    <w:lvl w:ilvl="7" w:tplc="536CB41E" w:tentative="1">
      <w:start w:val="1"/>
      <w:numFmt w:val="bullet"/>
      <w:lvlText w:val="–"/>
      <w:lvlJc w:val="left"/>
      <w:pPr>
        <w:tabs>
          <w:tab w:val="num" w:pos="5760"/>
        </w:tabs>
        <w:ind w:left="5760" w:hanging="360"/>
      </w:pPr>
      <w:rPr>
        <w:rFonts w:ascii="Arial" w:hAnsi="Arial" w:hint="default"/>
      </w:rPr>
    </w:lvl>
    <w:lvl w:ilvl="8" w:tplc="8C5E8818" w:tentative="1">
      <w:start w:val="1"/>
      <w:numFmt w:val="bullet"/>
      <w:lvlText w:val="–"/>
      <w:lvlJc w:val="left"/>
      <w:pPr>
        <w:tabs>
          <w:tab w:val="num" w:pos="6480"/>
        </w:tabs>
        <w:ind w:left="6480" w:hanging="360"/>
      </w:pPr>
      <w:rPr>
        <w:rFonts w:ascii="Arial" w:hAnsi="Arial" w:hint="default"/>
      </w:rPr>
    </w:lvl>
  </w:abstractNum>
  <w:abstractNum w:abstractNumId="321">
    <w:nsid w:val="3C5B208A"/>
    <w:multiLevelType w:val="hybridMultilevel"/>
    <w:tmpl w:val="F5F0A9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2">
    <w:nsid w:val="3C70674B"/>
    <w:multiLevelType w:val="hybridMultilevel"/>
    <w:tmpl w:val="60F2B1EA"/>
    <w:lvl w:ilvl="0" w:tplc="570CEBF6">
      <w:start w:val="1"/>
      <w:numFmt w:val="bullet"/>
      <w:lvlText w:val=""/>
      <w:lvlJc w:val="left"/>
      <w:pPr>
        <w:ind w:left="2520" w:hanging="360"/>
      </w:pPr>
      <w:rPr>
        <w:rFonts w:ascii="Symbol" w:hAnsi="Symbol" w:hint="default"/>
      </w:rPr>
    </w:lvl>
    <w:lvl w:ilvl="1" w:tplc="BC0A474E" w:tentative="1">
      <w:start w:val="1"/>
      <w:numFmt w:val="bullet"/>
      <w:lvlText w:val="o"/>
      <w:lvlJc w:val="left"/>
      <w:pPr>
        <w:ind w:left="3240" w:hanging="360"/>
      </w:pPr>
      <w:rPr>
        <w:rFonts w:ascii="Courier New" w:hAnsi="Courier New" w:cs="Courier New" w:hint="default"/>
      </w:rPr>
    </w:lvl>
    <w:lvl w:ilvl="2" w:tplc="E90AEA78" w:tentative="1">
      <w:start w:val="1"/>
      <w:numFmt w:val="bullet"/>
      <w:lvlText w:val=""/>
      <w:lvlJc w:val="left"/>
      <w:pPr>
        <w:ind w:left="3960" w:hanging="360"/>
      </w:pPr>
      <w:rPr>
        <w:rFonts w:ascii="Wingdings" w:hAnsi="Wingdings" w:hint="default"/>
      </w:rPr>
    </w:lvl>
    <w:lvl w:ilvl="3" w:tplc="AE1CFDF8" w:tentative="1">
      <w:start w:val="1"/>
      <w:numFmt w:val="bullet"/>
      <w:lvlText w:val=""/>
      <w:lvlJc w:val="left"/>
      <w:pPr>
        <w:ind w:left="4680" w:hanging="360"/>
      </w:pPr>
      <w:rPr>
        <w:rFonts w:ascii="Symbol" w:hAnsi="Symbol" w:hint="default"/>
      </w:rPr>
    </w:lvl>
    <w:lvl w:ilvl="4" w:tplc="C3262A86" w:tentative="1">
      <w:start w:val="1"/>
      <w:numFmt w:val="bullet"/>
      <w:lvlText w:val="o"/>
      <w:lvlJc w:val="left"/>
      <w:pPr>
        <w:ind w:left="5400" w:hanging="360"/>
      </w:pPr>
      <w:rPr>
        <w:rFonts w:ascii="Courier New" w:hAnsi="Courier New" w:cs="Courier New" w:hint="default"/>
      </w:rPr>
    </w:lvl>
    <w:lvl w:ilvl="5" w:tplc="A2426A8A" w:tentative="1">
      <w:start w:val="1"/>
      <w:numFmt w:val="bullet"/>
      <w:lvlText w:val=""/>
      <w:lvlJc w:val="left"/>
      <w:pPr>
        <w:ind w:left="6120" w:hanging="360"/>
      </w:pPr>
      <w:rPr>
        <w:rFonts w:ascii="Wingdings" w:hAnsi="Wingdings" w:hint="default"/>
      </w:rPr>
    </w:lvl>
    <w:lvl w:ilvl="6" w:tplc="A484C75A" w:tentative="1">
      <w:start w:val="1"/>
      <w:numFmt w:val="bullet"/>
      <w:lvlText w:val=""/>
      <w:lvlJc w:val="left"/>
      <w:pPr>
        <w:ind w:left="6840" w:hanging="360"/>
      </w:pPr>
      <w:rPr>
        <w:rFonts w:ascii="Symbol" w:hAnsi="Symbol" w:hint="default"/>
      </w:rPr>
    </w:lvl>
    <w:lvl w:ilvl="7" w:tplc="5658C148" w:tentative="1">
      <w:start w:val="1"/>
      <w:numFmt w:val="bullet"/>
      <w:lvlText w:val="o"/>
      <w:lvlJc w:val="left"/>
      <w:pPr>
        <w:ind w:left="7560" w:hanging="360"/>
      </w:pPr>
      <w:rPr>
        <w:rFonts w:ascii="Courier New" w:hAnsi="Courier New" w:cs="Courier New" w:hint="default"/>
      </w:rPr>
    </w:lvl>
    <w:lvl w:ilvl="8" w:tplc="9BD0253A" w:tentative="1">
      <w:start w:val="1"/>
      <w:numFmt w:val="bullet"/>
      <w:lvlText w:val=""/>
      <w:lvlJc w:val="left"/>
      <w:pPr>
        <w:ind w:left="8280" w:hanging="360"/>
      </w:pPr>
      <w:rPr>
        <w:rFonts w:ascii="Wingdings" w:hAnsi="Wingdings" w:hint="default"/>
      </w:rPr>
    </w:lvl>
  </w:abstractNum>
  <w:abstractNum w:abstractNumId="323">
    <w:nsid w:val="3D3020E0"/>
    <w:multiLevelType w:val="hybridMultilevel"/>
    <w:tmpl w:val="F6CA5F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4">
    <w:nsid w:val="3D774E80"/>
    <w:multiLevelType w:val="hybridMultilevel"/>
    <w:tmpl w:val="A9C6B0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5">
    <w:nsid w:val="3D8B4DDC"/>
    <w:multiLevelType w:val="hybridMultilevel"/>
    <w:tmpl w:val="8F58A910"/>
    <w:lvl w:ilvl="0" w:tplc="04090003">
      <w:start w:val="1"/>
      <w:numFmt w:val="bullet"/>
      <w:lvlText w:val="o"/>
      <w:lvlJc w:val="left"/>
      <w:pPr>
        <w:ind w:left="1080" w:hanging="360"/>
      </w:pPr>
      <w:rPr>
        <w:rFonts w:ascii="Courier New" w:hAnsi="Courier New" w:cs="Courier New"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26">
    <w:nsid w:val="3DAA7230"/>
    <w:multiLevelType w:val="hybridMultilevel"/>
    <w:tmpl w:val="F7CA82BC"/>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27">
    <w:nsid w:val="3E5F7591"/>
    <w:multiLevelType w:val="hybridMultilevel"/>
    <w:tmpl w:val="53E4AC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8">
    <w:nsid w:val="3E8A6B36"/>
    <w:multiLevelType w:val="hybridMultilevel"/>
    <w:tmpl w:val="ACBEA5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9">
    <w:nsid w:val="3EBF7919"/>
    <w:multiLevelType w:val="hybridMultilevel"/>
    <w:tmpl w:val="08A860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0">
    <w:nsid w:val="3EC422FA"/>
    <w:multiLevelType w:val="hybridMultilevel"/>
    <w:tmpl w:val="1B90BD12"/>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31">
    <w:nsid w:val="3EED439C"/>
    <w:multiLevelType w:val="hybridMultilevel"/>
    <w:tmpl w:val="DCCC053C"/>
    <w:lvl w:ilvl="0" w:tplc="EAB84B92">
      <w:start w:val="1"/>
      <w:numFmt w:val="bullet"/>
      <w:lvlText w:val=""/>
      <w:lvlJc w:val="left"/>
      <w:pPr>
        <w:ind w:left="720" w:hanging="360"/>
      </w:pPr>
      <w:rPr>
        <w:rFonts w:ascii="Symbol" w:hAnsi="Symbol" w:hint="default"/>
      </w:rPr>
    </w:lvl>
    <w:lvl w:ilvl="1" w:tplc="80C47E32" w:tentative="1">
      <w:start w:val="1"/>
      <w:numFmt w:val="bullet"/>
      <w:lvlText w:val="o"/>
      <w:lvlJc w:val="left"/>
      <w:pPr>
        <w:ind w:left="1440" w:hanging="360"/>
      </w:pPr>
      <w:rPr>
        <w:rFonts w:ascii="Courier New" w:hAnsi="Courier New" w:cs="Courier New" w:hint="default"/>
      </w:rPr>
    </w:lvl>
    <w:lvl w:ilvl="2" w:tplc="D812A6CC" w:tentative="1">
      <w:start w:val="1"/>
      <w:numFmt w:val="bullet"/>
      <w:lvlText w:val=""/>
      <w:lvlJc w:val="left"/>
      <w:pPr>
        <w:ind w:left="2160" w:hanging="360"/>
      </w:pPr>
      <w:rPr>
        <w:rFonts w:ascii="Wingdings" w:hAnsi="Wingdings" w:hint="default"/>
      </w:rPr>
    </w:lvl>
    <w:lvl w:ilvl="3" w:tplc="506CD47C" w:tentative="1">
      <w:start w:val="1"/>
      <w:numFmt w:val="bullet"/>
      <w:lvlText w:val=""/>
      <w:lvlJc w:val="left"/>
      <w:pPr>
        <w:ind w:left="2880" w:hanging="360"/>
      </w:pPr>
      <w:rPr>
        <w:rFonts w:ascii="Symbol" w:hAnsi="Symbol" w:hint="default"/>
      </w:rPr>
    </w:lvl>
    <w:lvl w:ilvl="4" w:tplc="4874158E" w:tentative="1">
      <w:start w:val="1"/>
      <w:numFmt w:val="bullet"/>
      <w:lvlText w:val="o"/>
      <w:lvlJc w:val="left"/>
      <w:pPr>
        <w:ind w:left="3600" w:hanging="360"/>
      </w:pPr>
      <w:rPr>
        <w:rFonts w:ascii="Courier New" w:hAnsi="Courier New" w:cs="Courier New" w:hint="default"/>
      </w:rPr>
    </w:lvl>
    <w:lvl w:ilvl="5" w:tplc="3E7A49C2" w:tentative="1">
      <w:start w:val="1"/>
      <w:numFmt w:val="bullet"/>
      <w:lvlText w:val=""/>
      <w:lvlJc w:val="left"/>
      <w:pPr>
        <w:ind w:left="4320" w:hanging="360"/>
      </w:pPr>
      <w:rPr>
        <w:rFonts w:ascii="Wingdings" w:hAnsi="Wingdings" w:hint="default"/>
      </w:rPr>
    </w:lvl>
    <w:lvl w:ilvl="6" w:tplc="189EB5AE" w:tentative="1">
      <w:start w:val="1"/>
      <w:numFmt w:val="bullet"/>
      <w:lvlText w:val=""/>
      <w:lvlJc w:val="left"/>
      <w:pPr>
        <w:ind w:left="5040" w:hanging="360"/>
      </w:pPr>
      <w:rPr>
        <w:rFonts w:ascii="Symbol" w:hAnsi="Symbol" w:hint="default"/>
      </w:rPr>
    </w:lvl>
    <w:lvl w:ilvl="7" w:tplc="84321668" w:tentative="1">
      <w:start w:val="1"/>
      <w:numFmt w:val="bullet"/>
      <w:lvlText w:val="o"/>
      <w:lvlJc w:val="left"/>
      <w:pPr>
        <w:ind w:left="5760" w:hanging="360"/>
      </w:pPr>
      <w:rPr>
        <w:rFonts w:ascii="Courier New" w:hAnsi="Courier New" w:cs="Courier New" w:hint="default"/>
      </w:rPr>
    </w:lvl>
    <w:lvl w:ilvl="8" w:tplc="E734386C" w:tentative="1">
      <w:start w:val="1"/>
      <w:numFmt w:val="bullet"/>
      <w:lvlText w:val=""/>
      <w:lvlJc w:val="left"/>
      <w:pPr>
        <w:ind w:left="6480" w:hanging="360"/>
      </w:pPr>
      <w:rPr>
        <w:rFonts w:ascii="Wingdings" w:hAnsi="Wingdings" w:hint="default"/>
      </w:rPr>
    </w:lvl>
  </w:abstractNum>
  <w:abstractNum w:abstractNumId="332">
    <w:nsid w:val="3F026FAE"/>
    <w:multiLevelType w:val="hybridMultilevel"/>
    <w:tmpl w:val="7D1281D6"/>
    <w:lvl w:ilvl="0" w:tplc="FFFFFFFF">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33">
    <w:nsid w:val="3F376CB1"/>
    <w:multiLevelType w:val="hybridMultilevel"/>
    <w:tmpl w:val="84482208"/>
    <w:lvl w:ilvl="0" w:tplc="0952F8A2">
      <w:start w:val="1"/>
      <w:numFmt w:val="lowerLetter"/>
      <w:lvlText w:val="(%1)"/>
      <w:lvlJc w:val="left"/>
      <w:pPr>
        <w:ind w:left="720" w:hanging="360"/>
      </w:pPr>
      <w:rPr>
        <w:rFonts w:hint="default"/>
        <w:sz w:val="16"/>
        <w:szCs w:val="1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4">
    <w:nsid w:val="3FCD5A4F"/>
    <w:multiLevelType w:val="hybridMultilevel"/>
    <w:tmpl w:val="C630CC0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5">
    <w:nsid w:val="3FF37B8B"/>
    <w:multiLevelType w:val="hybridMultilevel"/>
    <w:tmpl w:val="B93237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6">
    <w:nsid w:val="40257BB1"/>
    <w:multiLevelType w:val="hybridMultilevel"/>
    <w:tmpl w:val="7120687C"/>
    <w:lvl w:ilvl="0" w:tplc="B32059EA">
      <w:start w:val="1"/>
      <w:numFmt w:val="lowerLetter"/>
      <w:lvlText w:val="(%1)"/>
      <w:lvlJc w:val="left"/>
      <w:pPr>
        <w:tabs>
          <w:tab w:val="num" w:pos="446"/>
        </w:tabs>
        <w:ind w:left="446" w:hanging="360"/>
      </w:pPr>
      <w:rPr>
        <w:rFonts w:asciiTheme="minorHAnsi" w:eastAsia="Times New Roman" w:hAnsiTheme="minorHAnsi" w:cs="Arial" w:hint="default"/>
      </w:rPr>
    </w:lvl>
    <w:lvl w:ilvl="1" w:tplc="04090003" w:tentative="1">
      <w:start w:val="1"/>
      <w:numFmt w:val="bullet"/>
      <w:lvlText w:val="•"/>
      <w:lvlJc w:val="left"/>
      <w:pPr>
        <w:tabs>
          <w:tab w:val="num" w:pos="1166"/>
        </w:tabs>
        <w:ind w:left="1166" w:hanging="360"/>
      </w:pPr>
      <w:rPr>
        <w:rFonts w:ascii="Times New Roman" w:hAnsi="Times New Roman" w:hint="default"/>
      </w:rPr>
    </w:lvl>
    <w:lvl w:ilvl="2" w:tplc="04090005" w:tentative="1">
      <w:start w:val="1"/>
      <w:numFmt w:val="bullet"/>
      <w:lvlText w:val="•"/>
      <w:lvlJc w:val="left"/>
      <w:pPr>
        <w:tabs>
          <w:tab w:val="num" w:pos="1886"/>
        </w:tabs>
        <w:ind w:left="1886" w:hanging="360"/>
      </w:pPr>
      <w:rPr>
        <w:rFonts w:ascii="Times New Roman" w:hAnsi="Times New Roman" w:hint="default"/>
      </w:rPr>
    </w:lvl>
    <w:lvl w:ilvl="3" w:tplc="04090001" w:tentative="1">
      <w:start w:val="1"/>
      <w:numFmt w:val="bullet"/>
      <w:lvlText w:val="•"/>
      <w:lvlJc w:val="left"/>
      <w:pPr>
        <w:tabs>
          <w:tab w:val="num" w:pos="2606"/>
        </w:tabs>
        <w:ind w:left="2606" w:hanging="360"/>
      </w:pPr>
      <w:rPr>
        <w:rFonts w:ascii="Times New Roman" w:hAnsi="Times New Roman" w:hint="default"/>
      </w:rPr>
    </w:lvl>
    <w:lvl w:ilvl="4" w:tplc="04090003" w:tentative="1">
      <w:start w:val="1"/>
      <w:numFmt w:val="bullet"/>
      <w:lvlText w:val="•"/>
      <w:lvlJc w:val="left"/>
      <w:pPr>
        <w:tabs>
          <w:tab w:val="num" w:pos="3326"/>
        </w:tabs>
        <w:ind w:left="3326" w:hanging="360"/>
      </w:pPr>
      <w:rPr>
        <w:rFonts w:ascii="Times New Roman" w:hAnsi="Times New Roman" w:hint="default"/>
      </w:rPr>
    </w:lvl>
    <w:lvl w:ilvl="5" w:tplc="04090005" w:tentative="1">
      <w:start w:val="1"/>
      <w:numFmt w:val="bullet"/>
      <w:lvlText w:val="•"/>
      <w:lvlJc w:val="left"/>
      <w:pPr>
        <w:tabs>
          <w:tab w:val="num" w:pos="4046"/>
        </w:tabs>
        <w:ind w:left="4046" w:hanging="360"/>
      </w:pPr>
      <w:rPr>
        <w:rFonts w:ascii="Times New Roman" w:hAnsi="Times New Roman" w:hint="default"/>
      </w:rPr>
    </w:lvl>
    <w:lvl w:ilvl="6" w:tplc="04090001" w:tentative="1">
      <w:start w:val="1"/>
      <w:numFmt w:val="bullet"/>
      <w:lvlText w:val="•"/>
      <w:lvlJc w:val="left"/>
      <w:pPr>
        <w:tabs>
          <w:tab w:val="num" w:pos="4766"/>
        </w:tabs>
        <w:ind w:left="4766" w:hanging="360"/>
      </w:pPr>
      <w:rPr>
        <w:rFonts w:ascii="Times New Roman" w:hAnsi="Times New Roman" w:hint="default"/>
      </w:rPr>
    </w:lvl>
    <w:lvl w:ilvl="7" w:tplc="04090003" w:tentative="1">
      <w:start w:val="1"/>
      <w:numFmt w:val="bullet"/>
      <w:lvlText w:val="•"/>
      <w:lvlJc w:val="left"/>
      <w:pPr>
        <w:tabs>
          <w:tab w:val="num" w:pos="5486"/>
        </w:tabs>
        <w:ind w:left="5486" w:hanging="360"/>
      </w:pPr>
      <w:rPr>
        <w:rFonts w:ascii="Times New Roman" w:hAnsi="Times New Roman" w:hint="default"/>
      </w:rPr>
    </w:lvl>
    <w:lvl w:ilvl="8" w:tplc="04090005" w:tentative="1">
      <w:start w:val="1"/>
      <w:numFmt w:val="bullet"/>
      <w:lvlText w:val="•"/>
      <w:lvlJc w:val="left"/>
      <w:pPr>
        <w:tabs>
          <w:tab w:val="num" w:pos="6206"/>
        </w:tabs>
        <w:ind w:left="6206" w:hanging="360"/>
      </w:pPr>
      <w:rPr>
        <w:rFonts w:ascii="Times New Roman" w:hAnsi="Times New Roman" w:hint="default"/>
      </w:rPr>
    </w:lvl>
  </w:abstractNum>
  <w:abstractNum w:abstractNumId="337">
    <w:nsid w:val="40257DF5"/>
    <w:multiLevelType w:val="hybridMultilevel"/>
    <w:tmpl w:val="E4926D7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38">
    <w:nsid w:val="412567C0"/>
    <w:multiLevelType w:val="hybridMultilevel"/>
    <w:tmpl w:val="32A098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9">
    <w:nsid w:val="41296E17"/>
    <w:multiLevelType w:val="hybridMultilevel"/>
    <w:tmpl w:val="E7B460D2"/>
    <w:lvl w:ilvl="0" w:tplc="FFFFFFFF">
      <w:start w:val="1"/>
      <w:numFmt w:val="ideographDigital"/>
      <w:lvlText w:val=""/>
      <w:lvlJc w:val="left"/>
    </w:lvl>
    <w:lvl w:ilvl="1" w:tplc="FFFFFFFF">
      <w:start w:val="1"/>
      <w:numFmt w:val="ideographDigital"/>
      <w:lvlText w:val=""/>
      <w:lvlJc w:val="left"/>
    </w:lvl>
    <w:lvl w:ilvl="2" w:tplc="FFFFFFFF">
      <w:start w:val="1"/>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40">
    <w:nsid w:val="413A0308"/>
    <w:multiLevelType w:val="hybridMultilevel"/>
    <w:tmpl w:val="F57C20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1">
    <w:nsid w:val="4144DD00"/>
    <w:multiLevelType w:val="hybridMultilevel"/>
    <w:tmpl w:val="6B9BD442"/>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42">
    <w:nsid w:val="41BB5FA0"/>
    <w:multiLevelType w:val="hybridMultilevel"/>
    <w:tmpl w:val="6C22EA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3">
    <w:nsid w:val="43BC3605"/>
    <w:multiLevelType w:val="hybridMultilevel"/>
    <w:tmpl w:val="1E1EB08C"/>
    <w:lvl w:ilvl="0" w:tplc="A678B37C">
      <w:start w:val="1"/>
      <w:numFmt w:val="lowerLetter"/>
      <w:lvlText w:val="(%1)"/>
      <w:lvlJc w:val="left"/>
      <w:pPr>
        <w:ind w:left="3240" w:hanging="360"/>
      </w:pPr>
      <w:rPr>
        <w:rFonts w:hint="default"/>
      </w:rPr>
    </w:lvl>
    <w:lvl w:ilvl="1" w:tplc="04090019" w:tentative="1">
      <w:start w:val="1"/>
      <w:numFmt w:val="lowerLetter"/>
      <w:lvlText w:val="%2."/>
      <w:lvlJc w:val="left"/>
      <w:pPr>
        <w:ind w:left="3960" w:hanging="360"/>
      </w:pPr>
    </w:lvl>
    <w:lvl w:ilvl="2" w:tplc="0409001B" w:tentative="1">
      <w:start w:val="1"/>
      <w:numFmt w:val="lowerRoman"/>
      <w:lvlText w:val="%3."/>
      <w:lvlJc w:val="right"/>
      <w:pPr>
        <w:ind w:left="4680" w:hanging="180"/>
      </w:pPr>
    </w:lvl>
    <w:lvl w:ilvl="3" w:tplc="0409000F" w:tentative="1">
      <w:start w:val="1"/>
      <w:numFmt w:val="decimal"/>
      <w:lvlText w:val="%4."/>
      <w:lvlJc w:val="left"/>
      <w:pPr>
        <w:ind w:left="5400" w:hanging="360"/>
      </w:pPr>
    </w:lvl>
    <w:lvl w:ilvl="4" w:tplc="04090019" w:tentative="1">
      <w:start w:val="1"/>
      <w:numFmt w:val="lowerLetter"/>
      <w:lvlText w:val="%5."/>
      <w:lvlJc w:val="left"/>
      <w:pPr>
        <w:ind w:left="6120" w:hanging="360"/>
      </w:pPr>
    </w:lvl>
    <w:lvl w:ilvl="5" w:tplc="0409001B" w:tentative="1">
      <w:start w:val="1"/>
      <w:numFmt w:val="lowerRoman"/>
      <w:lvlText w:val="%6."/>
      <w:lvlJc w:val="right"/>
      <w:pPr>
        <w:ind w:left="6840" w:hanging="180"/>
      </w:pPr>
    </w:lvl>
    <w:lvl w:ilvl="6" w:tplc="0409000F" w:tentative="1">
      <w:start w:val="1"/>
      <w:numFmt w:val="decimal"/>
      <w:lvlText w:val="%7."/>
      <w:lvlJc w:val="left"/>
      <w:pPr>
        <w:ind w:left="7560" w:hanging="360"/>
      </w:pPr>
    </w:lvl>
    <w:lvl w:ilvl="7" w:tplc="04090019" w:tentative="1">
      <w:start w:val="1"/>
      <w:numFmt w:val="lowerLetter"/>
      <w:lvlText w:val="%8."/>
      <w:lvlJc w:val="left"/>
      <w:pPr>
        <w:ind w:left="8280" w:hanging="360"/>
      </w:pPr>
    </w:lvl>
    <w:lvl w:ilvl="8" w:tplc="0409001B" w:tentative="1">
      <w:start w:val="1"/>
      <w:numFmt w:val="lowerRoman"/>
      <w:lvlText w:val="%9."/>
      <w:lvlJc w:val="right"/>
      <w:pPr>
        <w:ind w:left="9000" w:hanging="180"/>
      </w:pPr>
    </w:lvl>
  </w:abstractNum>
  <w:abstractNum w:abstractNumId="344">
    <w:nsid w:val="43F014BD"/>
    <w:multiLevelType w:val="hybridMultilevel"/>
    <w:tmpl w:val="8FF8CA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5">
    <w:nsid w:val="43F07DE3"/>
    <w:multiLevelType w:val="hybridMultilevel"/>
    <w:tmpl w:val="6FDEFD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6">
    <w:nsid w:val="43FD0D1C"/>
    <w:multiLevelType w:val="hybridMultilevel"/>
    <w:tmpl w:val="A6266AA0"/>
    <w:lvl w:ilvl="0" w:tplc="9C202584">
      <w:numFmt w:val="bullet"/>
      <w:lvlText w:val="•"/>
      <w:lvlJc w:val="left"/>
      <w:pPr>
        <w:ind w:left="720" w:hanging="360"/>
      </w:pPr>
      <w:rPr>
        <w:rFonts w:ascii="Cambria" w:eastAsia="Times New Roman" w:hAnsi="Cambria"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7">
    <w:nsid w:val="448D0D7D"/>
    <w:multiLevelType w:val="hybridMultilevel"/>
    <w:tmpl w:val="4C9C62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8">
    <w:nsid w:val="44D43CF7"/>
    <w:multiLevelType w:val="hybridMultilevel"/>
    <w:tmpl w:val="09DCADB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9">
    <w:nsid w:val="44DE2D24"/>
    <w:multiLevelType w:val="hybridMultilevel"/>
    <w:tmpl w:val="10A843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0">
    <w:nsid w:val="44EE2F00"/>
    <w:multiLevelType w:val="hybridMultilevel"/>
    <w:tmpl w:val="820C98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1">
    <w:nsid w:val="450B0AE4"/>
    <w:multiLevelType w:val="hybridMultilevel"/>
    <w:tmpl w:val="E7F2B2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2">
    <w:nsid w:val="453F3DFC"/>
    <w:multiLevelType w:val="hybridMultilevel"/>
    <w:tmpl w:val="5E9E25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3">
    <w:nsid w:val="467E12FD"/>
    <w:multiLevelType w:val="hybridMultilevel"/>
    <w:tmpl w:val="7054CF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4">
    <w:nsid w:val="46BD0C06"/>
    <w:multiLevelType w:val="hybridMultilevel"/>
    <w:tmpl w:val="F4C277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5">
    <w:nsid w:val="46DD60B8"/>
    <w:multiLevelType w:val="hybridMultilevel"/>
    <w:tmpl w:val="5E9015F8"/>
    <w:lvl w:ilvl="0" w:tplc="04090001">
      <w:start w:val="1"/>
      <w:numFmt w:val="bullet"/>
      <w:lvlText w:val="•"/>
      <w:lvlJc w:val="left"/>
      <w:pPr>
        <w:tabs>
          <w:tab w:val="num" w:pos="720"/>
        </w:tabs>
        <w:ind w:left="720" w:hanging="360"/>
      </w:pPr>
      <w:rPr>
        <w:rFonts w:ascii="Times New Roman" w:hAnsi="Times New Roman" w:hint="default"/>
      </w:rPr>
    </w:lvl>
    <w:lvl w:ilvl="1" w:tplc="04090003" w:tentative="1">
      <w:start w:val="1"/>
      <w:numFmt w:val="bullet"/>
      <w:lvlText w:val="•"/>
      <w:lvlJc w:val="left"/>
      <w:pPr>
        <w:tabs>
          <w:tab w:val="num" w:pos="1440"/>
        </w:tabs>
        <w:ind w:left="1440" w:hanging="360"/>
      </w:pPr>
      <w:rPr>
        <w:rFonts w:ascii="Times New Roman" w:hAnsi="Times New Roman" w:hint="default"/>
      </w:rPr>
    </w:lvl>
    <w:lvl w:ilvl="2" w:tplc="04090005" w:tentative="1">
      <w:start w:val="1"/>
      <w:numFmt w:val="bullet"/>
      <w:lvlText w:val="•"/>
      <w:lvlJc w:val="left"/>
      <w:pPr>
        <w:tabs>
          <w:tab w:val="num" w:pos="2160"/>
        </w:tabs>
        <w:ind w:left="2160" w:hanging="360"/>
      </w:pPr>
      <w:rPr>
        <w:rFonts w:ascii="Times New Roman" w:hAnsi="Times New Roman" w:hint="default"/>
      </w:rPr>
    </w:lvl>
    <w:lvl w:ilvl="3" w:tplc="04090001" w:tentative="1">
      <w:start w:val="1"/>
      <w:numFmt w:val="bullet"/>
      <w:lvlText w:val="•"/>
      <w:lvlJc w:val="left"/>
      <w:pPr>
        <w:tabs>
          <w:tab w:val="num" w:pos="2880"/>
        </w:tabs>
        <w:ind w:left="2880" w:hanging="360"/>
      </w:pPr>
      <w:rPr>
        <w:rFonts w:ascii="Times New Roman" w:hAnsi="Times New Roman" w:hint="default"/>
      </w:rPr>
    </w:lvl>
    <w:lvl w:ilvl="4" w:tplc="04090003" w:tentative="1">
      <w:start w:val="1"/>
      <w:numFmt w:val="bullet"/>
      <w:lvlText w:val="•"/>
      <w:lvlJc w:val="left"/>
      <w:pPr>
        <w:tabs>
          <w:tab w:val="num" w:pos="3600"/>
        </w:tabs>
        <w:ind w:left="3600" w:hanging="360"/>
      </w:pPr>
      <w:rPr>
        <w:rFonts w:ascii="Times New Roman" w:hAnsi="Times New Roman" w:hint="default"/>
      </w:rPr>
    </w:lvl>
    <w:lvl w:ilvl="5" w:tplc="04090005" w:tentative="1">
      <w:start w:val="1"/>
      <w:numFmt w:val="bullet"/>
      <w:lvlText w:val="•"/>
      <w:lvlJc w:val="left"/>
      <w:pPr>
        <w:tabs>
          <w:tab w:val="num" w:pos="4320"/>
        </w:tabs>
        <w:ind w:left="4320" w:hanging="360"/>
      </w:pPr>
      <w:rPr>
        <w:rFonts w:ascii="Times New Roman" w:hAnsi="Times New Roman" w:hint="default"/>
      </w:rPr>
    </w:lvl>
    <w:lvl w:ilvl="6" w:tplc="04090001" w:tentative="1">
      <w:start w:val="1"/>
      <w:numFmt w:val="bullet"/>
      <w:lvlText w:val="•"/>
      <w:lvlJc w:val="left"/>
      <w:pPr>
        <w:tabs>
          <w:tab w:val="num" w:pos="5040"/>
        </w:tabs>
        <w:ind w:left="5040" w:hanging="360"/>
      </w:pPr>
      <w:rPr>
        <w:rFonts w:ascii="Times New Roman" w:hAnsi="Times New Roman" w:hint="default"/>
      </w:rPr>
    </w:lvl>
    <w:lvl w:ilvl="7" w:tplc="04090003" w:tentative="1">
      <w:start w:val="1"/>
      <w:numFmt w:val="bullet"/>
      <w:lvlText w:val="•"/>
      <w:lvlJc w:val="left"/>
      <w:pPr>
        <w:tabs>
          <w:tab w:val="num" w:pos="5760"/>
        </w:tabs>
        <w:ind w:left="5760" w:hanging="360"/>
      </w:pPr>
      <w:rPr>
        <w:rFonts w:ascii="Times New Roman" w:hAnsi="Times New Roman" w:hint="default"/>
      </w:rPr>
    </w:lvl>
    <w:lvl w:ilvl="8" w:tplc="04090005" w:tentative="1">
      <w:start w:val="1"/>
      <w:numFmt w:val="bullet"/>
      <w:lvlText w:val="•"/>
      <w:lvlJc w:val="left"/>
      <w:pPr>
        <w:tabs>
          <w:tab w:val="num" w:pos="6480"/>
        </w:tabs>
        <w:ind w:left="6480" w:hanging="360"/>
      </w:pPr>
      <w:rPr>
        <w:rFonts w:ascii="Times New Roman" w:hAnsi="Times New Roman" w:hint="default"/>
      </w:rPr>
    </w:lvl>
  </w:abstractNum>
  <w:abstractNum w:abstractNumId="356">
    <w:nsid w:val="46E87730"/>
    <w:multiLevelType w:val="hybridMultilevel"/>
    <w:tmpl w:val="7434753A"/>
    <w:lvl w:ilvl="0" w:tplc="981622FC">
      <w:start w:val="1"/>
      <w:numFmt w:val="bullet"/>
      <w:lvlText w:val="-"/>
      <w:lvlJc w:val="left"/>
      <w:pPr>
        <w:ind w:left="932" w:hanging="360"/>
      </w:pPr>
      <w:rPr>
        <w:rFonts w:ascii="Courier New" w:hAnsi="Courier New" w:hint="default"/>
        <w:vertAlign w:val="baseline"/>
      </w:rPr>
    </w:lvl>
    <w:lvl w:ilvl="1" w:tplc="04090003" w:tentative="1">
      <w:start w:val="1"/>
      <w:numFmt w:val="bullet"/>
      <w:lvlText w:val="o"/>
      <w:lvlJc w:val="left"/>
      <w:pPr>
        <w:ind w:left="1652" w:hanging="360"/>
      </w:pPr>
      <w:rPr>
        <w:rFonts w:ascii="Courier New" w:hAnsi="Courier New" w:cs="Courier New" w:hint="default"/>
      </w:rPr>
    </w:lvl>
    <w:lvl w:ilvl="2" w:tplc="04090005" w:tentative="1">
      <w:start w:val="1"/>
      <w:numFmt w:val="bullet"/>
      <w:lvlText w:val=""/>
      <w:lvlJc w:val="left"/>
      <w:pPr>
        <w:ind w:left="2372" w:hanging="360"/>
      </w:pPr>
      <w:rPr>
        <w:rFonts w:ascii="Wingdings" w:hAnsi="Wingdings" w:hint="default"/>
      </w:rPr>
    </w:lvl>
    <w:lvl w:ilvl="3" w:tplc="04090001" w:tentative="1">
      <w:start w:val="1"/>
      <w:numFmt w:val="bullet"/>
      <w:lvlText w:val=""/>
      <w:lvlJc w:val="left"/>
      <w:pPr>
        <w:ind w:left="3092" w:hanging="360"/>
      </w:pPr>
      <w:rPr>
        <w:rFonts w:ascii="Symbol" w:hAnsi="Symbol" w:hint="default"/>
      </w:rPr>
    </w:lvl>
    <w:lvl w:ilvl="4" w:tplc="04090003" w:tentative="1">
      <w:start w:val="1"/>
      <w:numFmt w:val="bullet"/>
      <w:lvlText w:val="o"/>
      <w:lvlJc w:val="left"/>
      <w:pPr>
        <w:ind w:left="3812" w:hanging="360"/>
      </w:pPr>
      <w:rPr>
        <w:rFonts w:ascii="Courier New" w:hAnsi="Courier New" w:cs="Courier New" w:hint="default"/>
      </w:rPr>
    </w:lvl>
    <w:lvl w:ilvl="5" w:tplc="04090005" w:tentative="1">
      <w:start w:val="1"/>
      <w:numFmt w:val="bullet"/>
      <w:lvlText w:val=""/>
      <w:lvlJc w:val="left"/>
      <w:pPr>
        <w:ind w:left="4532" w:hanging="360"/>
      </w:pPr>
      <w:rPr>
        <w:rFonts w:ascii="Wingdings" w:hAnsi="Wingdings" w:hint="default"/>
      </w:rPr>
    </w:lvl>
    <w:lvl w:ilvl="6" w:tplc="04090001" w:tentative="1">
      <w:start w:val="1"/>
      <w:numFmt w:val="bullet"/>
      <w:lvlText w:val=""/>
      <w:lvlJc w:val="left"/>
      <w:pPr>
        <w:ind w:left="5252" w:hanging="360"/>
      </w:pPr>
      <w:rPr>
        <w:rFonts w:ascii="Symbol" w:hAnsi="Symbol" w:hint="default"/>
      </w:rPr>
    </w:lvl>
    <w:lvl w:ilvl="7" w:tplc="04090003" w:tentative="1">
      <w:start w:val="1"/>
      <w:numFmt w:val="bullet"/>
      <w:lvlText w:val="o"/>
      <w:lvlJc w:val="left"/>
      <w:pPr>
        <w:ind w:left="5972" w:hanging="360"/>
      </w:pPr>
      <w:rPr>
        <w:rFonts w:ascii="Courier New" w:hAnsi="Courier New" w:cs="Courier New" w:hint="default"/>
      </w:rPr>
    </w:lvl>
    <w:lvl w:ilvl="8" w:tplc="04090005" w:tentative="1">
      <w:start w:val="1"/>
      <w:numFmt w:val="bullet"/>
      <w:lvlText w:val=""/>
      <w:lvlJc w:val="left"/>
      <w:pPr>
        <w:ind w:left="6692" w:hanging="360"/>
      </w:pPr>
      <w:rPr>
        <w:rFonts w:ascii="Wingdings" w:hAnsi="Wingdings" w:hint="default"/>
      </w:rPr>
    </w:lvl>
  </w:abstractNum>
  <w:abstractNum w:abstractNumId="357">
    <w:nsid w:val="474CBD81"/>
    <w:multiLevelType w:val="hybridMultilevel"/>
    <w:tmpl w:val="F5BC592D"/>
    <w:lvl w:ilvl="0" w:tplc="FFFFFFFF">
      <w:start w:val="1"/>
      <w:numFmt w:val="ideographDigital"/>
      <w:lvlText w:val=""/>
      <w:lvlJc w:val="left"/>
    </w:lvl>
    <w:lvl w:ilvl="1" w:tplc="FFFFFFFF">
      <w:start w:val="1"/>
      <w:numFmt w:val="ideographDigit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58">
    <w:nsid w:val="479973AE"/>
    <w:multiLevelType w:val="hybridMultilevel"/>
    <w:tmpl w:val="67A80FE8"/>
    <w:lvl w:ilvl="0" w:tplc="88A4A01C">
      <w:start w:val="1"/>
      <w:numFmt w:val="bullet"/>
      <w:lvlText w:val=""/>
      <w:lvlJc w:val="left"/>
      <w:pPr>
        <w:ind w:left="720" w:hanging="360"/>
      </w:pPr>
      <w:rPr>
        <w:rFonts w:ascii="Symbol" w:hAnsi="Symbol" w:hint="default"/>
      </w:rPr>
    </w:lvl>
    <w:lvl w:ilvl="1" w:tplc="C94601F0" w:tentative="1">
      <w:start w:val="1"/>
      <w:numFmt w:val="bullet"/>
      <w:lvlText w:val="o"/>
      <w:lvlJc w:val="left"/>
      <w:pPr>
        <w:ind w:left="1440" w:hanging="360"/>
      </w:pPr>
      <w:rPr>
        <w:rFonts w:ascii="Courier New" w:hAnsi="Courier New" w:cs="Courier New" w:hint="default"/>
      </w:rPr>
    </w:lvl>
    <w:lvl w:ilvl="2" w:tplc="8E8CF24E" w:tentative="1">
      <w:start w:val="1"/>
      <w:numFmt w:val="bullet"/>
      <w:lvlText w:val=""/>
      <w:lvlJc w:val="left"/>
      <w:pPr>
        <w:ind w:left="2160" w:hanging="360"/>
      </w:pPr>
      <w:rPr>
        <w:rFonts w:ascii="Wingdings" w:hAnsi="Wingdings" w:hint="default"/>
      </w:rPr>
    </w:lvl>
    <w:lvl w:ilvl="3" w:tplc="247854AC" w:tentative="1">
      <w:start w:val="1"/>
      <w:numFmt w:val="bullet"/>
      <w:lvlText w:val=""/>
      <w:lvlJc w:val="left"/>
      <w:pPr>
        <w:ind w:left="2880" w:hanging="360"/>
      </w:pPr>
      <w:rPr>
        <w:rFonts w:ascii="Symbol" w:hAnsi="Symbol" w:hint="default"/>
      </w:rPr>
    </w:lvl>
    <w:lvl w:ilvl="4" w:tplc="DE388EF6" w:tentative="1">
      <w:start w:val="1"/>
      <w:numFmt w:val="bullet"/>
      <w:lvlText w:val="o"/>
      <w:lvlJc w:val="left"/>
      <w:pPr>
        <w:ind w:left="3600" w:hanging="360"/>
      </w:pPr>
      <w:rPr>
        <w:rFonts w:ascii="Courier New" w:hAnsi="Courier New" w:cs="Courier New" w:hint="default"/>
      </w:rPr>
    </w:lvl>
    <w:lvl w:ilvl="5" w:tplc="DCB0DEB4" w:tentative="1">
      <w:start w:val="1"/>
      <w:numFmt w:val="bullet"/>
      <w:lvlText w:val=""/>
      <w:lvlJc w:val="left"/>
      <w:pPr>
        <w:ind w:left="4320" w:hanging="360"/>
      </w:pPr>
      <w:rPr>
        <w:rFonts w:ascii="Wingdings" w:hAnsi="Wingdings" w:hint="default"/>
      </w:rPr>
    </w:lvl>
    <w:lvl w:ilvl="6" w:tplc="4120B4B8" w:tentative="1">
      <w:start w:val="1"/>
      <w:numFmt w:val="bullet"/>
      <w:lvlText w:val=""/>
      <w:lvlJc w:val="left"/>
      <w:pPr>
        <w:ind w:left="5040" w:hanging="360"/>
      </w:pPr>
      <w:rPr>
        <w:rFonts w:ascii="Symbol" w:hAnsi="Symbol" w:hint="default"/>
      </w:rPr>
    </w:lvl>
    <w:lvl w:ilvl="7" w:tplc="7FDEC986" w:tentative="1">
      <w:start w:val="1"/>
      <w:numFmt w:val="bullet"/>
      <w:lvlText w:val="o"/>
      <w:lvlJc w:val="left"/>
      <w:pPr>
        <w:ind w:left="5760" w:hanging="360"/>
      </w:pPr>
      <w:rPr>
        <w:rFonts w:ascii="Courier New" w:hAnsi="Courier New" w:cs="Courier New" w:hint="default"/>
      </w:rPr>
    </w:lvl>
    <w:lvl w:ilvl="8" w:tplc="9F7859D6" w:tentative="1">
      <w:start w:val="1"/>
      <w:numFmt w:val="bullet"/>
      <w:lvlText w:val=""/>
      <w:lvlJc w:val="left"/>
      <w:pPr>
        <w:ind w:left="6480" w:hanging="360"/>
      </w:pPr>
      <w:rPr>
        <w:rFonts w:ascii="Wingdings" w:hAnsi="Wingdings" w:hint="default"/>
      </w:rPr>
    </w:lvl>
  </w:abstractNum>
  <w:abstractNum w:abstractNumId="359">
    <w:nsid w:val="48122CB3"/>
    <w:multiLevelType w:val="hybridMultilevel"/>
    <w:tmpl w:val="1BAE24BC"/>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60">
    <w:nsid w:val="48C6293E"/>
    <w:multiLevelType w:val="hybridMultilevel"/>
    <w:tmpl w:val="CC54375A"/>
    <w:lvl w:ilvl="0" w:tplc="2C3C6C20">
      <w:start w:val="1"/>
      <w:numFmt w:val="bullet"/>
      <w:lvlText w:val=""/>
      <w:lvlJc w:val="left"/>
      <w:pPr>
        <w:ind w:left="720" w:hanging="360"/>
      </w:pPr>
      <w:rPr>
        <w:rFonts w:ascii="Symbol" w:hAnsi="Symbol" w:hint="default"/>
      </w:rPr>
    </w:lvl>
    <w:lvl w:ilvl="1" w:tplc="A73075B2" w:tentative="1">
      <w:start w:val="1"/>
      <w:numFmt w:val="bullet"/>
      <w:lvlText w:val="o"/>
      <w:lvlJc w:val="left"/>
      <w:pPr>
        <w:ind w:left="1440" w:hanging="360"/>
      </w:pPr>
      <w:rPr>
        <w:rFonts w:ascii="Courier New" w:hAnsi="Courier New" w:cs="Courier New" w:hint="default"/>
      </w:rPr>
    </w:lvl>
    <w:lvl w:ilvl="2" w:tplc="8DB00F44" w:tentative="1">
      <w:start w:val="1"/>
      <w:numFmt w:val="bullet"/>
      <w:lvlText w:val=""/>
      <w:lvlJc w:val="left"/>
      <w:pPr>
        <w:ind w:left="2160" w:hanging="360"/>
      </w:pPr>
      <w:rPr>
        <w:rFonts w:ascii="Wingdings" w:hAnsi="Wingdings" w:hint="default"/>
      </w:rPr>
    </w:lvl>
    <w:lvl w:ilvl="3" w:tplc="08003E06" w:tentative="1">
      <w:start w:val="1"/>
      <w:numFmt w:val="bullet"/>
      <w:lvlText w:val=""/>
      <w:lvlJc w:val="left"/>
      <w:pPr>
        <w:ind w:left="2880" w:hanging="360"/>
      </w:pPr>
      <w:rPr>
        <w:rFonts w:ascii="Symbol" w:hAnsi="Symbol" w:hint="default"/>
      </w:rPr>
    </w:lvl>
    <w:lvl w:ilvl="4" w:tplc="EBE09CA6" w:tentative="1">
      <w:start w:val="1"/>
      <w:numFmt w:val="bullet"/>
      <w:lvlText w:val="o"/>
      <w:lvlJc w:val="left"/>
      <w:pPr>
        <w:ind w:left="3600" w:hanging="360"/>
      </w:pPr>
      <w:rPr>
        <w:rFonts w:ascii="Courier New" w:hAnsi="Courier New" w:cs="Courier New" w:hint="default"/>
      </w:rPr>
    </w:lvl>
    <w:lvl w:ilvl="5" w:tplc="F86036C2" w:tentative="1">
      <w:start w:val="1"/>
      <w:numFmt w:val="bullet"/>
      <w:lvlText w:val=""/>
      <w:lvlJc w:val="left"/>
      <w:pPr>
        <w:ind w:left="4320" w:hanging="360"/>
      </w:pPr>
      <w:rPr>
        <w:rFonts w:ascii="Wingdings" w:hAnsi="Wingdings" w:hint="default"/>
      </w:rPr>
    </w:lvl>
    <w:lvl w:ilvl="6" w:tplc="1A92A5DC" w:tentative="1">
      <w:start w:val="1"/>
      <w:numFmt w:val="bullet"/>
      <w:lvlText w:val=""/>
      <w:lvlJc w:val="left"/>
      <w:pPr>
        <w:ind w:left="5040" w:hanging="360"/>
      </w:pPr>
      <w:rPr>
        <w:rFonts w:ascii="Symbol" w:hAnsi="Symbol" w:hint="default"/>
      </w:rPr>
    </w:lvl>
    <w:lvl w:ilvl="7" w:tplc="8FA2B882" w:tentative="1">
      <w:start w:val="1"/>
      <w:numFmt w:val="bullet"/>
      <w:lvlText w:val="o"/>
      <w:lvlJc w:val="left"/>
      <w:pPr>
        <w:ind w:left="5760" w:hanging="360"/>
      </w:pPr>
      <w:rPr>
        <w:rFonts w:ascii="Courier New" w:hAnsi="Courier New" w:cs="Courier New" w:hint="default"/>
      </w:rPr>
    </w:lvl>
    <w:lvl w:ilvl="8" w:tplc="E800F434" w:tentative="1">
      <w:start w:val="1"/>
      <w:numFmt w:val="bullet"/>
      <w:lvlText w:val=""/>
      <w:lvlJc w:val="left"/>
      <w:pPr>
        <w:ind w:left="6480" w:hanging="360"/>
      </w:pPr>
      <w:rPr>
        <w:rFonts w:ascii="Wingdings" w:hAnsi="Wingdings" w:hint="default"/>
      </w:rPr>
    </w:lvl>
  </w:abstractNum>
  <w:abstractNum w:abstractNumId="361">
    <w:nsid w:val="48CC091C"/>
    <w:multiLevelType w:val="hybridMultilevel"/>
    <w:tmpl w:val="E3B06C6C"/>
    <w:lvl w:ilvl="0" w:tplc="FE72EA12">
      <w:start w:val="1"/>
      <w:numFmt w:val="bullet"/>
      <w:pStyle w:val="REOBulletedlis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2">
    <w:nsid w:val="4995145B"/>
    <w:multiLevelType w:val="hybridMultilevel"/>
    <w:tmpl w:val="455420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3">
    <w:nsid w:val="499D5BD4"/>
    <w:multiLevelType w:val="hybridMultilevel"/>
    <w:tmpl w:val="4B2675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4">
    <w:nsid w:val="49D53C4F"/>
    <w:multiLevelType w:val="multilevel"/>
    <w:tmpl w:val="4D1C9936"/>
    <w:lvl w:ilvl="0">
      <w:start w:val="1"/>
      <w:numFmt w:val="decimal"/>
      <w:suff w:val="nothing"/>
      <w:lvlText w:val="Section %1"/>
      <w:lvlJc w:val="left"/>
      <w:pPr>
        <w:ind w:left="0" w:firstLine="0"/>
      </w:pPr>
      <w:rPr>
        <w:rFonts w:ascii="Calibri" w:hAnsi="Calibri" w:hint="default"/>
        <w:b/>
        <w:i w:val="0"/>
        <w:color w:val="0070C0"/>
        <w:sz w:val="36"/>
        <w:u w:val="none" w:color="0070C0"/>
      </w:rPr>
    </w:lvl>
    <w:lvl w:ilvl="1">
      <w:start w:val="1"/>
      <w:numFmt w:val="decimal"/>
      <w:suff w:val="space"/>
      <w:lvlText w:val="%1.%2"/>
      <w:lvlJc w:val="left"/>
      <w:pPr>
        <w:ind w:left="270" w:firstLine="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suff w:val="space"/>
      <w:lvlText w:val="%1.%2.%3"/>
      <w:lvlJc w:val="left"/>
      <w:pPr>
        <w:ind w:left="0" w:firstLine="0"/>
      </w:pPr>
      <w:rPr>
        <w:rFonts w:ascii="Calibri" w:hAnsi="Calibri" w:cs="Times New Roman" w:hint="default"/>
        <w:b/>
        <w:bCs w:val="0"/>
        <w:i w:val="0"/>
        <w:iCs w:val="0"/>
        <w:caps w:val="0"/>
        <w:smallCaps w:val="0"/>
        <w:strike w:val="0"/>
        <w:dstrike w:val="0"/>
        <w:outline w:val="0"/>
        <w:shadow w:val="0"/>
        <w:emboss w:val="0"/>
        <w:imprint w:val="0"/>
        <w:noProof w:val="0"/>
        <w:vanish w:val="0"/>
        <w:color w:val="62777F" w:themeColor="text1"/>
        <w:spacing w:val="0"/>
        <w:kern w:val="0"/>
        <w:position w:val="0"/>
        <w:sz w:val="20"/>
        <w:szCs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suff w:val="space"/>
      <w:lvlText w:val="%1.%2.%3.%4"/>
      <w:lvlJc w:val="left"/>
      <w:pPr>
        <w:ind w:left="0" w:firstLine="0"/>
      </w:pPr>
      <w:rPr>
        <w:rFonts w:hint="default"/>
        <w:b w:val="0"/>
        <w:i/>
        <w:iCs w:val="0"/>
        <w:caps w:val="0"/>
        <w:smallCaps w:val="0"/>
        <w:strike w:val="0"/>
        <w:dstrike w:val="0"/>
        <w:outline w:val="0"/>
        <w:shadow w:val="0"/>
        <w:emboss w:val="0"/>
        <w:imprint w:val="0"/>
        <w:vanish w:val="0"/>
        <w:color w:val="62777F" w:themeColor="text1"/>
        <w:spacing w:val="0"/>
        <w:kern w:val="0"/>
        <w:position w:val="0"/>
        <w:sz w:val="20"/>
        <w:szCs w:val="20"/>
        <w:u w:val="none"/>
        <w:effect w:val="none"/>
        <w:vertAlign w:val="baseline"/>
        <w:em w:val="none"/>
        <w14:ligatures w14:val="none"/>
        <w14:numForm w14:val="default"/>
        <w14:numSpacing w14:val="default"/>
        <w14:stylisticSets/>
        <w14:cntxtAlts w14:val="0"/>
      </w:rPr>
    </w:lvl>
    <w:lvl w:ilvl="4">
      <w:start w:val="1"/>
      <w:numFmt w:val="lowerLetter"/>
      <w:lvlText w:val="(%5)"/>
      <w:lvlJc w:val="left"/>
      <w:pPr>
        <w:ind w:left="0" w:firstLine="0"/>
      </w:pPr>
      <w:rPr>
        <w:rFonts w:hint="default"/>
      </w:rPr>
    </w:lvl>
    <w:lvl w:ilvl="5">
      <w:start w:val="1"/>
      <w:numFmt w:val="lowerRoman"/>
      <w:lvlText w:val="(%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365">
    <w:nsid w:val="49ED3EB5"/>
    <w:multiLevelType w:val="hybridMultilevel"/>
    <w:tmpl w:val="D47C3EDE"/>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66">
    <w:nsid w:val="4A9D2251"/>
    <w:multiLevelType w:val="hybridMultilevel"/>
    <w:tmpl w:val="88965EB0"/>
    <w:lvl w:ilvl="0" w:tplc="BE88E404">
      <w:start w:val="1"/>
      <w:numFmt w:val="bullet"/>
      <w:lvlText w:val=""/>
      <w:lvlJc w:val="left"/>
      <w:pPr>
        <w:ind w:left="720" w:hanging="360"/>
      </w:pPr>
      <w:rPr>
        <w:rFonts w:ascii="Symbol" w:hAnsi="Symbol" w:hint="default"/>
      </w:rPr>
    </w:lvl>
    <w:lvl w:ilvl="1" w:tplc="915ABAF0" w:tentative="1">
      <w:start w:val="1"/>
      <w:numFmt w:val="bullet"/>
      <w:lvlText w:val="o"/>
      <w:lvlJc w:val="left"/>
      <w:pPr>
        <w:ind w:left="1440" w:hanging="360"/>
      </w:pPr>
      <w:rPr>
        <w:rFonts w:ascii="Courier New" w:hAnsi="Courier New" w:cs="Courier New" w:hint="default"/>
      </w:rPr>
    </w:lvl>
    <w:lvl w:ilvl="2" w:tplc="A13E3792" w:tentative="1">
      <w:start w:val="1"/>
      <w:numFmt w:val="bullet"/>
      <w:lvlText w:val=""/>
      <w:lvlJc w:val="left"/>
      <w:pPr>
        <w:ind w:left="2160" w:hanging="360"/>
      </w:pPr>
      <w:rPr>
        <w:rFonts w:ascii="Wingdings" w:hAnsi="Wingdings" w:hint="default"/>
      </w:rPr>
    </w:lvl>
    <w:lvl w:ilvl="3" w:tplc="5D06395C" w:tentative="1">
      <w:start w:val="1"/>
      <w:numFmt w:val="bullet"/>
      <w:lvlText w:val=""/>
      <w:lvlJc w:val="left"/>
      <w:pPr>
        <w:ind w:left="2880" w:hanging="360"/>
      </w:pPr>
      <w:rPr>
        <w:rFonts w:ascii="Symbol" w:hAnsi="Symbol" w:hint="default"/>
      </w:rPr>
    </w:lvl>
    <w:lvl w:ilvl="4" w:tplc="0590AED6" w:tentative="1">
      <w:start w:val="1"/>
      <w:numFmt w:val="bullet"/>
      <w:lvlText w:val="o"/>
      <w:lvlJc w:val="left"/>
      <w:pPr>
        <w:ind w:left="3600" w:hanging="360"/>
      </w:pPr>
      <w:rPr>
        <w:rFonts w:ascii="Courier New" w:hAnsi="Courier New" w:cs="Courier New" w:hint="default"/>
      </w:rPr>
    </w:lvl>
    <w:lvl w:ilvl="5" w:tplc="D8189DC0" w:tentative="1">
      <w:start w:val="1"/>
      <w:numFmt w:val="bullet"/>
      <w:lvlText w:val=""/>
      <w:lvlJc w:val="left"/>
      <w:pPr>
        <w:ind w:left="4320" w:hanging="360"/>
      </w:pPr>
      <w:rPr>
        <w:rFonts w:ascii="Wingdings" w:hAnsi="Wingdings" w:hint="default"/>
      </w:rPr>
    </w:lvl>
    <w:lvl w:ilvl="6" w:tplc="7BB407E4" w:tentative="1">
      <w:start w:val="1"/>
      <w:numFmt w:val="bullet"/>
      <w:lvlText w:val=""/>
      <w:lvlJc w:val="left"/>
      <w:pPr>
        <w:ind w:left="5040" w:hanging="360"/>
      </w:pPr>
      <w:rPr>
        <w:rFonts w:ascii="Symbol" w:hAnsi="Symbol" w:hint="default"/>
      </w:rPr>
    </w:lvl>
    <w:lvl w:ilvl="7" w:tplc="07EA102E" w:tentative="1">
      <w:start w:val="1"/>
      <w:numFmt w:val="bullet"/>
      <w:lvlText w:val="o"/>
      <w:lvlJc w:val="left"/>
      <w:pPr>
        <w:ind w:left="5760" w:hanging="360"/>
      </w:pPr>
      <w:rPr>
        <w:rFonts w:ascii="Courier New" w:hAnsi="Courier New" w:cs="Courier New" w:hint="default"/>
      </w:rPr>
    </w:lvl>
    <w:lvl w:ilvl="8" w:tplc="209C8316" w:tentative="1">
      <w:start w:val="1"/>
      <w:numFmt w:val="bullet"/>
      <w:lvlText w:val=""/>
      <w:lvlJc w:val="left"/>
      <w:pPr>
        <w:ind w:left="6480" w:hanging="360"/>
      </w:pPr>
      <w:rPr>
        <w:rFonts w:ascii="Wingdings" w:hAnsi="Wingdings" w:hint="default"/>
      </w:rPr>
    </w:lvl>
  </w:abstractNum>
  <w:abstractNum w:abstractNumId="367">
    <w:nsid w:val="4AC80F88"/>
    <w:multiLevelType w:val="hybridMultilevel"/>
    <w:tmpl w:val="077C7E0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68">
    <w:nsid w:val="4AE205EF"/>
    <w:multiLevelType w:val="hybridMultilevel"/>
    <w:tmpl w:val="9070A53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9">
    <w:nsid w:val="4B1E118A"/>
    <w:multiLevelType w:val="hybridMultilevel"/>
    <w:tmpl w:val="1DD27AF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0">
    <w:nsid w:val="4B275290"/>
    <w:multiLevelType w:val="hybridMultilevel"/>
    <w:tmpl w:val="5CBC1086"/>
    <w:lvl w:ilvl="0" w:tplc="04090001">
      <w:start w:val="1"/>
      <w:numFmt w:val="bullet"/>
      <w:lvlText w:val=""/>
      <w:lvlJc w:val="left"/>
      <w:pPr>
        <w:ind w:left="1440" w:hanging="360"/>
      </w:pPr>
      <w:rPr>
        <w:rFonts w:ascii="Symbol" w:hAnsi="Symbol" w:hint="default"/>
        <w:sz w:val="22"/>
        <w:szCs w:val="22"/>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71">
    <w:nsid w:val="4B3F0566"/>
    <w:multiLevelType w:val="hybridMultilevel"/>
    <w:tmpl w:val="FA7C1F4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72">
    <w:nsid w:val="4B757AFB"/>
    <w:multiLevelType w:val="hybridMultilevel"/>
    <w:tmpl w:val="6040D46C"/>
    <w:lvl w:ilvl="0" w:tplc="EF5E97BE">
      <w:start w:val="1"/>
      <w:numFmt w:val="bullet"/>
      <w:lvlText w:val="–"/>
      <w:lvlJc w:val="left"/>
      <w:pPr>
        <w:ind w:left="1080" w:hanging="360"/>
      </w:pPr>
      <w:rPr>
        <w:rFonts w:ascii="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73">
    <w:nsid w:val="4B8606BA"/>
    <w:multiLevelType w:val="hybridMultilevel"/>
    <w:tmpl w:val="77F2F4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4">
    <w:nsid w:val="4C855604"/>
    <w:multiLevelType w:val="hybridMultilevel"/>
    <w:tmpl w:val="4ED8027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981622FC">
      <w:start w:val="1"/>
      <w:numFmt w:val="bullet"/>
      <w:lvlText w:val="-"/>
      <w:lvlJc w:val="left"/>
      <w:pPr>
        <w:ind w:left="2160" w:hanging="360"/>
      </w:pPr>
      <w:rPr>
        <w:rFonts w:ascii="Courier New" w:hAnsi="Courier New" w:hint="default"/>
        <w:vertAlign w:val="baseline"/>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5">
    <w:nsid w:val="4CBE6407"/>
    <w:multiLevelType w:val="hybridMultilevel"/>
    <w:tmpl w:val="4E28DA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6">
    <w:nsid w:val="4CDDB4C0"/>
    <w:multiLevelType w:val="hybridMultilevel"/>
    <w:tmpl w:val="27CB7D95"/>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77">
    <w:nsid w:val="4D6C6845"/>
    <w:multiLevelType w:val="multilevel"/>
    <w:tmpl w:val="A03A395C"/>
    <w:styleLink w:val="BulletedList"/>
    <w:lvl w:ilvl="0">
      <w:start w:val="1"/>
      <w:numFmt w:val="bullet"/>
      <w:lvlText w:val=""/>
      <w:lvlJc w:val="left"/>
      <w:pPr>
        <w:tabs>
          <w:tab w:val="num" w:pos="720"/>
        </w:tabs>
        <w:ind w:left="720" w:hanging="360"/>
      </w:pPr>
      <w:rPr>
        <w:rFonts w:ascii="Symbol" w:hAnsi="Symbol"/>
        <w:sz w:val="22"/>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378">
    <w:nsid w:val="4DC67594"/>
    <w:multiLevelType w:val="hybridMultilevel"/>
    <w:tmpl w:val="F01CE6F6"/>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79">
    <w:nsid w:val="4DFB616D"/>
    <w:multiLevelType w:val="hybridMultilevel"/>
    <w:tmpl w:val="DF56925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981622FC">
      <w:start w:val="1"/>
      <w:numFmt w:val="bullet"/>
      <w:lvlText w:val="-"/>
      <w:lvlJc w:val="left"/>
      <w:pPr>
        <w:ind w:left="2160" w:hanging="360"/>
      </w:pPr>
      <w:rPr>
        <w:rFonts w:ascii="Courier New" w:hAnsi="Courier New" w:hint="default"/>
        <w:vertAlign w:val="baseline"/>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0">
    <w:nsid w:val="4E717F05"/>
    <w:multiLevelType w:val="hybridMultilevel"/>
    <w:tmpl w:val="752C9C08"/>
    <w:lvl w:ilvl="0" w:tplc="EF5E97BE">
      <w:start w:val="1"/>
      <w:numFmt w:val="bullet"/>
      <w:lvlText w:val="–"/>
      <w:lvlJc w:val="left"/>
      <w:pPr>
        <w:ind w:left="360" w:hanging="360"/>
      </w:pPr>
      <w:rPr>
        <w:rFonts w:ascii="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1">
    <w:nsid w:val="4E8D43EE"/>
    <w:multiLevelType w:val="hybridMultilevel"/>
    <w:tmpl w:val="7D5A79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2">
    <w:nsid w:val="4EB4242A"/>
    <w:multiLevelType w:val="hybridMultilevel"/>
    <w:tmpl w:val="216C8E3A"/>
    <w:lvl w:ilvl="0" w:tplc="B05C67F0">
      <w:start w:val="1"/>
      <w:numFmt w:val="bullet"/>
      <w:lvlText w:val=""/>
      <w:lvlJc w:val="left"/>
      <w:pPr>
        <w:tabs>
          <w:tab w:val="num" w:pos="720"/>
        </w:tabs>
        <w:ind w:left="720" w:hanging="360"/>
      </w:pPr>
      <w:rPr>
        <w:rFonts w:ascii="Wingdings" w:hAnsi="Wingdings" w:hint="default"/>
      </w:rPr>
    </w:lvl>
    <w:lvl w:ilvl="1" w:tplc="C31229DC">
      <w:start w:val="2204"/>
      <w:numFmt w:val="bullet"/>
      <w:lvlText w:val="–"/>
      <w:lvlJc w:val="left"/>
      <w:pPr>
        <w:tabs>
          <w:tab w:val="num" w:pos="1440"/>
        </w:tabs>
        <w:ind w:left="1440" w:hanging="360"/>
      </w:pPr>
      <w:rPr>
        <w:rFonts w:ascii="Arial" w:hAnsi="Arial" w:hint="default"/>
      </w:rPr>
    </w:lvl>
    <w:lvl w:ilvl="2" w:tplc="503ED216">
      <w:start w:val="1"/>
      <w:numFmt w:val="bullet"/>
      <w:lvlText w:val=""/>
      <w:lvlJc w:val="left"/>
      <w:pPr>
        <w:tabs>
          <w:tab w:val="num" w:pos="2160"/>
        </w:tabs>
        <w:ind w:left="2160" w:hanging="360"/>
      </w:pPr>
      <w:rPr>
        <w:rFonts w:ascii="Wingdings" w:hAnsi="Wingdings" w:hint="default"/>
      </w:rPr>
    </w:lvl>
    <w:lvl w:ilvl="3" w:tplc="21B45864" w:tentative="1">
      <w:start w:val="1"/>
      <w:numFmt w:val="bullet"/>
      <w:lvlText w:val=""/>
      <w:lvlJc w:val="left"/>
      <w:pPr>
        <w:tabs>
          <w:tab w:val="num" w:pos="2880"/>
        </w:tabs>
        <w:ind w:left="2880" w:hanging="360"/>
      </w:pPr>
      <w:rPr>
        <w:rFonts w:ascii="Wingdings" w:hAnsi="Wingdings" w:hint="default"/>
      </w:rPr>
    </w:lvl>
    <w:lvl w:ilvl="4" w:tplc="6750CE26" w:tentative="1">
      <w:start w:val="1"/>
      <w:numFmt w:val="bullet"/>
      <w:lvlText w:val=""/>
      <w:lvlJc w:val="left"/>
      <w:pPr>
        <w:tabs>
          <w:tab w:val="num" w:pos="3600"/>
        </w:tabs>
        <w:ind w:left="3600" w:hanging="360"/>
      </w:pPr>
      <w:rPr>
        <w:rFonts w:ascii="Wingdings" w:hAnsi="Wingdings" w:hint="default"/>
      </w:rPr>
    </w:lvl>
    <w:lvl w:ilvl="5" w:tplc="1C068FCE" w:tentative="1">
      <w:start w:val="1"/>
      <w:numFmt w:val="bullet"/>
      <w:lvlText w:val=""/>
      <w:lvlJc w:val="left"/>
      <w:pPr>
        <w:tabs>
          <w:tab w:val="num" w:pos="4320"/>
        </w:tabs>
        <w:ind w:left="4320" w:hanging="360"/>
      </w:pPr>
      <w:rPr>
        <w:rFonts w:ascii="Wingdings" w:hAnsi="Wingdings" w:hint="default"/>
      </w:rPr>
    </w:lvl>
    <w:lvl w:ilvl="6" w:tplc="59822FD0" w:tentative="1">
      <w:start w:val="1"/>
      <w:numFmt w:val="bullet"/>
      <w:lvlText w:val=""/>
      <w:lvlJc w:val="left"/>
      <w:pPr>
        <w:tabs>
          <w:tab w:val="num" w:pos="5040"/>
        </w:tabs>
        <w:ind w:left="5040" w:hanging="360"/>
      </w:pPr>
      <w:rPr>
        <w:rFonts w:ascii="Wingdings" w:hAnsi="Wingdings" w:hint="default"/>
      </w:rPr>
    </w:lvl>
    <w:lvl w:ilvl="7" w:tplc="963AA448" w:tentative="1">
      <w:start w:val="1"/>
      <w:numFmt w:val="bullet"/>
      <w:lvlText w:val=""/>
      <w:lvlJc w:val="left"/>
      <w:pPr>
        <w:tabs>
          <w:tab w:val="num" w:pos="5760"/>
        </w:tabs>
        <w:ind w:left="5760" w:hanging="360"/>
      </w:pPr>
      <w:rPr>
        <w:rFonts w:ascii="Wingdings" w:hAnsi="Wingdings" w:hint="default"/>
      </w:rPr>
    </w:lvl>
    <w:lvl w:ilvl="8" w:tplc="DC8A2832" w:tentative="1">
      <w:start w:val="1"/>
      <w:numFmt w:val="bullet"/>
      <w:lvlText w:val=""/>
      <w:lvlJc w:val="left"/>
      <w:pPr>
        <w:tabs>
          <w:tab w:val="num" w:pos="6480"/>
        </w:tabs>
        <w:ind w:left="6480" w:hanging="360"/>
      </w:pPr>
      <w:rPr>
        <w:rFonts w:ascii="Wingdings" w:hAnsi="Wingdings" w:hint="default"/>
      </w:rPr>
    </w:lvl>
  </w:abstractNum>
  <w:abstractNum w:abstractNumId="383">
    <w:nsid w:val="4F287809"/>
    <w:multiLevelType w:val="hybridMultilevel"/>
    <w:tmpl w:val="79A8A1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4">
    <w:nsid w:val="4F426F52"/>
    <w:multiLevelType w:val="hybridMultilevel"/>
    <w:tmpl w:val="B43E5F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5">
    <w:nsid w:val="4F455200"/>
    <w:multiLevelType w:val="hybridMultilevel"/>
    <w:tmpl w:val="322E5E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6">
    <w:nsid w:val="4F787323"/>
    <w:multiLevelType w:val="hybridMultilevel"/>
    <w:tmpl w:val="B1E412A8"/>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87">
    <w:nsid w:val="4F94F3C2"/>
    <w:multiLevelType w:val="hybridMultilevel"/>
    <w:tmpl w:val="D18BA87F"/>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88">
    <w:nsid w:val="4FF361C6"/>
    <w:multiLevelType w:val="hybridMultilevel"/>
    <w:tmpl w:val="58FAF9B0"/>
    <w:lvl w:ilvl="0" w:tplc="04090003">
      <w:start w:val="1"/>
      <w:numFmt w:val="bullet"/>
      <w:lvlText w:val="o"/>
      <w:lvlJc w:val="left"/>
      <w:pPr>
        <w:ind w:left="720" w:hanging="360"/>
      </w:pPr>
      <w:rPr>
        <w:rFonts w:ascii="Courier New" w:hAnsi="Courier New" w:cs="Courier New"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9">
    <w:nsid w:val="4FF66365"/>
    <w:multiLevelType w:val="hybridMultilevel"/>
    <w:tmpl w:val="D86898A0"/>
    <w:lvl w:ilvl="0" w:tplc="C07258CC">
      <w:start w:val="1"/>
      <w:numFmt w:val="bullet"/>
      <w:lvlText w:val="•"/>
      <w:lvlJc w:val="left"/>
      <w:pPr>
        <w:tabs>
          <w:tab w:val="num" w:pos="720"/>
        </w:tabs>
        <w:ind w:left="720" w:hanging="360"/>
      </w:pPr>
      <w:rPr>
        <w:rFonts w:ascii="Times New Roman" w:hAnsi="Times New Roman" w:hint="default"/>
      </w:rPr>
    </w:lvl>
    <w:lvl w:ilvl="1" w:tplc="F4C6E6AA">
      <w:start w:val="1"/>
      <w:numFmt w:val="bullet"/>
      <w:lvlText w:val="•"/>
      <w:lvlJc w:val="left"/>
      <w:pPr>
        <w:tabs>
          <w:tab w:val="num" w:pos="1440"/>
        </w:tabs>
        <w:ind w:left="1440" w:hanging="360"/>
      </w:pPr>
      <w:rPr>
        <w:rFonts w:ascii="Times New Roman" w:hAnsi="Times New Roman" w:hint="default"/>
      </w:rPr>
    </w:lvl>
    <w:lvl w:ilvl="2" w:tplc="AC84E674" w:tentative="1">
      <w:start w:val="1"/>
      <w:numFmt w:val="bullet"/>
      <w:lvlText w:val="•"/>
      <w:lvlJc w:val="left"/>
      <w:pPr>
        <w:tabs>
          <w:tab w:val="num" w:pos="2160"/>
        </w:tabs>
        <w:ind w:left="2160" w:hanging="360"/>
      </w:pPr>
      <w:rPr>
        <w:rFonts w:ascii="Times New Roman" w:hAnsi="Times New Roman" w:hint="default"/>
      </w:rPr>
    </w:lvl>
    <w:lvl w:ilvl="3" w:tplc="80885C4C" w:tentative="1">
      <w:start w:val="1"/>
      <w:numFmt w:val="bullet"/>
      <w:lvlText w:val="•"/>
      <w:lvlJc w:val="left"/>
      <w:pPr>
        <w:tabs>
          <w:tab w:val="num" w:pos="2880"/>
        </w:tabs>
        <w:ind w:left="2880" w:hanging="360"/>
      </w:pPr>
      <w:rPr>
        <w:rFonts w:ascii="Times New Roman" w:hAnsi="Times New Roman" w:hint="default"/>
      </w:rPr>
    </w:lvl>
    <w:lvl w:ilvl="4" w:tplc="47EC9730" w:tentative="1">
      <w:start w:val="1"/>
      <w:numFmt w:val="bullet"/>
      <w:lvlText w:val="•"/>
      <w:lvlJc w:val="left"/>
      <w:pPr>
        <w:tabs>
          <w:tab w:val="num" w:pos="3600"/>
        </w:tabs>
        <w:ind w:left="3600" w:hanging="360"/>
      </w:pPr>
      <w:rPr>
        <w:rFonts w:ascii="Times New Roman" w:hAnsi="Times New Roman" w:hint="default"/>
      </w:rPr>
    </w:lvl>
    <w:lvl w:ilvl="5" w:tplc="9B848720" w:tentative="1">
      <w:start w:val="1"/>
      <w:numFmt w:val="bullet"/>
      <w:lvlText w:val="•"/>
      <w:lvlJc w:val="left"/>
      <w:pPr>
        <w:tabs>
          <w:tab w:val="num" w:pos="4320"/>
        </w:tabs>
        <w:ind w:left="4320" w:hanging="360"/>
      </w:pPr>
      <w:rPr>
        <w:rFonts w:ascii="Times New Roman" w:hAnsi="Times New Roman" w:hint="default"/>
      </w:rPr>
    </w:lvl>
    <w:lvl w:ilvl="6" w:tplc="720EE052" w:tentative="1">
      <w:start w:val="1"/>
      <w:numFmt w:val="bullet"/>
      <w:lvlText w:val="•"/>
      <w:lvlJc w:val="left"/>
      <w:pPr>
        <w:tabs>
          <w:tab w:val="num" w:pos="5040"/>
        </w:tabs>
        <w:ind w:left="5040" w:hanging="360"/>
      </w:pPr>
      <w:rPr>
        <w:rFonts w:ascii="Times New Roman" w:hAnsi="Times New Roman" w:hint="default"/>
      </w:rPr>
    </w:lvl>
    <w:lvl w:ilvl="7" w:tplc="622C886C" w:tentative="1">
      <w:start w:val="1"/>
      <w:numFmt w:val="bullet"/>
      <w:lvlText w:val="•"/>
      <w:lvlJc w:val="left"/>
      <w:pPr>
        <w:tabs>
          <w:tab w:val="num" w:pos="5760"/>
        </w:tabs>
        <w:ind w:left="5760" w:hanging="360"/>
      </w:pPr>
      <w:rPr>
        <w:rFonts w:ascii="Times New Roman" w:hAnsi="Times New Roman" w:hint="default"/>
      </w:rPr>
    </w:lvl>
    <w:lvl w:ilvl="8" w:tplc="1ED8BE6E" w:tentative="1">
      <w:start w:val="1"/>
      <w:numFmt w:val="bullet"/>
      <w:lvlText w:val="•"/>
      <w:lvlJc w:val="left"/>
      <w:pPr>
        <w:tabs>
          <w:tab w:val="num" w:pos="6480"/>
        </w:tabs>
        <w:ind w:left="6480" w:hanging="360"/>
      </w:pPr>
      <w:rPr>
        <w:rFonts w:ascii="Times New Roman" w:hAnsi="Times New Roman" w:hint="default"/>
      </w:rPr>
    </w:lvl>
  </w:abstractNum>
  <w:abstractNum w:abstractNumId="390">
    <w:nsid w:val="4FFC3D63"/>
    <w:multiLevelType w:val="hybridMultilevel"/>
    <w:tmpl w:val="8FDEC2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1">
    <w:nsid w:val="5005219C"/>
    <w:multiLevelType w:val="hybridMultilevel"/>
    <w:tmpl w:val="4D365F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2">
    <w:nsid w:val="50093278"/>
    <w:multiLevelType w:val="hybridMultilevel"/>
    <w:tmpl w:val="D240983C"/>
    <w:lvl w:ilvl="0" w:tplc="2B360CAE">
      <w:start w:val="1"/>
      <w:numFmt w:val="lowerLetter"/>
      <w:lvlText w:val="(%1)"/>
      <w:lvlJc w:val="left"/>
      <w:pPr>
        <w:ind w:left="1181" w:hanging="360"/>
      </w:pPr>
      <w:rPr>
        <w:rFonts w:hint="default"/>
      </w:rPr>
    </w:lvl>
    <w:lvl w:ilvl="1" w:tplc="04090019" w:tentative="1">
      <w:start w:val="1"/>
      <w:numFmt w:val="lowerLetter"/>
      <w:lvlText w:val="%2."/>
      <w:lvlJc w:val="left"/>
      <w:pPr>
        <w:ind w:left="1901" w:hanging="360"/>
      </w:pPr>
    </w:lvl>
    <w:lvl w:ilvl="2" w:tplc="0409001B" w:tentative="1">
      <w:start w:val="1"/>
      <w:numFmt w:val="lowerRoman"/>
      <w:lvlText w:val="%3."/>
      <w:lvlJc w:val="right"/>
      <w:pPr>
        <w:ind w:left="2621" w:hanging="180"/>
      </w:pPr>
    </w:lvl>
    <w:lvl w:ilvl="3" w:tplc="0409000F" w:tentative="1">
      <w:start w:val="1"/>
      <w:numFmt w:val="decimal"/>
      <w:lvlText w:val="%4."/>
      <w:lvlJc w:val="left"/>
      <w:pPr>
        <w:ind w:left="3341" w:hanging="360"/>
      </w:pPr>
    </w:lvl>
    <w:lvl w:ilvl="4" w:tplc="04090019" w:tentative="1">
      <w:start w:val="1"/>
      <w:numFmt w:val="lowerLetter"/>
      <w:lvlText w:val="%5."/>
      <w:lvlJc w:val="left"/>
      <w:pPr>
        <w:ind w:left="4061" w:hanging="360"/>
      </w:pPr>
    </w:lvl>
    <w:lvl w:ilvl="5" w:tplc="0409001B" w:tentative="1">
      <w:start w:val="1"/>
      <w:numFmt w:val="lowerRoman"/>
      <w:lvlText w:val="%6."/>
      <w:lvlJc w:val="right"/>
      <w:pPr>
        <w:ind w:left="4781" w:hanging="180"/>
      </w:pPr>
    </w:lvl>
    <w:lvl w:ilvl="6" w:tplc="0409000F" w:tentative="1">
      <w:start w:val="1"/>
      <w:numFmt w:val="decimal"/>
      <w:lvlText w:val="%7."/>
      <w:lvlJc w:val="left"/>
      <w:pPr>
        <w:ind w:left="5501" w:hanging="360"/>
      </w:pPr>
    </w:lvl>
    <w:lvl w:ilvl="7" w:tplc="04090019" w:tentative="1">
      <w:start w:val="1"/>
      <w:numFmt w:val="lowerLetter"/>
      <w:lvlText w:val="%8."/>
      <w:lvlJc w:val="left"/>
      <w:pPr>
        <w:ind w:left="6221" w:hanging="360"/>
      </w:pPr>
    </w:lvl>
    <w:lvl w:ilvl="8" w:tplc="0409001B" w:tentative="1">
      <w:start w:val="1"/>
      <w:numFmt w:val="lowerRoman"/>
      <w:lvlText w:val="%9."/>
      <w:lvlJc w:val="right"/>
      <w:pPr>
        <w:ind w:left="6941" w:hanging="180"/>
      </w:pPr>
    </w:lvl>
  </w:abstractNum>
  <w:abstractNum w:abstractNumId="393">
    <w:nsid w:val="504768D7"/>
    <w:multiLevelType w:val="hybridMultilevel"/>
    <w:tmpl w:val="8848AC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4">
    <w:nsid w:val="504E7F84"/>
    <w:multiLevelType w:val="hybridMultilevel"/>
    <w:tmpl w:val="93B03CB6"/>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3">
      <w:start w:val="1"/>
      <w:numFmt w:val="bullet"/>
      <w:lvlText w:val="o"/>
      <w:lvlJc w:val="left"/>
      <w:pPr>
        <w:ind w:left="2880" w:hanging="360"/>
      </w:pPr>
      <w:rPr>
        <w:rFonts w:ascii="Courier New" w:hAnsi="Courier New" w:cs="Courier New" w:hint="default"/>
      </w:rPr>
    </w:lvl>
    <w:lvl w:ilvl="3" w:tplc="04090003">
      <w:start w:val="1"/>
      <w:numFmt w:val="bullet"/>
      <w:lvlText w:val="o"/>
      <w:lvlJc w:val="left"/>
      <w:pPr>
        <w:ind w:left="3600" w:hanging="360"/>
      </w:pPr>
      <w:rPr>
        <w:rFonts w:ascii="Courier New" w:hAnsi="Courier New" w:cs="Courier New"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95">
    <w:nsid w:val="50824BB7"/>
    <w:multiLevelType w:val="hybridMultilevel"/>
    <w:tmpl w:val="CF1883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6">
    <w:nsid w:val="50DC51A0"/>
    <w:multiLevelType w:val="hybridMultilevel"/>
    <w:tmpl w:val="7060B220"/>
    <w:lvl w:ilvl="0" w:tplc="04090001">
      <w:start w:val="1"/>
      <w:numFmt w:val="bullet"/>
      <w:lvlText w:val=""/>
      <w:lvlJc w:val="left"/>
      <w:pPr>
        <w:tabs>
          <w:tab w:val="num" w:pos="720"/>
        </w:tabs>
        <w:ind w:left="720" w:hanging="360"/>
      </w:pPr>
      <w:rPr>
        <w:rFonts w:ascii="Symbol" w:hAnsi="Symbol" w:hint="default"/>
      </w:rPr>
    </w:lvl>
    <w:lvl w:ilvl="1" w:tplc="B06A43E0" w:tentative="1">
      <w:start w:val="1"/>
      <w:numFmt w:val="bullet"/>
      <w:lvlText w:val="•"/>
      <w:lvlJc w:val="left"/>
      <w:pPr>
        <w:tabs>
          <w:tab w:val="num" w:pos="1440"/>
        </w:tabs>
        <w:ind w:left="1440" w:hanging="360"/>
      </w:pPr>
      <w:rPr>
        <w:rFonts w:ascii="Times New Roman" w:hAnsi="Times New Roman" w:hint="default"/>
      </w:rPr>
    </w:lvl>
    <w:lvl w:ilvl="2" w:tplc="6366C5B2" w:tentative="1">
      <w:start w:val="1"/>
      <w:numFmt w:val="bullet"/>
      <w:lvlText w:val="•"/>
      <w:lvlJc w:val="left"/>
      <w:pPr>
        <w:tabs>
          <w:tab w:val="num" w:pos="2160"/>
        </w:tabs>
        <w:ind w:left="2160" w:hanging="360"/>
      </w:pPr>
      <w:rPr>
        <w:rFonts w:ascii="Times New Roman" w:hAnsi="Times New Roman" w:hint="default"/>
      </w:rPr>
    </w:lvl>
    <w:lvl w:ilvl="3" w:tplc="EDF45CDA" w:tentative="1">
      <w:start w:val="1"/>
      <w:numFmt w:val="bullet"/>
      <w:lvlText w:val="•"/>
      <w:lvlJc w:val="left"/>
      <w:pPr>
        <w:tabs>
          <w:tab w:val="num" w:pos="2880"/>
        </w:tabs>
        <w:ind w:left="2880" w:hanging="360"/>
      </w:pPr>
      <w:rPr>
        <w:rFonts w:ascii="Times New Roman" w:hAnsi="Times New Roman" w:hint="default"/>
      </w:rPr>
    </w:lvl>
    <w:lvl w:ilvl="4" w:tplc="724062E4" w:tentative="1">
      <w:start w:val="1"/>
      <w:numFmt w:val="bullet"/>
      <w:lvlText w:val="•"/>
      <w:lvlJc w:val="left"/>
      <w:pPr>
        <w:tabs>
          <w:tab w:val="num" w:pos="3600"/>
        </w:tabs>
        <w:ind w:left="3600" w:hanging="360"/>
      </w:pPr>
      <w:rPr>
        <w:rFonts w:ascii="Times New Roman" w:hAnsi="Times New Roman" w:hint="default"/>
      </w:rPr>
    </w:lvl>
    <w:lvl w:ilvl="5" w:tplc="2EC00640" w:tentative="1">
      <w:start w:val="1"/>
      <w:numFmt w:val="bullet"/>
      <w:lvlText w:val="•"/>
      <w:lvlJc w:val="left"/>
      <w:pPr>
        <w:tabs>
          <w:tab w:val="num" w:pos="4320"/>
        </w:tabs>
        <w:ind w:left="4320" w:hanging="360"/>
      </w:pPr>
      <w:rPr>
        <w:rFonts w:ascii="Times New Roman" w:hAnsi="Times New Roman" w:hint="default"/>
      </w:rPr>
    </w:lvl>
    <w:lvl w:ilvl="6" w:tplc="4342930C" w:tentative="1">
      <w:start w:val="1"/>
      <w:numFmt w:val="bullet"/>
      <w:lvlText w:val="•"/>
      <w:lvlJc w:val="left"/>
      <w:pPr>
        <w:tabs>
          <w:tab w:val="num" w:pos="5040"/>
        </w:tabs>
        <w:ind w:left="5040" w:hanging="360"/>
      </w:pPr>
      <w:rPr>
        <w:rFonts w:ascii="Times New Roman" w:hAnsi="Times New Roman" w:hint="default"/>
      </w:rPr>
    </w:lvl>
    <w:lvl w:ilvl="7" w:tplc="CC40345C" w:tentative="1">
      <w:start w:val="1"/>
      <w:numFmt w:val="bullet"/>
      <w:lvlText w:val="•"/>
      <w:lvlJc w:val="left"/>
      <w:pPr>
        <w:tabs>
          <w:tab w:val="num" w:pos="5760"/>
        </w:tabs>
        <w:ind w:left="5760" w:hanging="360"/>
      </w:pPr>
      <w:rPr>
        <w:rFonts w:ascii="Times New Roman" w:hAnsi="Times New Roman" w:hint="default"/>
      </w:rPr>
    </w:lvl>
    <w:lvl w:ilvl="8" w:tplc="10C47D64" w:tentative="1">
      <w:start w:val="1"/>
      <w:numFmt w:val="bullet"/>
      <w:lvlText w:val="•"/>
      <w:lvlJc w:val="left"/>
      <w:pPr>
        <w:tabs>
          <w:tab w:val="num" w:pos="6480"/>
        </w:tabs>
        <w:ind w:left="6480" w:hanging="360"/>
      </w:pPr>
      <w:rPr>
        <w:rFonts w:ascii="Times New Roman" w:hAnsi="Times New Roman" w:hint="default"/>
      </w:rPr>
    </w:lvl>
  </w:abstractNum>
  <w:abstractNum w:abstractNumId="397">
    <w:nsid w:val="50EB0F22"/>
    <w:multiLevelType w:val="hybridMultilevel"/>
    <w:tmpl w:val="8C3E91D0"/>
    <w:lvl w:ilvl="0" w:tplc="A5867E64">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398">
    <w:nsid w:val="5153344F"/>
    <w:multiLevelType w:val="hybridMultilevel"/>
    <w:tmpl w:val="1BA61126"/>
    <w:lvl w:ilvl="0" w:tplc="04090001">
      <w:start w:val="1"/>
      <w:numFmt w:val="bullet"/>
      <w:pStyle w:val="Keyfacts-Tex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99">
    <w:nsid w:val="51F60FC2"/>
    <w:multiLevelType w:val="multilevel"/>
    <w:tmpl w:val="9D5E9CFE"/>
    <w:lvl w:ilvl="0">
      <w:start w:val="1"/>
      <w:numFmt w:val="decimal"/>
      <w:suff w:val="nothing"/>
      <w:lvlText w:val="Section %1"/>
      <w:lvlJc w:val="left"/>
      <w:pPr>
        <w:ind w:left="0" w:firstLine="0"/>
      </w:pPr>
      <w:rPr>
        <w:rFonts w:ascii="Calibri" w:hAnsi="Calibri" w:hint="default"/>
        <w:b/>
        <w:i w:val="0"/>
        <w:color w:val="62777F" w:themeColor="text1"/>
        <w:sz w:val="36"/>
        <w:u w:val="none"/>
      </w:rPr>
    </w:lvl>
    <w:lvl w:ilvl="1">
      <w:start w:val="1"/>
      <w:numFmt w:val="decimal"/>
      <w:suff w:val="space"/>
      <w:lvlText w:val="%1.%2"/>
      <w:lvlJc w:val="left"/>
      <w:pPr>
        <w:ind w:left="0" w:firstLine="0"/>
      </w:pPr>
      <w:rPr>
        <w:rFonts w:ascii="Calibri" w:hAnsi="Calibri" w:hint="default"/>
        <w:b/>
        <w:i w:val="0"/>
        <w:color w:val="auto"/>
        <w:sz w:val="24"/>
        <w:u w:val="none"/>
      </w:rPr>
    </w:lvl>
    <w:lvl w:ilvl="2">
      <w:start w:val="1"/>
      <w:numFmt w:val="decimal"/>
      <w:suff w:val="space"/>
      <w:lvlText w:val="%1.%2.%3"/>
      <w:lvlJc w:val="left"/>
      <w:pPr>
        <w:ind w:left="0" w:firstLine="0"/>
      </w:pPr>
      <w:rPr>
        <w:rFonts w:asciiTheme="minorHAnsi" w:hAnsiTheme="minorHAnsi" w:cs="Times New Roman" w:hint="default"/>
        <w:b/>
        <w:bCs w:val="0"/>
        <w:i w:val="0"/>
        <w:iCs w:val="0"/>
        <w:caps w:val="0"/>
        <w:smallCaps w:val="0"/>
        <w:strike w:val="0"/>
        <w:dstrike w:val="0"/>
        <w:noProof w:val="0"/>
        <w:vanish w:val="0"/>
        <w:color w:val="auto"/>
        <w:spacing w:val="0"/>
        <w:kern w:val="0"/>
        <w:position w:val="0"/>
        <w:u w:val="none"/>
        <w:vertAlign w:val="baseline"/>
        <w:em w:val="none"/>
        <w:specVanish w:val="0"/>
      </w:rPr>
    </w:lvl>
    <w:lvl w:ilvl="3">
      <w:start w:val="1"/>
      <w:numFmt w:val="decimal"/>
      <w:suff w:val="space"/>
      <w:lvlText w:val="%1.%2.%3.%4"/>
      <w:lvlJc w:val="left"/>
      <w:pPr>
        <w:ind w:left="0" w:firstLine="0"/>
      </w:pPr>
      <w:rPr>
        <w:rFonts w:ascii="Calibri" w:hAnsi="Calibri" w:hint="default"/>
        <w:b w:val="0"/>
        <w:i/>
        <w:color w:val="62777F" w:themeColor="text1"/>
        <w:sz w:val="20"/>
        <w:u w:val="none"/>
      </w:rPr>
    </w:lvl>
    <w:lvl w:ilvl="4">
      <w:start w:val="1"/>
      <w:numFmt w:val="lowerLetter"/>
      <w:lvlText w:val="(%5)"/>
      <w:lvlJc w:val="left"/>
      <w:pPr>
        <w:ind w:left="900" w:firstLine="0"/>
      </w:pPr>
      <w:rPr>
        <w:rFonts w:hint="default"/>
      </w:rPr>
    </w:lvl>
    <w:lvl w:ilvl="5">
      <w:start w:val="1"/>
      <w:numFmt w:val="lowerRoman"/>
      <w:lvlText w:val="(%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400">
    <w:nsid w:val="521E13B9"/>
    <w:multiLevelType w:val="hybridMultilevel"/>
    <w:tmpl w:val="9DFEC670"/>
    <w:lvl w:ilvl="0" w:tplc="2140E6DE">
      <w:start w:val="1"/>
      <w:numFmt w:val="bullet"/>
      <w:lvlText w:val="−"/>
      <w:lvlJc w:val="left"/>
      <w:pPr>
        <w:ind w:left="1728" w:hanging="360"/>
      </w:pPr>
      <w:rPr>
        <w:rFonts w:ascii="Calibri" w:hAnsi="Calibri" w:hint="default"/>
      </w:rPr>
    </w:lvl>
    <w:lvl w:ilvl="1" w:tplc="04090003" w:tentative="1">
      <w:start w:val="1"/>
      <w:numFmt w:val="bullet"/>
      <w:lvlText w:val="o"/>
      <w:lvlJc w:val="left"/>
      <w:pPr>
        <w:ind w:left="2448" w:hanging="360"/>
      </w:pPr>
      <w:rPr>
        <w:rFonts w:ascii="Courier New" w:hAnsi="Courier New" w:cs="Courier New" w:hint="default"/>
      </w:rPr>
    </w:lvl>
    <w:lvl w:ilvl="2" w:tplc="04090005" w:tentative="1">
      <w:start w:val="1"/>
      <w:numFmt w:val="bullet"/>
      <w:lvlText w:val=""/>
      <w:lvlJc w:val="left"/>
      <w:pPr>
        <w:ind w:left="3168" w:hanging="360"/>
      </w:pPr>
      <w:rPr>
        <w:rFonts w:ascii="Wingdings" w:hAnsi="Wingdings" w:hint="default"/>
      </w:rPr>
    </w:lvl>
    <w:lvl w:ilvl="3" w:tplc="04090001" w:tentative="1">
      <w:start w:val="1"/>
      <w:numFmt w:val="bullet"/>
      <w:lvlText w:val=""/>
      <w:lvlJc w:val="left"/>
      <w:pPr>
        <w:ind w:left="3888" w:hanging="360"/>
      </w:pPr>
      <w:rPr>
        <w:rFonts w:ascii="Symbol" w:hAnsi="Symbol" w:hint="default"/>
      </w:rPr>
    </w:lvl>
    <w:lvl w:ilvl="4" w:tplc="04090003" w:tentative="1">
      <w:start w:val="1"/>
      <w:numFmt w:val="bullet"/>
      <w:lvlText w:val="o"/>
      <w:lvlJc w:val="left"/>
      <w:pPr>
        <w:ind w:left="4608" w:hanging="360"/>
      </w:pPr>
      <w:rPr>
        <w:rFonts w:ascii="Courier New" w:hAnsi="Courier New" w:cs="Courier New" w:hint="default"/>
      </w:rPr>
    </w:lvl>
    <w:lvl w:ilvl="5" w:tplc="04090005" w:tentative="1">
      <w:start w:val="1"/>
      <w:numFmt w:val="bullet"/>
      <w:lvlText w:val=""/>
      <w:lvlJc w:val="left"/>
      <w:pPr>
        <w:ind w:left="5328" w:hanging="360"/>
      </w:pPr>
      <w:rPr>
        <w:rFonts w:ascii="Wingdings" w:hAnsi="Wingdings" w:hint="default"/>
      </w:rPr>
    </w:lvl>
    <w:lvl w:ilvl="6" w:tplc="04090001" w:tentative="1">
      <w:start w:val="1"/>
      <w:numFmt w:val="bullet"/>
      <w:lvlText w:val=""/>
      <w:lvlJc w:val="left"/>
      <w:pPr>
        <w:ind w:left="6048" w:hanging="360"/>
      </w:pPr>
      <w:rPr>
        <w:rFonts w:ascii="Symbol" w:hAnsi="Symbol" w:hint="default"/>
      </w:rPr>
    </w:lvl>
    <w:lvl w:ilvl="7" w:tplc="04090003" w:tentative="1">
      <w:start w:val="1"/>
      <w:numFmt w:val="bullet"/>
      <w:lvlText w:val="o"/>
      <w:lvlJc w:val="left"/>
      <w:pPr>
        <w:ind w:left="6768" w:hanging="360"/>
      </w:pPr>
      <w:rPr>
        <w:rFonts w:ascii="Courier New" w:hAnsi="Courier New" w:cs="Courier New" w:hint="default"/>
      </w:rPr>
    </w:lvl>
    <w:lvl w:ilvl="8" w:tplc="04090005" w:tentative="1">
      <w:start w:val="1"/>
      <w:numFmt w:val="bullet"/>
      <w:lvlText w:val=""/>
      <w:lvlJc w:val="left"/>
      <w:pPr>
        <w:ind w:left="7488" w:hanging="360"/>
      </w:pPr>
      <w:rPr>
        <w:rFonts w:ascii="Wingdings" w:hAnsi="Wingdings" w:hint="default"/>
      </w:rPr>
    </w:lvl>
  </w:abstractNum>
  <w:abstractNum w:abstractNumId="401">
    <w:nsid w:val="52205F80"/>
    <w:multiLevelType w:val="hybridMultilevel"/>
    <w:tmpl w:val="F6B2C7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2">
    <w:nsid w:val="529731E7"/>
    <w:multiLevelType w:val="hybridMultilevel"/>
    <w:tmpl w:val="43603B32"/>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03">
    <w:nsid w:val="52AA0849"/>
    <w:multiLevelType w:val="hybridMultilevel"/>
    <w:tmpl w:val="2F845D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4">
    <w:nsid w:val="52FB2BA4"/>
    <w:multiLevelType w:val="hybridMultilevel"/>
    <w:tmpl w:val="DDCA1640"/>
    <w:lvl w:ilvl="0" w:tplc="04090003">
      <w:start w:val="1"/>
      <w:numFmt w:val="bullet"/>
      <w:lvlText w:val="o"/>
      <w:lvlJc w:val="left"/>
      <w:pPr>
        <w:ind w:left="1440" w:hanging="360"/>
      </w:pPr>
      <w:rPr>
        <w:rFonts w:ascii="Courier New" w:hAnsi="Courier New" w:cs="Courier New" w:hint="default"/>
        <w:sz w:val="22"/>
        <w:szCs w:val="22"/>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05">
    <w:nsid w:val="5318773E"/>
    <w:multiLevelType w:val="hybridMultilevel"/>
    <w:tmpl w:val="8D6604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6">
    <w:nsid w:val="53552E6D"/>
    <w:multiLevelType w:val="hybridMultilevel"/>
    <w:tmpl w:val="3F786A36"/>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7">
    <w:nsid w:val="53F92D14"/>
    <w:multiLevelType w:val="hybridMultilevel"/>
    <w:tmpl w:val="1D90690C"/>
    <w:lvl w:ilvl="0" w:tplc="AEC2DBEA">
      <w:start w:val="1"/>
      <w:numFmt w:val="bullet"/>
      <w:lvlText w:val=""/>
      <w:lvlJc w:val="left"/>
      <w:pPr>
        <w:ind w:left="720" w:hanging="360"/>
      </w:pPr>
      <w:rPr>
        <w:rFonts w:ascii="Symbol" w:hAnsi="Symbol" w:hint="default"/>
      </w:rPr>
    </w:lvl>
    <w:lvl w:ilvl="1" w:tplc="26F00AE8" w:tentative="1">
      <w:start w:val="1"/>
      <w:numFmt w:val="bullet"/>
      <w:lvlText w:val="o"/>
      <w:lvlJc w:val="left"/>
      <w:pPr>
        <w:ind w:left="1440" w:hanging="360"/>
      </w:pPr>
      <w:rPr>
        <w:rFonts w:ascii="Courier New" w:hAnsi="Courier New" w:cs="Courier New" w:hint="default"/>
      </w:rPr>
    </w:lvl>
    <w:lvl w:ilvl="2" w:tplc="A5260ADA" w:tentative="1">
      <w:start w:val="1"/>
      <w:numFmt w:val="bullet"/>
      <w:lvlText w:val=""/>
      <w:lvlJc w:val="left"/>
      <w:pPr>
        <w:ind w:left="2160" w:hanging="360"/>
      </w:pPr>
      <w:rPr>
        <w:rFonts w:ascii="Wingdings" w:hAnsi="Wingdings" w:hint="default"/>
      </w:rPr>
    </w:lvl>
    <w:lvl w:ilvl="3" w:tplc="86F04DD0" w:tentative="1">
      <w:start w:val="1"/>
      <w:numFmt w:val="bullet"/>
      <w:lvlText w:val=""/>
      <w:lvlJc w:val="left"/>
      <w:pPr>
        <w:ind w:left="2880" w:hanging="360"/>
      </w:pPr>
      <w:rPr>
        <w:rFonts w:ascii="Symbol" w:hAnsi="Symbol" w:hint="default"/>
      </w:rPr>
    </w:lvl>
    <w:lvl w:ilvl="4" w:tplc="8884C356" w:tentative="1">
      <w:start w:val="1"/>
      <w:numFmt w:val="bullet"/>
      <w:lvlText w:val="o"/>
      <w:lvlJc w:val="left"/>
      <w:pPr>
        <w:ind w:left="3600" w:hanging="360"/>
      </w:pPr>
      <w:rPr>
        <w:rFonts w:ascii="Courier New" w:hAnsi="Courier New" w:cs="Courier New" w:hint="default"/>
      </w:rPr>
    </w:lvl>
    <w:lvl w:ilvl="5" w:tplc="51FEEF5E" w:tentative="1">
      <w:start w:val="1"/>
      <w:numFmt w:val="bullet"/>
      <w:lvlText w:val=""/>
      <w:lvlJc w:val="left"/>
      <w:pPr>
        <w:ind w:left="4320" w:hanging="360"/>
      </w:pPr>
      <w:rPr>
        <w:rFonts w:ascii="Wingdings" w:hAnsi="Wingdings" w:hint="default"/>
      </w:rPr>
    </w:lvl>
    <w:lvl w:ilvl="6" w:tplc="8C6693E2" w:tentative="1">
      <w:start w:val="1"/>
      <w:numFmt w:val="bullet"/>
      <w:lvlText w:val=""/>
      <w:lvlJc w:val="left"/>
      <w:pPr>
        <w:ind w:left="5040" w:hanging="360"/>
      </w:pPr>
      <w:rPr>
        <w:rFonts w:ascii="Symbol" w:hAnsi="Symbol" w:hint="default"/>
      </w:rPr>
    </w:lvl>
    <w:lvl w:ilvl="7" w:tplc="A7D4FEDE" w:tentative="1">
      <w:start w:val="1"/>
      <w:numFmt w:val="bullet"/>
      <w:lvlText w:val="o"/>
      <w:lvlJc w:val="left"/>
      <w:pPr>
        <w:ind w:left="5760" w:hanging="360"/>
      </w:pPr>
      <w:rPr>
        <w:rFonts w:ascii="Courier New" w:hAnsi="Courier New" w:cs="Courier New" w:hint="default"/>
      </w:rPr>
    </w:lvl>
    <w:lvl w:ilvl="8" w:tplc="28C8EDAA" w:tentative="1">
      <w:start w:val="1"/>
      <w:numFmt w:val="bullet"/>
      <w:lvlText w:val=""/>
      <w:lvlJc w:val="left"/>
      <w:pPr>
        <w:ind w:left="6480" w:hanging="360"/>
      </w:pPr>
      <w:rPr>
        <w:rFonts w:ascii="Wingdings" w:hAnsi="Wingdings" w:hint="default"/>
      </w:rPr>
    </w:lvl>
  </w:abstractNum>
  <w:abstractNum w:abstractNumId="408">
    <w:nsid w:val="5418C2AF"/>
    <w:multiLevelType w:val="hybridMultilevel"/>
    <w:tmpl w:val="83898C0F"/>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09">
    <w:nsid w:val="54643E14"/>
    <w:multiLevelType w:val="hybridMultilevel"/>
    <w:tmpl w:val="9E7EB6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0">
    <w:nsid w:val="5499371A"/>
    <w:multiLevelType w:val="hybridMultilevel"/>
    <w:tmpl w:val="AC443F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1">
    <w:nsid w:val="54CA176D"/>
    <w:multiLevelType w:val="hybridMultilevel"/>
    <w:tmpl w:val="B59E241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12">
    <w:nsid w:val="54CA23D2"/>
    <w:multiLevelType w:val="hybridMultilevel"/>
    <w:tmpl w:val="E98E774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3">
    <w:nsid w:val="54F73D5A"/>
    <w:multiLevelType w:val="hybridMultilevel"/>
    <w:tmpl w:val="628065CE"/>
    <w:lvl w:ilvl="0" w:tplc="24309F8E">
      <w:start w:val="1"/>
      <w:numFmt w:val="bullet"/>
      <w:pStyle w:val="NoSpacing"/>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4">
    <w:nsid w:val="55003311"/>
    <w:multiLevelType w:val="hybridMultilevel"/>
    <w:tmpl w:val="E452C3A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15">
    <w:nsid w:val="556A0108"/>
    <w:multiLevelType w:val="hybridMultilevel"/>
    <w:tmpl w:val="6A329F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6">
    <w:nsid w:val="557D6D8A"/>
    <w:multiLevelType w:val="hybridMultilevel"/>
    <w:tmpl w:val="14C07E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7">
    <w:nsid w:val="55850A3A"/>
    <w:multiLevelType w:val="hybridMultilevel"/>
    <w:tmpl w:val="FA705E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8">
    <w:nsid w:val="55A27102"/>
    <w:multiLevelType w:val="multilevel"/>
    <w:tmpl w:val="598E361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19">
    <w:nsid w:val="55BD7A89"/>
    <w:multiLevelType w:val="hybridMultilevel"/>
    <w:tmpl w:val="3C201F7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0">
    <w:nsid w:val="55C35A8C"/>
    <w:multiLevelType w:val="hybridMultilevel"/>
    <w:tmpl w:val="E3F607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1">
    <w:nsid w:val="56DF690F"/>
    <w:multiLevelType w:val="hybridMultilevel"/>
    <w:tmpl w:val="7988FC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2">
    <w:nsid w:val="56F94768"/>
    <w:multiLevelType w:val="hybridMultilevel"/>
    <w:tmpl w:val="3D7E6910"/>
    <w:lvl w:ilvl="0" w:tplc="04090003">
      <w:start w:val="1"/>
      <w:numFmt w:val="bullet"/>
      <w:lvlText w:val=""/>
      <w:lvlJc w:val="left"/>
      <w:pPr>
        <w:ind w:left="720" w:hanging="360"/>
      </w:pPr>
      <w:rPr>
        <w:rFonts w:ascii="Symbol" w:hAnsi="Symbol" w:hint="default"/>
      </w:rPr>
    </w:lvl>
    <w:lvl w:ilvl="1" w:tplc="04090003">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3">
    <w:nsid w:val="570823B0"/>
    <w:multiLevelType w:val="hybridMultilevel"/>
    <w:tmpl w:val="90BAA1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4">
    <w:nsid w:val="570D4D18"/>
    <w:multiLevelType w:val="hybridMultilevel"/>
    <w:tmpl w:val="30C0AE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5">
    <w:nsid w:val="579077CF"/>
    <w:multiLevelType w:val="hybridMultilevel"/>
    <w:tmpl w:val="40D6AF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6">
    <w:nsid w:val="57ED5619"/>
    <w:multiLevelType w:val="hybridMultilevel"/>
    <w:tmpl w:val="09BAA66C"/>
    <w:lvl w:ilvl="0" w:tplc="EB4EA71A">
      <w:start w:val="1"/>
      <w:numFmt w:val="decimal"/>
      <w:lvlText w:val="%1."/>
      <w:lvlJc w:val="left"/>
      <w:pPr>
        <w:ind w:left="720" w:hanging="360"/>
      </w:pPr>
      <w:rPr>
        <w:b w:val="0"/>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427">
    <w:nsid w:val="5818596C"/>
    <w:multiLevelType w:val="hybridMultilevel"/>
    <w:tmpl w:val="790681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8">
    <w:nsid w:val="58A27C07"/>
    <w:multiLevelType w:val="hybridMultilevel"/>
    <w:tmpl w:val="18025BB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9">
    <w:nsid w:val="58E335EC"/>
    <w:multiLevelType w:val="hybridMultilevel"/>
    <w:tmpl w:val="B6683D40"/>
    <w:lvl w:ilvl="0" w:tplc="4A8C3926">
      <w:start w:val="1"/>
      <w:numFmt w:val="bullet"/>
      <w:lvlText w:val="•"/>
      <w:lvlJc w:val="left"/>
      <w:pPr>
        <w:tabs>
          <w:tab w:val="num" w:pos="720"/>
        </w:tabs>
        <w:ind w:left="720" w:hanging="360"/>
      </w:pPr>
      <w:rPr>
        <w:rFonts w:ascii="Arial" w:hAnsi="Arial" w:hint="default"/>
      </w:rPr>
    </w:lvl>
    <w:lvl w:ilvl="1" w:tplc="D2C6946E" w:tentative="1">
      <w:start w:val="1"/>
      <w:numFmt w:val="bullet"/>
      <w:lvlText w:val="•"/>
      <w:lvlJc w:val="left"/>
      <w:pPr>
        <w:tabs>
          <w:tab w:val="num" w:pos="1440"/>
        </w:tabs>
        <w:ind w:left="1440" w:hanging="360"/>
      </w:pPr>
      <w:rPr>
        <w:rFonts w:ascii="Arial" w:hAnsi="Arial" w:hint="default"/>
      </w:rPr>
    </w:lvl>
    <w:lvl w:ilvl="2" w:tplc="D7FEC5D2" w:tentative="1">
      <w:start w:val="1"/>
      <w:numFmt w:val="bullet"/>
      <w:lvlText w:val="•"/>
      <w:lvlJc w:val="left"/>
      <w:pPr>
        <w:tabs>
          <w:tab w:val="num" w:pos="2160"/>
        </w:tabs>
        <w:ind w:left="2160" w:hanging="360"/>
      </w:pPr>
      <w:rPr>
        <w:rFonts w:ascii="Arial" w:hAnsi="Arial" w:hint="default"/>
      </w:rPr>
    </w:lvl>
    <w:lvl w:ilvl="3" w:tplc="B29C8F62" w:tentative="1">
      <w:start w:val="1"/>
      <w:numFmt w:val="bullet"/>
      <w:lvlText w:val="•"/>
      <w:lvlJc w:val="left"/>
      <w:pPr>
        <w:tabs>
          <w:tab w:val="num" w:pos="2880"/>
        </w:tabs>
        <w:ind w:left="2880" w:hanging="360"/>
      </w:pPr>
      <w:rPr>
        <w:rFonts w:ascii="Arial" w:hAnsi="Arial" w:hint="default"/>
      </w:rPr>
    </w:lvl>
    <w:lvl w:ilvl="4" w:tplc="1B1A2654" w:tentative="1">
      <w:start w:val="1"/>
      <w:numFmt w:val="bullet"/>
      <w:lvlText w:val="•"/>
      <w:lvlJc w:val="left"/>
      <w:pPr>
        <w:tabs>
          <w:tab w:val="num" w:pos="3600"/>
        </w:tabs>
        <w:ind w:left="3600" w:hanging="360"/>
      </w:pPr>
      <w:rPr>
        <w:rFonts w:ascii="Arial" w:hAnsi="Arial" w:hint="default"/>
      </w:rPr>
    </w:lvl>
    <w:lvl w:ilvl="5" w:tplc="D6BED250" w:tentative="1">
      <w:start w:val="1"/>
      <w:numFmt w:val="bullet"/>
      <w:lvlText w:val="•"/>
      <w:lvlJc w:val="left"/>
      <w:pPr>
        <w:tabs>
          <w:tab w:val="num" w:pos="4320"/>
        </w:tabs>
        <w:ind w:left="4320" w:hanging="360"/>
      </w:pPr>
      <w:rPr>
        <w:rFonts w:ascii="Arial" w:hAnsi="Arial" w:hint="default"/>
      </w:rPr>
    </w:lvl>
    <w:lvl w:ilvl="6" w:tplc="F61A0D56" w:tentative="1">
      <w:start w:val="1"/>
      <w:numFmt w:val="bullet"/>
      <w:lvlText w:val="•"/>
      <w:lvlJc w:val="left"/>
      <w:pPr>
        <w:tabs>
          <w:tab w:val="num" w:pos="5040"/>
        </w:tabs>
        <w:ind w:left="5040" w:hanging="360"/>
      </w:pPr>
      <w:rPr>
        <w:rFonts w:ascii="Arial" w:hAnsi="Arial" w:hint="default"/>
      </w:rPr>
    </w:lvl>
    <w:lvl w:ilvl="7" w:tplc="15E8ED16" w:tentative="1">
      <w:start w:val="1"/>
      <w:numFmt w:val="bullet"/>
      <w:lvlText w:val="•"/>
      <w:lvlJc w:val="left"/>
      <w:pPr>
        <w:tabs>
          <w:tab w:val="num" w:pos="5760"/>
        </w:tabs>
        <w:ind w:left="5760" w:hanging="360"/>
      </w:pPr>
      <w:rPr>
        <w:rFonts w:ascii="Arial" w:hAnsi="Arial" w:hint="default"/>
      </w:rPr>
    </w:lvl>
    <w:lvl w:ilvl="8" w:tplc="2A58F91A" w:tentative="1">
      <w:start w:val="1"/>
      <w:numFmt w:val="bullet"/>
      <w:lvlText w:val="•"/>
      <w:lvlJc w:val="left"/>
      <w:pPr>
        <w:tabs>
          <w:tab w:val="num" w:pos="6480"/>
        </w:tabs>
        <w:ind w:left="6480" w:hanging="360"/>
      </w:pPr>
      <w:rPr>
        <w:rFonts w:ascii="Arial" w:hAnsi="Arial" w:hint="default"/>
      </w:rPr>
    </w:lvl>
  </w:abstractNum>
  <w:abstractNum w:abstractNumId="430">
    <w:nsid w:val="593F0CD9"/>
    <w:multiLevelType w:val="hybridMultilevel"/>
    <w:tmpl w:val="155CEFD2"/>
    <w:lvl w:ilvl="0" w:tplc="12848DAE">
      <w:start w:val="1"/>
      <w:numFmt w:val="bullet"/>
      <w:lvlText w:val=""/>
      <w:lvlJc w:val="left"/>
      <w:pPr>
        <w:ind w:left="720" w:hanging="360"/>
      </w:pPr>
      <w:rPr>
        <w:rFonts w:ascii="Symbol" w:hAnsi="Symbol" w:hint="default"/>
      </w:rPr>
    </w:lvl>
    <w:lvl w:ilvl="1" w:tplc="CE540734" w:tentative="1">
      <w:start w:val="1"/>
      <w:numFmt w:val="bullet"/>
      <w:lvlText w:val="o"/>
      <w:lvlJc w:val="left"/>
      <w:pPr>
        <w:ind w:left="1440" w:hanging="360"/>
      </w:pPr>
      <w:rPr>
        <w:rFonts w:ascii="Courier New" w:hAnsi="Courier New" w:cs="Courier New" w:hint="default"/>
      </w:rPr>
    </w:lvl>
    <w:lvl w:ilvl="2" w:tplc="BF0E0A5E" w:tentative="1">
      <w:start w:val="1"/>
      <w:numFmt w:val="bullet"/>
      <w:lvlText w:val=""/>
      <w:lvlJc w:val="left"/>
      <w:pPr>
        <w:ind w:left="2160" w:hanging="360"/>
      </w:pPr>
      <w:rPr>
        <w:rFonts w:ascii="Wingdings" w:hAnsi="Wingdings" w:hint="default"/>
      </w:rPr>
    </w:lvl>
    <w:lvl w:ilvl="3" w:tplc="166EFEAC" w:tentative="1">
      <w:start w:val="1"/>
      <w:numFmt w:val="bullet"/>
      <w:lvlText w:val=""/>
      <w:lvlJc w:val="left"/>
      <w:pPr>
        <w:ind w:left="2880" w:hanging="360"/>
      </w:pPr>
      <w:rPr>
        <w:rFonts w:ascii="Symbol" w:hAnsi="Symbol" w:hint="default"/>
      </w:rPr>
    </w:lvl>
    <w:lvl w:ilvl="4" w:tplc="CCB6DE78" w:tentative="1">
      <w:start w:val="1"/>
      <w:numFmt w:val="bullet"/>
      <w:lvlText w:val="o"/>
      <w:lvlJc w:val="left"/>
      <w:pPr>
        <w:ind w:left="3600" w:hanging="360"/>
      </w:pPr>
      <w:rPr>
        <w:rFonts w:ascii="Courier New" w:hAnsi="Courier New" w:cs="Courier New" w:hint="default"/>
      </w:rPr>
    </w:lvl>
    <w:lvl w:ilvl="5" w:tplc="1F78B5C6" w:tentative="1">
      <w:start w:val="1"/>
      <w:numFmt w:val="bullet"/>
      <w:lvlText w:val=""/>
      <w:lvlJc w:val="left"/>
      <w:pPr>
        <w:ind w:left="4320" w:hanging="360"/>
      </w:pPr>
      <w:rPr>
        <w:rFonts w:ascii="Wingdings" w:hAnsi="Wingdings" w:hint="default"/>
      </w:rPr>
    </w:lvl>
    <w:lvl w:ilvl="6" w:tplc="F3FE13AC" w:tentative="1">
      <w:start w:val="1"/>
      <w:numFmt w:val="bullet"/>
      <w:lvlText w:val=""/>
      <w:lvlJc w:val="left"/>
      <w:pPr>
        <w:ind w:left="5040" w:hanging="360"/>
      </w:pPr>
      <w:rPr>
        <w:rFonts w:ascii="Symbol" w:hAnsi="Symbol" w:hint="default"/>
      </w:rPr>
    </w:lvl>
    <w:lvl w:ilvl="7" w:tplc="F5044C2E" w:tentative="1">
      <w:start w:val="1"/>
      <w:numFmt w:val="bullet"/>
      <w:lvlText w:val="o"/>
      <w:lvlJc w:val="left"/>
      <w:pPr>
        <w:ind w:left="5760" w:hanging="360"/>
      </w:pPr>
      <w:rPr>
        <w:rFonts w:ascii="Courier New" w:hAnsi="Courier New" w:cs="Courier New" w:hint="default"/>
      </w:rPr>
    </w:lvl>
    <w:lvl w:ilvl="8" w:tplc="FACCFE98" w:tentative="1">
      <w:start w:val="1"/>
      <w:numFmt w:val="bullet"/>
      <w:lvlText w:val=""/>
      <w:lvlJc w:val="left"/>
      <w:pPr>
        <w:ind w:left="6480" w:hanging="360"/>
      </w:pPr>
      <w:rPr>
        <w:rFonts w:ascii="Wingdings" w:hAnsi="Wingdings" w:hint="default"/>
      </w:rPr>
    </w:lvl>
  </w:abstractNum>
  <w:abstractNum w:abstractNumId="431">
    <w:nsid w:val="59445097"/>
    <w:multiLevelType w:val="hybridMultilevel"/>
    <w:tmpl w:val="ED9AF45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32">
    <w:nsid w:val="5987699F"/>
    <w:multiLevelType w:val="hybridMultilevel"/>
    <w:tmpl w:val="7EA88AC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3">
    <w:nsid w:val="59A10116"/>
    <w:multiLevelType w:val="hybridMultilevel"/>
    <w:tmpl w:val="8767FE1B"/>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34">
    <w:nsid w:val="59B53637"/>
    <w:multiLevelType w:val="hybridMultilevel"/>
    <w:tmpl w:val="56FC7D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5">
    <w:nsid w:val="5A1638CD"/>
    <w:multiLevelType w:val="hybridMultilevel"/>
    <w:tmpl w:val="86481E2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6">
    <w:nsid w:val="5A5B2A8C"/>
    <w:multiLevelType w:val="hybridMultilevel"/>
    <w:tmpl w:val="329AAAF8"/>
    <w:lvl w:ilvl="0" w:tplc="0B8A1DBA">
      <w:start w:val="1"/>
      <w:numFmt w:val="bullet"/>
      <w:lvlText w:val=""/>
      <w:lvlJc w:val="left"/>
      <w:pPr>
        <w:ind w:left="720" w:hanging="360"/>
      </w:pPr>
      <w:rPr>
        <w:rFonts w:ascii="Symbol" w:hAnsi="Symbol" w:hint="default"/>
      </w:rPr>
    </w:lvl>
    <w:lvl w:ilvl="1" w:tplc="D5BAB7AC" w:tentative="1">
      <w:start w:val="1"/>
      <w:numFmt w:val="bullet"/>
      <w:lvlText w:val="o"/>
      <w:lvlJc w:val="left"/>
      <w:pPr>
        <w:ind w:left="1440" w:hanging="360"/>
      </w:pPr>
      <w:rPr>
        <w:rFonts w:ascii="Courier New" w:hAnsi="Courier New" w:cs="Courier New" w:hint="default"/>
      </w:rPr>
    </w:lvl>
    <w:lvl w:ilvl="2" w:tplc="F8F8D210" w:tentative="1">
      <w:start w:val="1"/>
      <w:numFmt w:val="bullet"/>
      <w:lvlText w:val=""/>
      <w:lvlJc w:val="left"/>
      <w:pPr>
        <w:ind w:left="2160" w:hanging="360"/>
      </w:pPr>
      <w:rPr>
        <w:rFonts w:ascii="Wingdings" w:hAnsi="Wingdings" w:hint="default"/>
      </w:rPr>
    </w:lvl>
    <w:lvl w:ilvl="3" w:tplc="632CEEF6" w:tentative="1">
      <w:start w:val="1"/>
      <w:numFmt w:val="bullet"/>
      <w:lvlText w:val=""/>
      <w:lvlJc w:val="left"/>
      <w:pPr>
        <w:ind w:left="2880" w:hanging="360"/>
      </w:pPr>
      <w:rPr>
        <w:rFonts w:ascii="Symbol" w:hAnsi="Symbol" w:hint="default"/>
      </w:rPr>
    </w:lvl>
    <w:lvl w:ilvl="4" w:tplc="12A0F8F0" w:tentative="1">
      <w:start w:val="1"/>
      <w:numFmt w:val="bullet"/>
      <w:lvlText w:val="o"/>
      <w:lvlJc w:val="left"/>
      <w:pPr>
        <w:ind w:left="3600" w:hanging="360"/>
      </w:pPr>
      <w:rPr>
        <w:rFonts w:ascii="Courier New" w:hAnsi="Courier New" w:cs="Courier New" w:hint="default"/>
      </w:rPr>
    </w:lvl>
    <w:lvl w:ilvl="5" w:tplc="AF0CDBFC" w:tentative="1">
      <w:start w:val="1"/>
      <w:numFmt w:val="bullet"/>
      <w:lvlText w:val=""/>
      <w:lvlJc w:val="left"/>
      <w:pPr>
        <w:ind w:left="4320" w:hanging="360"/>
      </w:pPr>
      <w:rPr>
        <w:rFonts w:ascii="Wingdings" w:hAnsi="Wingdings" w:hint="default"/>
      </w:rPr>
    </w:lvl>
    <w:lvl w:ilvl="6" w:tplc="DD3E21DC" w:tentative="1">
      <w:start w:val="1"/>
      <w:numFmt w:val="bullet"/>
      <w:lvlText w:val=""/>
      <w:lvlJc w:val="left"/>
      <w:pPr>
        <w:ind w:left="5040" w:hanging="360"/>
      </w:pPr>
      <w:rPr>
        <w:rFonts w:ascii="Symbol" w:hAnsi="Symbol" w:hint="default"/>
      </w:rPr>
    </w:lvl>
    <w:lvl w:ilvl="7" w:tplc="388CA902" w:tentative="1">
      <w:start w:val="1"/>
      <w:numFmt w:val="bullet"/>
      <w:lvlText w:val="o"/>
      <w:lvlJc w:val="left"/>
      <w:pPr>
        <w:ind w:left="5760" w:hanging="360"/>
      </w:pPr>
      <w:rPr>
        <w:rFonts w:ascii="Courier New" w:hAnsi="Courier New" w:cs="Courier New" w:hint="default"/>
      </w:rPr>
    </w:lvl>
    <w:lvl w:ilvl="8" w:tplc="436C1424" w:tentative="1">
      <w:start w:val="1"/>
      <w:numFmt w:val="bullet"/>
      <w:lvlText w:val=""/>
      <w:lvlJc w:val="left"/>
      <w:pPr>
        <w:ind w:left="6480" w:hanging="360"/>
      </w:pPr>
      <w:rPr>
        <w:rFonts w:ascii="Wingdings" w:hAnsi="Wingdings" w:hint="default"/>
      </w:rPr>
    </w:lvl>
  </w:abstractNum>
  <w:abstractNum w:abstractNumId="437">
    <w:nsid w:val="5A64707F"/>
    <w:multiLevelType w:val="hybridMultilevel"/>
    <w:tmpl w:val="F29A965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8">
    <w:nsid w:val="5AB22E8D"/>
    <w:multiLevelType w:val="hybridMultilevel"/>
    <w:tmpl w:val="157EC994"/>
    <w:lvl w:ilvl="0" w:tplc="04090001">
      <w:start w:val="1"/>
      <w:numFmt w:val="lowerLetter"/>
      <w:lvlText w:val="(%1)"/>
      <w:lvlJc w:val="left"/>
      <w:pPr>
        <w:ind w:left="1084" w:hanging="360"/>
      </w:pPr>
      <w:rPr>
        <w:rFonts w:ascii="Arial" w:hAnsi="Arial" w:hint="default"/>
      </w:rPr>
    </w:lvl>
    <w:lvl w:ilvl="1" w:tplc="04090003" w:tentative="1">
      <w:start w:val="1"/>
      <w:numFmt w:val="lowerLetter"/>
      <w:lvlText w:val="%2."/>
      <w:lvlJc w:val="left"/>
      <w:pPr>
        <w:ind w:left="1804" w:hanging="360"/>
      </w:pPr>
    </w:lvl>
    <w:lvl w:ilvl="2" w:tplc="04090005" w:tentative="1">
      <w:start w:val="1"/>
      <w:numFmt w:val="lowerRoman"/>
      <w:lvlText w:val="%3."/>
      <w:lvlJc w:val="right"/>
      <w:pPr>
        <w:ind w:left="2524" w:hanging="180"/>
      </w:pPr>
    </w:lvl>
    <w:lvl w:ilvl="3" w:tplc="04090001" w:tentative="1">
      <w:start w:val="1"/>
      <w:numFmt w:val="decimal"/>
      <w:lvlText w:val="%4."/>
      <w:lvlJc w:val="left"/>
      <w:pPr>
        <w:ind w:left="3244" w:hanging="360"/>
      </w:pPr>
    </w:lvl>
    <w:lvl w:ilvl="4" w:tplc="04090003" w:tentative="1">
      <w:start w:val="1"/>
      <w:numFmt w:val="lowerLetter"/>
      <w:lvlText w:val="%5."/>
      <w:lvlJc w:val="left"/>
      <w:pPr>
        <w:ind w:left="3964" w:hanging="360"/>
      </w:pPr>
    </w:lvl>
    <w:lvl w:ilvl="5" w:tplc="04090005" w:tentative="1">
      <w:start w:val="1"/>
      <w:numFmt w:val="lowerRoman"/>
      <w:lvlText w:val="%6."/>
      <w:lvlJc w:val="right"/>
      <w:pPr>
        <w:ind w:left="4684" w:hanging="180"/>
      </w:pPr>
    </w:lvl>
    <w:lvl w:ilvl="6" w:tplc="04090001" w:tentative="1">
      <w:start w:val="1"/>
      <w:numFmt w:val="decimal"/>
      <w:lvlText w:val="%7."/>
      <w:lvlJc w:val="left"/>
      <w:pPr>
        <w:ind w:left="5404" w:hanging="360"/>
      </w:pPr>
    </w:lvl>
    <w:lvl w:ilvl="7" w:tplc="04090003" w:tentative="1">
      <w:start w:val="1"/>
      <w:numFmt w:val="lowerLetter"/>
      <w:lvlText w:val="%8."/>
      <w:lvlJc w:val="left"/>
      <w:pPr>
        <w:ind w:left="6124" w:hanging="360"/>
      </w:pPr>
    </w:lvl>
    <w:lvl w:ilvl="8" w:tplc="04090005" w:tentative="1">
      <w:start w:val="1"/>
      <w:numFmt w:val="lowerRoman"/>
      <w:lvlText w:val="%9."/>
      <w:lvlJc w:val="right"/>
      <w:pPr>
        <w:ind w:left="6844" w:hanging="180"/>
      </w:pPr>
    </w:lvl>
  </w:abstractNum>
  <w:abstractNum w:abstractNumId="439">
    <w:nsid w:val="5AB81DF6"/>
    <w:multiLevelType w:val="hybridMultilevel"/>
    <w:tmpl w:val="9C9805C8"/>
    <w:lvl w:ilvl="0" w:tplc="79680D68">
      <w:start w:val="1"/>
      <w:numFmt w:val="lowerLetter"/>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440">
    <w:nsid w:val="5AC91A98"/>
    <w:multiLevelType w:val="hybridMultilevel"/>
    <w:tmpl w:val="FED259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1">
    <w:nsid w:val="5B1B52FB"/>
    <w:multiLevelType w:val="hybridMultilevel"/>
    <w:tmpl w:val="567C63BE"/>
    <w:lvl w:ilvl="0" w:tplc="D0BE8334">
      <w:start w:val="1"/>
      <w:numFmt w:val="lowerLetter"/>
      <w:lvlText w:val="(%1)"/>
      <w:lvlJc w:val="left"/>
      <w:pPr>
        <w:ind w:left="-151" w:hanging="360"/>
      </w:pPr>
      <w:rPr>
        <w:rFonts w:hint="default"/>
        <w:b w:val="0"/>
      </w:rPr>
    </w:lvl>
    <w:lvl w:ilvl="1" w:tplc="04090019" w:tentative="1">
      <w:start w:val="1"/>
      <w:numFmt w:val="lowerLetter"/>
      <w:lvlText w:val="%2."/>
      <w:lvlJc w:val="left"/>
      <w:pPr>
        <w:ind w:left="569" w:hanging="360"/>
      </w:pPr>
    </w:lvl>
    <w:lvl w:ilvl="2" w:tplc="0409001B" w:tentative="1">
      <w:start w:val="1"/>
      <w:numFmt w:val="lowerRoman"/>
      <w:lvlText w:val="%3."/>
      <w:lvlJc w:val="right"/>
      <w:pPr>
        <w:ind w:left="1289" w:hanging="180"/>
      </w:pPr>
    </w:lvl>
    <w:lvl w:ilvl="3" w:tplc="0409000F" w:tentative="1">
      <w:start w:val="1"/>
      <w:numFmt w:val="decimal"/>
      <w:lvlText w:val="%4."/>
      <w:lvlJc w:val="left"/>
      <w:pPr>
        <w:ind w:left="2009" w:hanging="360"/>
      </w:pPr>
    </w:lvl>
    <w:lvl w:ilvl="4" w:tplc="04090019" w:tentative="1">
      <w:start w:val="1"/>
      <w:numFmt w:val="lowerLetter"/>
      <w:lvlText w:val="%5."/>
      <w:lvlJc w:val="left"/>
      <w:pPr>
        <w:ind w:left="2729" w:hanging="360"/>
      </w:pPr>
    </w:lvl>
    <w:lvl w:ilvl="5" w:tplc="0409001B" w:tentative="1">
      <w:start w:val="1"/>
      <w:numFmt w:val="lowerRoman"/>
      <w:lvlText w:val="%6."/>
      <w:lvlJc w:val="right"/>
      <w:pPr>
        <w:ind w:left="3449" w:hanging="180"/>
      </w:pPr>
    </w:lvl>
    <w:lvl w:ilvl="6" w:tplc="0409000F" w:tentative="1">
      <w:start w:val="1"/>
      <w:numFmt w:val="decimal"/>
      <w:lvlText w:val="%7."/>
      <w:lvlJc w:val="left"/>
      <w:pPr>
        <w:ind w:left="4169" w:hanging="360"/>
      </w:pPr>
    </w:lvl>
    <w:lvl w:ilvl="7" w:tplc="04090019" w:tentative="1">
      <w:start w:val="1"/>
      <w:numFmt w:val="lowerLetter"/>
      <w:lvlText w:val="%8."/>
      <w:lvlJc w:val="left"/>
      <w:pPr>
        <w:ind w:left="4889" w:hanging="360"/>
      </w:pPr>
    </w:lvl>
    <w:lvl w:ilvl="8" w:tplc="0409001B" w:tentative="1">
      <w:start w:val="1"/>
      <w:numFmt w:val="lowerRoman"/>
      <w:lvlText w:val="%9."/>
      <w:lvlJc w:val="right"/>
      <w:pPr>
        <w:ind w:left="5609" w:hanging="180"/>
      </w:pPr>
    </w:lvl>
  </w:abstractNum>
  <w:abstractNum w:abstractNumId="442">
    <w:nsid w:val="5BA62672"/>
    <w:multiLevelType w:val="hybridMultilevel"/>
    <w:tmpl w:val="2DA68CE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43">
    <w:nsid w:val="5BEA56EF"/>
    <w:multiLevelType w:val="hybridMultilevel"/>
    <w:tmpl w:val="1B1EC316"/>
    <w:lvl w:ilvl="0" w:tplc="3D1EFE0E">
      <w:start w:val="3"/>
      <w:numFmt w:val="lowerLetter"/>
      <w:lvlText w:val="(%1)"/>
      <w:lvlJc w:val="left"/>
      <w:pPr>
        <w:tabs>
          <w:tab w:val="num" w:pos="360"/>
        </w:tabs>
        <w:ind w:left="360" w:hanging="360"/>
      </w:pPr>
      <w:rPr>
        <w:rFonts w:cs="Times New Roman"/>
      </w:rPr>
    </w:lvl>
    <w:lvl w:ilvl="1" w:tplc="04090019">
      <w:start w:val="1"/>
      <w:numFmt w:val="bullet"/>
      <w:lvlText w:val=""/>
      <w:lvlJc w:val="left"/>
      <w:pPr>
        <w:tabs>
          <w:tab w:val="num" w:pos="1440"/>
        </w:tabs>
        <w:ind w:left="1440" w:hanging="360"/>
      </w:pPr>
      <w:rPr>
        <w:rFonts w:ascii="Symbol" w:hAnsi="Symbol" w:hint="default"/>
      </w:rPr>
    </w:lvl>
    <w:lvl w:ilvl="2" w:tplc="0409001B" w:tentative="1">
      <w:start w:val="1"/>
      <w:numFmt w:val="lowerLetter"/>
      <w:lvlText w:val="(%3)"/>
      <w:lvlJc w:val="left"/>
      <w:pPr>
        <w:tabs>
          <w:tab w:val="num" w:pos="2160"/>
        </w:tabs>
        <w:ind w:left="2160" w:hanging="360"/>
      </w:pPr>
      <w:rPr>
        <w:rFonts w:cs="Times New Roman"/>
      </w:rPr>
    </w:lvl>
    <w:lvl w:ilvl="3" w:tplc="0409000F" w:tentative="1">
      <w:start w:val="1"/>
      <w:numFmt w:val="lowerLetter"/>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Letter"/>
      <w:lvlText w:val="(%6)"/>
      <w:lvlJc w:val="left"/>
      <w:pPr>
        <w:tabs>
          <w:tab w:val="num" w:pos="4320"/>
        </w:tabs>
        <w:ind w:left="4320" w:hanging="360"/>
      </w:pPr>
      <w:rPr>
        <w:rFonts w:cs="Times New Roman"/>
      </w:rPr>
    </w:lvl>
    <w:lvl w:ilvl="6" w:tplc="0409000F" w:tentative="1">
      <w:start w:val="1"/>
      <w:numFmt w:val="lowerLetter"/>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Letter"/>
      <w:lvlText w:val="(%9)"/>
      <w:lvlJc w:val="left"/>
      <w:pPr>
        <w:tabs>
          <w:tab w:val="num" w:pos="6480"/>
        </w:tabs>
        <w:ind w:left="6480" w:hanging="360"/>
      </w:pPr>
      <w:rPr>
        <w:rFonts w:cs="Times New Roman"/>
      </w:rPr>
    </w:lvl>
  </w:abstractNum>
  <w:abstractNum w:abstractNumId="444">
    <w:nsid w:val="5C0F755C"/>
    <w:multiLevelType w:val="hybridMultilevel"/>
    <w:tmpl w:val="F226549A"/>
    <w:lvl w:ilvl="0" w:tplc="BE88E404">
      <w:start w:val="1"/>
      <w:numFmt w:val="lowerLetter"/>
      <w:lvlText w:val="(%1)"/>
      <w:lvlJc w:val="left"/>
      <w:pPr>
        <w:ind w:left="360" w:hanging="360"/>
      </w:pPr>
      <w:rPr>
        <w:rFonts w:hint="default"/>
      </w:rPr>
    </w:lvl>
    <w:lvl w:ilvl="1" w:tplc="04090001" w:tentative="1">
      <w:start w:val="1"/>
      <w:numFmt w:val="lowerLetter"/>
      <w:lvlText w:val="%2."/>
      <w:lvlJc w:val="left"/>
      <w:pPr>
        <w:ind w:left="1080" w:hanging="360"/>
      </w:pPr>
    </w:lvl>
    <w:lvl w:ilvl="2" w:tplc="A13E3792" w:tentative="1">
      <w:start w:val="1"/>
      <w:numFmt w:val="lowerRoman"/>
      <w:lvlText w:val="%3."/>
      <w:lvlJc w:val="right"/>
      <w:pPr>
        <w:ind w:left="1800" w:hanging="180"/>
      </w:pPr>
    </w:lvl>
    <w:lvl w:ilvl="3" w:tplc="5D06395C" w:tentative="1">
      <w:start w:val="1"/>
      <w:numFmt w:val="decimal"/>
      <w:lvlText w:val="%4."/>
      <w:lvlJc w:val="left"/>
      <w:pPr>
        <w:ind w:left="2520" w:hanging="360"/>
      </w:pPr>
    </w:lvl>
    <w:lvl w:ilvl="4" w:tplc="0590AED6" w:tentative="1">
      <w:start w:val="1"/>
      <w:numFmt w:val="lowerLetter"/>
      <w:lvlText w:val="%5."/>
      <w:lvlJc w:val="left"/>
      <w:pPr>
        <w:ind w:left="3240" w:hanging="360"/>
      </w:pPr>
    </w:lvl>
    <w:lvl w:ilvl="5" w:tplc="D8189DC0" w:tentative="1">
      <w:start w:val="1"/>
      <w:numFmt w:val="lowerRoman"/>
      <w:lvlText w:val="%6."/>
      <w:lvlJc w:val="right"/>
      <w:pPr>
        <w:ind w:left="3960" w:hanging="180"/>
      </w:pPr>
    </w:lvl>
    <w:lvl w:ilvl="6" w:tplc="7BB407E4" w:tentative="1">
      <w:start w:val="1"/>
      <w:numFmt w:val="decimal"/>
      <w:lvlText w:val="%7."/>
      <w:lvlJc w:val="left"/>
      <w:pPr>
        <w:ind w:left="4680" w:hanging="360"/>
      </w:pPr>
    </w:lvl>
    <w:lvl w:ilvl="7" w:tplc="07EA102E" w:tentative="1">
      <w:start w:val="1"/>
      <w:numFmt w:val="lowerLetter"/>
      <w:lvlText w:val="%8."/>
      <w:lvlJc w:val="left"/>
      <w:pPr>
        <w:ind w:left="5400" w:hanging="360"/>
      </w:pPr>
    </w:lvl>
    <w:lvl w:ilvl="8" w:tplc="209C8316" w:tentative="1">
      <w:start w:val="1"/>
      <w:numFmt w:val="lowerRoman"/>
      <w:lvlText w:val="%9."/>
      <w:lvlJc w:val="right"/>
      <w:pPr>
        <w:ind w:left="6120" w:hanging="180"/>
      </w:pPr>
    </w:lvl>
  </w:abstractNum>
  <w:abstractNum w:abstractNumId="445">
    <w:nsid w:val="5C323155"/>
    <w:multiLevelType w:val="hybridMultilevel"/>
    <w:tmpl w:val="69B80F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6">
    <w:nsid w:val="5CA1634C"/>
    <w:multiLevelType w:val="hybridMultilevel"/>
    <w:tmpl w:val="72CA0ED6"/>
    <w:lvl w:ilvl="0" w:tplc="57548EB4">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447">
    <w:nsid w:val="5DDE5076"/>
    <w:multiLevelType w:val="hybridMultilevel"/>
    <w:tmpl w:val="10CCC7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8">
    <w:nsid w:val="5E1336BA"/>
    <w:multiLevelType w:val="hybridMultilevel"/>
    <w:tmpl w:val="63E47D1A"/>
    <w:lvl w:ilvl="0" w:tplc="04090001">
      <w:start w:val="1"/>
      <w:numFmt w:val="bullet"/>
      <w:lvlText w:val=""/>
      <w:lvlJc w:val="left"/>
      <w:pPr>
        <w:ind w:left="360" w:hanging="360"/>
      </w:pPr>
      <w:rPr>
        <w:rFonts w:ascii="Symbol" w:hAnsi="Symbol" w:hint="default"/>
        <w:sz w:val="22"/>
        <w:szCs w:val="22"/>
      </w:rPr>
    </w:lvl>
    <w:lvl w:ilvl="1" w:tplc="04090003">
      <w:start w:val="1"/>
      <w:numFmt w:val="bullet"/>
      <w:lvlText w:val=""/>
      <w:lvlJc w:val="left"/>
      <w:pPr>
        <w:ind w:left="1080" w:hanging="360"/>
      </w:pPr>
      <w:rPr>
        <w:rFonts w:ascii="Symbol" w:hAnsi="Symbol"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49">
    <w:nsid w:val="5E232E44"/>
    <w:multiLevelType w:val="hybridMultilevel"/>
    <w:tmpl w:val="6810CB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0">
    <w:nsid w:val="5E593E58"/>
    <w:multiLevelType w:val="hybridMultilevel"/>
    <w:tmpl w:val="FA7610D6"/>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1">
    <w:nsid w:val="5E6D48CA"/>
    <w:multiLevelType w:val="hybridMultilevel"/>
    <w:tmpl w:val="86E21ECE"/>
    <w:lvl w:ilvl="0" w:tplc="C14CF402">
      <w:start w:val="1"/>
      <w:numFmt w:val="bullet"/>
      <w:lvlText w:val=""/>
      <w:lvlJc w:val="left"/>
      <w:pPr>
        <w:ind w:left="720" w:hanging="360"/>
      </w:pPr>
      <w:rPr>
        <w:rFonts w:ascii="Symbol" w:hAnsi="Symbol" w:hint="default"/>
      </w:rPr>
    </w:lvl>
    <w:lvl w:ilvl="1" w:tplc="04090001">
      <w:start w:val="1"/>
      <w:numFmt w:val="bullet"/>
      <w:lvlText w:val="o"/>
      <w:lvlJc w:val="left"/>
      <w:pPr>
        <w:ind w:left="1440" w:hanging="360"/>
      </w:pPr>
      <w:rPr>
        <w:rFonts w:ascii="Courier New" w:hAnsi="Courier New" w:cs="Courier New" w:hint="default"/>
      </w:rPr>
    </w:lvl>
    <w:lvl w:ilvl="2" w:tplc="8A58C506" w:tentative="1">
      <w:start w:val="1"/>
      <w:numFmt w:val="bullet"/>
      <w:lvlText w:val=""/>
      <w:lvlJc w:val="left"/>
      <w:pPr>
        <w:ind w:left="2160" w:hanging="360"/>
      </w:pPr>
      <w:rPr>
        <w:rFonts w:ascii="Wingdings" w:hAnsi="Wingdings" w:hint="default"/>
      </w:rPr>
    </w:lvl>
    <w:lvl w:ilvl="3" w:tplc="198A0980" w:tentative="1">
      <w:start w:val="1"/>
      <w:numFmt w:val="bullet"/>
      <w:lvlText w:val=""/>
      <w:lvlJc w:val="left"/>
      <w:pPr>
        <w:ind w:left="2880" w:hanging="360"/>
      </w:pPr>
      <w:rPr>
        <w:rFonts w:ascii="Symbol" w:hAnsi="Symbol" w:hint="default"/>
      </w:rPr>
    </w:lvl>
    <w:lvl w:ilvl="4" w:tplc="F6AE0F64" w:tentative="1">
      <w:start w:val="1"/>
      <w:numFmt w:val="bullet"/>
      <w:lvlText w:val="o"/>
      <w:lvlJc w:val="left"/>
      <w:pPr>
        <w:ind w:left="3600" w:hanging="360"/>
      </w:pPr>
      <w:rPr>
        <w:rFonts w:ascii="Courier New" w:hAnsi="Courier New" w:cs="Courier New" w:hint="default"/>
      </w:rPr>
    </w:lvl>
    <w:lvl w:ilvl="5" w:tplc="B6D22D3A" w:tentative="1">
      <w:start w:val="1"/>
      <w:numFmt w:val="bullet"/>
      <w:lvlText w:val=""/>
      <w:lvlJc w:val="left"/>
      <w:pPr>
        <w:ind w:left="4320" w:hanging="360"/>
      </w:pPr>
      <w:rPr>
        <w:rFonts w:ascii="Wingdings" w:hAnsi="Wingdings" w:hint="default"/>
      </w:rPr>
    </w:lvl>
    <w:lvl w:ilvl="6" w:tplc="6FA69FB4" w:tentative="1">
      <w:start w:val="1"/>
      <w:numFmt w:val="bullet"/>
      <w:lvlText w:val=""/>
      <w:lvlJc w:val="left"/>
      <w:pPr>
        <w:ind w:left="5040" w:hanging="360"/>
      </w:pPr>
      <w:rPr>
        <w:rFonts w:ascii="Symbol" w:hAnsi="Symbol" w:hint="default"/>
      </w:rPr>
    </w:lvl>
    <w:lvl w:ilvl="7" w:tplc="66EE3786" w:tentative="1">
      <w:start w:val="1"/>
      <w:numFmt w:val="bullet"/>
      <w:lvlText w:val="o"/>
      <w:lvlJc w:val="left"/>
      <w:pPr>
        <w:ind w:left="5760" w:hanging="360"/>
      </w:pPr>
      <w:rPr>
        <w:rFonts w:ascii="Courier New" w:hAnsi="Courier New" w:cs="Courier New" w:hint="default"/>
      </w:rPr>
    </w:lvl>
    <w:lvl w:ilvl="8" w:tplc="6B2AB2F2" w:tentative="1">
      <w:start w:val="1"/>
      <w:numFmt w:val="bullet"/>
      <w:lvlText w:val=""/>
      <w:lvlJc w:val="left"/>
      <w:pPr>
        <w:ind w:left="6480" w:hanging="360"/>
      </w:pPr>
      <w:rPr>
        <w:rFonts w:ascii="Wingdings" w:hAnsi="Wingdings" w:hint="default"/>
      </w:rPr>
    </w:lvl>
  </w:abstractNum>
  <w:abstractNum w:abstractNumId="452">
    <w:nsid w:val="5E860333"/>
    <w:multiLevelType w:val="hybridMultilevel"/>
    <w:tmpl w:val="B7E664EE"/>
    <w:lvl w:ilvl="0" w:tplc="B8064E66">
      <w:start w:val="1"/>
      <w:numFmt w:val="bullet"/>
      <w:lvlText w:val=""/>
      <w:lvlJc w:val="left"/>
      <w:pPr>
        <w:ind w:left="720" w:hanging="360"/>
      </w:pPr>
      <w:rPr>
        <w:rFonts w:ascii="Wingdings" w:hAnsi="Wingdings" w:hint="default"/>
        <w:b/>
        <w:i w:val="0"/>
        <w:sz w:val="22"/>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3">
    <w:nsid w:val="5EB50454"/>
    <w:multiLevelType w:val="hybridMultilevel"/>
    <w:tmpl w:val="9752C9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4">
    <w:nsid w:val="5EC73E4F"/>
    <w:multiLevelType w:val="hybridMultilevel"/>
    <w:tmpl w:val="40AA24C2"/>
    <w:lvl w:ilvl="0" w:tplc="04090001">
      <w:start w:val="1"/>
      <w:numFmt w:val="bullet"/>
      <w:lvlText w:val=""/>
      <w:lvlJc w:val="left"/>
      <w:pPr>
        <w:ind w:left="762" w:hanging="360"/>
      </w:pPr>
      <w:rPr>
        <w:rFonts w:ascii="Symbol" w:hAnsi="Symbol" w:hint="default"/>
      </w:rPr>
    </w:lvl>
    <w:lvl w:ilvl="1" w:tplc="04090003" w:tentative="1">
      <w:start w:val="1"/>
      <w:numFmt w:val="bullet"/>
      <w:lvlText w:val="o"/>
      <w:lvlJc w:val="left"/>
      <w:pPr>
        <w:ind w:left="1482" w:hanging="360"/>
      </w:pPr>
      <w:rPr>
        <w:rFonts w:ascii="Courier New" w:hAnsi="Courier New" w:cs="Courier New" w:hint="default"/>
      </w:rPr>
    </w:lvl>
    <w:lvl w:ilvl="2" w:tplc="04090005" w:tentative="1">
      <w:start w:val="1"/>
      <w:numFmt w:val="bullet"/>
      <w:lvlText w:val=""/>
      <w:lvlJc w:val="left"/>
      <w:pPr>
        <w:ind w:left="2202" w:hanging="360"/>
      </w:pPr>
      <w:rPr>
        <w:rFonts w:ascii="Wingdings" w:hAnsi="Wingdings" w:hint="default"/>
      </w:rPr>
    </w:lvl>
    <w:lvl w:ilvl="3" w:tplc="04090001" w:tentative="1">
      <w:start w:val="1"/>
      <w:numFmt w:val="bullet"/>
      <w:lvlText w:val=""/>
      <w:lvlJc w:val="left"/>
      <w:pPr>
        <w:ind w:left="2922" w:hanging="360"/>
      </w:pPr>
      <w:rPr>
        <w:rFonts w:ascii="Symbol" w:hAnsi="Symbol" w:hint="default"/>
      </w:rPr>
    </w:lvl>
    <w:lvl w:ilvl="4" w:tplc="04090003" w:tentative="1">
      <w:start w:val="1"/>
      <w:numFmt w:val="bullet"/>
      <w:lvlText w:val="o"/>
      <w:lvlJc w:val="left"/>
      <w:pPr>
        <w:ind w:left="3642" w:hanging="360"/>
      </w:pPr>
      <w:rPr>
        <w:rFonts w:ascii="Courier New" w:hAnsi="Courier New" w:cs="Courier New" w:hint="default"/>
      </w:rPr>
    </w:lvl>
    <w:lvl w:ilvl="5" w:tplc="04090005" w:tentative="1">
      <w:start w:val="1"/>
      <w:numFmt w:val="bullet"/>
      <w:lvlText w:val=""/>
      <w:lvlJc w:val="left"/>
      <w:pPr>
        <w:ind w:left="4362" w:hanging="360"/>
      </w:pPr>
      <w:rPr>
        <w:rFonts w:ascii="Wingdings" w:hAnsi="Wingdings" w:hint="default"/>
      </w:rPr>
    </w:lvl>
    <w:lvl w:ilvl="6" w:tplc="04090001" w:tentative="1">
      <w:start w:val="1"/>
      <w:numFmt w:val="bullet"/>
      <w:lvlText w:val=""/>
      <w:lvlJc w:val="left"/>
      <w:pPr>
        <w:ind w:left="5082" w:hanging="360"/>
      </w:pPr>
      <w:rPr>
        <w:rFonts w:ascii="Symbol" w:hAnsi="Symbol" w:hint="default"/>
      </w:rPr>
    </w:lvl>
    <w:lvl w:ilvl="7" w:tplc="04090003" w:tentative="1">
      <w:start w:val="1"/>
      <w:numFmt w:val="bullet"/>
      <w:lvlText w:val="o"/>
      <w:lvlJc w:val="left"/>
      <w:pPr>
        <w:ind w:left="5802" w:hanging="360"/>
      </w:pPr>
      <w:rPr>
        <w:rFonts w:ascii="Courier New" w:hAnsi="Courier New" w:cs="Courier New" w:hint="default"/>
      </w:rPr>
    </w:lvl>
    <w:lvl w:ilvl="8" w:tplc="04090005" w:tentative="1">
      <w:start w:val="1"/>
      <w:numFmt w:val="bullet"/>
      <w:lvlText w:val=""/>
      <w:lvlJc w:val="left"/>
      <w:pPr>
        <w:ind w:left="6522" w:hanging="360"/>
      </w:pPr>
      <w:rPr>
        <w:rFonts w:ascii="Wingdings" w:hAnsi="Wingdings" w:hint="default"/>
      </w:rPr>
    </w:lvl>
  </w:abstractNum>
  <w:abstractNum w:abstractNumId="455">
    <w:nsid w:val="5EF811A0"/>
    <w:multiLevelType w:val="hybridMultilevel"/>
    <w:tmpl w:val="C5DC4412"/>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6">
    <w:nsid w:val="5F1C7031"/>
    <w:multiLevelType w:val="hybridMultilevel"/>
    <w:tmpl w:val="BF9AF5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7">
    <w:nsid w:val="5F352E77"/>
    <w:multiLevelType w:val="hybridMultilevel"/>
    <w:tmpl w:val="7AB86C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8">
    <w:nsid w:val="5FDF483A"/>
    <w:multiLevelType w:val="hybridMultilevel"/>
    <w:tmpl w:val="4BD6AF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9">
    <w:nsid w:val="601A0140"/>
    <w:multiLevelType w:val="hybridMultilevel"/>
    <w:tmpl w:val="5E80DD6C"/>
    <w:lvl w:ilvl="0" w:tplc="04090001">
      <w:start w:val="1"/>
      <w:numFmt w:val="bullet"/>
      <w:lvlText w:val=""/>
      <w:lvlJc w:val="left"/>
      <w:pPr>
        <w:ind w:left="795" w:hanging="360"/>
      </w:pPr>
      <w:rPr>
        <w:rFonts w:ascii="Symbol" w:hAnsi="Symbol" w:hint="default"/>
      </w:rPr>
    </w:lvl>
    <w:lvl w:ilvl="1" w:tplc="04090003" w:tentative="1">
      <w:start w:val="1"/>
      <w:numFmt w:val="bullet"/>
      <w:lvlText w:val="o"/>
      <w:lvlJc w:val="left"/>
      <w:pPr>
        <w:ind w:left="1515" w:hanging="360"/>
      </w:pPr>
      <w:rPr>
        <w:rFonts w:ascii="Courier New" w:hAnsi="Courier New" w:cs="Courier New" w:hint="default"/>
      </w:rPr>
    </w:lvl>
    <w:lvl w:ilvl="2" w:tplc="04090005" w:tentative="1">
      <w:start w:val="1"/>
      <w:numFmt w:val="bullet"/>
      <w:lvlText w:val=""/>
      <w:lvlJc w:val="left"/>
      <w:pPr>
        <w:ind w:left="2235" w:hanging="360"/>
      </w:pPr>
      <w:rPr>
        <w:rFonts w:ascii="Wingdings" w:hAnsi="Wingdings" w:hint="default"/>
      </w:rPr>
    </w:lvl>
    <w:lvl w:ilvl="3" w:tplc="04090001" w:tentative="1">
      <w:start w:val="1"/>
      <w:numFmt w:val="bullet"/>
      <w:lvlText w:val=""/>
      <w:lvlJc w:val="left"/>
      <w:pPr>
        <w:ind w:left="2955" w:hanging="360"/>
      </w:pPr>
      <w:rPr>
        <w:rFonts w:ascii="Symbol" w:hAnsi="Symbol" w:hint="default"/>
      </w:rPr>
    </w:lvl>
    <w:lvl w:ilvl="4" w:tplc="04090003" w:tentative="1">
      <w:start w:val="1"/>
      <w:numFmt w:val="bullet"/>
      <w:lvlText w:val="o"/>
      <w:lvlJc w:val="left"/>
      <w:pPr>
        <w:ind w:left="3675" w:hanging="360"/>
      </w:pPr>
      <w:rPr>
        <w:rFonts w:ascii="Courier New" w:hAnsi="Courier New" w:cs="Courier New" w:hint="default"/>
      </w:rPr>
    </w:lvl>
    <w:lvl w:ilvl="5" w:tplc="04090005" w:tentative="1">
      <w:start w:val="1"/>
      <w:numFmt w:val="bullet"/>
      <w:lvlText w:val=""/>
      <w:lvlJc w:val="left"/>
      <w:pPr>
        <w:ind w:left="4395" w:hanging="360"/>
      </w:pPr>
      <w:rPr>
        <w:rFonts w:ascii="Wingdings" w:hAnsi="Wingdings" w:hint="default"/>
      </w:rPr>
    </w:lvl>
    <w:lvl w:ilvl="6" w:tplc="04090001" w:tentative="1">
      <w:start w:val="1"/>
      <w:numFmt w:val="bullet"/>
      <w:lvlText w:val=""/>
      <w:lvlJc w:val="left"/>
      <w:pPr>
        <w:ind w:left="5115" w:hanging="360"/>
      </w:pPr>
      <w:rPr>
        <w:rFonts w:ascii="Symbol" w:hAnsi="Symbol" w:hint="default"/>
      </w:rPr>
    </w:lvl>
    <w:lvl w:ilvl="7" w:tplc="04090003" w:tentative="1">
      <w:start w:val="1"/>
      <w:numFmt w:val="bullet"/>
      <w:lvlText w:val="o"/>
      <w:lvlJc w:val="left"/>
      <w:pPr>
        <w:ind w:left="5835" w:hanging="360"/>
      </w:pPr>
      <w:rPr>
        <w:rFonts w:ascii="Courier New" w:hAnsi="Courier New" w:cs="Courier New" w:hint="default"/>
      </w:rPr>
    </w:lvl>
    <w:lvl w:ilvl="8" w:tplc="04090005" w:tentative="1">
      <w:start w:val="1"/>
      <w:numFmt w:val="bullet"/>
      <w:lvlText w:val=""/>
      <w:lvlJc w:val="left"/>
      <w:pPr>
        <w:ind w:left="6555" w:hanging="360"/>
      </w:pPr>
      <w:rPr>
        <w:rFonts w:ascii="Wingdings" w:hAnsi="Wingdings" w:hint="default"/>
      </w:rPr>
    </w:lvl>
  </w:abstractNum>
  <w:abstractNum w:abstractNumId="460">
    <w:nsid w:val="60944F7E"/>
    <w:multiLevelType w:val="hybridMultilevel"/>
    <w:tmpl w:val="D166C0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1">
    <w:nsid w:val="609A2CE2"/>
    <w:multiLevelType w:val="hybridMultilevel"/>
    <w:tmpl w:val="4B3233DE"/>
    <w:lvl w:ilvl="0" w:tplc="54D8513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2">
    <w:nsid w:val="60A97BD8"/>
    <w:multiLevelType w:val="hybridMultilevel"/>
    <w:tmpl w:val="9DAA0550"/>
    <w:lvl w:ilvl="0" w:tplc="04090001">
      <w:start w:val="1"/>
      <w:numFmt w:val="bullet"/>
      <w:lvlText w:val=""/>
      <w:lvlJc w:val="left"/>
      <w:pPr>
        <w:ind w:left="1440" w:hanging="360"/>
      </w:pPr>
      <w:rPr>
        <w:rFonts w:ascii="Symbol" w:hAnsi="Symbol" w:hint="default"/>
      </w:rPr>
    </w:lvl>
    <w:lvl w:ilvl="1" w:tplc="0409000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63">
    <w:nsid w:val="611C2982"/>
    <w:multiLevelType w:val="hybridMultilevel"/>
    <w:tmpl w:val="2E0E17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4">
    <w:nsid w:val="611E79C0"/>
    <w:multiLevelType w:val="hybridMultilevel"/>
    <w:tmpl w:val="B14078D8"/>
    <w:lvl w:ilvl="0" w:tplc="6D861C44">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65">
    <w:nsid w:val="61345F83"/>
    <w:multiLevelType w:val="hybridMultilevel"/>
    <w:tmpl w:val="9A1C9FF8"/>
    <w:lvl w:ilvl="0" w:tplc="9BFC855C">
      <w:start w:val="955"/>
      <w:numFmt w:val="bullet"/>
      <w:lvlText w:val="–"/>
      <w:lvlJc w:val="left"/>
      <w:pPr>
        <w:ind w:left="360" w:hanging="360"/>
      </w:pPr>
      <w:rPr>
        <w:rFonts w:ascii="Times New Roman" w:hAnsi="Times New Roman" w:hint="default"/>
        <w:vertAlign w:val="baseline"/>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66">
    <w:nsid w:val="614B37B1"/>
    <w:multiLevelType w:val="hybridMultilevel"/>
    <w:tmpl w:val="8D5A21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7">
    <w:nsid w:val="61570069"/>
    <w:multiLevelType w:val="hybridMultilevel"/>
    <w:tmpl w:val="D4ECE364"/>
    <w:lvl w:ilvl="0" w:tplc="04090001">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68">
    <w:nsid w:val="61763D6A"/>
    <w:multiLevelType w:val="hybridMultilevel"/>
    <w:tmpl w:val="7F14C218"/>
    <w:lvl w:ilvl="0" w:tplc="04090003">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Courier New" w:hAnsi="Courier New" w:hint="default"/>
        <w:vertAlign w:val="baseline"/>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9">
    <w:nsid w:val="619A13D6"/>
    <w:multiLevelType w:val="hybridMultilevel"/>
    <w:tmpl w:val="5512133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70">
    <w:nsid w:val="61B538F2"/>
    <w:multiLevelType w:val="hybridMultilevel"/>
    <w:tmpl w:val="9E18AE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981622FC"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1">
    <w:nsid w:val="61E673C0"/>
    <w:multiLevelType w:val="hybridMultilevel"/>
    <w:tmpl w:val="CCBCF466"/>
    <w:lvl w:ilvl="0" w:tplc="2140E6DE">
      <w:start w:val="1"/>
      <w:numFmt w:val="bullet"/>
      <w:lvlText w:val="−"/>
      <w:lvlJc w:val="left"/>
      <w:pPr>
        <w:ind w:left="1800" w:hanging="360"/>
      </w:pPr>
      <w:rPr>
        <w:rFonts w:ascii="Calibri" w:hAnsi="Calibri"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472">
    <w:nsid w:val="623F5142"/>
    <w:multiLevelType w:val="hybridMultilevel"/>
    <w:tmpl w:val="5658D386"/>
    <w:lvl w:ilvl="0" w:tplc="837EF562">
      <w:start w:val="1"/>
      <w:numFmt w:val="lowerLetter"/>
      <w:lvlText w:val="(%1)"/>
      <w:lvlJc w:val="left"/>
      <w:pPr>
        <w:ind w:left="1710" w:hanging="360"/>
      </w:pPr>
      <w:rPr>
        <w:rFonts w:hint="default"/>
      </w:rPr>
    </w:lvl>
    <w:lvl w:ilvl="1" w:tplc="04090019" w:tentative="1">
      <w:start w:val="1"/>
      <w:numFmt w:val="lowerLetter"/>
      <w:lvlText w:val="%2."/>
      <w:lvlJc w:val="left"/>
      <w:pPr>
        <w:ind w:left="2430" w:hanging="360"/>
      </w:pPr>
    </w:lvl>
    <w:lvl w:ilvl="2" w:tplc="0409001B" w:tentative="1">
      <w:start w:val="1"/>
      <w:numFmt w:val="lowerRoman"/>
      <w:lvlText w:val="%3."/>
      <w:lvlJc w:val="right"/>
      <w:pPr>
        <w:ind w:left="3150" w:hanging="180"/>
      </w:pPr>
    </w:lvl>
    <w:lvl w:ilvl="3" w:tplc="0409000F" w:tentative="1">
      <w:start w:val="1"/>
      <w:numFmt w:val="decimal"/>
      <w:lvlText w:val="%4."/>
      <w:lvlJc w:val="left"/>
      <w:pPr>
        <w:ind w:left="3870" w:hanging="360"/>
      </w:pPr>
    </w:lvl>
    <w:lvl w:ilvl="4" w:tplc="04090019" w:tentative="1">
      <w:start w:val="1"/>
      <w:numFmt w:val="lowerLetter"/>
      <w:lvlText w:val="%5."/>
      <w:lvlJc w:val="left"/>
      <w:pPr>
        <w:ind w:left="4590" w:hanging="360"/>
      </w:pPr>
    </w:lvl>
    <w:lvl w:ilvl="5" w:tplc="0409001B" w:tentative="1">
      <w:start w:val="1"/>
      <w:numFmt w:val="lowerRoman"/>
      <w:lvlText w:val="%6."/>
      <w:lvlJc w:val="right"/>
      <w:pPr>
        <w:ind w:left="5310" w:hanging="180"/>
      </w:pPr>
    </w:lvl>
    <w:lvl w:ilvl="6" w:tplc="0409000F" w:tentative="1">
      <w:start w:val="1"/>
      <w:numFmt w:val="decimal"/>
      <w:lvlText w:val="%7."/>
      <w:lvlJc w:val="left"/>
      <w:pPr>
        <w:ind w:left="6030" w:hanging="360"/>
      </w:pPr>
    </w:lvl>
    <w:lvl w:ilvl="7" w:tplc="04090019" w:tentative="1">
      <w:start w:val="1"/>
      <w:numFmt w:val="lowerLetter"/>
      <w:lvlText w:val="%8."/>
      <w:lvlJc w:val="left"/>
      <w:pPr>
        <w:ind w:left="6750" w:hanging="360"/>
      </w:pPr>
    </w:lvl>
    <w:lvl w:ilvl="8" w:tplc="0409001B" w:tentative="1">
      <w:start w:val="1"/>
      <w:numFmt w:val="lowerRoman"/>
      <w:lvlText w:val="%9."/>
      <w:lvlJc w:val="right"/>
      <w:pPr>
        <w:ind w:left="7470" w:hanging="180"/>
      </w:pPr>
    </w:lvl>
  </w:abstractNum>
  <w:abstractNum w:abstractNumId="473">
    <w:nsid w:val="62412531"/>
    <w:multiLevelType w:val="hybridMultilevel"/>
    <w:tmpl w:val="4ABC5E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4">
    <w:nsid w:val="627D3403"/>
    <w:multiLevelType w:val="hybridMultilevel"/>
    <w:tmpl w:val="380A31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5">
    <w:nsid w:val="628A1BC1"/>
    <w:multiLevelType w:val="hybridMultilevel"/>
    <w:tmpl w:val="C1BAB0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6">
    <w:nsid w:val="62C4418E"/>
    <w:multiLevelType w:val="hybridMultilevel"/>
    <w:tmpl w:val="3AF8A43A"/>
    <w:lvl w:ilvl="0" w:tplc="F0B4BB28">
      <w:start w:val="1"/>
      <w:numFmt w:val="bullet"/>
      <w:lvlText w:val="–"/>
      <w:lvlJc w:val="left"/>
      <w:pPr>
        <w:tabs>
          <w:tab w:val="num" w:pos="720"/>
        </w:tabs>
        <w:ind w:left="720" w:hanging="360"/>
      </w:pPr>
      <w:rPr>
        <w:rFonts w:ascii="Arial" w:hAnsi="Arial" w:hint="default"/>
      </w:rPr>
    </w:lvl>
    <w:lvl w:ilvl="1" w:tplc="612C749E">
      <w:start w:val="1"/>
      <w:numFmt w:val="bullet"/>
      <w:lvlText w:val="–"/>
      <w:lvlJc w:val="left"/>
      <w:pPr>
        <w:tabs>
          <w:tab w:val="num" w:pos="1440"/>
        </w:tabs>
        <w:ind w:left="1440" w:hanging="360"/>
      </w:pPr>
      <w:rPr>
        <w:rFonts w:ascii="Arial" w:hAnsi="Arial" w:hint="default"/>
      </w:rPr>
    </w:lvl>
    <w:lvl w:ilvl="2" w:tplc="6D0CE502" w:tentative="1">
      <w:start w:val="1"/>
      <w:numFmt w:val="bullet"/>
      <w:lvlText w:val="–"/>
      <w:lvlJc w:val="left"/>
      <w:pPr>
        <w:tabs>
          <w:tab w:val="num" w:pos="2160"/>
        </w:tabs>
        <w:ind w:left="2160" w:hanging="360"/>
      </w:pPr>
      <w:rPr>
        <w:rFonts w:ascii="Arial" w:hAnsi="Arial" w:hint="default"/>
      </w:rPr>
    </w:lvl>
    <w:lvl w:ilvl="3" w:tplc="FE5488E8" w:tentative="1">
      <w:start w:val="1"/>
      <w:numFmt w:val="bullet"/>
      <w:lvlText w:val="–"/>
      <w:lvlJc w:val="left"/>
      <w:pPr>
        <w:tabs>
          <w:tab w:val="num" w:pos="2880"/>
        </w:tabs>
        <w:ind w:left="2880" w:hanging="360"/>
      </w:pPr>
      <w:rPr>
        <w:rFonts w:ascii="Arial" w:hAnsi="Arial" w:hint="default"/>
      </w:rPr>
    </w:lvl>
    <w:lvl w:ilvl="4" w:tplc="B798D0A0" w:tentative="1">
      <w:start w:val="1"/>
      <w:numFmt w:val="bullet"/>
      <w:lvlText w:val="–"/>
      <w:lvlJc w:val="left"/>
      <w:pPr>
        <w:tabs>
          <w:tab w:val="num" w:pos="3600"/>
        </w:tabs>
        <w:ind w:left="3600" w:hanging="360"/>
      </w:pPr>
      <w:rPr>
        <w:rFonts w:ascii="Arial" w:hAnsi="Arial" w:hint="default"/>
      </w:rPr>
    </w:lvl>
    <w:lvl w:ilvl="5" w:tplc="2F1CCD3A" w:tentative="1">
      <w:start w:val="1"/>
      <w:numFmt w:val="bullet"/>
      <w:lvlText w:val="–"/>
      <w:lvlJc w:val="left"/>
      <w:pPr>
        <w:tabs>
          <w:tab w:val="num" w:pos="4320"/>
        </w:tabs>
        <w:ind w:left="4320" w:hanging="360"/>
      </w:pPr>
      <w:rPr>
        <w:rFonts w:ascii="Arial" w:hAnsi="Arial" w:hint="default"/>
      </w:rPr>
    </w:lvl>
    <w:lvl w:ilvl="6" w:tplc="E3F01DB6" w:tentative="1">
      <w:start w:val="1"/>
      <w:numFmt w:val="bullet"/>
      <w:lvlText w:val="–"/>
      <w:lvlJc w:val="left"/>
      <w:pPr>
        <w:tabs>
          <w:tab w:val="num" w:pos="5040"/>
        </w:tabs>
        <w:ind w:left="5040" w:hanging="360"/>
      </w:pPr>
      <w:rPr>
        <w:rFonts w:ascii="Arial" w:hAnsi="Arial" w:hint="default"/>
      </w:rPr>
    </w:lvl>
    <w:lvl w:ilvl="7" w:tplc="51801302" w:tentative="1">
      <w:start w:val="1"/>
      <w:numFmt w:val="bullet"/>
      <w:lvlText w:val="–"/>
      <w:lvlJc w:val="left"/>
      <w:pPr>
        <w:tabs>
          <w:tab w:val="num" w:pos="5760"/>
        </w:tabs>
        <w:ind w:left="5760" w:hanging="360"/>
      </w:pPr>
      <w:rPr>
        <w:rFonts w:ascii="Arial" w:hAnsi="Arial" w:hint="default"/>
      </w:rPr>
    </w:lvl>
    <w:lvl w:ilvl="8" w:tplc="B8529FF2" w:tentative="1">
      <w:start w:val="1"/>
      <w:numFmt w:val="bullet"/>
      <w:lvlText w:val="–"/>
      <w:lvlJc w:val="left"/>
      <w:pPr>
        <w:tabs>
          <w:tab w:val="num" w:pos="6480"/>
        </w:tabs>
        <w:ind w:left="6480" w:hanging="360"/>
      </w:pPr>
      <w:rPr>
        <w:rFonts w:ascii="Arial" w:hAnsi="Arial" w:hint="default"/>
      </w:rPr>
    </w:lvl>
  </w:abstractNum>
  <w:abstractNum w:abstractNumId="477">
    <w:nsid w:val="62E70160"/>
    <w:multiLevelType w:val="hybridMultilevel"/>
    <w:tmpl w:val="CCC2D9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8">
    <w:nsid w:val="631E4EC8"/>
    <w:multiLevelType w:val="hybridMultilevel"/>
    <w:tmpl w:val="1D72E7DA"/>
    <w:lvl w:ilvl="0" w:tplc="0B4806DA">
      <w:start w:val="1"/>
      <w:numFmt w:val="decimal"/>
      <w:lvlText w:val="(%1)"/>
      <w:lvlJc w:val="left"/>
      <w:pPr>
        <w:ind w:left="-187" w:hanging="360"/>
      </w:pPr>
      <w:rPr>
        <w:rFonts w:hint="default"/>
        <w:b/>
      </w:rPr>
    </w:lvl>
    <w:lvl w:ilvl="1" w:tplc="04090019" w:tentative="1">
      <w:start w:val="1"/>
      <w:numFmt w:val="lowerLetter"/>
      <w:lvlText w:val="%2."/>
      <w:lvlJc w:val="left"/>
      <w:pPr>
        <w:ind w:left="533" w:hanging="360"/>
      </w:pPr>
    </w:lvl>
    <w:lvl w:ilvl="2" w:tplc="0409001B" w:tentative="1">
      <w:start w:val="1"/>
      <w:numFmt w:val="lowerRoman"/>
      <w:lvlText w:val="%3."/>
      <w:lvlJc w:val="right"/>
      <w:pPr>
        <w:ind w:left="1253" w:hanging="180"/>
      </w:pPr>
    </w:lvl>
    <w:lvl w:ilvl="3" w:tplc="0409000F" w:tentative="1">
      <w:start w:val="1"/>
      <w:numFmt w:val="decimal"/>
      <w:lvlText w:val="%4."/>
      <w:lvlJc w:val="left"/>
      <w:pPr>
        <w:ind w:left="1973" w:hanging="360"/>
      </w:pPr>
    </w:lvl>
    <w:lvl w:ilvl="4" w:tplc="04090019" w:tentative="1">
      <w:start w:val="1"/>
      <w:numFmt w:val="lowerLetter"/>
      <w:lvlText w:val="%5."/>
      <w:lvlJc w:val="left"/>
      <w:pPr>
        <w:ind w:left="2693" w:hanging="360"/>
      </w:pPr>
    </w:lvl>
    <w:lvl w:ilvl="5" w:tplc="0409001B" w:tentative="1">
      <w:start w:val="1"/>
      <w:numFmt w:val="lowerRoman"/>
      <w:lvlText w:val="%6."/>
      <w:lvlJc w:val="right"/>
      <w:pPr>
        <w:ind w:left="3413" w:hanging="180"/>
      </w:pPr>
    </w:lvl>
    <w:lvl w:ilvl="6" w:tplc="0409000F" w:tentative="1">
      <w:start w:val="1"/>
      <w:numFmt w:val="decimal"/>
      <w:lvlText w:val="%7."/>
      <w:lvlJc w:val="left"/>
      <w:pPr>
        <w:ind w:left="4133" w:hanging="360"/>
      </w:pPr>
    </w:lvl>
    <w:lvl w:ilvl="7" w:tplc="04090019" w:tentative="1">
      <w:start w:val="1"/>
      <w:numFmt w:val="lowerLetter"/>
      <w:lvlText w:val="%8."/>
      <w:lvlJc w:val="left"/>
      <w:pPr>
        <w:ind w:left="4853" w:hanging="360"/>
      </w:pPr>
    </w:lvl>
    <w:lvl w:ilvl="8" w:tplc="0409001B" w:tentative="1">
      <w:start w:val="1"/>
      <w:numFmt w:val="lowerRoman"/>
      <w:lvlText w:val="%9."/>
      <w:lvlJc w:val="right"/>
      <w:pPr>
        <w:ind w:left="5573" w:hanging="180"/>
      </w:pPr>
    </w:lvl>
  </w:abstractNum>
  <w:abstractNum w:abstractNumId="479">
    <w:nsid w:val="63643EBE"/>
    <w:multiLevelType w:val="hybridMultilevel"/>
    <w:tmpl w:val="EA5C507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80">
    <w:nsid w:val="638B12AF"/>
    <w:multiLevelType w:val="hybridMultilevel"/>
    <w:tmpl w:val="0922D75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81">
    <w:nsid w:val="6395201D"/>
    <w:multiLevelType w:val="hybridMultilevel"/>
    <w:tmpl w:val="EC204566"/>
    <w:lvl w:ilvl="0" w:tplc="04090001">
      <w:start w:val="1"/>
      <w:numFmt w:val="bullet"/>
      <w:pStyle w:val="ISOBullets2"/>
      <w:lvlText w:val="o"/>
      <w:lvlJc w:val="left"/>
      <w:pPr>
        <w:tabs>
          <w:tab w:val="num" w:pos="360"/>
        </w:tabs>
        <w:ind w:left="360" w:hanging="360"/>
      </w:pPr>
      <w:rPr>
        <w:rFonts w:ascii="Courier New" w:hAnsi="Courier New" w:hint="default"/>
        <w:sz w:val="16"/>
      </w:rPr>
    </w:lvl>
    <w:lvl w:ilvl="1" w:tplc="04090003">
      <w:start w:val="1"/>
      <w:numFmt w:val="bullet"/>
      <w:lvlText w:val="o"/>
      <w:lvlJc w:val="left"/>
      <w:pPr>
        <w:tabs>
          <w:tab w:val="num" w:pos="1080"/>
        </w:tabs>
        <w:ind w:left="1080" w:hanging="360"/>
      </w:pPr>
      <w:rPr>
        <w:rFonts w:ascii="Times New Roman Bold" w:hAnsi="Times New Roman Bold" w:hint="default"/>
        <w:b/>
        <w:i w:val="0"/>
        <w:sz w:val="20"/>
      </w:rPr>
    </w:lvl>
    <w:lvl w:ilvl="2" w:tplc="04090005" w:tentative="1">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82">
    <w:nsid w:val="63BA2CE7"/>
    <w:multiLevelType w:val="hybridMultilevel"/>
    <w:tmpl w:val="C102222E"/>
    <w:lvl w:ilvl="0" w:tplc="3D1EFE0E">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483">
    <w:nsid w:val="63D10F62"/>
    <w:multiLevelType w:val="hybridMultilevel"/>
    <w:tmpl w:val="A148F0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4">
    <w:nsid w:val="63D64AEA"/>
    <w:multiLevelType w:val="hybridMultilevel"/>
    <w:tmpl w:val="6DEC90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5">
    <w:nsid w:val="63E922FB"/>
    <w:multiLevelType w:val="hybridMultilevel"/>
    <w:tmpl w:val="9B323C6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6">
    <w:nsid w:val="64816754"/>
    <w:multiLevelType w:val="hybridMultilevel"/>
    <w:tmpl w:val="7D8246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7">
    <w:nsid w:val="64A67A06"/>
    <w:multiLevelType w:val="hybridMultilevel"/>
    <w:tmpl w:val="903E15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8">
    <w:nsid w:val="652A49AA"/>
    <w:multiLevelType w:val="hybridMultilevel"/>
    <w:tmpl w:val="A844AC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9">
    <w:nsid w:val="65744FF0"/>
    <w:multiLevelType w:val="multilevel"/>
    <w:tmpl w:val="F1F4A5EA"/>
    <w:lvl w:ilvl="0">
      <w:start w:val="1"/>
      <w:numFmt w:val="decimal"/>
      <w:suff w:val="space"/>
      <w:lvlText w:val="Section %1"/>
      <w:lvlJc w:val="left"/>
      <w:pPr>
        <w:ind w:left="0" w:firstLine="0"/>
      </w:pPr>
      <w:rPr>
        <w:rFonts w:ascii="Calibri" w:hAnsi="Calibri" w:cs="Times New Roman" w:hint="default"/>
        <w:b/>
        <w:i w:val="0"/>
        <w:color w:val="0070C0"/>
        <w:sz w:val="36"/>
      </w:rPr>
    </w:lvl>
    <w:lvl w:ilvl="1">
      <w:start w:val="1"/>
      <w:numFmt w:val="decimal"/>
      <w:suff w:val="space"/>
      <w:lvlText w:val="%1.%2"/>
      <w:lvlJc w:val="left"/>
      <w:pPr>
        <w:ind w:left="0" w:firstLine="0"/>
      </w:pPr>
      <w:rPr>
        <w:rFonts w:ascii="Calibri" w:hAnsi="Calibri" w:cs="Times New Roman" w:hint="default"/>
        <w:b/>
        <w:i w:val="0"/>
        <w:color w:val="auto"/>
        <w:sz w:val="24"/>
      </w:rPr>
    </w:lvl>
    <w:lvl w:ilvl="2">
      <w:start w:val="1"/>
      <w:numFmt w:val="decimal"/>
      <w:suff w:val="space"/>
      <w:lvlText w:val="%2.%1.%3"/>
      <w:lvlJc w:val="left"/>
      <w:pPr>
        <w:ind w:left="0" w:firstLine="0"/>
      </w:pPr>
      <w:rPr>
        <w:rFonts w:ascii="Calibri" w:hAnsi="Calibri" w:cs="Times New Roman" w:hint="default"/>
        <w:b/>
        <w:i w:val="0"/>
        <w:color w:val="auto"/>
        <w:sz w:val="20"/>
        <w:szCs w:val="20"/>
      </w:rPr>
    </w:lvl>
    <w:lvl w:ilvl="3">
      <w:start w:val="1"/>
      <w:numFmt w:val="decimal"/>
      <w:suff w:val="space"/>
      <w:lvlText w:val="%1.%2.%3.%4"/>
      <w:lvlJc w:val="left"/>
      <w:pPr>
        <w:ind w:left="0" w:firstLine="0"/>
      </w:pPr>
      <w:rPr>
        <w:rFonts w:ascii="Calibri" w:hAnsi="Calibri" w:cs="Times New Roman" w:hint="default"/>
        <w:b w:val="0"/>
        <w:i/>
        <w:sz w:val="20"/>
        <w:szCs w:val="20"/>
      </w:rPr>
    </w:lvl>
    <w:lvl w:ilvl="4">
      <w:start w:val="1"/>
      <w:numFmt w:val="decimal"/>
      <w:lvlRestart w:val="0"/>
      <w:suff w:val="space"/>
      <w:lvlText w:val="%1.%2.%3.%4.%5"/>
      <w:lvlJc w:val="left"/>
      <w:pPr>
        <w:ind w:left="0" w:firstLine="0"/>
      </w:pPr>
      <w:rPr>
        <w:rFonts w:cs="Times New Roman" w:hint="default"/>
      </w:rPr>
    </w:lvl>
    <w:lvl w:ilvl="5">
      <w:start w:val="1"/>
      <w:numFmt w:val="decimal"/>
      <w:lvlRestart w:val="0"/>
      <w:lvlText w:val="%1.%2.%3.%4.%5.%6"/>
      <w:lvlJc w:val="left"/>
      <w:pPr>
        <w:tabs>
          <w:tab w:val="num" w:pos="1800"/>
        </w:tabs>
        <w:ind w:left="0" w:firstLine="0"/>
      </w:pPr>
      <w:rPr>
        <w:rFonts w:cs="Times New Roman" w:hint="default"/>
      </w:rPr>
    </w:lvl>
    <w:lvl w:ilvl="6">
      <w:start w:val="1"/>
      <w:numFmt w:val="decimal"/>
      <w:lvlRestart w:val="0"/>
      <w:lvlText w:val="%1.%2.%3.%4.%5.%6.%7"/>
      <w:lvlJc w:val="left"/>
      <w:pPr>
        <w:tabs>
          <w:tab w:val="num" w:pos="2160"/>
        </w:tabs>
        <w:ind w:left="0" w:firstLine="0"/>
      </w:pPr>
      <w:rPr>
        <w:rFonts w:cs="Times New Roman" w:hint="default"/>
      </w:rPr>
    </w:lvl>
    <w:lvl w:ilvl="7">
      <w:start w:val="1"/>
      <w:numFmt w:val="decimal"/>
      <w:lvlRestart w:val="0"/>
      <w:lvlText w:val="%1.%2.%3.%4.%5.%6.%7.%8"/>
      <w:lvlJc w:val="left"/>
      <w:pPr>
        <w:tabs>
          <w:tab w:val="num" w:pos="2520"/>
        </w:tabs>
        <w:ind w:left="0" w:firstLine="0"/>
      </w:pPr>
      <w:rPr>
        <w:rFonts w:cs="Times New Roman" w:hint="default"/>
      </w:rPr>
    </w:lvl>
    <w:lvl w:ilvl="8">
      <w:start w:val="1"/>
      <w:numFmt w:val="decimal"/>
      <w:lvlRestart w:val="0"/>
      <w:lvlText w:val="%1.%2.%3.%4.%5.%6.%7.%8.%9"/>
      <w:lvlJc w:val="left"/>
      <w:pPr>
        <w:tabs>
          <w:tab w:val="num" w:pos="2880"/>
        </w:tabs>
        <w:ind w:left="0" w:firstLine="0"/>
      </w:pPr>
      <w:rPr>
        <w:rFonts w:cs="Times New Roman" w:hint="default"/>
      </w:rPr>
    </w:lvl>
  </w:abstractNum>
  <w:abstractNum w:abstractNumId="490">
    <w:nsid w:val="658D0C48"/>
    <w:multiLevelType w:val="hybridMultilevel"/>
    <w:tmpl w:val="BB3433D8"/>
    <w:lvl w:ilvl="0" w:tplc="B8064E66">
      <w:start w:val="1"/>
      <w:numFmt w:val="bullet"/>
      <w:lvlText w:val=""/>
      <w:lvlJc w:val="left"/>
      <w:pPr>
        <w:ind w:left="720" w:hanging="360"/>
      </w:pPr>
      <w:rPr>
        <w:rFonts w:ascii="Wingdings" w:hAnsi="Wingdings" w:hint="default"/>
        <w:b/>
        <w:i w:val="0"/>
        <w:sz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1">
    <w:nsid w:val="659374A3"/>
    <w:multiLevelType w:val="hybridMultilevel"/>
    <w:tmpl w:val="535EB544"/>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2">
    <w:nsid w:val="65DD2150"/>
    <w:multiLevelType w:val="hybridMultilevel"/>
    <w:tmpl w:val="4966478C"/>
    <w:lvl w:ilvl="0" w:tplc="524EDF38">
      <w:start w:val="1"/>
      <w:numFmt w:val="bullet"/>
      <w:lvlText w:val=""/>
      <w:lvlJc w:val="left"/>
      <w:pPr>
        <w:tabs>
          <w:tab w:val="num" w:pos="720"/>
        </w:tabs>
        <w:ind w:left="720" w:hanging="360"/>
      </w:pPr>
      <w:rPr>
        <w:rFonts w:ascii="Wingdings" w:hAnsi="Wingdings" w:hint="default"/>
      </w:rPr>
    </w:lvl>
    <w:lvl w:ilvl="1" w:tplc="05CCA336">
      <w:start w:val="2181"/>
      <w:numFmt w:val="bullet"/>
      <w:lvlText w:val="–"/>
      <w:lvlJc w:val="left"/>
      <w:pPr>
        <w:tabs>
          <w:tab w:val="num" w:pos="1440"/>
        </w:tabs>
        <w:ind w:left="1440" w:hanging="360"/>
      </w:pPr>
      <w:rPr>
        <w:rFonts w:ascii="Arial" w:hAnsi="Arial" w:hint="default"/>
      </w:rPr>
    </w:lvl>
    <w:lvl w:ilvl="2" w:tplc="F9388012">
      <w:start w:val="2181"/>
      <w:numFmt w:val="bullet"/>
      <w:lvlText w:val="•"/>
      <w:lvlJc w:val="left"/>
      <w:pPr>
        <w:tabs>
          <w:tab w:val="num" w:pos="2160"/>
        </w:tabs>
        <w:ind w:left="2160" w:hanging="360"/>
      </w:pPr>
      <w:rPr>
        <w:rFonts w:ascii="Arial" w:hAnsi="Arial" w:hint="default"/>
      </w:rPr>
    </w:lvl>
    <w:lvl w:ilvl="3" w:tplc="8F2621C4" w:tentative="1">
      <w:start w:val="1"/>
      <w:numFmt w:val="bullet"/>
      <w:lvlText w:val=""/>
      <w:lvlJc w:val="left"/>
      <w:pPr>
        <w:tabs>
          <w:tab w:val="num" w:pos="2880"/>
        </w:tabs>
        <w:ind w:left="2880" w:hanging="360"/>
      </w:pPr>
      <w:rPr>
        <w:rFonts w:ascii="Wingdings" w:hAnsi="Wingdings" w:hint="default"/>
      </w:rPr>
    </w:lvl>
    <w:lvl w:ilvl="4" w:tplc="BF665114" w:tentative="1">
      <w:start w:val="1"/>
      <w:numFmt w:val="bullet"/>
      <w:lvlText w:val=""/>
      <w:lvlJc w:val="left"/>
      <w:pPr>
        <w:tabs>
          <w:tab w:val="num" w:pos="3600"/>
        </w:tabs>
        <w:ind w:left="3600" w:hanging="360"/>
      </w:pPr>
      <w:rPr>
        <w:rFonts w:ascii="Wingdings" w:hAnsi="Wingdings" w:hint="default"/>
      </w:rPr>
    </w:lvl>
    <w:lvl w:ilvl="5" w:tplc="C2C821C0" w:tentative="1">
      <w:start w:val="1"/>
      <w:numFmt w:val="bullet"/>
      <w:lvlText w:val=""/>
      <w:lvlJc w:val="left"/>
      <w:pPr>
        <w:tabs>
          <w:tab w:val="num" w:pos="4320"/>
        </w:tabs>
        <w:ind w:left="4320" w:hanging="360"/>
      </w:pPr>
      <w:rPr>
        <w:rFonts w:ascii="Wingdings" w:hAnsi="Wingdings" w:hint="default"/>
      </w:rPr>
    </w:lvl>
    <w:lvl w:ilvl="6" w:tplc="0AFE28D6" w:tentative="1">
      <w:start w:val="1"/>
      <w:numFmt w:val="bullet"/>
      <w:lvlText w:val=""/>
      <w:lvlJc w:val="left"/>
      <w:pPr>
        <w:tabs>
          <w:tab w:val="num" w:pos="5040"/>
        </w:tabs>
        <w:ind w:left="5040" w:hanging="360"/>
      </w:pPr>
      <w:rPr>
        <w:rFonts w:ascii="Wingdings" w:hAnsi="Wingdings" w:hint="default"/>
      </w:rPr>
    </w:lvl>
    <w:lvl w:ilvl="7" w:tplc="01D6B254" w:tentative="1">
      <w:start w:val="1"/>
      <w:numFmt w:val="bullet"/>
      <w:lvlText w:val=""/>
      <w:lvlJc w:val="left"/>
      <w:pPr>
        <w:tabs>
          <w:tab w:val="num" w:pos="5760"/>
        </w:tabs>
        <w:ind w:left="5760" w:hanging="360"/>
      </w:pPr>
      <w:rPr>
        <w:rFonts w:ascii="Wingdings" w:hAnsi="Wingdings" w:hint="default"/>
      </w:rPr>
    </w:lvl>
    <w:lvl w:ilvl="8" w:tplc="F6605A64" w:tentative="1">
      <w:start w:val="1"/>
      <w:numFmt w:val="bullet"/>
      <w:lvlText w:val=""/>
      <w:lvlJc w:val="left"/>
      <w:pPr>
        <w:tabs>
          <w:tab w:val="num" w:pos="6480"/>
        </w:tabs>
        <w:ind w:left="6480" w:hanging="360"/>
      </w:pPr>
      <w:rPr>
        <w:rFonts w:ascii="Wingdings" w:hAnsi="Wingdings" w:hint="default"/>
      </w:rPr>
    </w:lvl>
  </w:abstractNum>
  <w:abstractNum w:abstractNumId="493">
    <w:nsid w:val="66005979"/>
    <w:multiLevelType w:val="hybridMultilevel"/>
    <w:tmpl w:val="A6F8E95E"/>
    <w:lvl w:ilvl="0" w:tplc="04090001">
      <w:start w:val="1"/>
      <w:numFmt w:val="bullet"/>
      <w:lvlText w:val=""/>
      <w:lvlJc w:val="left"/>
      <w:pPr>
        <w:ind w:left="751"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494">
    <w:nsid w:val="66006765"/>
    <w:multiLevelType w:val="hybridMultilevel"/>
    <w:tmpl w:val="9C1A2B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5">
    <w:nsid w:val="667C0177"/>
    <w:multiLevelType w:val="multilevel"/>
    <w:tmpl w:val="BB74ED96"/>
    <w:styleLink w:val="CurrentList15"/>
    <w:lvl w:ilvl="0">
      <w:start w:val="1"/>
      <w:numFmt w:val="decimal"/>
      <w:suff w:val="space"/>
      <w:lvlText w:val="Section %1"/>
      <w:lvlJc w:val="left"/>
      <w:pPr>
        <w:ind w:left="0" w:firstLine="0"/>
      </w:pPr>
      <w:rPr>
        <w:rFonts w:ascii="Arial" w:hAnsi="Arial" w:cs="Times New Roman"/>
        <w:b/>
        <w:sz w:val="36"/>
      </w:rPr>
    </w:lvl>
    <w:lvl w:ilvl="1">
      <w:start w:val="1"/>
      <w:numFmt w:val="decimal"/>
      <w:suff w:val="space"/>
      <w:lvlText w:val="%1.%2"/>
      <w:lvlJc w:val="left"/>
      <w:pPr>
        <w:ind w:left="0" w:firstLine="0"/>
      </w:pPr>
      <w:rPr>
        <w:rFonts w:ascii="Arial" w:hAnsi="Arial" w:cs="Times New Roman"/>
        <w:b/>
        <w:sz w:val="24"/>
      </w:rPr>
    </w:lvl>
    <w:lvl w:ilvl="2">
      <w:start w:val="1"/>
      <w:numFmt w:val="decimal"/>
      <w:suff w:val="space"/>
      <w:lvlText w:val="%2.%1.%3"/>
      <w:lvlJc w:val="left"/>
      <w:pPr>
        <w:ind w:left="0" w:firstLine="0"/>
      </w:pPr>
      <w:rPr>
        <w:rFonts w:ascii="Arial" w:hAnsi="Arial" w:cs="Times New Roman" w:hint="default"/>
        <w:b/>
        <w:i w:val="0"/>
        <w:sz w:val="20"/>
        <w:szCs w:val="20"/>
      </w:rPr>
    </w:lvl>
    <w:lvl w:ilvl="3">
      <w:start w:val="1"/>
      <w:numFmt w:val="decimal"/>
      <w:suff w:val="space"/>
      <w:lvlText w:val="%1.%2.%3.%4"/>
      <w:lvlJc w:val="left"/>
      <w:pPr>
        <w:ind w:left="0" w:firstLine="0"/>
      </w:pPr>
      <w:rPr>
        <w:rFonts w:ascii="Arial" w:hAnsi="Arial" w:cs="Times New Roman" w:hint="default"/>
        <w:b w:val="0"/>
        <w:i/>
        <w:sz w:val="20"/>
        <w:szCs w:val="20"/>
      </w:rPr>
    </w:lvl>
    <w:lvl w:ilvl="4">
      <w:start w:val="1"/>
      <w:numFmt w:val="decimal"/>
      <w:lvlRestart w:val="0"/>
      <w:suff w:val="space"/>
      <w:lvlText w:val="%1.%2.%3.%4.%5"/>
      <w:lvlJc w:val="left"/>
      <w:pPr>
        <w:ind w:left="0" w:firstLine="0"/>
      </w:pPr>
      <w:rPr>
        <w:rFonts w:cs="Times New Roman" w:hint="default"/>
      </w:rPr>
    </w:lvl>
    <w:lvl w:ilvl="5">
      <w:start w:val="1"/>
      <w:numFmt w:val="decimal"/>
      <w:lvlRestart w:val="0"/>
      <w:lvlText w:val="%1.%2.%3.%4.%5.%6"/>
      <w:lvlJc w:val="left"/>
      <w:pPr>
        <w:tabs>
          <w:tab w:val="num" w:pos="1800"/>
        </w:tabs>
        <w:ind w:left="0" w:firstLine="0"/>
      </w:pPr>
      <w:rPr>
        <w:rFonts w:cs="Times New Roman" w:hint="default"/>
      </w:rPr>
    </w:lvl>
    <w:lvl w:ilvl="6">
      <w:start w:val="1"/>
      <w:numFmt w:val="decimal"/>
      <w:lvlRestart w:val="0"/>
      <w:lvlText w:val="%1.%2.%3.%4.%5.%6.%7"/>
      <w:lvlJc w:val="left"/>
      <w:pPr>
        <w:tabs>
          <w:tab w:val="num" w:pos="2160"/>
        </w:tabs>
        <w:ind w:left="0" w:firstLine="0"/>
      </w:pPr>
      <w:rPr>
        <w:rFonts w:cs="Times New Roman" w:hint="default"/>
      </w:rPr>
    </w:lvl>
    <w:lvl w:ilvl="7">
      <w:start w:val="1"/>
      <w:numFmt w:val="decimal"/>
      <w:lvlRestart w:val="0"/>
      <w:lvlText w:val="%1.%2.%3.%4.%5.%6.%7.%8"/>
      <w:lvlJc w:val="left"/>
      <w:pPr>
        <w:tabs>
          <w:tab w:val="num" w:pos="2520"/>
        </w:tabs>
        <w:ind w:left="0" w:firstLine="0"/>
      </w:pPr>
      <w:rPr>
        <w:rFonts w:cs="Times New Roman" w:hint="default"/>
      </w:rPr>
    </w:lvl>
    <w:lvl w:ilvl="8">
      <w:start w:val="1"/>
      <w:numFmt w:val="decimal"/>
      <w:lvlRestart w:val="0"/>
      <w:lvlText w:val="%1.%2.%3.%4.%5.%6.%7.%8.%9"/>
      <w:lvlJc w:val="left"/>
      <w:pPr>
        <w:tabs>
          <w:tab w:val="num" w:pos="2880"/>
        </w:tabs>
        <w:ind w:left="0" w:firstLine="0"/>
      </w:pPr>
      <w:rPr>
        <w:rFonts w:cs="Times New Roman" w:hint="default"/>
      </w:rPr>
    </w:lvl>
  </w:abstractNum>
  <w:abstractNum w:abstractNumId="496">
    <w:nsid w:val="66B85F0B"/>
    <w:multiLevelType w:val="hybridMultilevel"/>
    <w:tmpl w:val="F3C8DA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7">
    <w:nsid w:val="66E23052"/>
    <w:multiLevelType w:val="hybridMultilevel"/>
    <w:tmpl w:val="050603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8">
    <w:nsid w:val="66EC2EEB"/>
    <w:multiLevelType w:val="hybridMultilevel"/>
    <w:tmpl w:val="652E02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9">
    <w:nsid w:val="67283065"/>
    <w:multiLevelType w:val="hybridMultilevel"/>
    <w:tmpl w:val="957672EA"/>
    <w:lvl w:ilvl="0" w:tplc="DB5CF0EC">
      <w:start w:val="1"/>
      <w:numFmt w:val="bullet"/>
      <w:lvlText w:val="•"/>
      <w:lvlJc w:val="left"/>
      <w:pPr>
        <w:tabs>
          <w:tab w:val="num" w:pos="720"/>
        </w:tabs>
        <w:ind w:left="720" w:hanging="360"/>
      </w:pPr>
      <w:rPr>
        <w:rFonts w:ascii="Arial" w:hAnsi="Arial" w:hint="default"/>
      </w:rPr>
    </w:lvl>
    <w:lvl w:ilvl="1" w:tplc="0DFE1EBA" w:tentative="1">
      <w:start w:val="1"/>
      <w:numFmt w:val="bullet"/>
      <w:lvlText w:val="•"/>
      <w:lvlJc w:val="left"/>
      <w:pPr>
        <w:tabs>
          <w:tab w:val="num" w:pos="1440"/>
        </w:tabs>
        <w:ind w:left="1440" w:hanging="360"/>
      </w:pPr>
      <w:rPr>
        <w:rFonts w:ascii="Arial" w:hAnsi="Arial" w:hint="default"/>
      </w:rPr>
    </w:lvl>
    <w:lvl w:ilvl="2" w:tplc="0FA475C8">
      <w:start w:val="1"/>
      <w:numFmt w:val="bullet"/>
      <w:lvlText w:val="•"/>
      <w:lvlJc w:val="left"/>
      <w:pPr>
        <w:tabs>
          <w:tab w:val="num" w:pos="2160"/>
        </w:tabs>
        <w:ind w:left="2160" w:hanging="360"/>
      </w:pPr>
      <w:rPr>
        <w:rFonts w:ascii="Arial" w:hAnsi="Arial" w:hint="default"/>
      </w:rPr>
    </w:lvl>
    <w:lvl w:ilvl="3" w:tplc="143235EA" w:tentative="1">
      <w:start w:val="1"/>
      <w:numFmt w:val="bullet"/>
      <w:lvlText w:val="•"/>
      <w:lvlJc w:val="left"/>
      <w:pPr>
        <w:tabs>
          <w:tab w:val="num" w:pos="2880"/>
        </w:tabs>
        <w:ind w:left="2880" w:hanging="360"/>
      </w:pPr>
      <w:rPr>
        <w:rFonts w:ascii="Arial" w:hAnsi="Arial" w:hint="default"/>
      </w:rPr>
    </w:lvl>
    <w:lvl w:ilvl="4" w:tplc="E490FAC6" w:tentative="1">
      <w:start w:val="1"/>
      <w:numFmt w:val="bullet"/>
      <w:lvlText w:val="•"/>
      <w:lvlJc w:val="left"/>
      <w:pPr>
        <w:tabs>
          <w:tab w:val="num" w:pos="3600"/>
        </w:tabs>
        <w:ind w:left="3600" w:hanging="360"/>
      </w:pPr>
      <w:rPr>
        <w:rFonts w:ascii="Arial" w:hAnsi="Arial" w:hint="default"/>
      </w:rPr>
    </w:lvl>
    <w:lvl w:ilvl="5" w:tplc="128289AA" w:tentative="1">
      <w:start w:val="1"/>
      <w:numFmt w:val="bullet"/>
      <w:lvlText w:val="•"/>
      <w:lvlJc w:val="left"/>
      <w:pPr>
        <w:tabs>
          <w:tab w:val="num" w:pos="4320"/>
        </w:tabs>
        <w:ind w:left="4320" w:hanging="360"/>
      </w:pPr>
      <w:rPr>
        <w:rFonts w:ascii="Arial" w:hAnsi="Arial" w:hint="default"/>
      </w:rPr>
    </w:lvl>
    <w:lvl w:ilvl="6" w:tplc="CC46366E" w:tentative="1">
      <w:start w:val="1"/>
      <w:numFmt w:val="bullet"/>
      <w:lvlText w:val="•"/>
      <w:lvlJc w:val="left"/>
      <w:pPr>
        <w:tabs>
          <w:tab w:val="num" w:pos="5040"/>
        </w:tabs>
        <w:ind w:left="5040" w:hanging="360"/>
      </w:pPr>
      <w:rPr>
        <w:rFonts w:ascii="Arial" w:hAnsi="Arial" w:hint="default"/>
      </w:rPr>
    </w:lvl>
    <w:lvl w:ilvl="7" w:tplc="9DA8A832" w:tentative="1">
      <w:start w:val="1"/>
      <w:numFmt w:val="bullet"/>
      <w:lvlText w:val="•"/>
      <w:lvlJc w:val="left"/>
      <w:pPr>
        <w:tabs>
          <w:tab w:val="num" w:pos="5760"/>
        </w:tabs>
        <w:ind w:left="5760" w:hanging="360"/>
      </w:pPr>
      <w:rPr>
        <w:rFonts w:ascii="Arial" w:hAnsi="Arial" w:hint="default"/>
      </w:rPr>
    </w:lvl>
    <w:lvl w:ilvl="8" w:tplc="20165522" w:tentative="1">
      <w:start w:val="1"/>
      <w:numFmt w:val="bullet"/>
      <w:lvlText w:val="•"/>
      <w:lvlJc w:val="left"/>
      <w:pPr>
        <w:tabs>
          <w:tab w:val="num" w:pos="6480"/>
        </w:tabs>
        <w:ind w:left="6480" w:hanging="360"/>
      </w:pPr>
      <w:rPr>
        <w:rFonts w:ascii="Arial" w:hAnsi="Arial" w:hint="default"/>
      </w:rPr>
    </w:lvl>
  </w:abstractNum>
  <w:abstractNum w:abstractNumId="500">
    <w:nsid w:val="67294C4B"/>
    <w:multiLevelType w:val="hybridMultilevel"/>
    <w:tmpl w:val="27DC9B94"/>
    <w:lvl w:ilvl="0" w:tplc="6BC8577C">
      <w:start w:val="1"/>
      <w:numFmt w:val="bullet"/>
      <w:lvlText w:val=""/>
      <w:lvlJc w:val="left"/>
      <w:pPr>
        <w:ind w:left="720" w:hanging="360"/>
      </w:pPr>
      <w:rPr>
        <w:rFonts w:ascii="Symbol" w:hAnsi="Symbol" w:hint="default"/>
      </w:rPr>
    </w:lvl>
    <w:lvl w:ilvl="1" w:tplc="8796ECE6">
      <w:start w:val="1"/>
      <w:numFmt w:val="bullet"/>
      <w:lvlText w:val="o"/>
      <w:lvlJc w:val="left"/>
      <w:pPr>
        <w:ind w:left="1440" w:hanging="360"/>
      </w:pPr>
      <w:rPr>
        <w:rFonts w:ascii="Courier New" w:hAnsi="Courier New" w:cs="Courier New" w:hint="default"/>
      </w:rPr>
    </w:lvl>
    <w:lvl w:ilvl="2" w:tplc="F90261D0" w:tentative="1">
      <w:start w:val="1"/>
      <w:numFmt w:val="bullet"/>
      <w:lvlText w:val=""/>
      <w:lvlJc w:val="left"/>
      <w:pPr>
        <w:ind w:left="2160" w:hanging="360"/>
      </w:pPr>
      <w:rPr>
        <w:rFonts w:ascii="Wingdings" w:hAnsi="Wingdings" w:hint="default"/>
      </w:rPr>
    </w:lvl>
    <w:lvl w:ilvl="3" w:tplc="03961392" w:tentative="1">
      <w:start w:val="1"/>
      <w:numFmt w:val="bullet"/>
      <w:lvlText w:val=""/>
      <w:lvlJc w:val="left"/>
      <w:pPr>
        <w:ind w:left="2880" w:hanging="360"/>
      </w:pPr>
      <w:rPr>
        <w:rFonts w:ascii="Symbol" w:hAnsi="Symbol" w:hint="default"/>
      </w:rPr>
    </w:lvl>
    <w:lvl w:ilvl="4" w:tplc="243467A0" w:tentative="1">
      <w:start w:val="1"/>
      <w:numFmt w:val="bullet"/>
      <w:lvlText w:val="o"/>
      <w:lvlJc w:val="left"/>
      <w:pPr>
        <w:ind w:left="3600" w:hanging="360"/>
      </w:pPr>
      <w:rPr>
        <w:rFonts w:ascii="Courier New" w:hAnsi="Courier New" w:cs="Courier New" w:hint="default"/>
      </w:rPr>
    </w:lvl>
    <w:lvl w:ilvl="5" w:tplc="C5003734" w:tentative="1">
      <w:start w:val="1"/>
      <w:numFmt w:val="bullet"/>
      <w:lvlText w:val=""/>
      <w:lvlJc w:val="left"/>
      <w:pPr>
        <w:ind w:left="4320" w:hanging="360"/>
      </w:pPr>
      <w:rPr>
        <w:rFonts w:ascii="Wingdings" w:hAnsi="Wingdings" w:hint="default"/>
      </w:rPr>
    </w:lvl>
    <w:lvl w:ilvl="6" w:tplc="36084EF2" w:tentative="1">
      <w:start w:val="1"/>
      <w:numFmt w:val="bullet"/>
      <w:lvlText w:val=""/>
      <w:lvlJc w:val="left"/>
      <w:pPr>
        <w:ind w:left="5040" w:hanging="360"/>
      </w:pPr>
      <w:rPr>
        <w:rFonts w:ascii="Symbol" w:hAnsi="Symbol" w:hint="default"/>
      </w:rPr>
    </w:lvl>
    <w:lvl w:ilvl="7" w:tplc="18EC72CC" w:tentative="1">
      <w:start w:val="1"/>
      <w:numFmt w:val="bullet"/>
      <w:lvlText w:val="o"/>
      <w:lvlJc w:val="left"/>
      <w:pPr>
        <w:ind w:left="5760" w:hanging="360"/>
      </w:pPr>
      <w:rPr>
        <w:rFonts w:ascii="Courier New" w:hAnsi="Courier New" w:cs="Courier New" w:hint="default"/>
      </w:rPr>
    </w:lvl>
    <w:lvl w:ilvl="8" w:tplc="75302740" w:tentative="1">
      <w:start w:val="1"/>
      <w:numFmt w:val="bullet"/>
      <w:lvlText w:val=""/>
      <w:lvlJc w:val="left"/>
      <w:pPr>
        <w:ind w:left="6480" w:hanging="360"/>
      </w:pPr>
      <w:rPr>
        <w:rFonts w:ascii="Wingdings" w:hAnsi="Wingdings" w:hint="default"/>
      </w:rPr>
    </w:lvl>
  </w:abstractNum>
  <w:abstractNum w:abstractNumId="501">
    <w:nsid w:val="676B4F7C"/>
    <w:multiLevelType w:val="hybridMultilevel"/>
    <w:tmpl w:val="131699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2">
    <w:nsid w:val="6832190D"/>
    <w:multiLevelType w:val="hybridMultilevel"/>
    <w:tmpl w:val="6FEC36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3">
    <w:nsid w:val="685D7714"/>
    <w:multiLevelType w:val="hybridMultilevel"/>
    <w:tmpl w:val="0FA2110A"/>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04">
    <w:nsid w:val="685F64C8"/>
    <w:multiLevelType w:val="hybridMultilevel"/>
    <w:tmpl w:val="B2085A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5">
    <w:nsid w:val="686D778C"/>
    <w:multiLevelType w:val="hybridMultilevel"/>
    <w:tmpl w:val="0E54F198"/>
    <w:lvl w:ilvl="0" w:tplc="BE88E404">
      <w:start w:val="1"/>
      <w:numFmt w:val="bullet"/>
      <w:lvlText w:val=""/>
      <w:lvlJc w:val="left"/>
      <w:pPr>
        <w:ind w:left="720" w:hanging="360"/>
      </w:pPr>
      <w:rPr>
        <w:rFonts w:ascii="Symbol" w:hAnsi="Symbol" w:hint="default"/>
      </w:rPr>
    </w:lvl>
    <w:lvl w:ilvl="1" w:tplc="04090001">
      <w:start w:val="1"/>
      <w:numFmt w:val="bullet"/>
      <w:lvlText w:val="o"/>
      <w:lvlJc w:val="left"/>
      <w:pPr>
        <w:ind w:left="1440" w:hanging="360"/>
      </w:pPr>
      <w:rPr>
        <w:rFonts w:ascii="Courier New" w:hAnsi="Courier New" w:cs="Courier New" w:hint="default"/>
      </w:rPr>
    </w:lvl>
    <w:lvl w:ilvl="2" w:tplc="A13E3792" w:tentative="1">
      <w:start w:val="1"/>
      <w:numFmt w:val="bullet"/>
      <w:lvlText w:val=""/>
      <w:lvlJc w:val="left"/>
      <w:pPr>
        <w:ind w:left="2160" w:hanging="360"/>
      </w:pPr>
      <w:rPr>
        <w:rFonts w:ascii="Wingdings" w:hAnsi="Wingdings" w:hint="default"/>
      </w:rPr>
    </w:lvl>
    <w:lvl w:ilvl="3" w:tplc="5D06395C" w:tentative="1">
      <w:start w:val="1"/>
      <w:numFmt w:val="bullet"/>
      <w:lvlText w:val=""/>
      <w:lvlJc w:val="left"/>
      <w:pPr>
        <w:ind w:left="2880" w:hanging="360"/>
      </w:pPr>
      <w:rPr>
        <w:rFonts w:ascii="Symbol" w:hAnsi="Symbol" w:hint="default"/>
      </w:rPr>
    </w:lvl>
    <w:lvl w:ilvl="4" w:tplc="0590AED6" w:tentative="1">
      <w:start w:val="1"/>
      <w:numFmt w:val="bullet"/>
      <w:lvlText w:val="o"/>
      <w:lvlJc w:val="left"/>
      <w:pPr>
        <w:ind w:left="3600" w:hanging="360"/>
      </w:pPr>
      <w:rPr>
        <w:rFonts w:ascii="Courier New" w:hAnsi="Courier New" w:cs="Courier New" w:hint="default"/>
      </w:rPr>
    </w:lvl>
    <w:lvl w:ilvl="5" w:tplc="D8189DC0" w:tentative="1">
      <w:start w:val="1"/>
      <w:numFmt w:val="bullet"/>
      <w:lvlText w:val=""/>
      <w:lvlJc w:val="left"/>
      <w:pPr>
        <w:ind w:left="4320" w:hanging="360"/>
      </w:pPr>
      <w:rPr>
        <w:rFonts w:ascii="Wingdings" w:hAnsi="Wingdings" w:hint="default"/>
      </w:rPr>
    </w:lvl>
    <w:lvl w:ilvl="6" w:tplc="7BB407E4" w:tentative="1">
      <w:start w:val="1"/>
      <w:numFmt w:val="bullet"/>
      <w:lvlText w:val=""/>
      <w:lvlJc w:val="left"/>
      <w:pPr>
        <w:ind w:left="5040" w:hanging="360"/>
      </w:pPr>
      <w:rPr>
        <w:rFonts w:ascii="Symbol" w:hAnsi="Symbol" w:hint="default"/>
      </w:rPr>
    </w:lvl>
    <w:lvl w:ilvl="7" w:tplc="07EA102E" w:tentative="1">
      <w:start w:val="1"/>
      <w:numFmt w:val="bullet"/>
      <w:lvlText w:val="o"/>
      <w:lvlJc w:val="left"/>
      <w:pPr>
        <w:ind w:left="5760" w:hanging="360"/>
      </w:pPr>
      <w:rPr>
        <w:rFonts w:ascii="Courier New" w:hAnsi="Courier New" w:cs="Courier New" w:hint="default"/>
      </w:rPr>
    </w:lvl>
    <w:lvl w:ilvl="8" w:tplc="209C8316" w:tentative="1">
      <w:start w:val="1"/>
      <w:numFmt w:val="bullet"/>
      <w:lvlText w:val=""/>
      <w:lvlJc w:val="left"/>
      <w:pPr>
        <w:ind w:left="6480" w:hanging="360"/>
      </w:pPr>
      <w:rPr>
        <w:rFonts w:ascii="Wingdings" w:hAnsi="Wingdings" w:hint="default"/>
      </w:rPr>
    </w:lvl>
  </w:abstractNum>
  <w:abstractNum w:abstractNumId="506">
    <w:nsid w:val="68BC3815"/>
    <w:multiLevelType w:val="hybridMultilevel"/>
    <w:tmpl w:val="53C4DB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7">
    <w:nsid w:val="68C06553"/>
    <w:multiLevelType w:val="hybridMultilevel"/>
    <w:tmpl w:val="DB7478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8">
    <w:nsid w:val="68C35C9E"/>
    <w:multiLevelType w:val="hybridMultilevel"/>
    <w:tmpl w:val="C1743BC0"/>
    <w:lvl w:ilvl="0" w:tplc="04090001">
      <w:start w:val="1"/>
      <w:numFmt w:val="bullet"/>
      <w:lvlText w:val=""/>
      <w:lvlJc w:val="left"/>
      <w:pPr>
        <w:ind w:left="720" w:hanging="360"/>
      </w:pPr>
      <w:rPr>
        <w:rFonts w:ascii="Symbol" w:hAnsi="Symbol" w:hint="default"/>
        <w:b w:val="0"/>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509">
    <w:nsid w:val="68C50C08"/>
    <w:multiLevelType w:val="hybridMultilevel"/>
    <w:tmpl w:val="688A17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0">
    <w:nsid w:val="68F3080D"/>
    <w:multiLevelType w:val="multilevel"/>
    <w:tmpl w:val="F73A1BF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511">
    <w:nsid w:val="68F41F16"/>
    <w:multiLevelType w:val="hybridMultilevel"/>
    <w:tmpl w:val="9468C64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12">
    <w:nsid w:val="69330A76"/>
    <w:multiLevelType w:val="hybridMultilevel"/>
    <w:tmpl w:val="152CA15E"/>
    <w:lvl w:ilvl="0" w:tplc="6204902A">
      <w:start w:val="1"/>
      <w:numFmt w:val="bullet"/>
      <w:lvlText w:val=""/>
      <w:lvlJc w:val="left"/>
      <w:pPr>
        <w:ind w:left="1440" w:hanging="360"/>
      </w:pPr>
      <w:rPr>
        <w:rFonts w:ascii="Symbol" w:hAnsi="Symbol" w:hint="default"/>
        <w:sz w:val="22"/>
        <w:szCs w:val="22"/>
      </w:rPr>
    </w:lvl>
    <w:lvl w:ilvl="1" w:tplc="28D831BE">
      <w:start w:val="1"/>
      <w:numFmt w:val="bullet"/>
      <w:lvlText w:val="o"/>
      <w:lvlJc w:val="left"/>
      <w:pPr>
        <w:ind w:left="2160" w:hanging="360"/>
      </w:pPr>
      <w:rPr>
        <w:rFonts w:ascii="Courier New" w:hAnsi="Courier New" w:cs="Courier New" w:hint="default"/>
      </w:rPr>
    </w:lvl>
    <w:lvl w:ilvl="2" w:tplc="A78AFD9C" w:tentative="1">
      <w:start w:val="1"/>
      <w:numFmt w:val="bullet"/>
      <w:lvlText w:val=""/>
      <w:lvlJc w:val="left"/>
      <w:pPr>
        <w:ind w:left="2880" w:hanging="360"/>
      </w:pPr>
      <w:rPr>
        <w:rFonts w:ascii="Wingdings" w:hAnsi="Wingdings" w:hint="default"/>
      </w:rPr>
    </w:lvl>
    <w:lvl w:ilvl="3" w:tplc="FE42F244" w:tentative="1">
      <w:start w:val="1"/>
      <w:numFmt w:val="bullet"/>
      <w:lvlText w:val=""/>
      <w:lvlJc w:val="left"/>
      <w:pPr>
        <w:ind w:left="3600" w:hanging="360"/>
      </w:pPr>
      <w:rPr>
        <w:rFonts w:ascii="Symbol" w:hAnsi="Symbol" w:hint="default"/>
      </w:rPr>
    </w:lvl>
    <w:lvl w:ilvl="4" w:tplc="A41682AA" w:tentative="1">
      <w:start w:val="1"/>
      <w:numFmt w:val="bullet"/>
      <w:lvlText w:val="o"/>
      <w:lvlJc w:val="left"/>
      <w:pPr>
        <w:ind w:left="4320" w:hanging="360"/>
      </w:pPr>
      <w:rPr>
        <w:rFonts w:ascii="Courier New" w:hAnsi="Courier New" w:cs="Courier New" w:hint="default"/>
      </w:rPr>
    </w:lvl>
    <w:lvl w:ilvl="5" w:tplc="3B3AAC82" w:tentative="1">
      <w:start w:val="1"/>
      <w:numFmt w:val="bullet"/>
      <w:lvlText w:val=""/>
      <w:lvlJc w:val="left"/>
      <w:pPr>
        <w:ind w:left="5040" w:hanging="360"/>
      </w:pPr>
      <w:rPr>
        <w:rFonts w:ascii="Wingdings" w:hAnsi="Wingdings" w:hint="default"/>
      </w:rPr>
    </w:lvl>
    <w:lvl w:ilvl="6" w:tplc="A49207AC" w:tentative="1">
      <w:start w:val="1"/>
      <w:numFmt w:val="bullet"/>
      <w:lvlText w:val=""/>
      <w:lvlJc w:val="left"/>
      <w:pPr>
        <w:ind w:left="5760" w:hanging="360"/>
      </w:pPr>
      <w:rPr>
        <w:rFonts w:ascii="Symbol" w:hAnsi="Symbol" w:hint="default"/>
      </w:rPr>
    </w:lvl>
    <w:lvl w:ilvl="7" w:tplc="B0FE828A" w:tentative="1">
      <w:start w:val="1"/>
      <w:numFmt w:val="bullet"/>
      <w:lvlText w:val="o"/>
      <w:lvlJc w:val="left"/>
      <w:pPr>
        <w:ind w:left="6480" w:hanging="360"/>
      </w:pPr>
      <w:rPr>
        <w:rFonts w:ascii="Courier New" w:hAnsi="Courier New" w:cs="Courier New" w:hint="default"/>
      </w:rPr>
    </w:lvl>
    <w:lvl w:ilvl="8" w:tplc="57B67E22" w:tentative="1">
      <w:start w:val="1"/>
      <w:numFmt w:val="bullet"/>
      <w:lvlText w:val=""/>
      <w:lvlJc w:val="left"/>
      <w:pPr>
        <w:ind w:left="7200" w:hanging="360"/>
      </w:pPr>
      <w:rPr>
        <w:rFonts w:ascii="Wingdings" w:hAnsi="Wingdings" w:hint="default"/>
      </w:rPr>
    </w:lvl>
  </w:abstractNum>
  <w:abstractNum w:abstractNumId="513">
    <w:nsid w:val="69A940CA"/>
    <w:multiLevelType w:val="hybridMultilevel"/>
    <w:tmpl w:val="8CDAFAA8"/>
    <w:lvl w:ilvl="0" w:tplc="87C28FF2">
      <w:start w:val="1"/>
      <w:numFmt w:val="bullet"/>
      <w:lvlText w:val="•"/>
      <w:lvlJc w:val="left"/>
      <w:pPr>
        <w:tabs>
          <w:tab w:val="num" w:pos="720"/>
        </w:tabs>
        <w:ind w:left="720" w:hanging="360"/>
      </w:pPr>
      <w:rPr>
        <w:rFonts w:ascii="Times New Roman" w:hAnsi="Times New Roman" w:hint="default"/>
      </w:rPr>
    </w:lvl>
    <w:lvl w:ilvl="1" w:tplc="A6DA7F88">
      <w:start w:val="1555"/>
      <w:numFmt w:val="bullet"/>
      <w:lvlText w:val="–"/>
      <w:lvlJc w:val="left"/>
      <w:pPr>
        <w:tabs>
          <w:tab w:val="num" w:pos="1440"/>
        </w:tabs>
        <w:ind w:left="1440" w:hanging="360"/>
      </w:pPr>
      <w:rPr>
        <w:rFonts w:ascii="Times New Roman" w:hAnsi="Times New Roman" w:hint="default"/>
      </w:rPr>
    </w:lvl>
    <w:lvl w:ilvl="2" w:tplc="251CFF14" w:tentative="1">
      <w:start w:val="1"/>
      <w:numFmt w:val="bullet"/>
      <w:lvlText w:val="•"/>
      <w:lvlJc w:val="left"/>
      <w:pPr>
        <w:tabs>
          <w:tab w:val="num" w:pos="2160"/>
        </w:tabs>
        <w:ind w:left="2160" w:hanging="360"/>
      </w:pPr>
      <w:rPr>
        <w:rFonts w:ascii="Times New Roman" w:hAnsi="Times New Roman" w:hint="default"/>
      </w:rPr>
    </w:lvl>
    <w:lvl w:ilvl="3" w:tplc="462A4008" w:tentative="1">
      <w:start w:val="1"/>
      <w:numFmt w:val="bullet"/>
      <w:lvlText w:val="•"/>
      <w:lvlJc w:val="left"/>
      <w:pPr>
        <w:tabs>
          <w:tab w:val="num" w:pos="2880"/>
        </w:tabs>
        <w:ind w:left="2880" w:hanging="360"/>
      </w:pPr>
      <w:rPr>
        <w:rFonts w:ascii="Times New Roman" w:hAnsi="Times New Roman" w:hint="default"/>
      </w:rPr>
    </w:lvl>
    <w:lvl w:ilvl="4" w:tplc="BEE84C86" w:tentative="1">
      <w:start w:val="1"/>
      <w:numFmt w:val="bullet"/>
      <w:lvlText w:val="•"/>
      <w:lvlJc w:val="left"/>
      <w:pPr>
        <w:tabs>
          <w:tab w:val="num" w:pos="3600"/>
        </w:tabs>
        <w:ind w:left="3600" w:hanging="360"/>
      </w:pPr>
      <w:rPr>
        <w:rFonts w:ascii="Times New Roman" w:hAnsi="Times New Roman" w:hint="default"/>
      </w:rPr>
    </w:lvl>
    <w:lvl w:ilvl="5" w:tplc="381CE552" w:tentative="1">
      <w:start w:val="1"/>
      <w:numFmt w:val="bullet"/>
      <w:lvlText w:val="•"/>
      <w:lvlJc w:val="left"/>
      <w:pPr>
        <w:tabs>
          <w:tab w:val="num" w:pos="4320"/>
        </w:tabs>
        <w:ind w:left="4320" w:hanging="360"/>
      </w:pPr>
      <w:rPr>
        <w:rFonts w:ascii="Times New Roman" w:hAnsi="Times New Roman" w:hint="default"/>
      </w:rPr>
    </w:lvl>
    <w:lvl w:ilvl="6" w:tplc="00EC9EC8" w:tentative="1">
      <w:start w:val="1"/>
      <w:numFmt w:val="bullet"/>
      <w:lvlText w:val="•"/>
      <w:lvlJc w:val="left"/>
      <w:pPr>
        <w:tabs>
          <w:tab w:val="num" w:pos="5040"/>
        </w:tabs>
        <w:ind w:left="5040" w:hanging="360"/>
      </w:pPr>
      <w:rPr>
        <w:rFonts w:ascii="Times New Roman" w:hAnsi="Times New Roman" w:hint="default"/>
      </w:rPr>
    </w:lvl>
    <w:lvl w:ilvl="7" w:tplc="D980A89A" w:tentative="1">
      <w:start w:val="1"/>
      <w:numFmt w:val="bullet"/>
      <w:lvlText w:val="•"/>
      <w:lvlJc w:val="left"/>
      <w:pPr>
        <w:tabs>
          <w:tab w:val="num" w:pos="5760"/>
        </w:tabs>
        <w:ind w:left="5760" w:hanging="360"/>
      </w:pPr>
      <w:rPr>
        <w:rFonts w:ascii="Times New Roman" w:hAnsi="Times New Roman" w:hint="default"/>
      </w:rPr>
    </w:lvl>
    <w:lvl w:ilvl="8" w:tplc="B2260F58" w:tentative="1">
      <w:start w:val="1"/>
      <w:numFmt w:val="bullet"/>
      <w:lvlText w:val="•"/>
      <w:lvlJc w:val="left"/>
      <w:pPr>
        <w:tabs>
          <w:tab w:val="num" w:pos="6480"/>
        </w:tabs>
        <w:ind w:left="6480" w:hanging="360"/>
      </w:pPr>
      <w:rPr>
        <w:rFonts w:ascii="Times New Roman" w:hAnsi="Times New Roman" w:hint="default"/>
      </w:rPr>
    </w:lvl>
  </w:abstractNum>
  <w:abstractNum w:abstractNumId="514">
    <w:nsid w:val="69B6268F"/>
    <w:multiLevelType w:val="hybridMultilevel"/>
    <w:tmpl w:val="E3FE05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5">
    <w:nsid w:val="69E66629"/>
    <w:multiLevelType w:val="hybridMultilevel"/>
    <w:tmpl w:val="E0525F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6">
    <w:nsid w:val="69E66A87"/>
    <w:multiLevelType w:val="hybridMultilevel"/>
    <w:tmpl w:val="1E1EB08C"/>
    <w:lvl w:ilvl="0" w:tplc="C14CF402">
      <w:start w:val="1"/>
      <w:numFmt w:val="lowerLetter"/>
      <w:lvlText w:val="(%1)"/>
      <w:lvlJc w:val="left"/>
      <w:pPr>
        <w:ind w:left="1080" w:hanging="360"/>
      </w:pPr>
      <w:rPr>
        <w:rFonts w:hint="default"/>
      </w:rPr>
    </w:lvl>
    <w:lvl w:ilvl="1" w:tplc="04090003" w:tentative="1">
      <w:start w:val="1"/>
      <w:numFmt w:val="lowerLetter"/>
      <w:lvlText w:val="%2."/>
      <w:lvlJc w:val="left"/>
      <w:pPr>
        <w:ind w:left="3960" w:hanging="360"/>
      </w:pPr>
    </w:lvl>
    <w:lvl w:ilvl="2" w:tplc="8A58C506" w:tentative="1">
      <w:start w:val="1"/>
      <w:numFmt w:val="lowerRoman"/>
      <w:lvlText w:val="%3."/>
      <w:lvlJc w:val="right"/>
      <w:pPr>
        <w:ind w:left="4680" w:hanging="180"/>
      </w:pPr>
    </w:lvl>
    <w:lvl w:ilvl="3" w:tplc="198A0980" w:tentative="1">
      <w:start w:val="1"/>
      <w:numFmt w:val="decimal"/>
      <w:lvlText w:val="%4."/>
      <w:lvlJc w:val="left"/>
      <w:pPr>
        <w:ind w:left="5400" w:hanging="360"/>
      </w:pPr>
    </w:lvl>
    <w:lvl w:ilvl="4" w:tplc="F6AE0F64" w:tentative="1">
      <w:start w:val="1"/>
      <w:numFmt w:val="lowerLetter"/>
      <w:lvlText w:val="%5."/>
      <w:lvlJc w:val="left"/>
      <w:pPr>
        <w:ind w:left="6120" w:hanging="360"/>
      </w:pPr>
    </w:lvl>
    <w:lvl w:ilvl="5" w:tplc="B6D22D3A" w:tentative="1">
      <w:start w:val="1"/>
      <w:numFmt w:val="lowerRoman"/>
      <w:lvlText w:val="%6."/>
      <w:lvlJc w:val="right"/>
      <w:pPr>
        <w:ind w:left="6840" w:hanging="180"/>
      </w:pPr>
    </w:lvl>
    <w:lvl w:ilvl="6" w:tplc="6FA69FB4" w:tentative="1">
      <w:start w:val="1"/>
      <w:numFmt w:val="decimal"/>
      <w:lvlText w:val="%7."/>
      <w:lvlJc w:val="left"/>
      <w:pPr>
        <w:ind w:left="7560" w:hanging="360"/>
      </w:pPr>
    </w:lvl>
    <w:lvl w:ilvl="7" w:tplc="66EE3786" w:tentative="1">
      <w:start w:val="1"/>
      <w:numFmt w:val="lowerLetter"/>
      <w:lvlText w:val="%8."/>
      <w:lvlJc w:val="left"/>
      <w:pPr>
        <w:ind w:left="8280" w:hanging="360"/>
      </w:pPr>
    </w:lvl>
    <w:lvl w:ilvl="8" w:tplc="6B2AB2F2" w:tentative="1">
      <w:start w:val="1"/>
      <w:numFmt w:val="lowerRoman"/>
      <w:lvlText w:val="%9."/>
      <w:lvlJc w:val="right"/>
      <w:pPr>
        <w:ind w:left="9000" w:hanging="180"/>
      </w:pPr>
    </w:lvl>
  </w:abstractNum>
  <w:abstractNum w:abstractNumId="517">
    <w:nsid w:val="6AC54AA4"/>
    <w:multiLevelType w:val="hybridMultilevel"/>
    <w:tmpl w:val="64F22798"/>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18">
    <w:nsid w:val="6B2F41E7"/>
    <w:multiLevelType w:val="hybridMultilevel"/>
    <w:tmpl w:val="130E4BD8"/>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9">
    <w:nsid w:val="6B712CF5"/>
    <w:multiLevelType w:val="hybridMultilevel"/>
    <w:tmpl w:val="CB04D504"/>
    <w:lvl w:ilvl="0" w:tplc="A47478C4">
      <w:start w:val="1"/>
      <w:numFmt w:val="bullet"/>
      <w:lvlText w:val=""/>
      <w:lvlJc w:val="left"/>
      <w:pPr>
        <w:ind w:left="720" w:hanging="360"/>
      </w:pPr>
      <w:rPr>
        <w:rFonts w:ascii="Symbol" w:hAnsi="Symbol" w:hint="default"/>
      </w:rPr>
    </w:lvl>
    <w:lvl w:ilvl="1" w:tplc="971EF834">
      <w:start w:val="1"/>
      <w:numFmt w:val="bullet"/>
      <w:lvlText w:val="o"/>
      <w:lvlJc w:val="left"/>
      <w:pPr>
        <w:ind w:left="1440" w:hanging="360"/>
      </w:pPr>
      <w:rPr>
        <w:rFonts w:ascii="Courier New" w:hAnsi="Courier New" w:cs="Courier New" w:hint="default"/>
      </w:rPr>
    </w:lvl>
    <w:lvl w:ilvl="2" w:tplc="79E4AAE4">
      <w:start w:val="1"/>
      <w:numFmt w:val="bullet"/>
      <w:lvlText w:val=""/>
      <w:lvlJc w:val="left"/>
      <w:pPr>
        <w:ind w:left="2160" w:hanging="360"/>
      </w:pPr>
      <w:rPr>
        <w:rFonts w:ascii="Wingdings" w:hAnsi="Wingdings" w:hint="default"/>
      </w:rPr>
    </w:lvl>
    <w:lvl w:ilvl="3" w:tplc="60DC35F6" w:tentative="1">
      <w:start w:val="1"/>
      <w:numFmt w:val="bullet"/>
      <w:lvlText w:val=""/>
      <w:lvlJc w:val="left"/>
      <w:pPr>
        <w:ind w:left="2880" w:hanging="360"/>
      </w:pPr>
      <w:rPr>
        <w:rFonts w:ascii="Symbol" w:hAnsi="Symbol" w:hint="default"/>
      </w:rPr>
    </w:lvl>
    <w:lvl w:ilvl="4" w:tplc="978EAA6E" w:tentative="1">
      <w:start w:val="1"/>
      <w:numFmt w:val="bullet"/>
      <w:lvlText w:val="o"/>
      <w:lvlJc w:val="left"/>
      <w:pPr>
        <w:ind w:left="3600" w:hanging="360"/>
      </w:pPr>
      <w:rPr>
        <w:rFonts w:ascii="Courier New" w:hAnsi="Courier New" w:cs="Courier New" w:hint="default"/>
      </w:rPr>
    </w:lvl>
    <w:lvl w:ilvl="5" w:tplc="E9368398" w:tentative="1">
      <w:start w:val="1"/>
      <w:numFmt w:val="bullet"/>
      <w:lvlText w:val=""/>
      <w:lvlJc w:val="left"/>
      <w:pPr>
        <w:ind w:left="4320" w:hanging="360"/>
      </w:pPr>
      <w:rPr>
        <w:rFonts w:ascii="Wingdings" w:hAnsi="Wingdings" w:hint="default"/>
      </w:rPr>
    </w:lvl>
    <w:lvl w:ilvl="6" w:tplc="C868DA3C" w:tentative="1">
      <w:start w:val="1"/>
      <w:numFmt w:val="bullet"/>
      <w:lvlText w:val=""/>
      <w:lvlJc w:val="left"/>
      <w:pPr>
        <w:ind w:left="5040" w:hanging="360"/>
      </w:pPr>
      <w:rPr>
        <w:rFonts w:ascii="Symbol" w:hAnsi="Symbol" w:hint="default"/>
      </w:rPr>
    </w:lvl>
    <w:lvl w:ilvl="7" w:tplc="CD6E6FA8" w:tentative="1">
      <w:start w:val="1"/>
      <w:numFmt w:val="bullet"/>
      <w:lvlText w:val="o"/>
      <w:lvlJc w:val="left"/>
      <w:pPr>
        <w:ind w:left="5760" w:hanging="360"/>
      </w:pPr>
      <w:rPr>
        <w:rFonts w:ascii="Courier New" w:hAnsi="Courier New" w:cs="Courier New" w:hint="default"/>
      </w:rPr>
    </w:lvl>
    <w:lvl w:ilvl="8" w:tplc="10AAC018" w:tentative="1">
      <w:start w:val="1"/>
      <w:numFmt w:val="bullet"/>
      <w:lvlText w:val=""/>
      <w:lvlJc w:val="left"/>
      <w:pPr>
        <w:ind w:left="6480" w:hanging="360"/>
      </w:pPr>
      <w:rPr>
        <w:rFonts w:ascii="Wingdings" w:hAnsi="Wingdings" w:hint="default"/>
      </w:rPr>
    </w:lvl>
  </w:abstractNum>
  <w:abstractNum w:abstractNumId="520">
    <w:nsid w:val="6B7F88D7"/>
    <w:multiLevelType w:val="hybridMultilevel"/>
    <w:tmpl w:val="F16FDB70"/>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21">
    <w:nsid w:val="6BDE6E98"/>
    <w:multiLevelType w:val="hybridMultilevel"/>
    <w:tmpl w:val="2CC29C0A"/>
    <w:lvl w:ilvl="0" w:tplc="A678B37C">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522">
    <w:nsid w:val="6BEF034E"/>
    <w:multiLevelType w:val="hybridMultilevel"/>
    <w:tmpl w:val="021AF2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3">
    <w:nsid w:val="6BFF692D"/>
    <w:multiLevelType w:val="hybridMultilevel"/>
    <w:tmpl w:val="7B3E9B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4">
    <w:nsid w:val="6C3157AC"/>
    <w:multiLevelType w:val="hybridMultilevel"/>
    <w:tmpl w:val="6018103C"/>
    <w:lvl w:ilvl="0" w:tplc="88849696">
      <w:start w:val="1"/>
      <w:numFmt w:val="bullet"/>
      <w:lvlText w:val="o"/>
      <w:lvlJc w:val="left"/>
      <w:pPr>
        <w:ind w:left="1440" w:hanging="360"/>
      </w:pPr>
      <w:rPr>
        <w:rFonts w:ascii="Courier New" w:hAnsi="Courier New" w:cs="Courier New" w:hint="default"/>
      </w:rPr>
    </w:lvl>
    <w:lvl w:ilvl="1" w:tplc="A3AEF80C" w:tentative="1">
      <w:start w:val="1"/>
      <w:numFmt w:val="bullet"/>
      <w:lvlText w:val="o"/>
      <w:lvlJc w:val="left"/>
      <w:pPr>
        <w:ind w:left="2160" w:hanging="360"/>
      </w:pPr>
      <w:rPr>
        <w:rFonts w:ascii="Courier New" w:hAnsi="Courier New" w:cs="Courier New" w:hint="default"/>
      </w:rPr>
    </w:lvl>
    <w:lvl w:ilvl="2" w:tplc="9190A3DC" w:tentative="1">
      <w:start w:val="1"/>
      <w:numFmt w:val="bullet"/>
      <w:lvlText w:val=""/>
      <w:lvlJc w:val="left"/>
      <w:pPr>
        <w:ind w:left="2880" w:hanging="360"/>
      </w:pPr>
      <w:rPr>
        <w:rFonts w:ascii="Wingdings" w:hAnsi="Wingdings" w:hint="default"/>
      </w:rPr>
    </w:lvl>
    <w:lvl w:ilvl="3" w:tplc="99E8EE2E" w:tentative="1">
      <w:start w:val="1"/>
      <w:numFmt w:val="bullet"/>
      <w:lvlText w:val=""/>
      <w:lvlJc w:val="left"/>
      <w:pPr>
        <w:ind w:left="3600" w:hanging="360"/>
      </w:pPr>
      <w:rPr>
        <w:rFonts w:ascii="Symbol" w:hAnsi="Symbol" w:hint="default"/>
      </w:rPr>
    </w:lvl>
    <w:lvl w:ilvl="4" w:tplc="1E32E38A" w:tentative="1">
      <w:start w:val="1"/>
      <w:numFmt w:val="bullet"/>
      <w:lvlText w:val="o"/>
      <w:lvlJc w:val="left"/>
      <w:pPr>
        <w:ind w:left="4320" w:hanging="360"/>
      </w:pPr>
      <w:rPr>
        <w:rFonts w:ascii="Courier New" w:hAnsi="Courier New" w:cs="Courier New" w:hint="default"/>
      </w:rPr>
    </w:lvl>
    <w:lvl w:ilvl="5" w:tplc="A81E1EAC" w:tentative="1">
      <w:start w:val="1"/>
      <w:numFmt w:val="bullet"/>
      <w:lvlText w:val=""/>
      <w:lvlJc w:val="left"/>
      <w:pPr>
        <w:ind w:left="5040" w:hanging="360"/>
      </w:pPr>
      <w:rPr>
        <w:rFonts w:ascii="Wingdings" w:hAnsi="Wingdings" w:hint="default"/>
      </w:rPr>
    </w:lvl>
    <w:lvl w:ilvl="6" w:tplc="30F0C054" w:tentative="1">
      <w:start w:val="1"/>
      <w:numFmt w:val="bullet"/>
      <w:lvlText w:val=""/>
      <w:lvlJc w:val="left"/>
      <w:pPr>
        <w:ind w:left="5760" w:hanging="360"/>
      </w:pPr>
      <w:rPr>
        <w:rFonts w:ascii="Symbol" w:hAnsi="Symbol" w:hint="default"/>
      </w:rPr>
    </w:lvl>
    <w:lvl w:ilvl="7" w:tplc="FB466B6E" w:tentative="1">
      <w:start w:val="1"/>
      <w:numFmt w:val="bullet"/>
      <w:lvlText w:val="o"/>
      <w:lvlJc w:val="left"/>
      <w:pPr>
        <w:ind w:left="6480" w:hanging="360"/>
      </w:pPr>
      <w:rPr>
        <w:rFonts w:ascii="Courier New" w:hAnsi="Courier New" w:cs="Courier New" w:hint="default"/>
      </w:rPr>
    </w:lvl>
    <w:lvl w:ilvl="8" w:tplc="D6EA4C22" w:tentative="1">
      <w:start w:val="1"/>
      <w:numFmt w:val="bullet"/>
      <w:lvlText w:val=""/>
      <w:lvlJc w:val="left"/>
      <w:pPr>
        <w:ind w:left="7200" w:hanging="360"/>
      </w:pPr>
      <w:rPr>
        <w:rFonts w:ascii="Wingdings" w:hAnsi="Wingdings" w:hint="default"/>
      </w:rPr>
    </w:lvl>
  </w:abstractNum>
  <w:abstractNum w:abstractNumId="525">
    <w:nsid w:val="6C8D2D23"/>
    <w:multiLevelType w:val="hybridMultilevel"/>
    <w:tmpl w:val="9AAEA6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6">
    <w:nsid w:val="6C9C74A4"/>
    <w:multiLevelType w:val="hybridMultilevel"/>
    <w:tmpl w:val="23D4CE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7">
    <w:nsid w:val="6CC87AF1"/>
    <w:multiLevelType w:val="hybridMultilevel"/>
    <w:tmpl w:val="9C749A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8">
    <w:nsid w:val="6CF96BEF"/>
    <w:multiLevelType w:val="hybridMultilevel"/>
    <w:tmpl w:val="1B329E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9">
    <w:nsid w:val="6D48444B"/>
    <w:multiLevelType w:val="hybridMultilevel"/>
    <w:tmpl w:val="8982A768"/>
    <w:lvl w:ilvl="0" w:tplc="D2D24294">
      <w:start w:val="1"/>
      <w:numFmt w:val="bullet"/>
      <w:lvlText w:val="•"/>
      <w:lvlJc w:val="left"/>
      <w:pPr>
        <w:tabs>
          <w:tab w:val="num" w:pos="720"/>
        </w:tabs>
        <w:ind w:left="720" w:hanging="360"/>
      </w:pPr>
      <w:rPr>
        <w:rFonts w:ascii="Times New Roman" w:hAnsi="Times New Roman" w:hint="default"/>
      </w:rPr>
    </w:lvl>
    <w:lvl w:ilvl="1" w:tplc="921CD302" w:tentative="1">
      <w:start w:val="1"/>
      <w:numFmt w:val="bullet"/>
      <w:lvlText w:val="•"/>
      <w:lvlJc w:val="left"/>
      <w:pPr>
        <w:tabs>
          <w:tab w:val="num" w:pos="1440"/>
        </w:tabs>
        <w:ind w:left="1440" w:hanging="360"/>
      </w:pPr>
      <w:rPr>
        <w:rFonts w:ascii="Times New Roman" w:hAnsi="Times New Roman" w:hint="default"/>
      </w:rPr>
    </w:lvl>
    <w:lvl w:ilvl="2" w:tplc="ACB4F9B6" w:tentative="1">
      <w:start w:val="1"/>
      <w:numFmt w:val="bullet"/>
      <w:lvlText w:val="•"/>
      <w:lvlJc w:val="left"/>
      <w:pPr>
        <w:tabs>
          <w:tab w:val="num" w:pos="2160"/>
        </w:tabs>
        <w:ind w:left="2160" w:hanging="360"/>
      </w:pPr>
      <w:rPr>
        <w:rFonts w:ascii="Times New Roman" w:hAnsi="Times New Roman" w:hint="default"/>
      </w:rPr>
    </w:lvl>
    <w:lvl w:ilvl="3" w:tplc="75E8E202" w:tentative="1">
      <w:start w:val="1"/>
      <w:numFmt w:val="bullet"/>
      <w:lvlText w:val="•"/>
      <w:lvlJc w:val="left"/>
      <w:pPr>
        <w:tabs>
          <w:tab w:val="num" w:pos="2880"/>
        </w:tabs>
        <w:ind w:left="2880" w:hanging="360"/>
      </w:pPr>
      <w:rPr>
        <w:rFonts w:ascii="Times New Roman" w:hAnsi="Times New Roman" w:hint="default"/>
      </w:rPr>
    </w:lvl>
    <w:lvl w:ilvl="4" w:tplc="0FE88834" w:tentative="1">
      <w:start w:val="1"/>
      <w:numFmt w:val="bullet"/>
      <w:lvlText w:val="•"/>
      <w:lvlJc w:val="left"/>
      <w:pPr>
        <w:tabs>
          <w:tab w:val="num" w:pos="3600"/>
        </w:tabs>
        <w:ind w:left="3600" w:hanging="360"/>
      </w:pPr>
      <w:rPr>
        <w:rFonts w:ascii="Times New Roman" w:hAnsi="Times New Roman" w:hint="default"/>
      </w:rPr>
    </w:lvl>
    <w:lvl w:ilvl="5" w:tplc="A0882C3A" w:tentative="1">
      <w:start w:val="1"/>
      <w:numFmt w:val="bullet"/>
      <w:lvlText w:val="•"/>
      <w:lvlJc w:val="left"/>
      <w:pPr>
        <w:tabs>
          <w:tab w:val="num" w:pos="4320"/>
        </w:tabs>
        <w:ind w:left="4320" w:hanging="360"/>
      </w:pPr>
      <w:rPr>
        <w:rFonts w:ascii="Times New Roman" w:hAnsi="Times New Roman" w:hint="default"/>
      </w:rPr>
    </w:lvl>
    <w:lvl w:ilvl="6" w:tplc="30C43EA2" w:tentative="1">
      <w:start w:val="1"/>
      <w:numFmt w:val="bullet"/>
      <w:lvlText w:val="•"/>
      <w:lvlJc w:val="left"/>
      <w:pPr>
        <w:tabs>
          <w:tab w:val="num" w:pos="5040"/>
        </w:tabs>
        <w:ind w:left="5040" w:hanging="360"/>
      </w:pPr>
      <w:rPr>
        <w:rFonts w:ascii="Times New Roman" w:hAnsi="Times New Roman" w:hint="default"/>
      </w:rPr>
    </w:lvl>
    <w:lvl w:ilvl="7" w:tplc="31F6EFF0" w:tentative="1">
      <w:start w:val="1"/>
      <w:numFmt w:val="bullet"/>
      <w:lvlText w:val="•"/>
      <w:lvlJc w:val="left"/>
      <w:pPr>
        <w:tabs>
          <w:tab w:val="num" w:pos="5760"/>
        </w:tabs>
        <w:ind w:left="5760" w:hanging="360"/>
      </w:pPr>
      <w:rPr>
        <w:rFonts w:ascii="Times New Roman" w:hAnsi="Times New Roman" w:hint="default"/>
      </w:rPr>
    </w:lvl>
    <w:lvl w:ilvl="8" w:tplc="7930B67A" w:tentative="1">
      <w:start w:val="1"/>
      <w:numFmt w:val="bullet"/>
      <w:lvlText w:val="•"/>
      <w:lvlJc w:val="left"/>
      <w:pPr>
        <w:tabs>
          <w:tab w:val="num" w:pos="6480"/>
        </w:tabs>
        <w:ind w:left="6480" w:hanging="360"/>
      </w:pPr>
      <w:rPr>
        <w:rFonts w:ascii="Times New Roman" w:hAnsi="Times New Roman" w:hint="default"/>
      </w:rPr>
    </w:lvl>
  </w:abstractNum>
  <w:abstractNum w:abstractNumId="530">
    <w:nsid w:val="6DC44721"/>
    <w:multiLevelType w:val="multilevel"/>
    <w:tmpl w:val="E45EAD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31">
    <w:nsid w:val="6DFA65C7"/>
    <w:multiLevelType w:val="hybridMultilevel"/>
    <w:tmpl w:val="8E0C0D5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32">
    <w:nsid w:val="6DFD523F"/>
    <w:multiLevelType w:val="hybridMultilevel"/>
    <w:tmpl w:val="FE30425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3">
    <w:nsid w:val="6E3B16F6"/>
    <w:multiLevelType w:val="hybridMultilevel"/>
    <w:tmpl w:val="2E2CD0E0"/>
    <w:lvl w:ilvl="0" w:tplc="32266CFC">
      <w:start w:val="1"/>
      <w:numFmt w:val="bullet"/>
      <w:lvlText w:val=""/>
      <w:lvlJc w:val="left"/>
      <w:pPr>
        <w:ind w:left="720" w:hanging="360"/>
      </w:pPr>
      <w:rPr>
        <w:rFonts w:ascii="Symbol" w:hAnsi="Symbol" w:hint="default"/>
      </w:rPr>
    </w:lvl>
    <w:lvl w:ilvl="1" w:tplc="68588014">
      <w:start w:val="1"/>
      <w:numFmt w:val="bullet"/>
      <w:lvlText w:val="o"/>
      <w:lvlJc w:val="left"/>
      <w:pPr>
        <w:ind w:left="1440" w:hanging="360"/>
      </w:pPr>
      <w:rPr>
        <w:rFonts w:ascii="Courier New" w:hAnsi="Courier New" w:cs="Courier New" w:hint="default"/>
      </w:rPr>
    </w:lvl>
    <w:lvl w:ilvl="2" w:tplc="E7F2E798" w:tentative="1">
      <w:start w:val="1"/>
      <w:numFmt w:val="bullet"/>
      <w:lvlText w:val=""/>
      <w:lvlJc w:val="left"/>
      <w:pPr>
        <w:ind w:left="2160" w:hanging="360"/>
      </w:pPr>
      <w:rPr>
        <w:rFonts w:ascii="Wingdings" w:hAnsi="Wingdings" w:hint="default"/>
      </w:rPr>
    </w:lvl>
    <w:lvl w:ilvl="3" w:tplc="44E46142" w:tentative="1">
      <w:start w:val="1"/>
      <w:numFmt w:val="bullet"/>
      <w:lvlText w:val=""/>
      <w:lvlJc w:val="left"/>
      <w:pPr>
        <w:ind w:left="2880" w:hanging="360"/>
      </w:pPr>
      <w:rPr>
        <w:rFonts w:ascii="Symbol" w:hAnsi="Symbol" w:hint="default"/>
      </w:rPr>
    </w:lvl>
    <w:lvl w:ilvl="4" w:tplc="96909218" w:tentative="1">
      <w:start w:val="1"/>
      <w:numFmt w:val="bullet"/>
      <w:lvlText w:val="o"/>
      <w:lvlJc w:val="left"/>
      <w:pPr>
        <w:ind w:left="3600" w:hanging="360"/>
      </w:pPr>
      <w:rPr>
        <w:rFonts w:ascii="Courier New" w:hAnsi="Courier New" w:cs="Courier New" w:hint="default"/>
      </w:rPr>
    </w:lvl>
    <w:lvl w:ilvl="5" w:tplc="1D48BFCA" w:tentative="1">
      <w:start w:val="1"/>
      <w:numFmt w:val="bullet"/>
      <w:lvlText w:val=""/>
      <w:lvlJc w:val="left"/>
      <w:pPr>
        <w:ind w:left="4320" w:hanging="360"/>
      </w:pPr>
      <w:rPr>
        <w:rFonts w:ascii="Wingdings" w:hAnsi="Wingdings" w:hint="default"/>
      </w:rPr>
    </w:lvl>
    <w:lvl w:ilvl="6" w:tplc="5A50157E" w:tentative="1">
      <w:start w:val="1"/>
      <w:numFmt w:val="bullet"/>
      <w:lvlText w:val=""/>
      <w:lvlJc w:val="left"/>
      <w:pPr>
        <w:ind w:left="5040" w:hanging="360"/>
      </w:pPr>
      <w:rPr>
        <w:rFonts w:ascii="Symbol" w:hAnsi="Symbol" w:hint="default"/>
      </w:rPr>
    </w:lvl>
    <w:lvl w:ilvl="7" w:tplc="D5A22784" w:tentative="1">
      <w:start w:val="1"/>
      <w:numFmt w:val="bullet"/>
      <w:lvlText w:val="o"/>
      <w:lvlJc w:val="left"/>
      <w:pPr>
        <w:ind w:left="5760" w:hanging="360"/>
      </w:pPr>
      <w:rPr>
        <w:rFonts w:ascii="Courier New" w:hAnsi="Courier New" w:cs="Courier New" w:hint="default"/>
      </w:rPr>
    </w:lvl>
    <w:lvl w:ilvl="8" w:tplc="37F412C2" w:tentative="1">
      <w:start w:val="1"/>
      <w:numFmt w:val="bullet"/>
      <w:lvlText w:val=""/>
      <w:lvlJc w:val="left"/>
      <w:pPr>
        <w:ind w:left="6480" w:hanging="360"/>
      </w:pPr>
      <w:rPr>
        <w:rFonts w:ascii="Wingdings" w:hAnsi="Wingdings" w:hint="default"/>
      </w:rPr>
    </w:lvl>
  </w:abstractNum>
  <w:abstractNum w:abstractNumId="534">
    <w:nsid w:val="6E4179CB"/>
    <w:multiLevelType w:val="hybridMultilevel"/>
    <w:tmpl w:val="44E447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5">
    <w:nsid w:val="6E6F5587"/>
    <w:multiLevelType w:val="hybridMultilevel"/>
    <w:tmpl w:val="E3DE753E"/>
    <w:lvl w:ilvl="0" w:tplc="6AD4B8A2">
      <w:start w:val="1"/>
      <w:numFmt w:val="bullet"/>
      <w:lvlText w:val=""/>
      <w:lvlJc w:val="left"/>
      <w:pPr>
        <w:ind w:left="720" w:hanging="360"/>
      </w:pPr>
      <w:rPr>
        <w:rFonts w:ascii="Symbol" w:hAnsi="Symbol" w:hint="default"/>
      </w:rPr>
    </w:lvl>
    <w:lvl w:ilvl="1" w:tplc="92CC1C30" w:tentative="1">
      <w:start w:val="1"/>
      <w:numFmt w:val="bullet"/>
      <w:lvlText w:val="o"/>
      <w:lvlJc w:val="left"/>
      <w:pPr>
        <w:ind w:left="1440" w:hanging="360"/>
      </w:pPr>
      <w:rPr>
        <w:rFonts w:ascii="Courier New" w:hAnsi="Courier New" w:cs="Courier New" w:hint="default"/>
      </w:rPr>
    </w:lvl>
    <w:lvl w:ilvl="2" w:tplc="B7920380" w:tentative="1">
      <w:start w:val="1"/>
      <w:numFmt w:val="bullet"/>
      <w:lvlText w:val=""/>
      <w:lvlJc w:val="left"/>
      <w:pPr>
        <w:ind w:left="2160" w:hanging="360"/>
      </w:pPr>
      <w:rPr>
        <w:rFonts w:ascii="Wingdings" w:hAnsi="Wingdings" w:hint="default"/>
      </w:rPr>
    </w:lvl>
    <w:lvl w:ilvl="3" w:tplc="7D50FC9C" w:tentative="1">
      <w:start w:val="1"/>
      <w:numFmt w:val="bullet"/>
      <w:lvlText w:val=""/>
      <w:lvlJc w:val="left"/>
      <w:pPr>
        <w:ind w:left="2880" w:hanging="360"/>
      </w:pPr>
      <w:rPr>
        <w:rFonts w:ascii="Symbol" w:hAnsi="Symbol" w:hint="default"/>
      </w:rPr>
    </w:lvl>
    <w:lvl w:ilvl="4" w:tplc="920692AA" w:tentative="1">
      <w:start w:val="1"/>
      <w:numFmt w:val="bullet"/>
      <w:lvlText w:val="o"/>
      <w:lvlJc w:val="left"/>
      <w:pPr>
        <w:ind w:left="3600" w:hanging="360"/>
      </w:pPr>
      <w:rPr>
        <w:rFonts w:ascii="Courier New" w:hAnsi="Courier New" w:cs="Courier New" w:hint="default"/>
      </w:rPr>
    </w:lvl>
    <w:lvl w:ilvl="5" w:tplc="23724F94" w:tentative="1">
      <w:start w:val="1"/>
      <w:numFmt w:val="bullet"/>
      <w:lvlText w:val=""/>
      <w:lvlJc w:val="left"/>
      <w:pPr>
        <w:ind w:left="4320" w:hanging="360"/>
      </w:pPr>
      <w:rPr>
        <w:rFonts w:ascii="Wingdings" w:hAnsi="Wingdings" w:hint="default"/>
      </w:rPr>
    </w:lvl>
    <w:lvl w:ilvl="6" w:tplc="71343D02" w:tentative="1">
      <w:start w:val="1"/>
      <w:numFmt w:val="bullet"/>
      <w:lvlText w:val=""/>
      <w:lvlJc w:val="left"/>
      <w:pPr>
        <w:ind w:left="5040" w:hanging="360"/>
      </w:pPr>
      <w:rPr>
        <w:rFonts w:ascii="Symbol" w:hAnsi="Symbol" w:hint="default"/>
      </w:rPr>
    </w:lvl>
    <w:lvl w:ilvl="7" w:tplc="E514C8F4" w:tentative="1">
      <w:start w:val="1"/>
      <w:numFmt w:val="bullet"/>
      <w:lvlText w:val="o"/>
      <w:lvlJc w:val="left"/>
      <w:pPr>
        <w:ind w:left="5760" w:hanging="360"/>
      </w:pPr>
      <w:rPr>
        <w:rFonts w:ascii="Courier New" w:hAnsi="Courier New" w:cs="Courier New" w:hint="default"/>
      </w:rPr>
    </w:lvl>
    <w:lvl w:ilvl="8" w:tplc="B5CE439C" w:tentative="1">
      <w:start w:val="1"/>
      <w:numFmt w:val="bullet"/>
      <w:lvlText w:val=""/>
      <w:lvlJc w:val="left"/>
      <w:pPr>
        <w:ind w:left="6480" w:hanging="360"/>
      </w:pPr>
      <w:rPr>
        <w:rFonts w:ascii="Wingdings" w:hAnsi="Wingdings" w:hint="default"/>
      </w:rPr>
    </w:lvl>
  </w:abstractNum>
  <w:abstractNum w:abstractNumId="536">
    <w:nsid w:val="6E724B9B"/>
    <w:multiLevelType w:val="hybridMultilevel"/>
    <w:tmpl w:val="BBE0FD80"/>
    <w:lvl w:ilvl="0" w:tplc="ED42C444">
      <w:start w:val="1"/>
      <w:numFmt w:val="bullet"/>
      <w:pStyle w:val="ISOBulletList"/>
      <w:lvlText w:val=""/>
      <w:lvlJc w:val="left"/>
      <w:pPr>
        <w:tabs>
          <w:tab w:val="num" w:pos="720"/>
        </w:tabs>
        <w:ind w:left="720" w:hanging="360"/>
      </w:pPr>
      <w:rPr>
        <w:rFonts w:ascii="Symbol" w:hAnsi="Symbol" w:hint="default"/>
      </w:rPr>
    </w:lvl>
    <w:lvl w:ilvl="1" w:tplc="12106B94">
      <w:start w:val="1"/>
      <w:numFmt w:val="bullet"/>
      <w:lvlText w:val="o"/>
      <w:lvlJc w:val="left"/>
      <w:pPr>
        <w:tabs>
          <w:tab w:val="num" w:pos="1440"/>
        </w:tabs>
        <w:ind w:left="1440" w:hanging="360"/>
      </w:pPr>
      <w:rPr>
        <w:rFonts w:ascii="Courier New" w:hAnsi="Courier New" w:hint="default"/>
      </w:rPr>
    </w:lvl>
    <w:lvl w:ilvl="2" w:tplc="7AA6CACE">
      <w:start w:val="4"/>
      <w:numFmt w:val="bullet"/>
      <w:lvlText w:val="–"/>
      <w:lvlJc w:val="left"/>
      <w:pPr>
        <w:ind w:left="2160" w:hanging="360"/>
      </w:pPr>
      <w:rPr>
        <w:rFonts w:ascii="Arial" w:eastAsia="Times New Roman" w:hAnsi="Arial" w:cs="Arial" w:hint="default"/>
      </w:rPr>
    </w:lvl>
    <w:lvl w:ilvl="3" w:tplc="ED4885C6" w:tentative="1">
      <w:start w:val="1"/>
      <w:numFmt w:val="bullet"/>
      <w:lvlText w:val=""/>
      <w:lvlJc w:val="left"/>
      <w:pPr>
        <w:tabs>
          <w:tab w:val="num" w:pos="2880"/>
        </w:tabs>
        <w:ind w:left="2880" w:hanging="360"/>
      </w:pPr>
      <w:rPr>
        <w:rFonts w:ascii="Symbol" w:hAnsi="Symbol" w:hint="default"/>
      </w:rPr>
    </w:lvl>
    <w:lvl w:ilvl="4" w:tplc="965851B8" w:tentative="1">
      <w:start w:val="1"/>
      <w:numFmt w:val="bullet"/>
      <w:lvlText w:val="o"/>
      <w:lvlJc w:val="left"/>
      <w:pPr>
        <w:tabs>
          <w:tab w:val="num" w:pos="3600"/>
        </w:tabs>
        <w:ind w:left="3600" w:hanging="360"/>
      </w:pPr>
      <w:rPr>
        <w:rFonts w:ascii="Courier New" w:hAnsi="Courier New" w:hint="default"/>
      </w:rPr>
    </w:lvl>
    <w:lvl w:ilvl="5" w:tplc="99327BF6" w:tentative="1">
      <w:start w:val="1"/>
      <w:numFmt w:val="bullet"/>
      <w:lvlText w:val=""/>
      <w:lvlJc w:val="left"/>
      <w:pPr>
        <w:tabs>
          <w:tab w:val="num" w:pos="4320"/>
        </w:tabs>
        <w:ind w:left="4320" w:hanging="360"/>
      </w:pPr>
      <w:rPr>
        <w:rFonts w:ascii="Wingdings" w:hAnsi="Wingdings" w:hint="default"/>
      </w:rPr>
    </w:lvl>
    <w:lvl w:ilvl="6" w:tplc="1CD471A6" w:tentative="1">
      <w:start w:val="1"/>
      <w:numFmt w:val="bullet"/>
      <w:lvlText w:val=""/>
      <w:lvlJc w:val="left"/>
      <w:pPr>
        <w:tabs>
          <w:tab w:val="num" w:pos="5040"/>
        </w:tabs>
        <w:ind w:left="5040" w:hanging="360"/>
      </w:pPr>
      <w:rPr>
        <w:rFonts w:ascii="Symbol" w:hAnsi="Symbol" w:hint="default"/>
      </w:rPr>
    </w:lvl>
    <w:lvl w:ilvl="7" w:tplc="4F781E54" w:tentative="1">
      <w:start w:val="1"/>
      <w:numFmt w:val="bullet"/>
      <w:lvlText w:val="o"/>
      <w:lvlJc w:val="left"/>
      <w:pPr>
        <w:tabs>
          <w:tab w:val="num" w:pos="5760"/>
        </w:tabs>
        <w:ind w:left="5760" w:hanging="360"/>
      </w:pPr>
      <w:rPr>
        <w:rFonts w:ascii="Courier New" w:hAnsi="Courier New" w:hint="default"/>
      </w:rPr>
    </w:lvl>
    <w:lvl w:ilvl="8" w:tplc="FBB4B8BA" w:tentative="1">
      <w:start w:val="1"/>
      <w:numFmt w:val="bullet"/>
      <w:lvlText w:val=""/>
      <w:lvlJc w:val="left"/>
      <w:pPr>
        <w:tabs>
          <w:tab w:val="num" w:pos="6480"/>
        </w:tabs>
        <w:ind w:left="6480" w:hanging="360"/>
      </w:pPr>
      <w:rPr>
        <w:rFonts w:ascii="Wingdings" w:hAnsi="Wingdings" w:hint="default"/>
      </w:rPr>
    </w:lvl>
  </w:abstractNum>
  <w:abstractNum w:abstractNumId="537">
    <w:nsid w:val="6E785005"/>
    <w:multiLevelType w:val="hybridMultilevel"/>
    <w:tmpl w:val="246493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8">
    <w:nsid w:val="6EA2116A"/>
    <w:multiLevelType w:val="hybridMultilevel"/>
    <w:tmpl w:val="69CAD5B4"/>
    <w:lvl w:ilvl="0" w:tplc="04090003">
      <w:start w:val="1"/>
      <w:numFmt w:val="bullet"/>
      <w:lvlText w:val="o"/>
      <w:lvlJc w:val="left"/>
      <w:pPr>
        <w:ind w:left="-5400" w:hanging="360"/>
      </w:pPr>
      <w:rPr>
        <w:rFonts w:ascii="Courier New" w:hAnsi="Courier New" w:cs="Courier New" w:hint="default"/>
      </w:rPr>
    </w:lvl>
    <w:lvl w:ilvl="1" w:tplc="04090003">
      <w:start w:val="1"/>
      <w:numFmt w:val="bullet"/>
      <w:lvlText w:val="o"/>
      <w:lvlJc w:val="left"/>
      <w:pPr>
        <w:ind w:left="-4680" w:hanging="360"/>
      </w:pPr>
      <w:rPr>
        <w:rFonts w:ascii="Courier New" w:hAnsi="Courier New" w:cs="Courier New" w:hint="default"/>
      </w:rPr>
    </w:lvl>
    <w:lvl w:ilvl="2" w:tplc="04090005">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1800" w:hanging="360"/>
      </w:pPr>
      <w:rPr>
        <w:rFonts w:ascii="Wingdings" w:hAnsi="Wingdings" w:hint="default"/>
      </w:rPr>
    </w:lvl>
    <w:lvl w:ilvl="6" w:tplc="04090001" w:tentative="1">
      <w:start w:val="1"/>
      <w:numFmt w:val="bullet"/>
      <w:lvlText w:val=""/>
      <w:lvlJc w:val="left"/>
      <w:pPr>
        <w:ind w:left="-1080" w:hanging="360"/>
      </w:pPr>
      <w:rPr>
        <w:rFonts w:ascii="Symbol" w:hAnsi="Symbol" w:hint="default"/>
      </w:rPr>
    </w:lvl>
    <w:lvl w:ilvl="7" w:tplc="04090003" w:tentative="1">
      <w:start w:val="1"/>
      <w:numFmt w:val="bullet"/>
      <w:lvlText w:val="o"/>
      <w:lvlJc w:val="left"/>
      <w:pPr>
        <w:ind w:left="-360" w:hanging="360"/>
      </w:pPr>
      <w:rPr>
        <w:rFonts w:ascii="Courier New" w:hAnsi="Courier New" w:cs="Courier New" w:hint="default"/>
      </w:rPr>
    </w:lvl>
    <w:lvl w:ilvl="8" w:tplc="04090005" w:tentative="1">
      <w:start w:val="1"/>
      <w:numFmt w:val="bullet"/>
      <w:lvlText w:val=""/>
      <w:lvlJc w:val="left"/>
      <w:pPr>
        <w:ind w:left="360" w:hanging="360"/>
      </w:pPr>
      <w:rPr>
        <w:rFonts w:ascii="Wingdings" w:hAnsi="Wingdings" w:hint="default"/>
      </w:rPr>
    </w:lvl>
  </w:abstractNum>
  <w:abstractNum w:abstractNumId="539">
    <w:nsid w:val="6EB72BE2"/>
    <w:multiLevelType w:val="hybridMultilevel"/>
    <w:tmpl w:val="7A50DE58"/>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0">
    <w:nsid w:val="6EC13267"/>
    <w:multiLevelType w:val="hybridMultilevel"/>
    <w:tmpl w:val="9E12C7A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1">
    <w:nsid w:val="6ECD0B98"/>
    <w:multiLevelType w:val="hybridMultilevel"/>
    <w:tmpl w:val="D7E027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2">
    <w:nsid w:val="6EE76CAF"/>
    <w:multiLevelType w:val="hybridMultilevel"/>
    <w:tmpl w:val="9DD455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3">
    <w:nsid w:val="6F1E1862"/>
    <w:multiLevelType w:val="hybridMultilevel"/>
    <w:tmpl w:val="4B10F404"/>
    <w:lvl w:ilvl="0" w:tplc="4418B546">
      <w:start w:val="1"/>
      <w:numFmt w:val="bullet"/>
      <w:lvlText w:val="–"/>
      <w:lvlJc w:val="left"/>
      <w:pPr>
        <w:tabs>
          <w:tab w:val="num" w:pos="720"/>
        </w:tabs>
        <w:ind w:left="720" w:hanging="360"/>
      </w:pPr>
      <w:rPr>
        <w:rFonts w:ascii="Arial" w:hAnsi="Arial" w:hint="default"/>
      </w:rPr>
    </w:lvl>
    <w:lvl w:ilvl="1" w:tplc="CE34531A">
      <w:start w:val="1"/>
      <w:numFmt w:val="bullet"/>
      <w:lvlText w:val="–"/>
      <w:lvlJc w:val="left"/>
      <w:pPr>
        <w:tabs>
          <w:tab w:val="num" w:pos="1440"/>
        </w:tabs>
        <w:ind w:left="1440" w:hanging="360"/>
      </w:pPr>
      <w:rPr>
        <w:rFonts w:ascii="Arial" w:hAnsi="Arial" w:hint="default"/>
      </w:rPr>
    </w:lvl>
    <w:lvl w:ilvl="2" w:tplc="8D1609AE" w:tentative="1">
      <w:start w:val="1"/>
      <w:numFmt w:val="bullet"/>
      <w:lvlText w:val="–"/>
      <w:lvlJc w:val="left"/>
      <w:pPr>
        <w:tabs>
          <w:tab w:val="num" w:pos="2160"/>
        </w:tabs>
        <w:ind w:left="2160" w:hanging="360"/>
      </w:pPr>
      <w:rPr>
        <w:rFonts w:ascii="Arial" w:hAnsi="Arial" w:hint="default"/>
      </w:rPr>
    </w:lvl>
    <w:lvl w:ilvl="3" w:tplc="DAEC1A6C" w:tentative="1">
      <w:start w:val="1"/>
      <w:numFmt w:val="bullet"/>
      <w:lvlText w:val="–"/>
      <w:lvlJc w:val="left"/>
      <w:pPr>
        <w:tabs>
          <w:tab w:val="num" w:pos="2880"/>
        </w:tabs>
        <w:ind w:left="2880" w:hanging="360"/>
      </w:pPr>
      <w:rPr>
        <w:rFonts w:ascii="Arial" w:hAnsi="Arial" w:hint="default"/>
      </w:rPr>
    </w:lvl>
    <w:lvl w:ilvl="4" w:tplc="E8967528" w:tentative="1">
      <w:start w:val="1"/>
      <w:numFmt w:val="bullet"/>
      <w:lvlText w:val="–"/>
      <w:lvlJc w:val="left"/>
      <w:pPr>
        <w:tabs>
          <w:tab w:val="num" w:pos="3600"/>
        </w:tabs>
        <w:ind w:left="3600" w:hanging="360"/>
      </w:pPr>
      <w:rPr>
        <w:rFonts w:ascii="Arial" w:hAnsi="Arial" w:hint="default"/>
      </w:rPr>
    </w:lvl>
    <w:lvl w:ilvl="5" w:tplc="07300FFE" w:tentative="1">
      <w:start w:val="1"/>
      <w:numFmt w:val="bullet"/>
      <w:lvlText w:val="–"/>
      <w:lvlJc w:val="left"/>
      <w:pPr>
        <w:tabs>
          <w:tab w:val="num" w:pos="4320"/>
        </w:tabs>
        <w:ind w:left="4320" w:hanging="360"/>
      </w:pPr>
      <w:rPr>
        <w:rFonts w:ascii="Arial" w:hAnsi="Arial" w:hint="default"/>
      </w:rPr>
    </w:lvl>
    <w:lvl w:ilvl="6" w:tplc="CF3E3962" w:tentative="1">
      <w:start w:val="1"/>
      <w:numFmt w:val="bullet"/>
      <w:lvlText w:val="–"/>
      <w:lvlJc w:val="left"/>
      <w:pPr>
        <w:tabs>
          <w:tab w:val="num" w:pos="5040"/>
        </w:tabs>
        <w:ind w:left="5040" w:hanging="360"/>
      </w:pPr>
      <w:rPr>
        <w:rFonts w:ascii="Arial" w:hAnsi="Arial" w:hint="default"/>
      </w:rPr>
    </w:lvl>
    <w:lvl w:ilvl="7" w:tplc="B12E9EC4" w:tentative="1">
      <w:start w:val="1"/>
      <w:numFmt w:val="bullet"/>
      <w:lvlText w:val="–"/>
      <w:lvlJc w:val="left"/>
      <w:pPr>
        <w:tabs>
          <w:tab w:val="num" w:pos="5760"/>
        </w:tabs>
        <w:ind w:left="5760" w:hanging="360"/>
      </w:pPr>
      <w:rPr>
        <w:rFonts w:ascii="Arial" w:hAnsi="Arial" w:hint="default"/>
      </w:rPr>
    </w:lvl>
    <w:lvl w:ilvl="8" w:tplc="5672D906" w:tentative="1">
      <w:start w:val="1"/>
      <w:numFmt w:val="bullet"/>
      <w:lvlText w:val="–"/>
      <w:lvlJc w:val="left"/>
      <w:pPr>
        <w:tabs>
          <w:tab w:val="num" w:pos="6480"/>
        </w:tabs>
        <w:ind w:left="6480" w:hanging="360"/>
      </w:pPr>
      <w:rPr>
        <w:rFonts w:ascii="Arial" w:hAnsi="Arial" w:hint="default"/>
      </w:rPr>
    </w:lvl>
  </w:abstractNum>
  <w:abstractNum w:abstractNumId="544">
    <w:nsid w:val="6F986A85"/>
    <w:multiLevelType w:val="hybridMultilevel"/>
    <w:tmpl w:val="104698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5">
    <w:nsid w:val="6FC65445"/>
    <w:multiLevelType w:val="hybridMultilevel"/>
    <w:tmpl w:val="559EEA70"/>
    <w:lvl w:ilvl="0" w:tplc="DF7C4256">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6">
    <w:nsid w:val="6FE97F4B"/>
    <w:multiLevelType w:val="hybridMultilevel"/>
    <w:tmpl w:val="63D459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7">
    <w:nsid w:val="7010A7B2"/>
    <w:multiLevelType w:val="hybridMultilevel"/>
    <w:tmpl w:val="576AF058"/>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48">
    <w:nsid w:val="703021EB"/>
    <w:multiLevelType w:val="hybridMultilevel"/>
    <w:tmpl w:val="EFD0BF18"/>
    <w:lvl w:ilvl="0" w:tplc="EF5E97BE">
      <w:start w:val="1"/>
      <w:numFmt w:val="bullet"/>
      <w:lvlText w:val="–"/>
      <w:lvlJc w:val="left"/>
      <w:pPr>
        <w:ind w:left="360" w:hanging="360"/>
      </w:pPr>
      <w:rPr>
        <w:rFonts w:ascii="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49">
    <w:nsid w:val="70AD5C24"/>
    <w:multiLevelType w:val="hybridMultilevel"/>
    <w:tmpl w:val="4C5E32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0">
    <w:nsid w:val="70C90EC6"/>
    <w:multiLevelType w:val="hybridMultilevel"/>
    <w:tmpl w:val="D062C4D2"/>
    <w:lvl w:ilvl="0" w:tplc="CAB29D56">
      <w:start w:val="3"/>
      <w:numFmt w:val="lowerLetter"/>
      <w:lvlText w:val="(%1)"/>
      <w:lvlJc w:val="left"/>
      <w:pPr>
        <w:tabs>
          <w:tab w:val="num" w:pos="360"/>
        </w:tabs>
        <w:ind w:left="360" w:hanging="360"/>
      </w:pPr>
      <w:rPr>
        <w:rFonts w:cs="Times New Roman"/>
      </w:rPr>
    </w:lvl>
    <w:lvl w:ilvl="1" w:tplc="782EF1F2">
      <w:start w:val="1"/>
      <w:numFmt w:val="bullet"/>
      <w:lvlText w:val=""/>
      <w:lvlJc w:val="left"/>
      <w:pPr>
        <w:tabs>
          <w:tab w:val="num" w:pos="1440"/>
        </w:tabs>
        <w:ind w:left="1440" w:hanging="360"/>
      </w:pPr>
      <w:rPr>
        <w:rFonts w:ascii="Symbol" w:hAnsi="Symbol" w:hint="default"/>
      </w:rPr>
    </w:lvl>
    <w:lvl w:ilvl="2" w:tplc="581C8832" w:tentative="1">
      <w:start w:val="1"/>
      <w:numFmt w:val="lowerLetter"/>
      <w:lvlText w:val="(%3)"/>
      <w:lvlJc w:val="left"/>
      <w:pPr>
        <w:tabs>
          <w:tab w:val="num" w:pos="2160"/>
        </w:tabs>
        <w:ind w:left="2160" w:hanging="360"/>
      </w:pPr>
      <w:rPr>
        <w:rFonts w:cs="Times New Roman"/>
      </w:rPr>
    </w:lvl>
    <w:lvl w:ilvl="3" w:tplc="69AA244E" w:tentative="1">
      <w:start w:val="1"/>
      <w:numFmt w:val="lowerLetter"/>
      <w:lvlText w:val="(%4)"/>
      <w:lvlJc w:val="left"/>
      <w:pPr>
        <w:tabs>
          <w:tab w:val="num" w:pos="2880"/>
        </w:tabs>
        <w:ind w:left="2880" w:hanging="360"/>
      </w:pPr>
      <w:rPr>
        <w:rFonts w:cs="Times New Roman"/>
      </w:rPr>
    </w:lvl>
    <w:lvl w:ilvl="4" w:tplc="484E5872" w:tentative="1">
      <w:start w:val="1"/>
      <w:numFmt w:val="lowerLetter"/>
      <w:lvlText w:val="(%5)"/>
      <w:lvlJc w:val="left"/>
      <w:pPr>
        <w:tabs>
          <w:tab w:val="num" w:pos="3600"/>
        </w:tabs>
        <w:ind w:left="3600" w:hanging="360"/>
      </w:pPr>
      <w:rPr>
        <w:rFonts w:cs="Times New Roman"/>
      </w:rPr>
    </w:lvl>
    <w:lvl w:ilvl="5" w:tplc="A95CD526" w:tentative="1">
      <w:start w:val="1"/>
      <w:numFmt w:val="lowerLetter"/>
      <w:lvlText w:val="(%6)"/>
      <w:lvlJc w:val="left"/>
      <w:pPr>
        <w:tabs>
          <w:tab w:val="num" w:pos="4320"/>
        </w:tabs>
        <w:ind w:left="4320" w:hanging="360"/>
      </w:pPr>
      <w:rPr>
        <w:rFonts w:cs="Times New Roman"/>
      </w:rPr>
    </w:lvl>
    <w:lvl w:ilvl="6" w:tplc="9F8AF14C" w:tentative="1">
      <w:start w:val="1"/>
      <w:numFmt w:val="lowerLetter"/>
      <w:lvlText w:val="(%7)"/>
      <w:lvlJc w:val="left"/>
      <w:pPr>
        <w:tabs>
          <w:tab w:val="num" w:pos="5040"/>
        </w:tabs>
        <w:ind w:left="5040" w:hanging="360"/>
      </w:pPr>
      <w:rPr>
        <w:rFonts w:cs="Times New Roman"/>
      </w:rPr>
    </w:lvl>
    <w:lvl w:ilvl="7" w:tplc="8758BE0A" w:tentative="1">
      <w:start w:val="1"/>
      <w:numFmt w:val="lowerLetter"/>
      <w:lvlText w:val="(%8)"/>
      <w:lvlJc w:val="left"/>
      <w:pPr>
        <w:tabs>
          <w:tab w:val="num" w:pos="5760"/>
        </w:tabs>
        <w:ind w:left="5760" w:hanging="360"/>
      </w:pPr>
      <w:rPr>
        <w:rFonts w:cs="Times New Roman"/>
      </w:rPr>
    </w:lvl>
    <w:lvl w:ilvl="8" w:tplc="3BEAED9C" w:tentative="1">
      <w:start w:val="1"/>
      <w:numFmt w:val="lowerLetter"/>
      <w:lvlText w:val="(%9)"/>
      <w:lvlJc w:val="left"/>
      <w:pPr>
        <w:tabs>
          <w:tab w:val="num" w:pos="6480"/>
        </w:tabs>
        <w:ind w:left="6480" w:hanging="360"/>
      </w:pPr>
      <w:rPr>
        <w:rFonts w:cs="Times New Roman"/>
      </w:rPr>
    </w:lvl>
  </w:abstractNum>
  <w:abstractNum w:abstractNumId="551">
    <w:nsid w:val="716633E0"/>
    <w:multiLevelType w:val="hybridMultilevel"/>
    <w:tmpl w:val="931C33B2"/>
    <w:lvl w:ilvl="0" w:tplc="00CA9A78">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2">
    <w:nsid w:val="71713FCC"/>
    <w:multiLevelType w:val="multilevel"/>
    <w:tmpl w:val="BB74ED96"/>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53">
    <w:nsid w:val="71732110"/>
    <w:multiLevelType w:val="hybridMultilevel"/>
    <w:tmpl w:val="13AC3016"/>
    <w:lvl w:ilvl="0" w:tplc="50CE4A52">
      <w:start w:val="1"/>
      <w:numFmt w:val="bullet"/>
      <w:lvlText w:val=""/>
      <w:lvlJc w:val="left"/>
      <w:pPr>
        <w:ind w:left="720" w:hanging="360"/>
      </w:pPr>
      <w:rPr>
        <w:rFonts w:ascii="Symbol" w:hAnsi="Symbol" w:hint="default"/>
      </w:rPr>
    </w:lvl>
    <w:lvl w:ilvl="1" w:tplc="97725808" w:tentative="1">
      <w:start w:val="1"/>
      <w:numFmt w:val="bullet"/>
      <w:lvlText w:val="o"/>
      <w:lvlJc w:val="left"/>
      <w:pPr>
        <w:ind w:left="1440" w:hanging="360"/>
      </w:pPr>
      <w:rPr>
        <w:rFonts w:ascii="Courier New" w:hAnsi="Courier New" w:cs="Courier New" w:hint="default"/>
      </w:rPr>
    </w:lvl>
    <w:lvl w:ilvl="2" w:tplc="B1A22EE4" w:tentative="1">
      <w:start w:val="1"/>
      <w:numFmt w:val="bullet"/>
      <w:lvlText w:val=""/>
      <w:lvlJc w:val="left"/>
      <w:pPr>
        <w:ind w:left="2160" w:hanging="360"/>
      </w:pPr>
      <w:rPr>
        <w:rFonts w:ascii="Wingdings" w:hAnsi="Wingdings" w:hint="default"/>
      </w:rPr>
    </w:lvl>
    <w:lvl w:ilvl="3" w:tplc="690E9CEA" w:tentative="1">
      <w:start w:val="1"/>
      <w:numFmt w:val="bullet"/>
      <w:lvlText w:val=""/>
      <w:lvlJc w:val="left"/>
      <w:pPr>
        <w:ind w:left="2880" w:hanging="360"/>
      </w:pPr>
      <w:rPr>
        <w:rFonts w:ascii="Symbol" w:hAnsi="Symbol" w:hint="default"/>
      </w:rPr>
    </w:lvl>
    <w:lvl w:ilvl="4" w:tplc="2F3EE1FC" w:tentative="1">
      <w:start w:val="1"/>
      <w:numFmt w:val="bullet"/>
      <w:lvlText w:val="o"/>
      <w:lvlJc w:val="left"/>
      <w:pPr>
        <w:ind w:left="3600" w:hanging="360"/>
      </w:pPr>
      <w:rPr>
        <w:rFonts w:ascii="Courier New" w:hAnsi="Courier New" w:cs="Courier New" w:hint="default"/>
      </w:rPr>
    </w:lvl>
    <w:lvl w:ilvl="5" w:tplc="1F4C0EA0" w:tentative="1">
      <w:start w:val="1"/>
      <w:numFmt w:val="bullet"/>
      <w:lvlText w:val=""/>
      <w:lvlJc w:val="left"/>
      <w:pPr>
        <w:ind w:left="4320" w:hanging="360"/>
      </w:pPr>
      <w:rPr>
        <w:rFonts w:ascii="Wingdings" w:hAnsi="Wingdings" w:hint="default"/>
      </w:rPr>
    </w:lvl>
    <w:lvl w:ilvl="6" w:tplc="9578AE74" w:tentative="1">
      <w:start w:val="1"/>
      <w:numFmt w:val="bullet"/>
      <w:lvlText w:val=""/>
      <w:lvlJc w:val="left"/>
      <w:pPr>
        <w:ind w:left="5040" w:hanging="360"/>
      </w:pPr>
      <w:rPr>
        <w:rFonts w:ascii="Symbol" w:hAnsi="Symbol" w:hint="default"/>
      </w:rPr>
    </w:lvl>
    <w:lvl w:ilvl="7" w:tplc="26B661D2" w:tentative="1">
      <w:start w:val="1"/>
      <w:numFmt w:val="bullet"/>
      <w:lvlText w:val="o"/>
      <w:lvlJc w:val="left"/>
      <w:pPr>
        <w:ind w:left="5760" w:hanging="360"/>
      </w:pPr>
      <w:rPr>
        <w:rFonts w:ascii="Courier New" w:hAnsi="Courier New" w:cs="Courier New" w:hint="default"/>
      </w:rPr>
    </w:lvl>
    <w:lvl w:ilvl="8" w:tplc="3ADC80B6" w:tentative="1">
      <w:start w:val="1"/>
      <w:numFmt w:val="bullet"/>
      <w:lvlText w:val=""/>
      <w:lvlJc w:val="left"/>
      <w:pPr>
        <w:ind w:left="6480" w:hanging="360"/>
      </w:pPr>
      <w:rPr>
        <w:rFonts w:ascii="Wingdings" w:hAnsi="Wingdings" w:hint="default"/>
      </w:rPr>
    </w:lvl>
  </w:abstractNum>
  <w:abstractNum w:abstractNumId="554">
    <w:nsid w:val="71846B02"/>
    <w:multiLevelType w:val="hybridMultilevel"/>
    <w:tmpl w:val="65F28F53"/>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55">
    <w:nsid w:val="71FD5656"/>
    <w:multiLevelType w:val="hybridMultilevel"/>
    <w:tmpl w:val="FD0688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6">
    <w:nsid w:val="721B5494"/>
    <w:multiLevelType w:val="hybridMultilevel"/>
    <w:tmpl w:val="0A060976"/>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57">
    <w:nsid w:val="725440ED"/>
    <w:multiLevelType w:val="hybridMultilevel"/>
    <w:tmpl w:val="2B30194A"/>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8">
    <w:nsid w:val="725451FE"/>
    <w:multiLevelType w:val="hybridMultilevel"/>
    <w:tmpl w:val="9768E1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9">
    <w:nsid w:val="725B552F"/>
    <w:multiLevelType w:val="hybridMultilevel"/>
    <w:tmpl w:val="655618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0">
    <w:nsid w:val="72B557C0"/>
    <w:multiLevelType w:val="hybridMultilevel"/>
    <w:tmpl w:val="6FB26440"/>
    <w:lvl w:ilvl="0" w:tplc="BE88E404">
      <w:start w:val="4"/>
      <w:numFmt w:val="bullet"/>
      <w:lvlText w:val="–"/>
      <w:lvlJc w:val="left"/>
      <w:pPr>
        <w:ind w:left="4320" w:hanging="360"/>
      </w:pPr>
      <w:rPr>
        <w:rFonts w:ascii="Arial" w:eastAsia="Times New Roman" w:hAnsi="Arial" w:cs="Arial" w:hint="default"/>
      </w:rPr>
    </w:lvl>
    <w:lvl w:ilvl="1" w:tplc="04090001">
      <w:start w:val="1"/>
      <w:numFmt w:val="bullet"/>
      <w:lvlText w:val="o"/>
      <w:lvlJc w:val="left"/>
      <w:pPr>
        <w:ind w:left="5040" w:hanging="360"/>
      </w:pPr>
      <w:rPr>
        <w:rFonts w:ascii="Courier New" w:hAnsi="Courier New" w:cs="Courier New" w:hint="default"/>
      </w:rPr>
    </w:lvl>
    <w:lvl w:ilvl="2" w:tplc="A13E3792" w:tentative="1">
      <w:start w:val="1"/>
      <w:numFmt w:val="bullet"/>
      <w:lvlText w:val=""/>
      <w:lvlJc w:val="left"/>
      <w:pPr>
        <w:ind w:left="5760" w:hanging="360"/>
      </w:pPr>
      <w:rPr>
        <w:rFonts w:ascii="Wingdings" w:hAnsi="Wingdings" w:hint="default"/>
      </w:rPr>
    </w:lvl>
    <w:lvl w:ilvl="3" w:tplc="5D06395C" w:tentative="1">
      <w:start w:val="1"/>
      <w:numFmt w:val="bullet"/>
      <w:lvlText w:val=""/>
      <w:lvlJc w:val="left"/>
      <w:pPr>
        <w:ind w:left="6480" w:hanging="360"/>
      </w:pPr>
      <w:rPr>
        <w:rFonts w:ascii="Symbol" w:hAnsi="Symbol" w:hint="default"/>
      </w:rPr>
    </w:lvl>
    <w:lvl w:ilvl="4" w:tplc="0590AED6" w:tentative="1">
      <w:start w:val="1"/>
      <w:numFmt w:val="bullet"/>
      <w:lvlText w:val="o"/>
      <w:lvlJc w:val="left"/>
      <w:pPr>
        <w:ind w:left="7200" w:hanging="360"/>
      </w:pPr>
      <w:rPr>
        <w:rFonts w:ascii="Courier New" w:hAnsi="Courier New" w:cs="Courier New" w:hint="default"/>
      </w:rPr>
    </w:lvl>
    <w:lvl w:ilvl="5" w:tplc="D8189DC0" w:tentative="1">
      <w:start w:val="1"/>
      <w:numFmt w:val="bullet"/>
      <w:lvlText w:val=""/>
      <w:lvlJc w:val="left"/>
      <w:pPr>
        <w:ind w:left="7920" w:hanging="360"/>
      </w:pPr>
      <w:rPr>
        <w:rFonts w:ascii="Wingdings" w:hAnsi="Wingdings" w:hint="default"/>
      </w:rPr>
    </w:lvl>
    <w:lvl w:ilvl="6" w:tplc="7BB407E4" w:tentative="1">
      <w:start w:val="1"/>
      <w:numFmt w:val="bullet"/>
      <w:lvlText w:val=""/>
      <w:lvlJc w:val="left"/>
      <w:pPr>
        <w:ind w:left="8640" w:hanging="360"/>
      </w:pPr>
      <w:rPr>
        <w:rFonts w:ascii="Symbol" w:hAnsi="Symbol" w:hint="default"/>
      </w:rPr>
    </w:lvl>
    <w:lvl w:ilvl="7" w:tplc="07EA102E" w:tentative="1">
      <w:start w:val="1"/>
      <w:numFmt w:val="bullet"/>
      <w:lvlText w:val="o"/>
      <w:lvlJc w:val="left"/>
      <w:pPr>
        <w:ind w:left="9360" w:hanging="360"/>
      </w:pPr>
      <w:rPr>
        <w:rFonts w:ascii="Courier New" w:hAnsi="Courier New" w:cs="Courier New" w:hint="default"/>
      </w:rPr>
    </w:lvl>
    <w:lvl w:ilvl="8" w:tplc="209C8316" w:tentative="1">
      <w:start w:val="1"/>
      <w:numFmt w:val="bullet"/>
      <w:lvlText w:val=""/>
      <w:lvlJc w:val="left"/>
      <w:pPr>
        <w:ind w:left="10080" w:hanging="360"/>
      </w:pPr>
      <w:rPr>
        <w:rFonts w:ascii="Wingdings" w:hAnsi="Wingdings" w:hint="default"/>
      </w:rPr>
    </w:lvl>
  </w:abstractNum>
  <w:abstractNum w:abstractNumId="561">
    <w:nsid w:val="72E3521F"/>
    <w:multiLevelType w:val="hybridMultilevel"/>
    <w:tmpl w:val="54EA02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2">
    <w:nsid w:val="72E46765"/>
    <w:multiLevelType w:val="hybridMultilevel"/>
    <w:tmpl w:val="B3D449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63">
    <w:nsid w:val="72F56200"/>
    <w:multiLevelType w:val="hybridMultilevel"/>
    <w:tmpl w:val="AA46C06C"/>
    <w:lvl w:ilvl="0" w:tplc="04090001">
      <w:start w:val="1"/>
      <w:numFmt w:val="bullet"/>
      <w:lvlText w:val="–"/>
      <w:lvlJc w:val="left"/>
      <w:pPr>
        <w:tabs>
          <w:tab w:val="num" w:pos="360"/>
        </w:tabs>
        <w:ind w:left="360" w:hanging="360"/>
      </w:pPr>
      <w:rPr>
        <w:rFonts w:ascii="Arial" w:hAnsi="Arial" w:hint="default"/>
      </w:rPr>
    </w:lvl>
    <w:lvl w:ilvl="1" w:tplc="04090003">
      <w:start w:val="1"/>
      <w:numFmt w:val="bullet"/>
      <w:lvlText w:val="–"/>
      <w:lvlJc w:val="left"/>
      <w:pPr>
        <w:tabs>
          <w:tab w:val="num" w:pos="1080"/>
        </w:tabs>
        <w:ind w:left="1080" w:hanging="360"/>
      </w:pPr>
      <w:rPr>
        <w:rFonts w:ascii="Arial" w:hAnsi="Arial" w:hint="default"/>
      </w:rPr>
    </w:lvl>
    <w:lvl w:ilvl="2" w:tplc="04090005">
      <w:start w:val="1601"/>
      <w:numFmt w:val="bullet"/>
      <w:lvlText w:val="•"/>
      <w:lvlJc w:val="left"/>
      <w:pPr>
        <w:tabs>
          <w:tab w:val="num" w:pos="1800"/>
        </w:tabs>
        <w:ind w:left="1800" w:hanging="360"/>
      </w:pPr>
      <w:rPr>
        <w:rFonts w:ascii="Arial" w:hAnsi="Arial" w:hint="default"/>
      </w:rPr>
    </w:lvl>
    <w:lvl w:ilvl="3" w:tplc="04090001" w:tentative="1">
      <w:start w:val="1"/>
      <w:numFmt w:val="bullet"/>
      <w:lvlText w:val="–"/>
      <w:lvlJc w:val="left"/>
      <w:pPr>
        <w:tabs>
          <w:tab w:val="num" w:pos="2520"/>
        </w:tabs>
        <w:ind w:left="2520" w:hanging="360"/>
      </w:pPr>
      <w:rPr>
        <w:rFonts w:ascii="Arial" w:hAnsi="Arial" w:hint="default"/>
      </w:rPr>
    </w:lvl>
    <w:lvl w:ilvl="4" w:tplc="04090003" w:tentative="1">
      <w:start w:val="1"/>
      <w:numFmt w:val="bullet"/>
      <w:lvlText w:val="–"/>
      <w:lvlJc w:val="left"/>
      <w:pPr>
        <w:tabs>
          <w:tab w:val="num" w:pos="3240"/>
        </w:tabs>
        <w:ind w:left="3240" w:hanging="360"/>
      </w:pPr>
      <w:rPr>
        <w:rFonts w:ascii="Arial" w:hAnsi="Arial" w:hint="default"/>
      </w:rPr>
    </w:lvl>
    <w:lvl w:ilvl="5" w:tplc="04090005" w:tentative="1">
      <w:start w:val="1"/>
      <w:numFmt w:val="bullet"/>
      <w:lvlText w:val="–"/>
      <w:lvlJc w:val="left"/>
      <w:pPr>
        <w:tabs>
          <w:tab w:val="num" w:pos="3960"/>
        </w:tabs>
        <w:ind w:left="3960" w:hanging="360"/>
      </w:pPr>
      <w:rPr>
        <w:rFonts w:ascii="Arial" w:hAnsi="Arial" w:hint="default"/>
      </w:rPr>
    </w:lvl>
    <w:lvl w:ilvl="6" w:tplc="04090001" w:tentative="1">
      <w:start w:val="1"/>
      <w:numFmt w:val="bullet"/>
      <w:lvlText w:val="–"/>
      <w:lvlJc w:val="left"/>
      <w:pPr>
        <w:tabs>
          <w:tab w:val="num" w:pos="4680"/>
        </w:tabs>
        <w:ind w:left="4680" w:hanging="360"/>
      </w:pPr>
      <w:rPr>
        <w:rFonts w:ascii="Arial" w:hAnsi="Arial" w:hint="default"/>
      </w:rPr>
    </w:lvl>
    <w:lvl w:ilvl="7" w:tplc="04090003" w:tentative="1">
      <w:start w:val="1"/>
      <w:numFmt w:val="bullet"/>
      <w:lvlText w:val="–"/>
      <w:lvlJc w:val="left"/>
      <w:pPr>
        <w:tabs>
          <w:tab w:val="num" w:pos="5400"/>
        </w:tabs>
        <w:ind w:left="5400" w:hanging="360"/>
      </w:pPr>
      <w:rPr>
        <w:rFonts w:ascii="Arial" w:hAnsi="Arial" w:hint="default"/>
      </w:rPr>
    </w:lvl>
    <w:lvl w:ilvl="8" w:tplc="04090005" w:tentative="1">
      <w:start w:val="1"/>
      <w:numFmt w:val="bullet"/>
      <w:lvlText w:val="–"/>
      <w:lvlJc w:val="left"/>
      <w:pPr>
        <w:tabs>
          <w:tab w:val="num" w:pos="6120"/>
        </w:tabs>
        <w:ind w:left="6120" w:hanging="360"/>
      </w:pPr>
      <w:rPr>
        <w:rFonts w:ascii="Arial" w:hAnsi="Arial" w:hint="default"/>
      </w:rPr>
    </w:lvl>
  </w:abstractNum>
  <w:abstractNum w:abstractNumId="564">
    <w:nsid w:val="7309605A"/>
    <w:multiLevelType w:val="hybridMultilevel"/>
    <w:tmpl w:val="4832F6F8"/>
    <w:lvl w:ilvl="0" w:tplc="0409001B">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5">
    <w:nsid w:val="730E2638"/>
    <w:multiLevelType w:val="hybridMultilevel"/>
    <w:tmpl w:val="FBAA696C"/>
    <w:lvl w:ilvl="0" w:tplc="A046267A">
      <w:start w:val="1"/>
      <w:numFmt w:val="bullet"/>
      <w:lvlText w:val=""/>
      <w:lvlJc w:val="left"/>
      <w:pPr>
        <w:ind w:left="720" w:hanging="360"/>
      </w:pPr>
      <w:rPr>
        <w:rFonts w:ascii="Symbol" w:hAnsi="Symbol" w:hint="default"/>
      </w:rPr>
    </w:lvl>
    <w:lvl w:ilvl="1" w:tplc="5E6CC050" w:tentative="1">
      <w:start w:val="1"/>
      <w:numFmt w:val="bullet"/>
      <w:lvlText w:val="o"/>
      <w:lvlJc w:val="left"/>
      <w:pPr>
        <w:ind w:left="1440" w:hanging="360"/>
      </w:pPr>
      <w:rPr>
        <w:rFonts w:ascii="Courier New" w:hAnsi="Courier New" w:cs="Courier New" w:hint="default"/>
      </w:rPr>
    </w:lvl>
    <w:lvl w:ilvl="2" w:tplc="515C9DF8" w:tentative="1">
      <w:start w:val="1"/>
      <w:numFmt w:val="bullet"/>
      <w:lvlText w:val=""/>
      <w:lvlJc w:val="left"/>
      <w:pPr>
        <w:ind w:left="2160" w:hanging="360"/>
      </w:pPr>
      <w:rPr>
        <w:rFonts w:ascii="Wingdings" w:hAnsi="Wingdings" w:hint="default"/>
      </w:rPr>
    </w:lvl>
    <w:lvl w:ilvl="3" w:tplc="D682CBB8" w:tentative="1">
      <w:start w:val="1"/>
      <w:numFmt w:val="bullet"/>
      <w:lvlText w:val=""/>
      <w:lvlJc w:val="left"/>
      <w:pPr>
        <w:ind w:left="2880" w:hanging="360"/>
      </w:pPr>
      <w:rPr>
        <w:rFonts w:ascii="Symbol" w:hAnsi="Symbol" w:hint="default"/>
      </w:rPr>
    </w:lvl>
    <w:lvl w:ilvl="4" w:tplc="F3F468E2" w:tentative="1">
      <w:start w:val="1"/>
      <w:numFmt w:val="bullet"/>
      <w:lvlText w:val="o"/>
      <w:lvlJc w:val="left"/>
      <w:pPr>
        <w:ind w:left="3600" w:hanging="360"/>
      </w:pPr>
      <w:rPr>
        <w:rFonts w:ascii="Courier New" w:hAnsi="Courier New" w:cs="Courier New" w:hint="default"/>
      </w:rPr>
    </w:lvl>
    <w:lvl w:ilvl="5" w:tplc="3686FB96" w:tentative="1">
      <w:start w:val="1"/>
      <w:numFmt w:val="bullet"/>
      <w:lvlText w:val=""/>
      <w:lvlJc w:val="left"/>
      <w:pPr>
        <w:ind w:left="4320" w:hanging="360"/>
      </w:pPr>
      <w:rPr>
        <w:rFonts w:ascii="Wingdings" w:hAnsi="Wingdings" w:hint="default"/>
      </w:rPr>
    </w:lvl>
    <w:lvl w:ilvl="6" w:tplc="75CA66FE" w:tentative="1">
      <w:start w:val="1"/>
      <w:numFmt w:val="bullet"/>
      <w:lvlText w:val=""/>
      <w:lvlJc w:val="left"/>
      <w:pPr>
        <w:ind w:left="5040" w:hanging="360"/>
      </w:pPr>
      <w:rPr>
        <w:rFonts w:ascii="Symbol" w:hAnsi="Symbol" w:hint="default"/>
      </w:rPr>
    </w:lvl>
    <w:lvl w:ilvl="7" w:tplc="8AA0AA50" w:tentative="1">
      <w:start w:val="1"/>
      <w:numFmt w:val="bullet"/>
      <w:lvlText w:val="o"/>
      <w:lvlJc w:val="left"/>
      <w:pPr>
        <w:ind w:left="5760" w:hanging="360"/>
      </w:pPr>
      <w:rPr>
        <w:rFonts w:ascii="Courier New" w:hAnsi="Courier New" w:cs="Courier New" w:hint="default"/>
      </w:rPr>
    </w:lvl>
    <w:lvl w:ilvl="8" w:tplc="50D20790" w:tentative="1">
      <w:start w:val="1"/>
      <w:numFmt w:val="bullet"/>
      <w:lvlText w:val=""/>
      <w:lvlJc w:val="left"/>
      <w:pPr>
        <w:ind w:left="6480" w:hanging="360"/>
      </w:pPr>
      <w:rPr>
        <w:rFonts w:ascii="Wingdings" w:hAnsi="Wingdings" w:hint="default"/>
      </w:rPr>
    </w:lvl>
  </w:abstractNum>
  <w:abstractNum w:abstractNumId="566">
    <w:nsid w:val="73182E1E"/>
    <w:multiLevelType w:val="hybridMultilevel"/>
    <w:tmpl w:val="F06CF2D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67">
    <w:nsid w:val="734C727D"/>
    <w:multiLevelType w:val="hybridMultilevel"/>
    <w:tmpl w:val="F1A02162"/>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8">
    <w:nsid w:val="73734187"/>
    <w:multiLevelType w:val="hybridMultilevel"/>
    <w:tmpl w:val="57E2ED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9">
    <w:nsid w:val="73845E0F"/>
    <w:multiLevelType w:val="multilevel"/>
    <w:tmpl w:val="55CE3F02"/>
    <w:lvl w:ilvl="0">
      <w:start w:val="1"/>
      <w:numFmt w:val="decimal"/>
      <w:suff w:val="nothing"/>
      <w:lvlText w:val="Section %1"/>
      <w:lvlJc w:val="left"/>
      <w:pPr>
        <w:ind w:left="0" w:firstLine="0"/>
      </w:pPr>
      <w:rPr>
        <w:rFonts w:ascii="Calibri" w:hAnsi="Calibri" w:hint="default"/>
        <w:b/>
        <w:i w:val="0"/>
        <w:color w:val="0070C0"/>
        <w:sz w:val="36"/>
        <w:u w:val="none" w:color="0070C0"/>
      </w:rPr>
    </w:lvl>
    <w:lvl w:ilvl="1">
      <w:start w:val="1"/>
      <w:numFmt w:val="decimal"/>
      <w:suff w:val="space"/>
      <w:lvlText w:val="%1.%2"/>
      <w:lvlJc w:val="left"/>
      <w:pPr>
        <w:ind w:left="0" w:firstLine="0"/>
      </w:pPr>
      <w:rPr>
        <w:rFonts w:ascii="Calibri" w:hAnsi="Calibri" w:cs="Times New Roman" w:hint="default"/>
        <w:b/>
        <w:i w:val="0"/>
        <w:color w:val="auto"/>
        <w:sz w:val="24"/>
        <w:u w:val="none"/>
      </w:rPr>
    </w:lvl>
    <w:lvl w:ilvl="2">
      <w:start w:val="1"/>
      <w:numFmt w:val="decimal"/>
      <w:suff w:val="space"/>
      <w:lvlText w:val="%1.%2.%3"/>
      <w:lvlJc w:val="left"/>
      <w:pPr>
        <w:ind w:left="0" w:firstLine="0"/>
      </w:pPr>
      <w:rPr>
        <w:rFonts w:ascii="Calibri" w:hAnsi="Calibri" w:cs="Times New Roman" w:hint="default"/>
        <w:b/>
        <w:bCs w:val="0"/>
        <w:i w:val="0"/>
        <w:iCs w:val="0"/>
        <w:caps w:val="0"/>
        <w:smallCaps w:val="0"/>
        <w:strike w:val="0"/>
        <w:dstrike w:val="0"/>
        <w:outline w:val="0"/>
        <w:shadow w:val="0"/>
        <w:emboss w:val="0"/>
        <w:imprint w:val="0"/>
        <w:noProof w:val="0"/>
        <w:vanish w:val="0"/>
        <w:color w:val="62777F" w:themeColor="text1"/>
        <w:spacing w:val="0"/>
        <w:kern w:val="0"/>
        <w:position w:val="0"/>
        <w:sz w:val="20"/>
        <w:szCs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suff w:val="space"/>
      <w:lvlText w:val="%1.%2.%3.%4"/>
      <w:lvlJc w:val="left"/>
      <w:pPr>
        <w:ind w:left="0" w:firstLine="0"/>
      </w:pPr>
      <w:rPr>
        <w:rFonts w:hint="default"/>
        <w:b w:val="0"/>
        <w:i w:val="0"/>
        <w:iCs w:val="0"/>
        <w:caps w:val="0"/>
        <w:smallCaps w:val="0"/>
        <w:strike w:val="0"/>
        <w:dstrike w:val="0"/>
        <w:outline w:val="0"/>
        <w:shadow w:val="0"/>
        <w:emboss w:val="0"/>
        <w:imprint w:val="0"/>
        <w:vanish w:val="0"/>
        <w:color w:val="auto"/>
        <w:spacing w:val="0"/>
        <w:kern w:val="0"/>
        <w:position w:val="0"/>
        <w:sz w:val="20"/>
        <w:szCs w:val="20"/>
        <w:u w:val="none"/>
        <w:effect w:val="none"/>
        <w:vertAlign w:val="baseline"/>
        <w:em w:val="none"/>
        <w14:ligatures w14:val="none"/>
        <w14:numForm w14:val="default"/>
        <w14:numSpacing w14:val="default"/>
        <w14:stylisticSets/>
        <w14:cntxtAlts w14:val="0"/>
      </w:rPr>
    </w:lvl>
    <w:lvl w:ilvl="4">
      <w:start w:val="1"/>
      <w:numFmt w:val="lowerLetter"/>
      <w:lvlText w:val="(%5)"/>
      <w:lvlJc w:val="left"/>
      <w:pPr>
        <w:ind w:left="0" w:firstLine="0"/>
      </w:pPr>
      <w:rPr>
        <w:rFonts w:hint="default"/>
      </w:rPr>
    </w:lvl>
    <w:lvl w:ilvl="5">
      <w:start w:val="1"/>
      <w:numFmt w:val="lowerRoman"/>
      <w:lvlText w:val="(%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570">
    <w:nsid w:val="73B53C49"/>
    <w:multiLevelType w:val="hybridMultilevel"/>
    <w:tmpl w:val="00D649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1">
    <w:nsid w:val="73BD6D01"/>
    <w:multiLevelType w:val="hybridMultilevel"/>
    <w:tmpl w:val="24E849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2">
    <w:nsid w:val="74651516"/>
    <w:multiLevelType w:val="hybridMultilevel"/>
    <w:tmpl w:val="20A000D0"/>
    <w:lvl w:ilvl="0" w:tplc="3978085E">
      <w:start w:val="1"/>
      <w:numFmt w:val="bullet"/>
      <w:lvlText w:val="–"/>
      <w:lvlJc w:val="left"/>
      <w:pPr>
        <w:ind w:left="720" w:hanging="360"/>
      </w:pPr>
      <w:rPr>
        <w:rFonts w:ascii="Times New Roman" w:hAnsi="Times New Roman" w:cs="Times New Roman" w:hint="default"/>
      </w:rPr>
    </w:lvl>
    <w:lvl w:ilvl="1" w:tplc="6D4A18FE" w:tentative="1">
      <w:start w:val="1"/>
      <w:numFmt w:val="bullet"/>
      <w:lvlText w:val="o"/>
      <w:lvlJc w:val="left"/>
      <w:pPr>
        <w:ind w:left="1440" w:hanging="360"/>
      </w:pPr>
      <w:rPr>
        <w:rFonts w:ascii="Courier New" w:hAnsi="Courier New" w:cs="Courier New" w:hint="default"/>
      </w:rPr>
    </w:lvl>
    <w:lvl w:ilvl="2" w:tplc="22B4CE50" w:tentative="1">
      <w:start w:val="1"/>
      <w:numFmt w:val="bullet"/>
      <w:lvlText w:val=""/>
      <w:lvlJc w:val="left"/>
      <w:pPr>
        <w:ind w:left="2160" w:hanging="360"/>
      </w:pPr>
      <w:rPr>
        <w:rFonts w:ascii="Wingdings" w:hAnsi="Wingdings" w:hint="default"/>
      </w:rPr>
    </w:lvl>
    <w:lvl w:ilvl="3" w:tplc="775C7176" w:tentative="1">
      <w:start w:val="1"/>
      <w:numFmt w:val="bullet"/>
      <w:lvlText w:val=""/>
      <w:lvlJc w:val="left"/>
      <w:pPr>
        <w:ind w:left="2880" w:hanging="360"/>
      </w:pPr>
      <w:rPr>
        <w:rFonts w:ascii="Symbol" w:hAnsi="Symbol" w:hint="default"/>
      </w:rPr>
    </w:lvl>
    <w:lvl w:ilvl="4" w:tplc="4F0617D0" w:tentative="1">
      <w:start w:val="1"/>
      <w:numFmt w:val="bullet"/>
      <w:lvlText w:val="o"/>
      <w:lvlJc w:val="left"/>
      <w:pPr>
        <w:ind w:left="3600" w:hanging="360"/>
      </w:pPr>
      <w:rPr>
        <w:rFonts w:ascii="Courier New" w:hAnsi="Courier New" w:cs="Courier New" w:hint="default"/>
      </w:rPr>
    </w:lvl>
    <w:lvl w:ilvl="5" w:tplc="DB6C4CF8" w:tentative="1">
      <w:start w:val="1"/>
      <w:numFmt w:val="bullet"/>
      <w:lvlText w:val=""/>
      <w:lvlJc w:val="left"/>
      <w:pPr>
        <w:ind w:left="4320" w:hanging="360"/>
      </w:pPr>
      <w:rPr>
        <w:rFonts w:ascii="Wingdings" w:hAnsi="Wingdings" w:hint="default"/>
      </w:rPr>
    </w:lvl>
    <w:lvl w:ilvl="6" w:tplc="3F5AD3FE" w:tentative="1">
      <w:start w:val="1"/>
      <w:numFmt w:val="bullet"/>
      <w:lvlText w:val=""/>
      <w:lvlJc w:val="left"/>
      <w:pPr>
        <w:ind w:left="5040" w:hanging="360"/>
      </w:pPr>
      <w:rPr>
        <w:rFonts w:ascii="Symbol" w:hAnsi="Symbol" w:hint="default"/>
      </w:rPr>
    </w:lvl>
    <w:lvl w:ilvl="7" w:tplc="64E4FA02" w:tentative="1">
      <w:start w:val="1"/>
      <w:numFmt w:val="bullet"/>
      <w:lvlText w:val="o"/>
      <w:lvlJc w:val="left"/>
      <w:pPr>
        <w:ind w:left="5760" w:hanging="360"/>
      </w:pPr>
      <w:rPr>
        <w:rFonts w:ascii="Courier New" w:hAnsi="Courier New" w:cs="Courier New" w:hint="default"/>
      </w:rPr>
    </w:lvl>
    <w:lvl w:ilvl="8" w:tplc="CA64E83E" w:tentative="1">
      <w:start w:val="1"/>
      <w:numFmt w:val="bullet"/>
      <w:lvlText w:val=""/>
      <w:lvlJc w:val="left"/>
      <w:pPr>
        <w:ind w:left="6480" w:hanging="360"/>
      </w:pPr>
      <w:rPr>
        <w:rFonts w:ascii="Wingdings" w:hAnsi="Wingdings" w:hint="default"/>
      </w:rPr>
    </w:lvl>
  </w:abstractNum>
  <w:abstractNum w:abstractNumId="573">
    <w:nsid w:val="74971149"/>
    <w:multiLevelType w:val="hybridMultilevel"/>
    <w:tmpl w:val="9CBC74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4">
    <w:nsid w:val="749C5725"/>
    <w:multiLevelType w:val="hybridMultilevel"/>
    <w:tmpl w:val="C0924E84"/>
    <w:lvl w:ilvl="0" w:tplc="04090003">
      <w:start w:val="1"/>
      <w:numFmt w:val="bullet"/>
      <w:lvlText w:val="o"/>
      <w:lvlJc w:val="left"/>
      <w:pPr>
        <w:ind w:left="1080" w:hanging="360"/>
      </w:pPr>
      <w:rPr>
        <w:rFonts w:ascii="Courier New" w:hAnsi="Courier New" w:cs="Courier New"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75">
    <w:nsid w:val="74BF2194"/>
    <w:multiLevelType w:val="hybridMultilevel"/>
    <w:tmpl w:val="CED0934A"/>
    <w:lvl w:ilvl="0" w:tplc="EF5E97B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6">
    <w:nsid w:val="74DD24DF"/>
    <w:multiLevelType w:val="hybridMultilevel"/>
    <w:tmpl w:val="802A747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77">
    <w:nsid w:val="759E7924"/>
    <w:multiLevelType w:val="multilevel"/>
    <w:tmpl w:val="B6A68526"/>
    <w:lvl w:ilvl="0">
      <w:start w:val="1"/>
      <w:numFmt w:val="decimal"/>
      <w:suff w:val="space"/>
      <w:lvlText w:val="Section %1"/>
      <w:lvlJc w:val="left"/>
      <w:pPr>
        <w:ind w:left="0" w:firstLine="0"/>
      </w:pPr>
      <w:rPr>
        <w:rFonts w:ascii="Calibri" w:hAnsi="Calibri" w:cs="Times New Roman" w:hint="default"/>
        <w:b/>
        <w:i w:val="0"/>
        <w:caps w:val="0"/>
        <w:strike w:val="0"/>
        <w:dstrike w:val="0"/>
        <w:vanish w:val="0"/>
        <w:color w:val="0070C0"/>
        <w:sz w:val="36"/>
        <w:vertAlign w:val="baseline"/>
      </w:rPr>
    </w:lvl>
    <w:lvl w:ilvl="1">
      <w:start w:val="1"/>
      <w:numFmt w:val="decimal"/>
      <w:suff w:val="space"/>
      <w:lvlText w:val="%1.%2"/>
      <w:lvlJc w:val="left"/>
      <w:pPr>
        <w:ind w:left="0" w:firstLine="0"/>
      </w:pPr>
      <w:rPr>
        <w:rFonts w:ascii="Calibri" w:hAnsi="Calibri" w:cs="Times New Roman" w:hint="default"/>
        <w:b/>
        <w:i w:val="0"/>
        <w:caps w:val="0"/>
        <w:strike w:val="0"/>
        <w:dstrike w:val="0"/>
        <w:vanish w:val="0"/>
        <w:sz w:val="24"/>
        <w:vertAlign w:val="baseline"/>
      </w:rPr>
    </w:lvl>
    <w:lvl w:ilvl="2">
      <w:start w:val="1"/>
      <w:numFmt w:val="decimal"/>
      <w:suff w:val="space"/>
      <w:lvlText w:val="%2.%1.%3"/>
      <w:lvlJc w:val="left"/>
      <w:pPr>
        <w:ind w:left="0" w:firstLine="0"/>
      </w:pPr>
      <w:rPr>
        <w:rFonts w:ascii="Calibri" w:hAnsi="Calibri" w:hint="default"/>
        <w:b/>
        <w:i w:val="0"/>
        <w:iCs w:val="0"/>
        <w:caps w:val="0"/>
        <w:strike w:val="0"/>
        <w:dstrike w:val="0"/>
        <w:outline w:val="0"/>
        <w:shadow w:val="0"/>
        <w:emboss w:val="0"/>
        <w:imprint w:val="0"/>
        <w:vanish w:val="0"/>
        <w:spacing w:val="0"/>
        <w:kern w:val="0"/>
        <w:position w:val="0"/>
        <w:sz w:val="20"/>
        <w:u w:val="none"/>
        <w:effect w:val="none"/>
        <w:vertAlign w:val="baseline"/>
        <w:em w:val="none"/>
        <w14:ligatures w14:val="none"/>
        <w14:numForm w14:val="default"/>
        <w14:numSpacing w14:val="default"/>
        <w14:stylisticSets/>
        <w14:cntxtAlts w14:val="0"/>
      </w:rPr>
    </w:lvl>
    <w:lvl w:ilvl="3">
      <w:start w:val="1"/>
      <w:numFmt w:val="decimal"/>
      <w:suff w:val="space"/>
      <w:lvlText w:val="%1.%2.%3.%4"/>
      <w:lvlJc w:val="left"/>
      <w:pPr>
        <w:ind w:left="0" w:firstLine="0"/>
      </w:pPr>
      <w:rPr>
        <w:rFonts w:ascii="Calibri" w:hAnsi="Calibri" w:cs="Times New Roman" w:hint="default"/>
        <w:b w:val="0"/>
        <w:i/>
        <w:caps w:val="0"/>
        <w:strike w:val="0"/>
        <w:dstrike w:val="0"/>
        <w:vanish w:val="0"/>
        <w:sz w:val="20"/>
        <w:szCs w:val="20"/>
        <w:vertAlign w:val="baseline"/>
      </w:rPr>
    </w:lvl>
    <w:lvl w:ilvl="4">
      <w:start w:val="1"/>
      <w:numFmt w:val="decimal"/>
      <w:lvlRestart w:val="0"/>
      <w:suff w:val="space"/>
      <w:lvlText w:val="%1.%2.%3.%4.%5"/>
      <w:lvlJc w:val="left"/>
      <w:pPr>
        <w:ind w:left="0" w:firstLine="0"/>
      </w:pPr>
      <w:rPr>
        <w:rFonts w:cs="Times New Roman" w:hint="default"/>
      </w:rPr>
    </w:lvl>
    <w:lvl w:ilvl="5">
      <w:start w:val="1"/>
      <w:numFmt w:val="decimal"/>
      <w:lvlRestart w:val="0"/>
      <w:lvlText w:val="%1.%2.%3.%4.%5.%6"/>
      <w:lvlJc w:val="left"/>
      <w:pPr>
        <w:tabs>
          <w:tab w:val="num" w:pos="1800"/>
        </w:tabs>
        <w:ind w:left="0" w:firstLine="0"/>
      </w:pPr>
      <w:rPr>
        <w:rFonts w:cs="Times New Roman" w:hint="default"/>
      </w:rPr>
    </w:lvl>
    <w:lvl w:ilvl="6">
      <w:start w:val="1"/>
      <w:numFmt w:val="decimal"/>
      <w:lvlRestart w:val="0"/>
      <w:lvlText w:val="%1.%2.%3.%4.%5.%6.%7"/>
      <w:lvlJc w:val="left"/>
      <w:pPr>
        <w:tabs>
          <w:tab w:val="num" w:pos="2160"/>
        </w:tabs>
        <w:ind w:left="0" w:firstLine="0"/>
      </w:pPr>
      <w:rPr>
        <w:rFonts w:cs="Times New Roman" w:hint="default"/>
      </w:rPr>
    </w:lvl>
    <w:lvl w:ilvl="7">
      <w:start w:val="1"/>
      <w:numFmt w:val="decimal"/>
      <w:lvlRestart w:val="0"/>
      <w:lvlText w:val="%1.%2.%3.%4.%5.%6.%7.%8"/>
      <w:lvlJc w:val="left"/>
      <w:pPr>
        <w:tabs>
          <w:tab w:val="num" w:pos="2520"/>
        </w:tabs>
        <w:ind w:left="0" w:firstLine="0"/>
      </w:pPr>
      <w:rPr>
        <w:rFonts w:cs="Times New Roman" w:hint="default"/>
      </w:rPr>
    </w:lvl>
    <w:lvl w:ilvl="8">
      <w:start w:val="1"/>
      <w:numFmt w:val="decimal"/>
      <w:lvlRestart w:val="0"/>
      <w:lvlText w:val="%1.%2.%3.%4.%5.%6.%7.%8.%9"/>
      <w:lvlJc w:val="left"/>
      <w:pPr>
        <w:tabs>
          <w:tab w:val="num" w:pos="2880"/>
        </w:tabs>
        <w:ind w:left="0" w:firstLine="0"/>
      </w:pPr>
      <w:rPr>
        <w:rFonts w:cs="Times New Roman" w:hint="default"/>
      </w:rPr>
    </w:lvl>
  </w:abstractNum>
  <w:abstractNum w:abstractNumId="578">
    <w:nsid w:val="75CE220C"/>
    <w:multiLevelType w:val="hybridMultilevel"/>
    <w:tmpl w:val="C8DC2754"/>
    <w:lvl w:ilvl="0" w:tplc="21C28632">
      <w:start w:val="1"/>
      <w:numFmt w:val="bullet"/>
      <w:lvlText w:val="•"/>
      <w:lvlJc w:val="left"/>
      <w:pPr>
        <w:tabs>
          <w:tab w:val="num" w:pos="720"/>
        </w:tabs>
        <w:ind w:left="720" w:hanging="360"/>
      </w:pPr>
      <w:rPr>
        <w:rFonts w:ascii="Times New Roman" w:hAnsi="Times New Roman" w:hint="default"/>
      </w:rPr>
    </w:lvl>
    <w:lvl w:ilvl="1" w:tplc="B06A43E0" w:tentative="1">
      <w:start w:val="1"/>
      <w:numFmt w:val="bullet"/>
      <w:lvlText w:val="•"/>
      <w:lvlJc w:val="left"/>
      <w:pPr>
        <w:tabs>
          <w:tab w:val="num" w:pos="1440"/>
        </w:tabs>
        <w:ind w:left="1440" w:hanging="360"/>
      </w:pPr>
      <w:rPr>
        <w:rFonts w:ascii="Times New Roman" w:hAnsi="Times New Roman" w:hint="default"/>
      </w:rPr>
    </w:lvl>
    <w:lvl w:ilvl="2" w:tplc="6366C5B2" w:tentative="1">
      <w:start w:val="1"/>
      <w:numFmt w:val="bullet"/>
      <w:lvlText w:val="•"/>
      <w:lvlJc w:val="left"/>
      <w:pPr>
        <w:tabs>
          <w:tab w:val="num" w:pos="2160"/>
        </w:tabs>
        <w:ind w:left="2160" w:hanging="360"/>
      </w:pPr>
      <w:rPr>
        <w:rFonts w:ascii="Times New Roman" w:hAnsi="Times New Roman" w:hint="default"/>
      </w:rPr>
    </w:lvl>
    <w:lvl w:ilvl="3" w:tplc="EDF45CDA" w:tentative="1">
      <w:start w:val="1"/>
      <w:numFmt w:val="bullet"/>
      <w:lvlText w:val="•"/>
      <w:lvlJc w:val="left"/>
      <w:pPr>
        <w:tabs>
          <w:tab w:val="num" w:pos="2880"/>
        </w:tabs>
        <w:ind w:left="2880" w:hanging="360"/>
      </w:pPr>
      <w:rPr>
        <w:rFonts w:ascii="Times New Roman" w:hAnsi="Times New Roman" w:hint="default"/>
      </w:rPr>
    </w:lvl>
    <w:lvl w:ilvl="4" w:tplc="724062E4" w:tentative="1">
      <w:start w:val="1"/>
      <w:numFmt w:val="bullet"/>
      <w:lvlText w:val="•"/>
      <w:lvlJc w:val="left"/>
      <w:pPr>
        <w:tabs>
          <w:tab w:val="num" w:pos="3600"/>
        </w:tabs>
        <w:ind w:left="3600" w:hanging="360"/>
      </w:pPr>
      <w:rPr>
        <w:rFonts w:ascii="Times New Roman" w:hAnsi="Times New Roman" w:hint="default"/>
      </w:rPr>
    </w:lvl>
    <w:lvl w:ilvl="5" w:tplc="2EC00640" w:tentative="1">
      <w:start w:val="1"/>
      <w:numFmt w:val="bullet"/>
      <w:lvlText w:val="•"/>
      <w:lvlJc w:val="left"/>
      <w:pPr>
        <w:tabs>
          <w:tab w:val="num" w:pos="4320"/>
        </w:tabs>
        <w:ind w:left="4320" w:hanging="360"/>
      </w:pPr>
      <w:rPr>
        <w:rFonts w:ascii="Times New Roman" w:hAnsi="Times New Roman" w:hint="default"/>
      </w:rPr>
    </w:lvl>
    <w:lvl w:ilvl="6" w:tplc="4342930C" w:tentative="1">
      <w:start w:val="1"/>
      <w:numFmt w:val="bullet"/>
      <w:lvlText w:val="•"/>
      <w:lvlJc w:val="left"/>
      <w:pPr>
        <w:tabs>
          <w:tab w:val="num" w:pos="5040"/>
        </w:tabs>
        <w:ind w:left="5040" w:hanging="360"/>
      </w:pPr>
      <w:rPr>
        <w:rFonts w:ascii="Times New Roman" w:hAnsi="Times New Roman" w:hint="default"/>
      </w:rPr>
    </w:lvl>
    <w:lvl w:ilvl="7" w:tplc="CC40345C" w:tentative="1">
      <w:start w:val="1"/>
      <w:numFmt w:val="bullet"/>
      <w:lvlText w:val="•"/>
      <w:lvlJc w:val="left"/>
      <w:pPr>
        <w:tabs>
          <w:tab w:val="num" w:pos="5760"/>
        </w:tabs>
        <w:ind w:left="5760" w:hanging="360"/>
      </w:pPr>
      <w:rPr>
        <w:rFonts w:ascii="Times New Roman" w:hAnsi="Times New Roman" w:hint="default"/>
      </w:rPr>
    </w:lvl>
    <w:lvl w:ilvl="8" w:tplc="10C47D64" w:tentative="1">
      <w:start w:val="1"/>
      <w:numFmt w:val="bullet"/>
      <w:lvlText w:val="•"/>
      <w:lvlJc w:val="left"/>
      <w:pPr>
        <w:tabs>
          <w:tab w:val="num" w:pos="6480"/>
        </w:tabs>
        <w:ind w:left="6480" w:hanging="360"/>
      </w:pPr>
      <w:rPr>
        <w:rFonts w:ascii="Times New Roman" w:hAnsi="Times New Roman" w:hint="default"/>
      </w:rPr>
    </w:lvl>
  </w:abstractNum>
  <w:abstractNum w:abstractNumId="579">
    <w:nsid w:val="76056BC5"/>
    <w:multiLevelType w:val="hybridMultilevel"/>
    <w:tmpl w:val="575CEBDE"/>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580">
    <w:nsid w:val="767A0986"/>
    <w:multiLevelType w:val="hybridMultilevel"/>
    <w:tmpl w:val="F7365A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1">
    <w:nsid w:val="76B55E4B"/>
    <w:multiLevelType w:val="hybridMultilevel"/>
    <w:tmpl w:val="43C8A4EC"/>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82">
    <w:nsid w:val="774E3623"/>
    <w:multiLevelType w:val="hybridMultilevel"/>
    <w:tmpl w:val="42FADA42"/>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583">
    <w:nsid w:val="77716B68"/>
    <w:multiLevelType w:val="hybridMultilevel"/>
    <w:tmpl w:val="A4A4981C"/>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84">
    <w:nsid w:val="77751981"/>
    <w:multiLevelType w:val="hybridMultilevel"/>
    <w:tmpl w:val="54440C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5">
    <w:nsid w:val="77A71762"/>
    <w:multiLevelType w:val="hybridMultilevel"/>
    <w:tmpl w:val="58B480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6">
    <w:nsid w:val="77A720AC"/>
    <w:multiLevelType w:val="hybridMultilevel"/>
    <w:tmpl w:val="FA5059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7">
    <w:nsid w:val="77B939D3"/>
    <w:multiLevelType w:val="hybridMultilevel"/>
    <w:tmpl w:val="14AA03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8">
    <w:nsid w:val="77DF00C3"/>
    <w:multiLevelType w:val="hybridMultilevel"/>
    <w:tmpl w:val="D5664C10"/>
    <w:lvl w:ilvl="0" w:tplc="04090001">
      <w:start w:val="1"/>
      <w:numFmt w:val="bullet"/>
      <w:lvlText w:val=""/>
      <w:lvlJc w:val="left"/>
      <w:pPr>
        <w:ind w:left="750" w:hanging="360"/>
      </w:pPr>
      <w:rPr>
        <w:rFonts w:ascii="Symbol" w:hAnsi="Symbol" w:hint="default"/>
      </w:rPr>
    </w:lvl>
    <w:lvl w:ilvl="1" w:tplc="04090003" w:tentative="1">
      <w:start w:val="1"/>
      <w:numFmt w:val="bullet"/>
      <w:lvlText w:val="o"/>
      <w:lvlJc w:val="left"/>
      <w:pPr>
        <w:ind w:left="1470" w:hanging="360"/>
      </w:pPr>
      <w:rPr>
        <w:rFonts w:ascii="Courier New" w:hAnsi="Courier New" w:cs="Courier New" w:hint="default"/>
      </w:rPr>
    </w:lvl>
    <w:lvl w:ilvl="2" w:tplc="04090005" w:tentative="1">
      <w:start w:val="1"/>
      <w:numFmt w:val="bullet"/>
      <w:lvlText w:val=""/>
      <w:lvlJc w:val="left"/>
      <w:pPr>
        <w:ind w:left="2190" w:hanging="360"/>
      </w:pPr>
      <w:rPr>
        <w:rFonts w:ascii="Wingdings" w:hAnsi="Wingdings" w:hint="default"/>
      </w:rPr>
    </w:lvl>
    <w:lvl w:ilvl="3" w:tplc="04090001" w:tentative="1">
      <w:start w:val="1"/>
      <w:numFmt w:val="bullet"/>
      <w:lvlText w:val=""/>
      <w:lvlJc w:val="left"/>
      <w:pPr>
        <w:ind w:left="2910" w:hanging="360"/>
      </w:pPr>
      <w:rPr>
        <w:rFonts w:ascii="Symbol" w:hAnsi="Symbol" w:hint="default"/>
      </w:rPr>
    </w:lvl>
    <w:lvl w:ilvl="4" w:tplc="04090003" w:tentative="1">
      <w:start w:val="1"/>
      <w:numFmt w:val="bullet"/>
      <w:lvlText w:val="o"/>
      <w:lvlJc w:val="left"/>
      <w:pPr>
        <w:ind w:left="3630" w:hanging="360"/>
      </w:pPr>
      <w:rPr>
        <w:rFonts w:ascii="Courier New" w:hAnsi="Courier New" w:cs="Courier New" w:hint="default"/>
      </w:rPr>
    </w:lvl>
    <w:lvl w:ilvl="5" w:tplc="04090005" w:tentative="1">
      <w:start w:val="1"/>
      <w:numFmt w:val="bullet"/>
      <w:lvlText w:val=""/>
      <w:lvlJc w:val="left"/>
      <w:pPr>
        <w:ind w:left="4350" w:hanging="360"/>
      </w:pPr>
      <w:rPr>
        <w:rFonts w:ascii="Wingdings" w:hAnsi="Wingdings" w:hint="default"/>
      </w:rPr>
    </w:lvl>
    <w:lvl w:ilvl="6" w:tplc="04090001" w:tentative="1">
      <w:start w:val="1"/>
      <w:numFmt w:val="bullet"/>
      <w:lvlText w:val=""/>
      <w:lvlJc w:val="left"/>
      <w:pPr>
        <w:ind w:left="5070" w:hanging="360"/>
      </w:pPr>
      <w:rPr>
        <w:rFonts w:ascii="Symbol" w:hAnsi="Symbol" w:hint="default"/>
      </w:rPr>
    </w:lvl>
    <w:lvl w:ilvl="7" w:tplc="04090003" w:tentative="1">
      <w:start w:val="1"/>
      <w:numFmt w:val="bullet"/>
      <w:lvlText w:val="o"/>
      <w:lvlJc w:val="left"/>
      <w:pPr>
        <w:ind w:left="5790" w:hanging="360"/>
      </w:pPr>
      <w:rPr>
        <w:rFonts w:ascii="Courier New" w:hAnsi="Courier New" w:cs="Courier New" w:hint="default"/>
      </w:rPr>
    </w:lvl>
    <w:lvl w:ilvl="8" w:tplc="04090005" w:tentative="1">
      <w:start w:val="1"/>
      <w:numFmt w:val="bullet"/>
      <w:lvlText w:val=""/>
      <w:lvlJc w:val="left"/>
      <w:pPr>
        <w:ind w:left="6510" w:hanging="360"/>
      </w:pPr>
      <w:rPr>
        <w:rFonts w:ascii="Wingdings" w:hAnsi="Wingdings" w:hint="default"/>
      </w:rPr>
    </w:lvl>
  </w:abstractNum>
  <w:abstractNum w:abstractNumId="589">
    <w:nsid w:val="78505CD2"/>
    <w:multiLevelType w:val="hybridMultilevel"/>
    <w:tmpl w:val="6CD21046"/>
    <w:lvl w:ilvl="0" w:tplc="04090003">
      <w:start w:val="1"/>
      <w:numFmt w:val="bullet"/>
      <w:lvlText w:val="o"/>
      <w:lvlJc w:val="left"/>
      <w:pPr>
        <w:ind w:left="-5400" w:hanging="360"/>
      </w:pPr>
      <w:rPr>
        <w:rFonts w:ascii="Courier New" w:hAnsi="Courier New" w:cs="Courier New" w:hint="default"/>
      </w:rPr>
    </w:lvl>
    <w:lvl w:ilvl="1" w:tplc="04090003">
      <w:start w:val="1"/>
      <w:numFmt w:val="bullet"/>
      <w:lvlText w:val="o"/>
      <w:lvlJc w:val="left"/>
      <w:pPr>
        <w:ind w:left="-4680" w:hanging="360"/>
      </w:pPr>
      <w:rPr>
        <w:rFonts w:ascii="Courier New" w:hAnsi="Courier New" w:cs="Courier New" w:hint="default"/>
      </w:rPr>
    </w:lvl>
    <w:lvl w:ilvl="2" w:tplc="04090005">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1800" w:hanging="360"/>
      </w:pPr>
      <w:rPr>
        <w:rFonts w:ascii="Wingdings" w:hAnsi="Wingdings" w:hint="default"/>
      </w:rPr>
    </w:lvl>
    <w:lvl w:ilvl="6" w:tplc="04090001" w:tentative="1">
      <w:start w:val="1"/>
      <w:numFmt w:val="bullet"/>
      <w:lvlText w:val=""/>
      <w:lvlJc w:val="left"/>
      <w:pPr>
        <w:ind w:left="-1080" w:hanging="360"/>
      </w:pPr>
      <w:rPr>
        <w:rFonts w:ascii="Symbol" w:hAnsi="Symbol" w:hint="default"/>
      </w:rPr>
    </w:lvl>
    <w:lvl w:ilvl="7" w:tplc="04090003" w:tentative="1">
      <w:start w:val="1"/>
      <w:numFmt w:val="bullet"/>
      <w:lvlText w:val="o"/>
      <w:lvlJc w:val="left"/>
      <w:pPr>
        <w:ind w:left="-360" w:hanging="360"/>
      </w:pPr>
      <w:rPr>
        <w:rFonts w:ascii="Courier New" w:hAnsi="Courier New" w:cs="Courier New" w:hint="default"/>
      </w:rPr>
    </w:lvl>
    <w:lvl w:ilvl="8" w:tplc="04090005" w:tentative="1">
      <w:start w:val="1"/>
      <w:numFmt w:val="bullet"/>
      <w:lvlText w:val=""/>
      <w:lvlJc w:val="left"/>
      <w:pPr>
        <w:ind w:left="360" w:hanging="360"/>
      </w:pPr>
      <w:rPr>
        <w:rFonts w:ascii="Wingdings" w:hAnsi="Wingdings" w:hint="default"/>
      </w:rPr>
    </w:lvl>
  </w:abstractNum>
  <w:abstractNum w:abstractNumId="590">
    <w:nsid w:val="78663014"/>
    <w:multiLevelType w:val="hybridMultilevel"/>
    <w:tmpl w:val="5D74B62E"/>
    <w:lvl w:ilvl="0" w:tplc="09B6DFB6">
      <w:start w:val="1"/>
      <w:numFmt w:val="bullet"/>
      <w:lvlText w:val=""/>
      <w:lvlJc w:val="left"/>
      <w:pPr>
        <w:ind w:left="720" w:hanging="360"/>
      </w:pPr>
      <w:rPr>
        <w:rFonts w:ascii="Symbol" w:hAnsi="Symbol" w:hint="default"/>
      </w:rPr>
    </w:lvl>
    <w:lvl w:ilvl="1" w:tplc="E0C6A0A8" w:tentative="1">
      <w:start w:val="1"/>
      <w:numFmt w:val="bullet"/>
      <w:lvlText w:val="o"/>
      <w:lvlJc w:val="left"/>
      <w:pPr>
        <w:ind w:left="1440" w:hanging="360"/>
      </w:pPr>
      <w:rPr>
        <w:rFonts w:ascii="Courier New" w:hAnsi="Courier New" w:cs="Courier New" w:hint="default"/>
      </w:rPr>
    </w:lvl>
    <w:lvl w:ilvl="2" w:tplc="F4BC90A8" w:tentative="1">
      <w:start w:val="1"/>
      <w:numFmt w:val="bullet"/>
      <w:lvlText w:val=""/>
      <w:lvlJc w:val="left"/>
      <w:pPr>
        <w:ind w:left="2160" w:hanging="360"/>
      </w:pPr>
      <w:rPr>
        <w:rFonts w:ascii="Wingdings" w:hAnsi="Wingdings" w:hint="default"/>
      </w:rPr>
    </w:lvl>
    <w:lvl w:ilvl="3" w:tplc="173A6C2E" w:tentative="1">
      <w:start w:val="1"/>
      <w:numFmt w:val="bullet"/>
      <w:lvlText w:val=""/>
      <w:lvlJc w:val="left"/>
      <w:pPr>
        <w:ind w:left="2880" w:hanging="360"/>
      </w:pPr>
      <w:rPr>
        <w:rFonts w:ascii="Symbol" w:hAnsi="Symbol" w:hint="default"/>
      </w:rPr>
    </w:lvl>
    <w:lvl w:ilvl="4" w:tplc="B4140998" w:tentative="1">
      <w:start w:val="1"/>
      <w:numFmt w:val="bullet"/>
      <w:lvlText w:val="o"/>
      <w:lvlJc w:val="left"/>
      <w:pPr>
        <w:ind w:left="3600" w:hanging="360"/>
      </w:pPr>
      <w:rPr>
        <w:rFonts w:ascii="Courier New" w:hAnsi="Courier New" w:cs="Courier New" w:hint="default"/>
      </w:rPr>
    </w:lvl>
    <w:lvl w:ilvl="5" w:tplc="87D4794C" w:tentative="1">
      <w:start w:val="1"/>
      <w:numFmt w:val="bullet"/>
      <w:lvlText w:val=""/>
      <w:lvlJc w:val="left"/>
      <w:pPr>
        <w:ind w:left="4320" w:hanging="360"/>
      </w:pPr>
      <w:rPr>
        <w:rFonts w:ascii="Wingdings" w:hAnsi="Wingdings" w:hint="default"/>
      </w:rPr>
    </w:lvl>
    <w:lvl w:ilvl="6" w:tplc="F59E36E2" w:tentative="1">
      <w:start w:val="1"/>
      <w:numFmt w:val="bullet"/>
      <w:lvlText w:val=""/>
      <w:lvlJc w:val="left"/>
      <w:pPr>
        <w:ind w:left="5040" w:hanging="360"/>
      </w:pPr>
      <w:rPr>
        <w:rFonts w:ascii="Symbol" w:hAnsi="Symbol" w:hint="default"/>
      </w:rPr>
    </w:lvl>
    <w:lvl w:ilvl="7" w:tplc="0E34542E" w:tentative="1">
      <w:start w:val="1"/>
      <w:numFmt w:val="bullet"/>
      <w:lvlText w:val="o"/>
      <w:lvlJc w:val="left"/>
      <w:pPr>
        <w:ind w:left="5760" w:hanging="360"/>
      </w:pPr>
      <w:rPr>
        <w:rFonts w:ascii="Courier New" w:hAnsi="Courier New" w:cs="Courier New" w:hint="default"/>
      </w:rPr>
    </w:lvl>
    <w:lvl w:ilvl="8" w:tplc="E50A664A" w:tentative="1">
      <w:start w:val="1"/>
      <w:numFmt w:val="bullet"/>
      <w:lvlText w:val=""/>
      <w:lvlJc w:val="left"/>
      <w:pPr>
        <w:ind w:left="6480" w:hanging="360"/>
      </w:pPr>
      <w:rPr>
        <w:rFonts w:ascii="Wingdings" w:hAnsi="Wingdings" w:hint="default"/>
      </w:rPr>
    </w:lvl>
  </w:abstractNum>
  <w:abstractNum w:abstractNumId="591">
    <w:nsid w:val="786E77D7"/>
    <w:multiLevelType w:val="hybridMultilevel"/>
    <w:tmpl w:val="6F20B8D6"/>
    <w:lvl w:ilvl="0" w:tplc="04090001">
      <w:start w:val="1"/>
      <w:numFmt w:val="bullet"/>
      <w:lvlText w:val="o"/>
      <w:lvlJc w:val="left"/>
      <w:pPr>
        <w:ind w:left="2160" w:hanging="360"/>
      </w:pPr>
      <w:rPr>
        <w:rFonts w:ascii="Courier New" w:hAnsi="Courier New" w:cs="Courier New"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592">
    <w:nsid w:val="78D97431"/>
    <w:multiLevelType w:val="hybridMultilevel"/>
    <w:tmpl w:val="7D268566"/>
    <w:lvl w:ilvl="0" w:tplc="04090001">
      <w:start w:val="1"/>
      <w:numFmt w:val="bullet"/>
      <w:lvlText w:val=""/>
      <w:lvlJc w:val="left"/>
      <w:pPr>
        <w:ind w:left="751" w:hanging="360"/>
      </w:pPr>
      <w:rPr>
        <w:rFonts w:ascii="Symbol" w:hAnsi="Symbol" w:hint="default"/>
      </w:rPr>
    </w:lvl>
    <w:lvl w:ilvl="1" w:tplc="04090003" w:tentative="1">
      <w:start w:val="1"/>
      <w:numFmt w:val="bullet"/>
      <w:lvlText w:val="o"/>
      <w:lvlJc w:val="left"/>
      <w:pPr>
        <w:ind w:left="1471" w:hanging="360"/>
      </w:pPr>
      <w:rPr>
        <w:rFonts w:ascii="Courier New" w:hAnsi="Courier New" w:cs="Courier New" w:hint="default"/>
      </w:rPr>
    </w:lvl>
    <w:lvl w:ilvl="2" w:tplc="04090005" w:tentative="1">
      <w:start w:val="1"/>
      <w:numFmt w:val="bullet"/>
      <w:lvlText w:val=""/>
      <w:lvlJc w:val="left"/>
      <w:pPr>
        <w:ind w:left="2191" w:hanging="360"/>
      </w:pPr>
      <w:rPr>
        <w:rFonts w:ascii="Wingdings" w:hAnsi="Wingdings" w:hint="default"/>
      </w:rPr>
    </w:lvl>
    <w:lvl w:ilvl="3" w:tplc="04090001" w:tentative="1">
      <w:start w:val="1"/>
      <w:numFmt w:val="bullet"/>
      <w:lvlText w:val=""/>
      <w:lvlJc w:val="left"/>
      <w:pPr>
        <w:ind w:left="2911" w:hanging="360"/>
      </w:pPr>
      <w:rPr>
        <w:rFonts w:ascii="Symbol" w:hAnsi="Symbol" w:hint="default"/>
      </w:rPr>
    </w:lvl>
    <w:lvl w:ilvl="4" w:tplc="04090003" w:tentative="1">
      <w:start w:val="1"/>
      <w:numFmt w:val="bullet"/>
      <w:lvlText w:val="o"/>
      <w:lvlJc w:val="left"/>
      <w:pPr>
        <w:ind w:left="3631" w:hanging="360"/>
      </w:pPr>
      <w:rPr>
        <w:rFonts w:ascii="Courier New" w:hAnsi="Courier New" w:cs="Courier New" w:hint="default"/>
      </w:rPr>
    </w:lvl>
    <w:lvl w:ilvl="5" w:tplc="04090005" w:tentative="1">
      <w:start w:val="1"/>
      <w:numFmt w:val="bullet"/>
      <w:lvlText w:val=""/>
      <w:lvlJc w:val="left"/>
      <w:pPr>
        <w:ind w:left="4351" w:hanging="360"/>
      </w:pPr>
      <w:rPr>
        <w:rFonts w:ascii="Wingdings" w:hAnsi="Wingdings" w:hint="default"/>
      </w:rPr>
    </w:lvl>
    <w:lvl w:ilvl="6" w:tplc="04090001" w:tentative="1">
      <w:start w:val="1"/>
      <w:numFmt w:val="bullet"/>
      <w:lvlText w:val=""/>
      <w:lvlJc w:val="left"/>
      <w:pPr>
        <w:ind w:left="5071" w:hanging="360"/>
      </w:pPr>
      <w:rPr>
        <w:rFonts w:ascii="Symbol" w:hAnsi="Symbol" w:hint="default"/>
      </w:rPr>
    </w:lvl>
    <w:lvl w:ilvl="7" w:tplc="04090003" w:tentative="1">
      <w:start w:val="1"/>
      <w:numFmt w:val="bullet"/>
      <w:lvlText w:val="o"/>
      <w:lvlJc w:val="left"/>
      <w:pPr>
        <w:ind w:left="5791" w:hanging="360"/>
      </w:pPr>
      <w:rPr>
        <w:rFonts w:ascii="Courier New" w:hAnsi="Courier New" w:cs="Courier New" w:hint="default"/>
      </w:rPr>
    </w:lvl>
    <w:lvl w:ilvl="8" w:tplc="04090005" w:tentative="1">
      <w:start w:val="1"/>
      <w:numFmt w:val="bullet"/>
      <w:lvlText w:val=""/>
      <w:lvlJc w:val="left"/>
      <w:pPr>
        <w:ind w:left="6511" w:hanging="360"/>
      </w:pPr>
      <w:rPr>
        <w:rFonts w:ascii="Wingdings" w:hAnsi="Wingdings" w:hint="default"/>
      </w:rPr>
    </w:lvl>
  </w:abstractNum>
  <w:abstractNum w:abstractNumId="593">
    <w:nsid w:val="78DB3C9E"/>
    <w:multiLevelType w:val="hybridMultilevel"/>
    <w:tmpl w:val="59D83B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4">
    <w:nsid w:val="78EA79FB"/>
    <w:multiLevelType w:val="hybridMultilevel"/>
    <w:tmpl w:val="C61C93D2"/>
    <w:lvl w:ilvl="0" w:tplc="04090003">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5">
    <w:nsid w:val="793369F9"/>
    <w:multiLevelType w:val="hybridMultilevel"/>
    <w:tmpl w:val="A8A8B428"/>
    <w:lvl w:ilvl="0" w:tplc="04090001">
      <w:start w:val="1"/>
      <w:numFmt w:val="bullet"/>
      <w:lvlText w:val="•"/>
      <w:lvlJc w:val="left"/>
      <w:pPr>
        <w:tabs>
          <w:tab w:val="num" w:pos="720"/>
        </w:tabs>
        <w:ind w:left="720" w:hanging="360"/>
      </w:pPr>
      <w:rPr>
        <w:rFonts w:ascii="Times New Roman" w:hAnsi="Times New Roman" w:hint="default"/>
      </w:rPr>
    </w:lvl>
    <w:lvl w:ilvl="1" w:tplc="04090003">
      <w:start w:val="955"/>
      <w:numFmt w:val="bullet"/>
      <w:lvlText w:val="–"/>
      <w:lvlJc w:val="left"/>
      <w:pPr>
        <w:tabs>
          <w:tab w:val="num" w:pos="1440"/>
        </w:tabs>
        <w:ind w:left="1440" w:hanging="360"/>
      </w:pPr>
      <w:rPr>
        <w:rFonts w:ascii="Times New Roman" w:hAnsi="Times New Roman" w:hint="default"/>
      </w:rPr>
    </w:lvl>
    <w:lvl w:ilvl="2" w:tplc="04090005" w:tentative="1">
      <w:start w:val="1"/>
      <w:numFmt w:val="bullet"/>
      <w:lvlText w:val="•"/>
      <w:lvlJc w:val="left"/>
      <w:pPr>
        <w:tabs>
          <w:tab w:val="num" w:pos="2160"/>
        </w:tabs>
        <w:ind w:left="2160" w:hanging="360"/>
      </w:pPr>
      <w:rPr>
        <w:rFonts w:ascii="Times New Roman" w:hAnsi="Times New Roman" w:hint="default"/>
      </w:rPr>
    </w:lvl>
    <w:lvl w:ilvl="3" w:tplc="04090001" w:tentative="1">
      <w:start w:val="1"/>
      <w:numFmt w:val="bullet"/>
      <w:lvlText w:val="•"/>
      <w:lvlJc w:val="left"/>
      <w:pPr>
        <w:tabs>
          <w:tab w:val="num" w:pos="2880"/>
        </w:tabs>
        <w:ind w:left="2880" w:hanging="360"/>
      </w:pPr>
      <w:rPr>
        <w:rFonts w:ascii="Times New Roman" w:hAnsi="Times New Roman" w:hint="default"/>
      </w:rPr>
    </w:lvl>
    <w:lvl w:ilvl="4" w:tplc="04090003" w:tentative="1">
      <w:start w:val="1"/>
      <w:numFmt w:val="bullet"/>
      <w:lvlText w:val="•"/>
      <w:lvlJc w:val="left"/>
      <w:pPr>
        <w:tabs>
          <w:tab w:val="num" w:pos="3600"/>
        </w:tabs>
        <w:ind w:left="3600" w:hanging="360"/>
      </w:pPr>
      <w:rPr>
        <w:rFonts w:ascii="Times New Roman" w:hAnsi="Times New Roman" w:hint="default"/>
      </w:rPr>
    </w:lvl>
    <w:lvl w:ilvl="5" w:tplc="04090005" w:tentative="1">
      <w:start w:val="1"/>
      <w:numFmt w:val="bullet"/>
      <w:lvlText w:val="•"/>
      <w:lvlJc w:val="left"/>
      <w:pPr>
        <w:tabs>
          <w:tab w:val="num" w:pos="4320"/>
        </w:tabs>
        <w:ind w:left="4320" w:hanging="360"/>
      </w:pPr>
      <w:rPr>
        <w:rFonts w:ascii="Times New Roman" w:hAnsi="Times New Roman" w:hint="default"/>
      </w:rPr>
    </w:lvl>
    <w:lvl w:ilvl="6" w:tplc="04090001" w:tentative="1">
      <w:start w:val="1"/>
      <w:numFmt w:val="bullet"/>
      <w:lvlText w:val="•"/>
      <w:lvlJc w:val="left"/>
      <w:pPr>
        <w:tabs>
          <w:tab w:val="num" w:pos="5040"/>
        </w:tabs>
        <w:ind w:left="5040" w:hanging="360"/>
      </w:pPr>
      <w:rPr>
        <w:rFonts w:ascii="Times New Roman" w:hAnsi="Times New Roman" w:hint="default"/>
      </w:rPr>
    </w:lvl>
    <w:lvl w:ilvl="7" w:tplc="04090003" w:tentative="1">
      <w:start w:val="1"/>
      <w:numFmt w:val="bullet"/>
      <w:lvlText w:val="•"/>
      <w:lvlJc w:val="left"/>
      <w:pPr>
        <w:tabs>
          <w:tab w:val="num" w:pos="5760"/>
        </w:tabs>
        <w:ind w:left="5760" w:hanging="360"/>
      </w:pPr>
      <w:rPr>
        <w:rFonts w:ascii="Times New Roman" w:hAnsi="Times New Roman" w:hint="default"/>
      </w:rPr>
    </w:lvl>
    <w:lvl w:ilvl="8" w:tplc="04090005" w:tentative="1">
      <w:start w:val="1"/>
      <w:numFmt w:val="bullet"/>
      <w:lvlText w:val="•"/>
      <w:lvlJc w:val="left"/>
      <w:pPr>
        <w:tabs>
          <w:tab w:val="num" w:pos="6480"/>
        </w:tabs>
        <w:ind w:left="6480" w:hanging="360"/>
      </w:pPr>
      <w:rPr>
        <w:rFonts w:ascii="Times New Roman" w:hAnsi="Times New Roman" w:hint="default"/>
      </w:rPr>
    </w:lvl>
  </w:abstractNum>
  <w:abstractNum w:abstractNumId="596">
    <w:nsid w:val="793A736A"/>
    <w:multiLevelType w:val="hybridMultilevel"/>
    <w:tmpl w:val="FCA4A6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7">
    <w:nsid w:val="79532BF3"/>
    <w:multiLevelType w:val="hybridMultilevel"/>
    <w:tmpl w:val="ADB0DB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8">
    <w:nsid w:val="79CC5391"/>
    <w:multiLevelType w:val="hybridMultilevel"/>
    <w:tmpl w:val="610EAA64"/>
    <w:lvl w:ilvl="0" w:tplc="683AF6E6">
      <w:start w:val="1"/>
      <w:numFmt w:val="bullet"/>
      <w:lvlText w:val="•"/>
      <w:lvlJc w:val="left"/>
      <w:pPr>
        <w:tabs>
          <w:tab w:val="num" w:pos="720"/>
        </w:tabs>
        <w:ind w:left="720" w:hanging="360"/>
      </w:pPr>
      <w:rPr>
        <w:rFonts w:ascii="Arial" w:hAnsi="Arial" w:hint="default"/>
      </w:rPr>
    </w:lvl>
    <w:lvl w:ilvl="1" w:tplc="5BF41488">
      <w:start w:val="1"/>
      <w:numFmt w:val="bullet"/>
      <w:lvlText w:val="•"/>
      <w:lvlJc w:val="left"/>
      <w:pPr>
        <w:tabs>
          <w:tab w:val="num" w:pos="1440"/>
        </w:tabs>
        <w:ind w:left="1440" w:hanging="360"/>
      </w:pPr>
      <w:rPr>
        <w:rFonts w:ascii="Arial" w:hAnsi="Arial" w:hint="default"/>
      </w:rPr>
    </w:lvl>
    <w:lvl w:ilvl="2" w:tplc="22265134" w:tentative="1">
      <w:start w:val="1"/>
      <w:numFmt w:val="bullet"/>
      <w:lvlText w:val="•"/>
      <w:lvlJc w:val="left"/>
      <w:pPr>
        <w:tabs>
          <w:tab w:val="num" w:pos="2160"/>
        </w:tabs>
        <w:ind w:left="2160" w:hanging="360"/>
      </w:pPr>
      <w:rPr>
        <w:rFonts w:ascii="Arial" w:hAnsi="Arial" w:hint="default"/>
      </w:rPr>
    </w:lvl>
    <w:lvl w:ilvl="3" w:tplc="900EF364" w:tentative="1">
      <w:start w:val="1"/>
      <w:numFmt w:val="bullet"/>
      <w:lvlText w:val="•"/>
      <w:lvlJc w:val="left"/>
      <w:pPr>
        <w:tabs>
          <w:tab w:val="num" w:pos="2880"/>
        </w:tabs>
        <w:ind w:left="2880" w:hanging="360"/>
      </w:pPr>
      <w:rPr>
        <w:rFonts w:ascii="Arial" w:hAnsi="Arial" w:hint="default"/>
      </w:rPr>
    </w:lvl>
    <w:lvl w:ilvl="4" w:tplc="FFFC0106" w:tentative="1">
      <w:start w:val="1"/>
      <w:numFmt w:val="bullet"/>
      <w:lvlText w:val="•"/>
      <w:lvlJc w:val="left"/>
      <w:pPr>
        <w:tabs>
          <w:tab w:val="num" w:pos="3600"/>
        </w:tabs>
        <w:ind w:left="3600" w:hanging="360"/>
      </w:pPr>
      <w:rPr>
        <w:rFonts w:ascii="Arial" w:hAnsi="Arial" w:hint="default"/>
      </w:rPr>
    </w:lvl>
    <w:lvl w:ilvl="5" w:tplc="AC26A77C" w:tentative="1">
      <w:start w:val="1"/>
      <w:numFmt w:val="bullet"/>
      <w:lvlText w:val="•"/>
      <w:lvlJc w:val="left"/>
      <w:pPr>
        <w:tabs>
          <w:tab w:val="num" w:pos="4320"/>
        </w:tabs>
        <w:ind w:left="4320" w:hanging="360"/>
      </w:pPr>
      <w:rPr>
        <w:rFonts w:ascii="Arial" w:hAnsi="Arial" w:hint="default"/>
      </w:rPr>
    </w:lvl>
    <w:lvl w:ilvl="6" w:tplc="F3BCFDA0" w:tentative="1">
      <w:start w:val="1"/>
      <w:numFmt w:val="bullet"/>
      <w:lvlText w:val="•"/>
      <w:lvlJc w:val="left"/>
      <w:pPr>
        <w:tabs>
          <w:tab w:val="num" w:pos="5040"/>
        </w:tabs>
        <w:ind w:left="5040" w:hanging="360"/>
      </w:pPr>
      <w:rPr>
        <w:rFonts w:ascii="Arial" w:hAnsi="Arial" w:hint="default"/>
      </w:rPr>
    </w:lvl>
    <w:lvl w:ilvl="7" w:tplc="89DEA920" w:tentative="1">
      <w:start w:val="1"/>
      <w:numFmt w:val="bullet"/>
      <w:lvlText w:val="•"/>
      <w:lvlJc w:val="left"/>
      <w:pPr>
        <w:tabs>
          <w:tab w:val="num" w:pos="5760"/>
        </w:tabs>
        <w:ind w:left="5760" w:hanging="360"/>
      </w:pPr>
      <w:rPr>
        <w:rFonts w:ascii="Arial" w:hAnsi="Arial" w:hint="default"/>
      </w:rPr>
    </w:lvl>
    <w:lvl w:ilvl="8" w:tplc="E0DE1F0E" w:tentative="1">
      <w:start w:val="1"/>
      <w:numFmt w:val="bullet"/>
      <w:lvlText w:val="•"/>
      <w:lvlJc w:val="left"/>
      <w:pPr>
        <w:tabs>
          <w:tab w:val="num" w:pos="6480"/>
        </w:tabs>
        <w:ind w:left="6480" w:hanging="360"/>
      </w:pPr>
      <w:rPr>
        <w:rFonts w:ascii="Arial" w:hAnsi="Arial" w:hint="default"/>
      </w:rPr>
    </w:lvl>
  </w:abstractNum>
  <w:abstractNum w:abstractNumId="599">
    <w:nsid w:val="79D94B9D"/>
    <w:multiLevelType w:val="hybridMultilevel"/>
    <w:tmpl w:val="1D583D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0">
    <w:nsid w:val="79EC1E5D"/>
    <w:multiLevelType w:val="hybridMultilevel"/>
    <w:tmpl w:val="F6E0A4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1">
    <w:nsid w:val="7A532574"/>
    <w:multiLevelType w:val="hybridMultilevel"/>
    <w:tmpl w:val="8B56D936"/>
    <w:lvl w:ilvl="0" w:tplc="04090001">
      <w:start w:val="1"/>
      <w:numFmt w:val="lowerLetter"/>
      <w:lvlText w:val="(%1)"/>
      <w:lvlJc w:val="left"/>
      <w:pPr>
        <w:ind w:left="720" w:hanging="360"/>
      </w:pPr>
      <w:rPr>
        <w:rFonts w:asciiTheme="minorHAnsi" w:hAnsiTheme="minorHAnsi" w:cs="Arial" w:hint="default"/>
        <w:b w:val="0"/>
        <w:sz w:val="16"/>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602">
    <w:nsid w:val="7A76615D"/>
    <w:multiLevelType w:val="hybridMultilevel"/>
    <w:tmpl w:val="0F3243FC"/>
    <w:lvl w:ilvl="0" w:tplc="A0D47548">
      <w:start w:val="1"/>
      <w:numFmt w:val="bullet"/>
      <w:lvlText w:val="•"/>
      <w:lvlJc w:val="left"/>
      <w:pPr>
        <w:tabs>
          <w:tab w:val="num" w:pos="720"/>
        </w:tabs>
        <w:ind w:left="720" w:hanging="360"/>
      </w:pPr>
      <w:rPr>
        <w:rFonts w:ascii="Times New Roman" w:hAnsi="Times New Roman" w:hint="default"/>
      </w:rPr>
    </w:lvl>
    <w:lvl w:ilvl="1" w:tplc="C9B825D8" w:tentative="1">
      <w:start w:val="1"/>
      <w:numFmt w:val="bullet"/>
      <w:lvlText w:val="•"/>
      <w:lvlJc w:val="left"/>
      <w:pPr>
        <w:tabs>
          <w:tab w:val="num" w:pos="1440"/>
        </w:tabs>
        <w:ind w:left="1440" w:hanging="360"/>
      </w:pPr>
      <w:rPr>
        <w:rFonts w:ascii="Times New Roman" w:hAnsi="Times New Roman" w:hint="default"/>
      </w:rPr>
    </w:lvl>
    <w:lvl w:ilvl="2" w:tplc="54804B7C" w:tentative="1">
      <w:start w:val="1"/>
      <w:numFmt w:val="bullet"/>
      <w:lvlText w:val="•"/>
      <w:lvlJc w:val="left"/>
      <w:pPr>
        <w:tabs>
          <w:tab w:val="num" w:pos="2160"/>
        </w:tabs>
        <w:ind w:left="2160" w:hanging="360"/>
      </w:pPr>
      <w:rPr>
        <w:rFonts w:ascii="Times New Roman" w:hAnsi="Times New Roman" w:hint="default"/>
      </w:rPr>
    </w:lvl>
    <w:lvl w:ilvl="3" w:tplc="296EB2C8" w:tentative="1">
      <w:start w:val="1"/>
      <w:numFmt w:val="bullet"/>
      <w:lvlText w:val="•"/>
      <w:lvlJc w:val="left"/>
      <w:pPr>
        <w:tabs>
          <w:tab w:val="num" w:pos="2880"/>
        </w:tabs>
        <w:ind w:left="2880" w:hanging="360"/>
      </w:pPr>
      <w:rPr>
        <w:rFonts w:ascii="Times New Roman" w:hAnsi="Times New Roman" w:hint="default"/>
      </w:rPr>
    </w:lvl>
    <w:lvl w:ilvl="4" w:tplc="53CE9344" w:tentative="1">
      <w:start w:val="1"/>
      <w:numFmt w:val="bullet"/>
      <w:lvlText w:val="•"/>
      <w:lvlJc w:val="left"/>
      <w:pPr>
        <w:tabs>
          <w:tab w:val="num" w:pos="3600"/>
        </w:tabs>
        <w:ind w:left="3600" w:hanging="360"/>
      </w:pPr>
      <w:rPr>
        <w:rFonts w:ascii="Times New Roman" w:hAnsi="Times New Roman" w:hint="default"/>
      </w:rPr>
    </w:lvl>
    <w:lvl w:ilvl="5" w:tplc="3EBC239A" w:tentative="1">
      <w:start w:val="1"/>
      <w:numFmt w:val="bullet"/>
      <w:lvlText w:val="•"/>
      <w:lvlJc w:val="left"/>
      <w:pPr>
        <w:tabs>
          <w:tab w:val="num" w:pos="4320"/>
        </w:tabs>
        <w:ind w:left="4320" w:hanging="360"/>
      </w:pPr>
      <w:rPr>
        <w:rFonts w:ascii="Times New Roman" w:hAnsi="Times New Roman" w:hint="default"/>
      </w:rPr>
    </w:lvl>
    <w:lvl w:ilvl="6" w:tplc="4F32AB56" w:tentative="1">
      <w:start w:val="1"/>
      <w:numFmt w:val="bullet"/>
      <w:lvlText w:val="•"/>
      <w:lvlJc w:val="left"/>
      <w:pPr>
        <w:tabs>
          <w:tab w:val="num" w:pos="5040"/>
        </w:tabs>
        <w:ind w:left="5040" w:hanging="360"/>
      </w:pPr>
      <w:rPr>
        <w:rFonts w:ascii="Times New Roman" w:hAnsi="Times New Roman" w:hint="default"/>
      </w:rPr>
    </w:lvl>
    <w:lvl w:ilvl="7" w:tplc="6E123952" w:tentative="1">
      <w:start w:val="1"/>
      <w:numFmt w:val="bullet"/>
      <w:lvlText w:val="•"/>
      <w:lvlJc w:val="left"/>
      <w:pPr>
        <w:tabs>
          <w:tab w:val="num" w:pos="5760"/>
        </w:tabs>
        <w:ind w:left="5760" w:hanging="360"/>
      </w:pPr>
      <w:rPr>
        <w:rFonts w:ascii="Times New Roman" w:hAnsi="Times New Roman" w:hint="default"/>
      </w:rPr>
    </w:lvl>
    <w:lvl w:ilvl="8" w:tplc="53D2F52C" w:tentative="1">
      <w:start w:val="1"/>
      <w:numFmt w:val="bullet"/>
      <w:lvlText w:val="•"/>
      <w:lvlJc w:val="left"/>
      <w:pPr>
        <w:tabs>
          <w:tab w:val="num" w:pos="6480"/>
        </w:tabs>
        <w:ind w:left="6480" w:hanging="360"/>
      </w:pPr>
      <w:rPr>
        <w:rFonts w:ascii="Times New Roman" w:hAnsi="Times New Roman" w:hint="default"/>
      </w:rPr>
    </w:lvl>
  </w:abstractNum>
  <w:abstractNum w:abstractNumId="603">
    <w:nsid w:val="7A8C2735"/>
    <w:multiLevelType w:val="hybridMultilevel"/>
    <w:tmpl w:val="88E415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4">
    <w:nsid w:val="7AB711F6"/>
    <w:multiLevelType w:val="multilevel"/>
    <w:tmpl w:val="BB74ED96"/>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05">
    <w:nsid w:val="7AD347C9"/>
    <w:multiLevelType w:val="hybridMultilevel"/>
    <w:tmpl w:val="8040A48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06">
    <w:nsid w:val="7AF6010D"/>
    <w:multiLevelType w:val="hybridMultilevel"/>
    <w:tmpl w:val="F77E5F2E"/>
    <w:lvl w:ilvl="0" w:tplc="F1F6080A">
      <w:start w:val="1"/>
      <w:numFmt w:val="bullet"/>
      <w:lvlText w:val=""/>
      <w:lvlJc w:val="left"/>
      <w:pPr>
        <w:ind w:left="720" w:hanging="360"/>
      </w:pPr>
      <w:rPr>
        <w:rFonts w:ascii="Symbol" w:hAnsi="Symbol" w:hint="default"/>
      </w:rPr>
    </w:lvl>
    <w:lvl w:ilvl="1" w:tplc="EAA2044A" w:tentative="1">
      <w:start w:val="1"/>
      <w:numFmt w:val="bullet"/>
      <w:lvlText w:val="o"/>
      <w:lvlJc w:val="left"/>
      <w:pPr>
        <w:ind w:left="1440" w:hanging="360"/>
      </w:pPr>
      <w:rPr>
        <w:rFonts w:ascii="Courier New" w:hAnsi="Courier New" w:cs="Courier New" w:hint="default"/>
      </w:rPr>
    </w:lvl>
    <w:lvl w:ilvl="2" w:tplc="CBD64E5C" w:tentative="1">
      <w:start w:val="1"/>
      <w:numFmt w:val="bullet"/>
      <w:lvlText w:val=""/>
      <w:lvlJc w:val="left"/>
      <w:pPr>
        <w:ind w:left="2160" w:hanging="360"/>
      </w:pPr>
      <w:rPr>
        <w:rFonts w:ascii="Wingdings" w:hAnsi="Wingdings" w:hint="default"/>
      </w:rPr>
    </w:lvl>
    <w:lvl w:ilvl="3" w:tplc="834A0D30" w:tentative="1">
      <w:start w:val="1"/>
      <w:numFmt w:val="bullet"/>
      <w:lvlText w:val=""/>
      <w:lvlJc w:val="left"/>
      <w:pPr>
        <w:ind w:left="2880" w:hanging="360"/>
      </w:pPr>
      <w:rPr>
        <w:rFonts w:ascii="Symbol" w:hAnsi="Symbol" w:hint="default"/>
      </w:rPr>
    </w:lvl>
    <w:lvl w:ilvl="4" w:tplc="2E609430" w:tentative="1">
      <w:start w:val="1"/>
      <w:numFmt w:val="bullet"/>
      <w:lvlText w:val="o"/>
      <w:lvlJc w:val="left"/>
      <w:pPr>
        <w:ind w:left="3600" w:hanging="360"/>
      </w:pPr>
      <w:rPr>
        <w:rFonts w:ascii="Courier New" w:hAnsi="Courier New" w:cs="Courier New" w:hint="default"/>
      </w:rPr>
    </w:lvl>
    <w:lvl w:ilvl="5" w:tplc="9A40FB2C" w:tentative="1">
      <w:start w:val="1"/>
      <w:numFmt w:val="bullet"/>
      <w:lvlText w:val=""/>
      <w:lvlJc w:val="left"/>
      <w:pPr>
        <w:ind w:left="4320" w:hanging="360"/>
      </w:pPr>
      <w:rPr>
        <w:rFonts w:ascii="Wingdings" w:hAnsi="Wingdings" w:hint="default"/>
      </w:rPr>
    </w:lvl>
    <w:lvl w:ilvl="6" w:tplc="4E98933A" w:tentative="1">
      <w:start w:val="1"/>
      <w:numFmt w:val="bullet"/>
      <w:lvlText w:val=""/>
      <w:lvlJc w:val="left"/>
      <w:pPr>
        <w:ind w:left="5040" w:hanging="360"/>
      </w:pPr>
      <w:rPr>
        <w:rFonts w:ascii="Symbol" w:hAnsi="Symbol" w:hint="default"/>
      </w:rPr>
    </w:lvl>
    <w:lvl w:ilvl="7" w:tplc="C09A4EDC" w:tentative="1">
      <w:start w:val="1"/>
      <w:numFmt w:val="bullet"/>
      <w:lvlText w:val="o"/>
      <w:lvlJc w:val="left"/>
      <w:pPr>
        <w:ind w:left="5760" w:hanging="360"/>
      </w:pPr>
      <w:rPr>
        <w:rFonts w:ascii="Courier New" w:hAnsi="Courier New" w:cs="Courier New" w:hint="default"/>
      </w:rPr>
    </w:lvl>
    <w:lvl w:ilvl="8" w:tplc="AD2C1038" w:tentative="1">
      <w:start w:val="1"/>
      <w:numFmt w:val="bullet"/>
      <w:lvlText w:val=""/>
      <w:lvlJc w:val="left"/>
      <w:pPr>
        <w:ind w:left="6480" w:hanging="360"/>
      </w:pPr>
      <w:rPr>
        <w:rFonts w:ascii="Wingdings" w:hAnsi="Wingdings" w:hint="default"/>
      </w:rPr>
    </w:lvl>
  </w:abstractNum>
  <w:abstractNum w:abstractNumId="607">
    <w:nsid w:val="7AFC7545"/>
    <w:multiLevelType w:val="hybridMultilevel"/>
    <w:tmpl w:val="817E20E0"/>
    <w:lvl w:ilvl="0" w:tplc="653AF280">
      <w:start w:val="1"/>
      <w:numFmt w:val="lowerLetter"/>
      <w:lvlText w:val="(%1)"/>
      <w:lvlJc w:val="left"/>
      <w:pPr>
        <w:ind w:left="1890" w:hanging="360"/>
      </w:pPr>
      <w:rPr>
        <w:rFonts w:hint="default"/>
        <w:color w:val="auto"/>
      </w:rPr>
    </w:lvl>
    <w:lvl w:ilvl="1" w:tplc="04090019" w:tentative="1">
      <w:start w:val="1"/>
      <w:numFmt w:val="lowerLetter"/>
      <w:lvlText w:val="%2."/>
      <w:lvlJc w:val="left"/>
      <w:pPr>
        <w:ind w:left="2610" w:hanging="360"/>
      </w:pPr>
    </w:lvl>
    <w:lvl w:ilvl="2" w:tplc="0409001B" w:tentative="1">
      <w:start w:val="1"/>
      <w:numFmt w:val="lowerRoman"/>
      <w:lvlText w:val="%3."/>
      <w:lvlJc w:val="right"/>
      <w:pPr>
        <w:ind w:left="3330" w:hanging="180"/>
      </w:pPr>
    </w:lvl>
    <w:lvl w:ilvl="3" w:tplc="0409000F" w:tentative="1">
      <w:start w:val="1"/>
      <w:numFmt w:val="decimal"/>
      <w:lvlText w:val="%4."/>
      <w:lvlJc w:val="left"/>
      <w:pPr>
        <w:ind w:left="4050" w:hanging="360"/>
      </w:pPr>
    </w:lvl>
    <w:lvl w:ilvl="4" w:tplc="04090019" w:tentative="1">
      <w:start w:val="1"/>
      <w:numFmt w:val="lowerLetter"/>
      <w:lvlText w:val="%5."/>
      <w:lvlJc w:val="left"/>
      <w:pPr>
        <w:ind w:left="4770" w:hanging="360"/>
      </w:pPr>
    </w:lvl>
    <w:lvl w:ilvl="5" w:tplc="0409001B" w:tentative="1">
      <w:start w:val="1"/>
      <w:numFmt w:val="lowerRoman"/>
      <w:lvlText w:val="%6."/>
      <w:lvlJc w:val="right"/>
      <w:pPr>
        <w:ind w:left="5490" w:hanging="180"/>
      </w:pPr>
    </w:lvl>
    <w:lvl w:ilvl="6" w:tplc="0409000F" w:tentative="1">
      <w:start w:val="1"/>
      <w:numFmt w:val="decimal"/>
      <w:lvlText w:val="%7."/>
      <w:lvlJc w:val="left"/>
      <w:pPr>
        <w:ind w:left="6210" w:hanging="360"/>
      </w:pPr>
    </w:lvl>
    <w:lvl w:ilvl="7" w:tplc="04090019" w:tentative="1">
      <w:start w:val="1"/>
      <w:numFmt w:val="lowerLetter"/>
      <w:lvlText w:val="%8."/>
      <w:lvlJc w:val="left"/>
      <w:pPr>
        <w:ind w:left="6930" w:hanging="360"/>
      </w:pPr>
    </w:lvl>
    <w:lvl w:ilvl="8" w:tplc="0409001B" w:tentative="1">
      <w:start w:val="1"/>
      <w:numFmt w:val="lowerRoman"/>
      <w:lvlText w:val="%9."/>
      <w:lvlJc w:val="right"/>
      <w:pPr>
        <w:ind w:left="7650" w:hanging="180"/>
      </w:pPr>
    </w:lvl>
  </w:abstractNum>
  <w:abstractNum w:abstractNumId="608">
    <w:nsid w:val="7B1A5CB1"/>
    <w:multiLevelType w:val="hybridMultilevel"/>
    <w:tmpl w:val="6CE85C98"/>
    <w:lvl w:ilvl="0" w:tplc="5C92DF8C">
      <w:start w:val="1"/>
      <w:numFmt w:val="bullet"/>
      <w:lvlText w:val=""/>
      <w:lvlJc w:val="left"/>
      <w:pPr>
        <w:ind w:left="720" w:hanging="360"/>
      </w:pPr>
      <w:rPr>
        <w:rFonts w:ascii="Symbol" w:hAnsi="Symbol" w:hint="default"/>
      </w:rPr>
    </w:lvl>
    <w:lvl w:ilvl="1" w:tplc="04090019">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609">
    <w:nsid w:val="7B762AF7"/>
    <w:multiLevelType w:val="hybridMultilevel"/>
    <w:tmpl w:val="2BD058D0"/>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610">
    <w:nsid w:val="7B925020"/>
    <w:multiLevelType w:val="hybridMultilevel"/>
    <w:tmpl w:val="62969C3C"/>
    <w:lvl w:ilvl="0" w:tplc="EF5E97BE">
      <w:start w:val="1"/>
      <w:numFmt w:val="bullet"/>
      <w:lvlText w:val="–"/>
      <w:lvlJc w:val="left"/>
      <w:pPr>
        <w:ind w:left="792" w:hanging="360"/>
      </w:pPr>
      <w:rPr>
        <w:rFonts w:ascii="Times New Roman" w:hAnsi="Times New Roman" w:cs="Times New Roman"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611">
    <w:nsid w:val="7B92627C"/>
    <w:multiLevelType w:val="hybridMultilevel"/>
    <w:tmpl w:val="0AD028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2">
    <w:nsid w:val="7BAC4CF9"/>
    <w:multiLevelType w:val="hybridMultilevel"/>
    <w:tmpl w:val="517C7316"/>
    <w:lvl w:ilvl="0" w:tplc="0409001B">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13">
    <w:nsid w:val="7BBA5F87"/>
    <w:multiLevelType w:val="multilevel"/>
    <w:tmpl w:val="E332834C"/>
    <w:lvl w:ilvl="0">
      <w:start w:val="1"/>
      <w:numFmt w:val="decimal"/>
      <w:suff w:val="nothing"/>
      <w:lvlText w:val="Section %1"/>
      <w:lvlJc w:val="left"/>
      <w:pPr>
        <w:ind w:left="0" w:firstLine="0"/>
      </w:pPr>
      <w:rPr>
        <w:rFonts w:ascii="Calibri" w:hAnsi="Calibri" w:hint="default"/>
        <w:b/>
        <w:i w:val="0"/>
        <w:color w:val="0070C0"/>
        <w:sz w:val="36"/>
        <w:u w:val="none"/>
      </w:rPr>
    </w:lvl>
    <w:lvl w:ilvl="1">
      <w:start w:val="1"/>
      <w:numFmt w:val="decimal"/>
      <w:suff w:val="space"/>
      <w:lvlText w:val="%1.%2"/>
      <w:lvlJc w:val="left"/>
      <w:pPr>
        <w:ind w:left="90" w:firstLine="0"/>
      </w:pPr>
      <w:rPr>
        <w:rFonts w:ascii="Calibri" w:hAnsi="Calibri" w:hint="default"/>
        <w:b/>
        <w:i w:val="0"/>
        <w:color w:val="62777F" w:themeColor="text1"/>
        <w:sz w:val="24"/>
        <w:u w:val="none" w:color="62777F" w:themeColor="text1"/>
      </w:rPr>
    </w:lvl>
    <w:lvl w:ilvl="2">
      <w:start w:val="1"/>
      <w:numFmt w:val="decimal"/>
      <w:suff w:val="space"/>
      <w:lvlText w:val="%1.%2.%3"/>
      <w:lvlJc w:val="left"/>
      <w:pPr>
        <w:ind w:left="0" w:firstLine="0"/>
      </w:pPr>
      <w:rPr>
        <w:rFonts w:asciiTheme="minorHAnsi" w:hAnsiTheme="minorHAnsi" w:cs="Times New Roman" w:hint="default"/>
        <w:b/>
        <w:bCs w:val="0"/>
        <w:i w:val="0"/>
        <w:iCs w:val="0"/>
        <w:caps w:val="0"/>
        <w:smallCaps w:val="0"/>
        <w:strike w:val="0"/>
        <w:dstrike w:val="0"/>
        <w:noProof w:val="0"/>
        <w:vanish w:val="0"/>
        <w:color w:val="62777F" w:themeColor="text1"/>
        <w:spacing w:val="0"/>
        <w:kern w:val="0"/>
        <w:position w:val="0"/>
        <w:sz w:val="20"/>
        <w:szCs w:val="20"/>
        <w:u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suff w:val="space"/>
      <w:lvlText w:val="%1.%2.%3.%4"/>
      <w:lvlJc w:val="left"/>
      <w:pPr>
        <w:ind w:left="0" w:firstLine="0"/>
      </w:pPr>
      <w:rPr>
        <w:rFonts w:ascii="Calibri" w:hAnsi="Calibri" w:hint="default"/>
        <w:b w:val="0"/>
        <w:i/>
        <w:color w:val="62777F" w:themeColor="text1"/>
        <w:sz w:val="20"/>
        <w:szCs w:val="20"/>
        <w:u w:val="none"/>
      </w:rPr>
    </w:lvl>
    <w:lvl w:ilvl="4">
      <w:start w:val="1"/>
      <w:numFmt w:val="lowerLetter"/>
      <w:lvlText w:val="(%5)"/>
      <w:lvlJc w:val="left"/>
      <w:pPr>
        <w:ind w:left="0" w:firstLine="0"/>
      </w:pPr>
      <w:rPr>
        <w:rFonts w:hint="default"/>
      </w:rPr>
    </w:lvl>
    <w:lvl w:ilvl="5">
      <w:start w:val="1"/>
      <w:numFmt w:val="lowerRoman"/>
      <w:lvlText w:val="(%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614">
    <w:nsid w:val="7BC57882"/>
    <w:multiLevelType w:val="hybridMultilevel"/>
    <w:tmpl w:val="EF2045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5">
    <w:nsid w:val="7BF4246D"/>
    <w:multiLevelType w:val="hybridMultilevel"/>
    <w:tmpl w:val="3D3E04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6">
    <w:nsid w:val="7C912776"/>
    <w:multiLevelType w:val="hybridMultilevel"/>
    <w:tmpl w:val="158AB5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7">
    <w:nsid w:val="7CFF1AC9"/>
    <w:multiLevelType w:val="hybridMultilevel"/>
    <w:tmpl w:val="7D4A14B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8">
    <w:nsid w:val="7D0B500B"/>
    <w:multiLevelType w:val="hybridMultilevel"/>
    <w:tmpl w:val="F60EF7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9">
    <w:nsid w:val="7D43562F"/>
    <w:multiLevelType w:val="hybridMultilevel"/>
    <w:tmpl w:val="1E40FEE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20">
    <w:nsid w:val="7D863F6D"/>
    <w:multiLevelType w:val="hybridMultilevel"/>
    <w:tmpl w:val="E80C931A"/>
    <w:lvl w:ilvl="0" w:tplc="EF5E97BE">
      <w:start w:val="1"/>
      <w:numFmt w:val="bullet"/>
      <w:lvlText w:val="–"/>
      <w:lvlJc w:val="left"/>
      <w:pPr>
        <w:ind w:left="1800" w:hanging="360"/>
      </w:pPr>
      <w:rPr>
        <w:rFonts w:ascii="Times New Roman" w:hAnsi="Times New Roman" w:cs="Times New Roman"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621">
    <w:nsid w:val="7D9B6957"/>
    <w:multiLevelType w:val="hybridMultilevel"/>
    <w:tmpl w:val="9690814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2">
    <w:nsid w:val="7DD222C6"/>
    <w:multiLevelType w:val="multilevel"/>
    <w:tmpl w:val="8AA44E40"/>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623">
    <w:nsid w:val="7DDD4D9B"/>
    <w:multiLevelType w:val="hybridMultilevel"/>
    <w:tmpl w:val="FB7E9DA2"/>
    <w:lvl w:ilvl="0" w:tplc="0409000F">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624">
    <w:nsid w:val="7E4500A0"/>
    <w:multiLevelType w:val="hybridMultilevel"/>
    <w:tmpl w:val="73AAD9BA"/>
    <w:lvl w:ilvl="0" w:tplc="2FA2DBD0">
      <w:start w:val="1"/>
      <w:numFmt w:val="bullet"/>
      <w:lvlText w:val=""/>
      <w:lvlJc w:val="left"/>
      <w:pPr>
        <w:ind w:left="757" w:hanging="360"/>
      </w:pPr>
      <w:rPr>
        <w:rFonts w:ascii="Symbol" w:hAnsi="Symbol" w:hint="default"/>
      </w:rPr>
    </w:lvl>
    <w:lvl w:ilvl="1" w:tplc="6FEE6078" w:tentative="1">
      <w:start w:val="1"/>
      <w:numFmt w:val="bullet"/>
      <w:lvlText w:val="o"/>
      <w:lvlJc w:val="left"/>
      <w:pPr>
        <w:ind w:left="1477" w:hanging="360"/>
      </w:pPr>
      <w:rPr>
        <w:rFonts w:ascii="Courier New" w:hAnsi="Courier New" w:cs="Courier New" w:hint="default"/>
      </w:rPr>
    </w:lvl>
    <w:lvl w:ilvl="2" w:tplc="5F7A4204" w:tentative="1">
      <w:start w:val="1"/>
      <w:numFmt w:val="bullet"/>
      <w:lvlText w:val=""/>
      <w:lvlJc w:val="left"/>
      <w:pPr>
        <w:ind w:left="2197" w:hanging="360"/>
      </w:pPr>
      <w:rPr>
        <w:rFonts w:ascii="Wingdings" w:hAnsi="Wingdings" w:hint="default"/>
      </w:rPr>
    </w:lvl>
    <w:lvl w:ilvl="3" w:tplc="050AACBC" w:tentative="1">
      <w:start w:val="1"/>
      <w:numFmt w:val="bullet"/>
      <w:lvlText w:val=""/>
      <w:lvlJc w:val="left"/>
      <w:pPr>
        <w:ind w:left="2917" w:hanging="360"/>
      </w:pPr>
      <w:rPr>
        <w:rFonts w:ascii="Symbol" w:hAnsi="Symbol" w:hint="default"/>
      </w:rPr>
    </w:lvl>
    <w:lvl w:ilvl="4" w:tplc="4A2838F8" w:tentative="1">
      <w:start w:val="1"/>
      <w:numFmt w:val="bullet"/>
      <w:lvlText w:val="o"/>
      <w:lvlJc w:val="left"/>
      <w:pPr>
        <w:ind w:left="3637" w:hanging="360"/>
      </w:pPr>
      <w:rPr>
        <w:rFonts w:ascii="Courier New" w:hAnsi="Courier New" w:cs="Courier New" w:hint="default"/>
      </w:rPr>
    </w:lvl>
    <w:lvl w:ilvl="5" w:tplc="D7068770" w:tentative="1">
      <w:start w:val="1"/>
      <w:numFmt w:val="bullet"/>
      <w:lvlText w:val=""/>
      <w:lvlJc w:val="left"/>
      <w:pPr>
        <w:ind w:left="4357" w:hanging="360"/>
      </w:pPr>
      <w:rPr>
        <w:rFonts w:ascii="Wingdings" w:hAnsi="Wingdings" w:hint="default"/>
      </w:rPr>
    </w:lvl>
    <w:lvl w:ilvl="6" w:tplc="58F8915E" w:tentative="1">
      <w:start w:val="1"/>
      <w:numFmt w:val="bullet"/>
      <w:lvlText w:val=""/>
      <w:lvlJc w:val="left"/>
      <w:pPr>
        <w:ind w:left="5077" w:hanging="360"/>
      </w:pPr>
      <w:rPr>
        <w:rFonts w:ascii="Symbol" w:hAnsi="Symbol" w:hint="default"/>
      </w:rPr>
    </w:lvl>
    <w:lvl w:ilvl="7" w:tplc="3B8CBF9E" w:tentative="1">
      <w:start w:val="1"/>
      <w:numFmt w:val="bullet"/>
      <w:lvlText w:val="o"/>
      <w:lvlJc w:val="left"/>
      <w:pPr>
        <w:ind w:left="5797" w:hanging="360"/>
      </w:pPr>
      <w:rPr>
        <w:rFonts w:ascii="Courier New" w:hAnsi="Courier New" w:cs="Courier New" w:hint="default"/>
      </w:rPr>
    </w:lvl>
    <w:lvl w:ilvl="8" w:tplc="AE6621E8" w:tentative="1">
      <w:start w:val="1"/>
      <w:numFmt w:val="bullet"/>
      <w:lvlText w:val=""/>
      <w:lvlJc w:val="left"/>
      <w:pPr>
        <w:ind w:left="6517" w:hanging="360"/>
      </w:pPr>
      <w:rPr>
        <w:rFonts w:ascii="Wingdings" w:hAnsi="Wingdings" w:hint="default"/>
      </w:rPr>
    </w:lvl>
  </w:abstractNum>
  <w:abstractNum w:abstractNumId="625">
    <w:nsid w:val="7E5F4A47"/>
    <w:multiLevelType w:val="hybridMultilevel"/>
    <w:tmpl w:val="90AC98C6"/>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26">
    <w:nsid w:val="7E64F42B"/>
    <w:multiLevelType w:val="hybridMultilevel"/>
    <w:tmpl w:val="BC0D85C5"/>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27">
    <w:nsid w:val="7EBF42FC"/>
    <w:multiLevelType w:val="hybridMultilevel"/>
    <w:tmpl w:val="E4C0316C"/>
    <w:lvl w:ilvl="0" w:tplc="04090001">
      <w:start w:val="1"/>
      <w:numFmt w:val="bullet"/>
      <w:lvlText w:val=""/>
      <w:lvlJc w:val="left"/>
      <w:pPr>
        <w:ind w:left="758" w:hanging="360"/>
      </w:pPr>
      <w:rPr>
        <w:rFonts w:ascii="Symbol" w:hAnsi="Symbol" w:hint="default"/>
      </w:rPr>
    </w:lvl>
    <w:lvl w:ilvl="1" w:tplc="04090003" w:tentative="1">
      <w:start w:val="1"/>
      <w:numFmt w:val="bullet"/>
      <w:lvlText w:val="o"/>
      <w:lvlJc w:val="left"/>
      <w:pPr>
        <w:ind w:left="1478" w:hanging="360"/>
      </w:pPr>
      <w:rPr>
        <w:rFonts w:ascii="Courier New" w:hAnsi="Courier New" w:cs="Courier New" w:hint="default"/>
      </w:rPr>
    </w:lvl>
    <w:lvl w:ilvl="2" w:tplc="04090005" w:tentative="1">
      <w:start w:val="1"/>
      <w:numFmt w:val="bullet"/>
      <w:lvlText w:val=""/>
      <w:lvlJc w:val="left"/>
      <w:pPr>
        <w:ind w:left="2198" w:hanging="360"/>
      </w:pPr>
      <w:rPr>
        <w:rFonts w:ascii="Wingdings" w:hAnsi="Wingdings" w:hint="default"/>
      </w:rPr>
    </w:lvl>
    <w:lvl w:ilvl="3" w:tplc="04090001" w:tentative="1">
      <w:start w:val="1"/>
      <w:numFmt w:val="bullet"/>
      <w:lvlText w:val=""/>
      <w:lvlJc w:val="left"/>
      <w:pPr>
        <w:ind w:left="2918" w:hanging="360"/>
      </w:pPr>
      <w:rPr>
        <w:rFonts w:ascii="Symbol" w:hAnsi="Symbol" w:hint="default"/>
      </w:rPr>
    </w:lvl>
    <w:lvl w:ilvl="4" w:tplc="04090003" w:tentative="1">
      <w:start w:val="1"/>
      <w:numFmt w:val="bullet"/>
      <w:lvlText w:val="o"/>
      <w:lvlJc w:val="left"/>
      <w:pPr>
        <w:ind w:left="3638" w:hanging="360"/>
      </w:pPr>
      <w:rPr>
        <w:rFonts w:ascii="Courier New" w:hAnsi="Courier New" w:cs="Courier New" w:hint="default"/>
      </w:rPr>
    </w:lvl>
    <w:lvl w:ilvl="5" w:tplc="04090005" w:tentative="1">
      <w:start w:val="1"/>
      <w:numFmt w:val="bullet"/>
      <w:lvlText w:val=""/>
      <w:lvlJc w:val="left"/>
      <w:pPr>
        <w:ind w:left="4358" w:hanging="360"/>
      </w:pPr>
      <w:rPr>
        <w:rFonts w:ascii="Wingdings" w:hAnsi="Wingdings" w:hint="default"/>
      </w:rPr>
    </w:lvl>
    <w:lvl w:ilvl="6" w:tplc="04090001" w:tentative="1">
      <w:start w:val="1"/>
      <w:numFmt w:val="bullet"/>
      <w:lvlText w:val=""/>
      <w:lvlJc w:val="left"/>
      <w:pPr>
        <w:ind w:left="5078" w:hanging="360"/>
      </w:pPr>
      <w:rPr>
        <w:rFonts w:ascii="Symbol" w:hAnsi="Symbol" w:hint="default"/>
      </w:rPr>
    </w:lvl>
    <w:lvl w:ilvl="7" w:tplc="04090003" w:tentative="1">
      <w:start w:val="1"/>
      <w:numFmt w:val="bullet"/>
      <w:lvlText w:val="o"/>
      <w:lvlJc w:val="left"/>
      <w:pPr>
        <w:ind w:left="5798" w:hanging="360"/>
      </w:pPr>
      <w:rPr>
        <w:rFonts w:ascii="Courier New" w:hAnsi="Courier New" w:cs="Courier New" w:hint="default"/>
      </w:rPr>
    </w:lvl>
    <w:lvl w:ilvl="8" w:tplc="04090005" w:tentative="1">
      <w:start w:val="1"/>
      <w:numFmt w:val="bullet"/>
      <w:lvlText w:val=""/>
      <w:lvlJc w:val="left"/>
      <w:pPr>
        <w:ind w:left="6518" w:hanging="360"/>
      </w:pPr>
      <w:rPr>
        <w:rFonts w:ascii="Wingdings" w:hAnsi="Wingdings" w:hint="default"/>
      </w:rPr>
    </w:lvl>
  </w:abstractNum>
  <w:abstractNum w:abstractNumId="628">
    <w:nsid w:val="7ED15A95"/>
    <w:multiLevelType w:val="hybridMultilevel"/>
    <w:tmpl w:val="8D0A2D62"/>
    <w:lvl w:ilvl="0" w:tplc="71AAE9BC">
      <w:start w:val="1"/>
      <w:numFmt w:val="bullet"/>
      <w:lvlText w:val="•"/>
      <w:lvlJc w:val="left"/>
      <w:pPr>
        <w:tabs>
          <w:tab w:val="num" w:pos="720"/>
        </w:tabs>
        <w:ind w:left="720" w:hanging="360"/>
      </w:pPr>
      <w:rPr>
        <w:rFonts w:ascii="Arial" w:hAnsi="Arial" w:hint="default"/>
      </w:rPr>
    </w:lvl>
    <w:lvl w:ilvl="1" w:tplc="4F328E0E">
      <w:start w:val="3921"/>
      <w:numFmt w:val="bullet"/>
      <w:lvlText w:val="–"/>
      <w:lvlJc w:val="left"/>
      <w:pPr>
        <w:tabs>
          <w:tab w:val="num" w:pos="1440"/>
        </w:tabs>
        <w:ind w:left="1440" w:hanging="360"/>
      </w:pPr>
      <w:rPr>
        <w:rFonts w:ascii="Arial" w:hAnsi="Arial" w:hint="default"/>
      </w:rPr>
    </w:lvl>
    <w:lvl w:ilvl="2" w:tplc="12BAB482" w:tentative="1">
      <w:start w:val="1"/>
      <w:numFmt w:val="bullet"/>
      <w:lvlText w:val="•"/>
      <w:lvlJc w:val="left"/>
      <w:pPr>
        <w:tabs>
          <w:tab w:val="num" w:pos="2160"/>
        </w:tabs>
        <w:ind w:left="2160" w:hanging="360"/>
      </w:pPr>
      <w:rPr>
        <w:rFonts w:ascii="Arial" w:hAnsi="Arial" w:hint="default"/>
      </w:rPr>
    </w:lvl>
    <w:lvl w:ilvl="3" w:tplc="70CCDDE8" w:tentative="1">
      <w:start w:val="1"/>
      <w:numFmt w:val="bullet"/>
      <w:lvlText w:val="•"/>
      <w:lvlJc w:val="left"/>
      <w:pPr>
        <w:tabs>
          <w:tab w:val="num" w:pos="2880"/>
        </w:tabs>
        <w:ind w:left="2880" w:hanging="360"/>
      </w:pPr>
      <w:rPr>
        <w:rFonts w:ascii="Arial" w:hAnsi="Arial" w:hint="default"/>
      </w:rPr>
    </w:lvl>
    <w:lvl w:ilvl="4" w:tplc="8FDC8976" w:tentative="1">
      <w:start w:val="1"/>
      <w:numFmt w:val="bullet"/>
      <w:lvlText w:val="•"/>
      <w:lvlJc w:val="left"/>
      <w:pPr>
        <w:tabs>
          <w:tab w:val="num" w:pos="3600"/>
        </w:tabs>
        <w:ind w:left="3600" w:hanging="360"/>
      </w:pPr>
      <w:rPr>
        <w:rFonts w:ascii="Arial" w:hAnsi="Arial" w:hint="default"/>
      </w:rPr>
    </w:lvl>
    <w:lvl w:ilvl="5" w:tplc="ECBA452E" w:tentative="1">
      <w:start w:val="1"/>
      <w:numFmt w:val="bullet"/>
      <w:lvlText w:val="•"/>
      <w:lvlJc w:val="left"/>
      <w:pPr>
        <w:tabs>
          <w:tab w:val="num" w:pos="4320"/>
        </w:tabs>
        <w:ind w:left="4320" w:hanging="360"/>
      </w:pPr>
      <w:rPr>
        <w:rFonts w:ascii="Arial" w:hAnsi="Arial" w:hint="default"/>
      </w:rPr>
    </w:lvl>
    <w:lvl w:ilvl="6" w:tplc="52E482A2" w:tentative="1">
      <w:start w:val="1"/>
      <w:numFmt w:val="bullet"/>
      <w:lvlText w:val="•"/>
      <w:lvlJc w:val="left"/>
      <w:pPr>
        <w:tabs>
          <w:tab w:val="num" w:pos="5040"/>
        </w:tabs>
        <w:ind w:left="5040" w:hanging="360"/>
      </w:pPr>
      <w:rPr>
        <w:rFonts w:ascii="Arial" w:hAnsi="Arial" w:hint="default"/>
      </w:rPr>
    </w:lvl>
    <w:lvl w:ilvl="7" w:tplc="00B446EA" w:tentative="1">
      <w:start w:val="1"/>
      <w:numFmt w:val="bullet"/>
      <w:lvlText w:val="•"/>
      <w:lvlJc w:val="left"/>
      <w:pPr>
        <w:tabs>
          <w:tab w:val="num" w:pos="5760"/>
        </w:tabs>
        <w:ind w:left="5760" w:hanging="360"/>
      </w:pPr>
      <w:rPr>
        <w:rFonts w:ascii="Arial" w:hAnsi="Arial" w:hint="default"/>
      </w:rPr>
    </w:lvl>
    <w:lvl w:ilvl="8" w:tplc="106AF41A" w:tentative="1">
      <w:start w:val="1"/>
      <w:numFmt w:val="bullet"/>
      <w:lvlText w:val="•"/>
      <w:lvlJc w:val="left"/>
      <w:pPr>
        <w:tabs>
          <w:tab w:val="num" w:pos="6480"/>
        </w:tabs>
        <w:ind w:left="6480" w:hanging="360"/>
      </w:pPr>
      <w:rPr>
        <w:rFonts w:ascii="Arial" w:hAnsi="Arial" w:hint="default"/>
      </w:rPr>
    </w:lvl>
  </w:abstractNum>
  <w:abstractNum w:abstractNumId="629">
    <w:nsid w:val="7ED453DB"/>
    <w:multiLevelType w:val="hybridMultilevel"/>
    <w:tmpl w:val="9B4C52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0">
    <w:nsid w:val="7EFD061B"/>
    <w:multiLevelType w:val="hybridMultilevel"/>
    <w:tmpl w:val="7C2AE984"/>
    <w:lvl w:ilvl="0" w:tplc="04090001">
      <w:start w:val="1"/>
      <w:numFmt w:val="bullet"/>
      <w:lvlText w:val=""/>
      <w:lvlJc w:val="left"/>
      <w:pPr>
        <w:ind w:left="808" w:hanging="360"/>
      </w:pPr>
      <w:rPr>
        <w:rFonts w:ascii="Symbol" w:hAnsi="Symbol" w:hint="default"/>
      </w:rPr>
    </w:lvl>
    <w:lvl w:ilvl="1" w:tplc="04090003" w:tentative="1">
      <w:start w:val="1"/>
      <w:numFmt w:val="bullet"/>
      <w:lvlText w:val="o"/>
      <w:lvlJc w:val="left"/>
      <w:pPr>
        <w:ind w:left="1528" w:hanging="360"/>
      </w:pPr>
      <w:rPr>
        <w:rFonts w:ascii="Courier New" w:hAnsi="Courier New" w:cs="Courier New" w:hint="default"/>
      </w:rPr>
    </w:lvl>
    <w:lvl w:ilvl="2" w:tplc="04090005" w:tentative="1">
      <w:start w:val="1"/>
      <w:numFmt w:val="bullet"/>
      <w:lvlText w:val=""/>
      <w:lvlJc w:val="left"/>
      <w:pPr>
        <w:ind w:left="2248" w:hanging="360"/>
      </w:pPr>
      <w:rPr>
        <w:rFonts w:ascii="Wingdings" w:hAnsi="Wingdings" w:hint="default"/>
      </w:rPr>
    </w:lvl>
    <w:lvl w:ilvl="3" w:tplc="04090001" w:tentative="1">
      <w:start w:val="1"/>
      <w:numFmt w:val="bullet"/>
      <w:lvlText w:val=""/>
      <w:lvlJc w:val="left"/>
      <w:pPr>
        <w:ind w:left="2968" w:hanging="360"/>
      </w:pPr>
      <w:rPr>
        <w:rFonts w:ascii="Symbol" w:hAnsi="Symbol" w:hint="default"/>
      </w:rPr>
    </w:lvl>
    <w:lvl w:ilvl="4" w:tplc="04090003" w:tentative="1">
      <w:start w:val="1"/>
      <w:numFmt w:val="bullet"/>
      <w:lvlText w:val="o"/>
      <w:lvlJc w:val="left"/>
      <w:pPr>
        <w:ind w:left="3688" w:hanging="360"/>
      </w:pPr>
      <w:rPr>
        <w:rFonts w:ascii="Courier New" w:hAnsi="Courier New" w:cs="Courier New" w:hint="default"/>
      </w:rPr>
    </w:lvl>
    <w:lvl w:ilvl="5" w:tplc="04090005" w:tentative="1">
      <w:start w:val="1"/>
      <w:numFmt w:val="bullet"/>
      <w:lvlText w:val=""/>
      <w:lvlJc w:val="left"/>
      <w:pPr>
        <w:ind w:left="4408" w:hanging="360"/>
      </w:pPr>
      <w:rPr>
        <w:rFonts w:ascii="Wingdings" w:hAnsi="Wingdings" w:hint="default"/>
      </w:rPr>
    </w:lvl>
    <w:lvl w:ilvl="6" w:tplc="04090001" w:tentative="1">
      <w:start w:val="1"/>
      <w:numFmt w:val="bullet"/>
      <w:lvlText w:val=""/>
      <w:lvlJc w:val="left"/>
      <w:pPr>
        <w:ind w:left="5128" w:hanging="360"/>
      </w:pPr>
      <w:rPr>
        <w:rFonts w:ascii="Symbol" w:hAnsi="Symbol" w:hint="default"/>
      </w:rPr>
    </w:lvl>
    <w:lvl w:ilvl="7" w:tplc="04090003" w:tentative="1">
      <w:start w:val="1"/>
      <w:numFmt w:val="bullet"/>
      <w:lvlText w:val="o"/>
      <w:lvlJc w:val="left"/>
      <w:pPr>
        <w:ind w:left="5848" w:hanging="360"/>
      </w:pPr>
      <w:rPr>
        <w:rFonts w:ascii="Courier New" w:hAnsi="Courier New" w:cs="Courier New" w:hint="default"/>
      </w:rPr>
    </w:lvl>
    <w:lvl w:ilvl="8" w:tplc="04090005" w:tentative="1">
      <w:start w:val="1"/>
      <w:numFmt w:val="bullet"/>
      <w:lvlText w:val=""/>
      <w:lvlJc w:val="left"/>
      <w:pPr>
        <w:ind w:left="6568" w:hanging="360"/>
      </w:pPr>
      <w:rPr>
        <w:rFonts w:ascii="Wingdings" w:hAnsi="Wingdings" w:hint="default"/>
      </w:rPr>
    </w:lvl>
  </w:abstractNum>
  <w:abstractNum w:abstractNumId="631">
    <w:nsid w:val="7F023810"/>
    <w:multiLevelType w:val="hybridMultilevel"/>
    <w:tmpl w:val="DBE80B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2">
    <w:nsid w:val="7F5C3A69"/>
    <w:multiLevelType w:val="hybridMultilevel"/>
    <w:tmpl w:val="1A4656D0"/>
    <w:lvl w:ilvl="0" w:tplc="953E01DC">
      <w:start w:val="1"/>
      <w:numFmt w:val="bullet"/>
      <w:lvlText w:val=""/>
      <w:lvlJc w:val="left"/>
      <w:pPr>
        <w:ind w:left="720" w:hanging="360"/>
      </w:pPr>
      <w:rPr>
        <w:rFonts w:ascii="Symbol" w:hAnsi="Symbol" w:hint="default"/>
      </w:rPr>
    </w:lvl>
    <w:lvl w:ilvl="1" w:tplc="CB98FD84" w:tentative="1">
      <w:start w:val="1"/>
      <w:numFmt w:val="bullet"/>
      <w:lvlText w:val="o"/>
      <w:lvlJc w:val="left"/>
      <w:pPr>
        <w:ind w:left="1440" w:hanging="360"/>
      </w:pPr>
      <w:rPr>
        <w:rFonts w:ascii="Courier New" w:hAnsi="Courier New" w:cs="Courier New" w:hint="default"/>
      </w:rPr>
    </w:lvl>
    <w:lvl w:ilvl="2" w:tplc="7A56C49A" w:tentative="1">
      <w:start w:val="1"/>
      <w:numFmt w:val="bullet"/>
      <w:lvlText w:val=""/>
      <w:lvlJc w:val="left"/>
      <w:pPr>
        <w:ind w:left="2160" w:hanging="360"/>
      </w:pPr>
      <w:rPr>
        <w:rFonts w:ascii="Wingdings" w:hAnsi="Wingdings" w:hint="default"/>
      </w:rPr>
    </w:lvl>
    <w:lvl w:ilvl="3" w:tplc="C270B84A" w:tentative="1">
      <w:start w:val="1"/>
      <w:numFmt w:val="bullet"/>
      <w:lvlText w:val=""/>
      <w:lvlJc w:val="left"/>
      <w:pPr>
        <w:ind w:left="2880" w:hanging="360"/>
      </w:pPr>
      <w:rPr>
        <w:rFonts w:ascii="Symbol" w:hAnsi="Symbol" w:hint="default"/>
      </w:rPr>
    </w:lvl>
    <w:lvl w:ilvl="4" w:tplc="A71E9D06" w:tentative="1">
      <w:start w:val="1"/>
      <w:numFmt w:val="bullet"/>
      <w:lvlText w:val="o"/>
      <w:lvlJc w:val="left"/>
      <w:pPr>
        <w:ind w:left="3600" w:hanging="360"/>
      </w:pPr>
      <w:rPr>
        <w:rFonts w:ascii="Courier New" w:hAnsi="Courier New" w:cs="Courier New" w:hint="default"/>
      </w:rPr>
    </w:lvl>
    <w:lvl w:ilvl="5" w:tplc="6F021F16" w:tentative="1">
      <w:start w:val="1"/>
      <w:numFmt w:val="bullet"/>
      <w:lvlText w:val=""/>
      <w:lvlJc w:val="left"/>
      <w:pPr>
        <w:ind w:left="4320" w:hanging="360"/>
      </w:pPr>
      <w:rPr>
        <w:rFonts w:ascii="Wingdings" w:hAnsi="Wingdings" w:hint="default"/>
      </w:rPr>
    </w:lvl>
    <w:lvl w:ilvl="6" w:tplc="CE74CDB0" w:tentative="1">
      <w:start w:val="1"/>
      <w:numFmt w:val="bullet"/>
      <w:lvlText w:val=""/>
      <w:lvlJc w:val="left"/>
      <w:pPr>
        <w:ind w:left="5040" w:hanging="360"/>
      </w:pPr>
      <w:rPr>
        <w:rFonts w:ascii="Symbol" w:hAnsi="Symbol" w:hint="default"/>
      </w:rPr>
    </w:lvl>
    <w:lvl w:ilvl="7" w:tplc="501E0B20" w:tentative="1">
      <w:start w:val="1"/>
      <w:numFmt w:val="bullet"/>
      <w:lvlText w:val="o"/>
      <w:lvlJc w:val="left"/>
      <w:pPr>
        <w:ind w:left="5760" w:hanging="360"/>
      </w:pPr>
      <w:rPr>
        <w:rFonts w:ascii="Courier New" w:hAnsi="Courier New" w:cs="Courier New" w:hint="default"/>
      </w:rPr>
    </w:lvl>
    <w:lvl w:ilvl="8" w:tplc="1D1046C8" w:tentative="1">
      <w:start w:val="1"/>
      <w:numFmt w:val="bullet"/>
      <w:lvlText w:val=""/>
      <w:lvlJc w:val="left"/>
      <w:pPr>
        <w:ind w:left="6480" w:hanging="360"/>
      </w:pPr>
      <w:rPr>
        <w:rFonts w:ascii="Wingdings" w:hAnsi="Wingdings" w:hint="default"/>
      </w:rPr>
    </w:lvl>
  </w:abstractNum>
  <w:abstractNum w:abstractNumId="633">
    <w:nsid w:val="7F9268A2"/>
    <w:multiLevelType w:val="hybridMultilevel"/>
    <w:tmpl w:val="A7D4FF08"/>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34">
    <w:nsid w:val="7FD97483"/>
    <w:multiLevelType w:val="hybridMultilevel"/>
    <w:tmpl w:val="4E7E975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35">
    <w:nsid w:val="7FEF36EC"/>
    <w:multiLevelType w:val="hybridMultilevel"/>
    <w:tmpl w:val="8F6EDF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6">
    <w:nsid w:val="7FEF58DA"/>
    <w:multiLevelType w:val="hybridMultilevel"/>
    <w:tmpl w:val="FB4E6AA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495"/>
  </w:num>
  <w:num w:numId="2">
    <w:abstractNumId w:val="536"/>
  </w:num>
  <w:num w:numId="3">
    <w:abstractNumId w:val="481"/>
  </w:num>
  <w:num w:numId="4">
    <w:abstractNumId w:val="377"/>
  </w:num>
  <w:num w:numId="5">
    <w:abstractNumId w:val="398"/>
  </w:num>
  <w:num w:numId="6">
    <w:abstractNumId w:val="48"/>
  </w:num>
  <w:num w:numId="7">
    <w:abstractNumId w:val="73"/>
  </w:num>
  <w:num w:numId="8">
    <w:abstractNumId w:val="65"/>
  </w:num>
  <w:num w:numId="9">
    <w:abstractNumId w:val="21"/>
  </w:num>
  <w:num w:numId="10">
    <w:abstractNumId w:val="20"/>
  </w:num>
  <w:num w:numId="11">
    <w:abstractNumId w:val="19"/>
  </w:num>
  <w:num w:numId="12">
    <w:abstractNumId w:val="18"/>
  </w:num>
  <w:num w:numId="13">
    <w:abstractNumId w:val="22"/>
  </w:num>
  <w:num w:numId="14">
    <w:abstractNumId w:val="17"/>
  </w:num>
  <w:num w:numId="15">
    <w:abstractNumId w:val="16"/>
  </w:num>
  <w:num w:numId="16">
    <w:abstractNumId w:val="15"/>
  </w:num>
  <w:num w:numId="17">
    <w:abstractNumId w:val="14"/>
  </w:num>
  <w:num w:numId="18">
    <w:abstractNumId w:val="181"/>
  </w:num>
  <w:num w:numId="19">
    <w:abstractNumId w:val="63"/>
  </w:num>
  <w:num w:numId="20">
    <w:abstractNumId w:val="210"/>
  </w:num>
  <w:num w:numId="21">
    <w:abstractNumId w:val="176"/>
  </w:num>
  <w:num w:numId="22">
    <w:abstractNumId w:val="413"/>
  </w:num>
  <w:num w:numId="23">
    <w:abstractNumId w:val="361"/>
  </w:num>
  <w:num w:numId="24">
    <w:abstractNumId w:val="458"/>
  </w:num>
  <w:num w:numId="25">
    <w:abstractNumId w:val="163"/>
  </w:num>
  <w:num w:numId="26">
    <w:abstractNumId w:val="33"/>
  </w:num>
  <w:num w:numId="27">
    <w:abstractNumId w:val="166"/>
  </w:num>
  <w:num w:numId="28">
    <w:abstractNumId w:val="415"/>
  </w:num>
  <w:num w:numId="29">
    <w:abstractNumId w:val="435"/>
  </w:num>
  <w:num w:numId="30">
    <w:abstractNumId w:val="631"/>
  </w:num>
  <w:num w:numId="31">
    <w:abstractNumId w:val="629"/>
  </w:num>
  <w:num w:numId="32">
    <w:abstractNumId w:val="39"/>
  </w:num>
  <w:num w:numId="33">
    <w:abstractNumId w:val="594"/>
  </w:num>
  <w:num w:numId="34">
    <w:abstractNumId w:val="215"/>
  </w:num>
  <w:num w:numId="35">
    <w:abstractNumId w:val="238"/>
  </w:num>
  <w:num w:numId="36">
    <w:abstractNumId w:val="259"/>
  </w:num>
  <w:num w:numId="37">
    <w:abstractNumId w:val="399"/>
  </w:num>
  <w:num w:numId="38">
    <w:abstractNumId w:val="236"/>
  </w:num>
  <w:num w:numId="39">
    <w:abstractNumId w:val="257"/>
  </w:num>
  <w:num w:numId="40">
    <w:abstractNumId w:val="55"/>
  </w:num>
  <w:num w:numId="41">
    <w:abstractNumId w:val="174"/>
  </w:num>
  <w:num w:numId="42">
    <w:abstractNumId w:val="177"/>
  </w:num>
  <w:num w:numId="43">
    <w:abstractNumId w:val="494"/>
  </w:num>
  <w:num w:numId="44">
    <w:abstractNumId w:val="66"/>
  </w:num>
  <w:num w:numId="45">
    <w:abstractNumId w:val="442"/>
  </w:num>
  <w:num w:numId="46">
    <w:abstractNumId w:val="576"/>
  </w:num>
  <w:num w:numId="47">
    <w:abstractNumId w:val="49"/>
  </w:num>
  <w:num w:numId="48">
    <w:abstractNumId w:val="39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232"/>
  </w:num>
  <w:num w:numId="50">
    <w:abstractNumId w:val="298"/>
  </w:num>
  <w:num w:numId="51">
    <w:abstractNumId w:val="581"/>
  </w:num>
  <w:num w:numId="52">
    <w:abstractNumId w:val="277"/>
  </w:num>
  <w:num w:numId="53">
    <w:abstractNumId w:val="603"/>
  </w:num>
  <w:num w:numId="54">
    <w:abstractNumId w:val="153"/>
  </w:num>
  <w:num w:numId="55">
    <w:abstractNumId w:val="523"/>
  </w:num>
  <w:num w:numId="56">
    <w:abstractNumId w:val="280"/>
  </w:num>
  <w:num w:numId="57">
    <w:abstractNumId w:val="392"/>
  </w:num>
  <w:num w:numId="58">
    <w:abstractNumId w:val="154"/>
  </w:num>
  <w:num w:numId="59">
    <w:abstractNumId w:val="327"/>
  </w:num>
  <w:num w:numId="60">
    <w:abstractNumId w:val="490"/>
  </w:num>
  <w:num w:numId="61">
    <w:abstractNumId w:val="439"/>
  </w:num>
  <w:num w:numId="62">
    <w:abstractNumId w:val="95"/>
  </w:num>
  <w:num w:numId="63">
    <w:abstractNumId w:val="147"/>
  </w:num>
  <w:num w:numId="64">
    <w:abstractNumId w:val="254"/>
  </w:num>
  <w:num w:numId="65">
    <w:abstractNumId w:val="146"/>
  </w:num>
  <w:num w:numId="66">
    <w:abstractNumId w:val="191"/>
  </w:num>
  <w:num w:numId="67">
    <w:abstractNumId w:val="308"/>
  </w:num>
  <w:num w:numId="68">
    <w:abstractNumId w:val="169"/>
  </w:num>
  <w:num w:numId="69">
    <w:abstractNumId w:val="346"/>
  </w:num>
  <w:num w:numId="70">
    <w:abstractNumId w:val="487"/>
  </w:num>
  <w:num w:numId="71">
    <w:abstractNumId w:val="460"/>
  </w:num>
  <w:num w:numId="72">
    <w:abstractNumId w:val="47"/>
  </w:num>
  <w:num w:numId="73">
    <w:abstractNumId w:val="304"/>
  </w:num>
  <w:num w:numId="74">
    <w:abstractNumId w:val="416"/>
  </w:num>
  <w:num w:numId="75">
    <w:abstractNumId w:val="418"/>
  </w:num>
  <w:num w:numId="76">
    <w:abstractNumId w:val="4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307"/>
  </w:num>
  <w:num w:numId="78">
    <w:abstractNumId w:val="312"/>
  </w:num>
  <w:num w:numId="79">
    <w:abstractNumId w:val="448"/>
  </w:num>
  <w:num w:numId="80">
    <w:abstractNumId w:val="621"/>
  </w:num>
  <w:num w:numId="81">
    <w:abstractNumId w:val="564"/>
  </w:num>
  <w:num w:numId="82">
    <w:abstractNumId w:val="62"/>
  </w:num>
  <w:num w:numId="83">
    <w:abstractNumId w:val="407"/>
  </w:num>
  <w:num w:numId="84">
    <w:abstractNumId w:val="314"/>
  </w:num>
  <w:num w:numId="85">
    <w:abstractNumId w:val="575"/>
  </w:num>
  <w:num w:numId="86">
    <w:abstractNumId w:val="632"/>
  </w:num>
  <w:num w:numId="87">
    <w:abstractNumId w:val="540"/>
  </w:num>
  <w:num w:numId="88">
    <w:abstractNumId w:val="34"/>
  </w:num>
  <w:num w:numId="89">
    <w:abstractNumId w:val="451"/>
  </w:num>
  <w:num w:numId="90">
    <w:abstractNumId w:val="229"/>
  </w:num>
  <w:num w:numId="91">
    <w:abstractNumId w:val="203"/>
  </w:num>
  <w:num w:numId="92">
    <w:abstractNumId w:val="524"/>
  </w:num>
  <w:num w:numId="93">
    <w:abstractNumId w:val="44"/>
  </w:num>
  <w:num w:numId="94">
    <w:abstractNumId w:val="436"/>
  </w:num>
  <w:num w:numId="95">
    <w:abstractNumId w:val="528"/>
  </w:num>
  <w:num w:numId="96">
    <w:abstractNumId w:val="456"/>
  </w:num>
  <w:num w:numId="97">
    <w:abstractNumId w:val="500"/>
  </w:num>
  <w:num w:numId="98">
    <w:abstractNumId w:val="100"/>
  </w:num>
  <w:num w:numId="99">
    <w:abstractNumId w:val="519"/>
  </w:num>
  <w:num w:numId="100">
    <w:abstractNumId w:val="422"/>
  </w:num>
  <w:num w:numId="101">
    <w:abstractNumId w:val="128"/>
  </w:num>
  <w:num w:numId="102">
    <w:abstractNumId w:val="101"/>
  </w:num>
  <w:num w:numId="103">
    <w:abstractNumId w:val="133"/>
  </w:num>
  <w:num w:numId="104">
    <w:abstractNumId w:val="432"/>
  </w:num>
  <w:num w:numId="105">
    <w:abstractNumId w:val="446"/>
  </w:num>
  <w:num w:numId="106">
    <w:abstractNumId w:val="533"/>
  </w:num>
  <w:num w:numId="107">
    <w:abstractNumId w:val="263"/>
  </w:num>
  <w:num w:numId="108">
    <w:abstractNumId w:val="553"/>
  </w:num>
  <w:num w:numId="109">
    <w:abstractNumId w:val="606"/>
  </w:num>
  <w:num w:numId="110">
    <w:abstractNumId w:val="230"/>
  </w:num>
  <w:num w:numId="111">
    <w:abstractNumId w:val="90"/>
  </w:num>
  <w:num w:numId="112">
    <w:abstractNumId w:val="319"/>
  </w:num>
  <w:num w:numId="113">
    <w:abstractNumId w:val="358"/>
  </w:num>
  <w:num w:numId="114">
    <w:abstractNumId w:val="124"/>
  </w:num>
  <w:num w:numId="115">
    <w:abstractNumId w:val="397"/>
  </w:num>
  <w:num w:numId="116">
    <w:abstractNumId w:val="261"/>
  </w:num>
  <w:num w:numId="117">
    <w:abstractNumId w:val="119"/>
  </w:num>
  <w:num w:numId="118">
    <w:abstractNumId w:val="526"/>
  </w:num>
  <w:num w:numId="119">
    <w:abstractNumId w:val="223"/>
  </w:num>
  <w:num w:numId="120">
    <w:abstractNumId w:val="366"/>
  </w:num>
  <w:num w:numId="121">
    <w:abstractNumId w:val="573"/>
  </w:num>
  <w:num w:numId="122">
    <w:abstractNumId w:val="116"/>
  </w:num>
  <w:num w:numId="123">
    <w:abstractNumId w:val="544"/>
  </w:num>
  <w:num w:numId="124">
    <w:abstractNumId w:val="430"/>
  </w:num>
  <w:num w:numId="125">
    <w:abstractNumId w:val="103"/>
  </w:num>
  <w:num w:numId="126">
    <w:abstractNumId w:val="331"/>
  </w:num>
  <w:num w:numId="127">
    <w:abstractNumId w:val="437"/>
  </w:num>
  <w:num w:numId="128">
    <w:abstractNumId w:val="285"/>
  </w:num>
  <w:num w:numId="129">
    <w:abstractNumId w:val="404"/>
  </w:num>
  <w:num w:numId="130">
    <w:abstractNumId w:val="608"/>
  </w:num>
  <w:num w:numId="131">
    <w:abstractNumId w:val="618"/>
  </w:num>
  <w:num w:numId="132">
    <w:abstractNumId w:val="582"/>
  </w:num>
  <w:num w:numId="133">
    <w:abstractNumId w:val="636"/>
  </w:num>
  <w:num w:numId="134">
    <w:abstractNumId w:val="255"/>
  </w:num>
  <w:num w:numId="135">
    <w:abstractNumId w:val="352"/>
  </w:num>
  <w:num w:numId="136">
    <w:abstractNumId w:val="356"/>
  </w:num>
  <w:num w:numId="137">
    <w:abstractNumId w:val="216"/>
  </w:num>
  <w:num w:numId="138">
    <w:abstractNumId w:val="99"/>
  </w:num>
  <w:num w:numId="139">
    <w:abstractNumId w:val="343"/>
  </w:num>
  <w:num w:numId="140">
    <w:abstractNumId w:val="190"/>
  </w:num>
  <w:num w:numId="141">
    <w:abstractNumId w:val="482"/>
  </w:num>
  <w:num w:numId="142">
    <w:abstractNumId w:val="467"/>
  </w:num>
  <w:num w:numId="143">
    <w:abstractNumId w:val="510"/>
  </w:num>
  <w:num w:numId="144">
    <w:abstractNumId w:val="5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5">
    <w:abstractNumId w:val="5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6">
    <w:abstractNumId w:val="5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7">
    <w:abstractNumId w:val="5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8">
    <w:abstractNumId w:val="5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9">
    <w:abstractNumId w:val="5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0">
    <w:abstractNumId w:val="5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1">
    <w:abstractNumId w:val="5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2">
    <w:abstractNumId w:val="5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3">
    <w:abstractNumId w:val="5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4">
    <w:abstractNumId w:val="5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5">
    <w:abstractNumId w:val="5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6">
    <w:abstractNumId w:val="5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7">
    <w:abstractNumId w:val="5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8">
    <w:abstractNumId w:val="5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9">
    <w:abstractNumId w:val="5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0">
    <w:abstractNumId w:val="5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1">
    <w:abstractNumId w:val="5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2">
    <w:abstractNumId w:val="5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3">
    <w:abstractNumId w:val="5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4">
    <w:abstractNumId w:val="5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5">
    <w:abstractNumId w:val="5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6">
    <w:abstractNumId w:val="5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7">
    <w:abstractNumId w:val="5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8">
    <w:abstractNumId w:val="5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9">
    <w:abstractNumId w:val="5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0">
    <w:abstractNumId w:val="5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1">
    <w:abstractNumId w:val="5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2">
    <w:abstractNumId w:val="5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3">
    <w:abstractNumId w:val="5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4">
    <w:abstractNumId w:val="5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5">
    <w:abstractNumId w:val="5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6">
    <w:abstractNumId w:val="5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7">
    <w:abstractNumId w:val="5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8">
    <w:abstractNumId w:val="5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9">
    <w:abstractNumId w:val="5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0">
    <w:abstractNumId w:val="5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1">
    <w:abstractNumId w:val="468"/>
  </w:num>
  <w:num w:numId="182">
    <w:abstractNumId w:val="379"/>
  </w:num>
  <w:num w:numId="183">
    <w:abstractNumId w:val="374"/>
  </w:num>
  <w:num w:numId="184">
    <w:abstractNumId w:val="83"/>
  </w:num>
  <w:num w:numId="185">
    <w:abstractNumId w:val="18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6">
    <w:abstractNumId w:val="237"/>
  </w:num>
  <w:num w:numId="187">
    <w:abstractNumId w:val="401"/>
  </w:num>
  <w:num w:numId="188">
    <w:abstractNumId w:val="193"/>
  </w:num>
  <w:num w:numId="189">
    <w:abstractNumId w:val="470"/>
  </w:num>
  <w:num w:numId="190">
    <w:abstractNumId w:val="135"/>
  </w:num>
  <w:num w:numId="191">
    <w:abstractNumId w:val="279"/>
  </w:num>
  <w:num w:numId="192">
    <w:abstractNumId w:val="214"/>
  </w:num>
  <w:num w:numId="193">
    <w:abstractNumId w:val="521"/>
  </w:num>
  <w:num w:numId="194">
    <w:abstractNumId w:val="292"/>
  </w:num>
  <w:num w:numId="195">
    <w:abstractNumId w:val="224"/>
  </w:num>
  <w:num w:numId="196">
    <w:abstractNumId w:val="444"/>
  </w:num>
  <w:num w:numId="197">
    <w:abstractNumId w:val="591"/>
  </w:num>
  <w:num w:numId="198">
    <w:abstractNumId w:val="59"/>
  </w:num>
  <w:num w:numId="199">
    <w:abstractNumId w:val="512"/>
  </w:num>
  <w:num w:numId="200">
    <w:abstractNumId w:val="624"/>
  </w:num>
  <w:num w:numId="201">
    <w:abstractNumId w:val="183"/>
  </w:num>
  <w:num w:numId="202">
    <w:abstractNumId w:val="516"/>
  </w:num>
  <w:num w:numId="203">
    <w:abstractNumId w:val="550"/>
  </w:num>
  <w:num w:numId="204">
    <w:abstractNumId w:val="306"/>
  </w:num>
  <w:num w:numId="205">
    <w:abstractNumId w:val="51"/>
  </w:num>
  <w:num w:numId="206">
    <w:abstractNumId w:val="443"/>
  </w:num>
  <w:num w:numId="207">
    <w:abstractNumId w:val="462"/>
  </w:num>
  <w:num w:numId="208">
    <w:abstractNumId w:val="414"/>
  </w:num>
  <w:num w:numId="209">
    <w:abstractNumId w:val="370"/>
  </w:num>
  <w:num w:numId="210">
    <w:abstractNumId w:val="85"/>
  </w:num>
  <w:num w:numId="211">
    <w:abstractNumId w:val="530"/>
  </w:num>
  <w:num w:numId="212">
    <w:abstractNumId w:val="108"/>
  </w:num>
  <w:num w:numId="213">
    <w:abstractNumId w:val="560"/>
  </w:num>
  <w:num w:numId="214">
    <w:abstractNumId w:val="79"/>
  </w:num>
  <w:num w:numId="215">
    <w:abstractNumId w:val="291"/>
  </w:num>
  <w:num w:numId="216">
    <w:abstractNumId w:val="505"/>
  </w:num>
  <w:num w:numId="217">
    <w:abstractNumId w:val="614"/>
  </w:num>
  <w:num w:numId="218">
    <w:abstractNumId w:val="337"/>
  </w:num>
  <w:num w:numId="219">
    <w:abstractNumId w:val="60"/>
  </w:num>
  <w:num w:numId="220">
    <w:abstractNumId w:val="535"/>
  </w:num>
  <w:num w:numId="221">
    <w:abstractNumId w:val="317"/>
  </w:num>
  <w:num w:numId="222">
    <w:abstractNumId w:val="438"/>
  </w:num>
  <w:num w:numId="223">
    <w:abstractNumId w:val="565"/>
  </w:num>
  <w:num w:numId="224">
    <w:abstractNumId w:val="595"/>
  </w:num>
  <w:num w:numId="225">
    <w:abstractNumId w:val="120"/>
  </w:num>
  <w:num w:numId="226">
    <w:abstractNumId w:val="612"/>
  </w:num>
  <w:num w:numId="227">
    <w:abstractNumId w:val="24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8">
    <w:abstractNumId w:val="42"/>
  </w:num>
  <w:num w:numId="229">
    <w:abstractNumId w:val="333"/>
  </w:num>
  <w:num w:numId="230">
    <w:abstractNumId w:val="601"/>
  </w:num>
  <w:num w:numId="231">
    <w:abstractNumId w:val="616"/>
  </w:num>
  <w:num w:numId="232">
    <w:abstractNumId w:val="335"/>
  </w:num>
  <w:num w:numId="233">
    <w:abstractNumId w:val="249"/>
  </w:num>
  <w:num w:numId="234">
    <w:abstractNumId w:val="572"/>
  </w:num>
  <w:num w:numId="235">
    <w:abstractNumId w:val="448"/>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6">
    <w:abstractNumId w:val="64"/>
  </w:num>
  <w:num w:numId="237">
    <w:abstractNumId w:val="320"/>
  </w:num>
  <w:num w:numId="238">
    <w:abstractNumId w:val="543"/>
  </w:num>
  <w:num w:numId="239">
    <w:abstractNumId w:val="107"/>
  </w:num>
  <w:num w:numId="240">
    <w:abstractNumId w:val="563"/>
  </w:num>
  <w:num w:numId="241">
    <w:abstractNumId w:val="479"/>
  </w:num>
  <w:num w:numId="242">
    <w:abstractNumId w:val="593"/>
  </w:num>
  <w:num w:numId="243">
    <w:abstractNumId w:val="171"/>
  </w:num>
  <w:num w:numId="244">
    <w:abstractNumId w:val="338"/>
  </w:num>
  <w:num w:numId="245">
    <w:abstractNumId w:val="198"/>
  </w:num>
  <w:num w:numId="246">
    <w:abstractNumId w:val="578"/>
  </w:num>
  <w:num w:numId="247">
    <w:abstractNumId w:val="70"/>
  </w:num>
  <w:num w:numId="248">
    <w:abstractNumId w:val="180"/>
  </w:num>
  <w:num w:numId="249">
    <w:abstractNumId w:val="634"/>
  </w:num>
  <w:num w:numId="250">
    <w:abstractNumId w:val="30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1">
    <w:abstractNumId w:val="30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2">
    <w:abstractNumId w:val="389"/>
  </w:num>
  <w:num w:numId="253">
    <w:abstractNumId w:val="513"/>
  </w:num>
  <w:num w:numId="254">
    <w:abstractNumId w:val="499"/>
  </w:num>
  <w:num w:numId="255">
    <w:abstractNumId w:val="30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6">
    <w:abstractNumId w:val="212"/>
  </w:num>
  <w:num w:numId="257">
    <w:abstractNumId w:val="159"/>
  </w:num>
  <w:num w:numId="258">
    <w:abstractNumId w:val="622"/>
  </w:num>
  <w:num w:numId="259">
    <w:abstractNumId w:val="6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0">
    <w:abstractNumId w:val="6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1">
    <w:abstractNumId w:val="6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2">
    <w:abstractNumId w:val="6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3">
    <w:abstractNumId w:val="6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4">
    <w:abstractNumId w:val="6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5">
    <w:abstractNumId w:val="386"/>
  </w:num>
  <w:num w:numId="266">
    <w:abstractNumId w:val="405"/>
  </w:num>
  <w:num w:numId="267">
    <w:abstractNumId w:val="345"/>
  </w:num>
  <w:num w:numId="268">
    <w:abstractNumId w:val="498"/>
  </w:num>
  <w:num w:numId="269">
    <w:abstractNumId w:val="328"/>
  </w:num>
  <w:num w:numId="270">
    <w:abstractNumId w:val="67"/>
  </w:num>
  <w:num w:numId="271">
    <w:abstractNumId w:val="37"/>
  </w:num>
  <w:num w:numId="272">
    <w:abstractNumId w:val="222"/>
  </w:num>
  <w:num w:numId="273">
    <w:abstractNumId w:val="219"/>
  </w:num>
  <w:num w:numId="274">
    <w:abstractNumId w:val="457"/>
  </w:num>
  <w:num w:numId="275">
    <w:abstractNumId w:val="23"/>
  </w:num>
  <w:num w:numId="276">
    <w:abstractNumId w:val="590"/>
  </w:num>
  <w:num w:numId="277">
    <w:abstractNumId w:val="234"/>
  </w:num>
  <w:num w:numId="278">
    <w:abstractNumId w:val="227"/>
  </w:num>
  <w:num w:numId="279">
    <w:abstractNumId w:val="226"/>
  </w:num>
  <w:num w:numId="280">
    <w:abstractNumId w:val="175"/>
  </w:num>
  <w:num w:numId="281">
    <w:abstractNumId w:val="394"/>
  </w:num>
  <w:num w:numId="282">
    <w:abstractNumId w:val="272"/>
  </w:num>
  <w:num w:numId="283">
    <w:abstractNumId w:val="312"/>
    <w:lvlOverride w:ilvl="0">
      <w:startOverride w:val="3"/>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4">
    <w:abstractNumId w:val="474"/>
  </w:num>
  <w:num w:numId="285">
    <w:abstractNumId w:val="423"/>
  </w:num>
  <w:num w:numId="286">
    <w:abstractNumId w:val="472"/>
  </w:num>
  <w:num w:numId="287">
    <w:abstractNumId w:val="23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8">
    <w:abstractNumId w:val="57"/>
  </w:num>
  <w:num w:numId="289">
    <w:abstractNumId w:val="473"/>
  </w:num>
  <w:num w:numId="290">
    <w:abstractNumId w:val="111"/>
  </w:num>
  <w:num w:numId="291">
    <w:abstractNumId w:val="56"/>
  </w:num>
  <w:num w:numId="292">
    <w:abstractNumId w:val="201"/>
  </w:num>
  <w:num w:numId="293">
    <w:abstractNumId w:val="607"/>
  </w:num>
  <w:num w:numId="294">
    <w:abstractNumId w:val="94"/>
  </w:num>
  <w:num w:numId="295">
    <w:abstractNumId w:val="41"/>
  </w:num>
  <w:num w:numId="296">
    <w:abstractNumId w:val="217"/>
  </w:num>
  <w:num w:numId="297">
    <w:abstractNumId w:val="322"/>
  </w:num>
  <w:num w:numId="298">
    <w:abstractNumId w:val="162"/>
  </w:num>
  <w:num w:numId="299">
    <w:abstractNumId w:val="360"/>
  </w:num>
  <w:num w:numId="300">
    <w:abstractNumId w:val="27"/>
  </w:num>
  <w:num w:numId="301">
    <w:abstractNumId w:val="355"/>
  </w:num>
  <w:num w:numId="302">
    <w:abstractNumId w:val="114"/>
  </w:num>
  <w:num w:numId="303">
    <w:abstractNumId w:val="150"/>
  </w:num>
  <w:num w:numId="304">
    <w:abstractNumId w:val="598"/>
  </w:num>
  <w:num w:numId="305">
    <w:abstractNumId w:val="244"/>
  </w:num>
  <w:num w:numId="306">
    <w:abstractNumId w:val="515"/>
  </w:num>
  <w:num w:numId="307">
    <w:abstractNumId w:val="545"/>
  </w:num>
  <w:num w:numId="308">
    <w:abstractNumId w:val="110"/>
  </w:num>
  <w:num w:numId="309">
    <w:abstractNumId w:val="496"/>
  </w:num>
  <w:num w:numId="310">
    <w:abstractNumId w:val="349"/>
  </w:num>
  <w:num w:numId="311">
    <w:abstractNumId w:val="611"/>
  </w:num>
  <w:num w:numId="312">
    <w:abstractNumId w:val="507"/>
  </w:num>
  <w:num w:numId="313">
    <w:abstractNumId w:val="28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4">
    <w:abstractNumId w:val="469"/>
  </w:num>
  <w:num w:numId="315">
    <w:abstractNumId w:val="145"/>
  </w:num>
  <w:num w:numId="316">
    <w:abstractNumId w:val="235"/>
  </w:num>
  <w:num w:numId="317">
    <w:abstractNumId w:val="599"/>
  </w:num>
  <w:num w:numId="318">
    <w:abstractNumId w:val="509"/>
  </w:num>
  <w:num w:numId="319">
    <w:abstractNumId w:val="332"/>
  </w:num>
  <w:num w:numId="320">
    <w:abstractNumId w:val="38"/>
  </w:num>
  <w:num w:numId="321">
    <w:abstractNumId w:val="555"/>
  </w:num>
  <w:num w:numId="322">
    <w:abstractNumId w:val="378"/>
  </w:num>
  <w:num w:numId="323">
    <w:abstractNumId w:val="31"/>
  </w:num>
  <w:num w:numId="324">
    <w:abstractNumId w:val="383"/>
  </w:num>
  <w:num w:numId="325">
    <w:abstractNumId w:val="350"/>
  </w:num>
  <w:num w:numId="326">
    <w:abstractNumId w:val="586"/>
  </w:num>
  <w:num w:numId="327">
    <w:abstractNumId w:val="310"/>
  </w:num>
  <w:num w:numId="328">
    <w:abstractNumId w:val="118"/>
  </w:num>
  <w:num w:numId="329">
    <w:abstractNumId w:val="483"/>
  </w:num>
  <w:num w:numId="330">
    <w:abstractNumId w:val="202"/>
  </w:num>
  <w:num w:numId="331">
    <w:abstractNumId w:val="189"/>
  </w:num>
  <w:num w:numId="332">
    <w:abstractNumId w:val="541"/>
  </w:num>
  <w:num w:numId="333">
    <w:abstractNumId w:val="282"/>
  </w:num>
  <w:num w:numId="334">
    <w:abstractNumId w:val="371"/>
  </w:num>
  <w:num w:numId="335">
    <w:abstractNumId w:val="556"/>
  </w:num>
  <w:num w:numId="336">
    <w:abstractNumId w:val="410"/>
  </w:num>
  <w:num w:numId="337">
    <w:abstractNumId w:val="170"/>
  </w:num>
  <w:num w:numId="338">
    <w:abstractNumId w:val="205"/>
  </w:num>
  <w:num w:numId="339">
    <w:abstractNumId w:val="206"/>
  </w:num>
  <w:num w:numId="340">
    <w:abstractNumId w:val="76"/>
  </w:num>
  <w:num w:numId="341">
    <w:abstractNumId w:val="597"/>
  </w:num>
  <w:num w:numId="342">
    <w:abstractNumId w:val="293"/>
  </w:num>
  <w:num w:numId="343">
    <w:abstractNumId w:val="221"/>
  </w:num>
  <w:num w:numId="344">
    <w:abstractNumId w:val="269"/>
  </w:num>
  <w:num w:numId="345">
    <w:abstractNumId w:val="245"/>
  </w:num>
  <w:num w:numId="346">
    <w:abstractNumId w:val="86"/>
  </w:num>
  <w:num w:numId="347">
    <w:abstractNumId w:val="125"/>
  </w:num>
  <w:num w:numId="348">
    <w:abstractNumId w:val="466"/>
  </w:num>
  <w:num w:numId="349">
    <w:abstractNumId w:val="403"/>
  </w:num>
  <w:num w:numId="350">
    <w:abstractNumId w:val="447"/>
  </w:num>
  <w:num w:numId="351">
    <w:abstractNumId w:val="252"/>
  </w:num>
  <w:num w:numId="352">
    <w:abstractNumId w:val="503"/>
  </w:num>
  <w:num w:numId="353">
    <w:abstractNumId w:val="241"/>
  </w:num>
  <w:num w:numId="354">
    <w:abstractNumId w:val="121"/>
  </w:num>
  <w:num w:numId="355">
    <w:abstractNumId w:val="213"/>
  </w:num>
  <w:num w:numId="356">
    <w:abstractNumId w:val="117"/>
  </w:num>
  <w:num w:numId="357">
    <w:abstractNumId w:val="402"/>
  </w:num>
  <w:num w:numId="358">
    <w:abstractNumId w:val="517"/>
  </w:num>
  <w:num w:numId="359">
    <w:abstractNumId w:val="82"/>
  </w:num>
  <w:num w:numId="360">
    <w:abstractNumId w:val="294"/>
  </w:num>
  <w:num w:numId="361">
    <w:abstractNumId w:val="633"/>
  </w:num>
  <w:num w:numId="362">
    <w:abstractNumId w:val="71"/>
  </w:num>
  <w:num w:numId="363">
    <w:abstractNumId w:val="98"/>
  </w:num>
  <w:num w:numId="364">
    <w:abstractNumId w:val="384"/>
  </w:num>
  <w:num w:numId="365">
    <w:abstractNumId w:val="396"/>
  </w:num>
  <w:num w:numId="366">
    <w:abstractNumId w:val="218"/>
  </w:num>
  <w:num w:numId="367">
    <w:abstractNumId w:val="178"/>
  </w:num>
  <w:num w:numId="368">
    <w:abstractNumId w:val="77"/>
  </w:num>
  <w:num w:numId="369">
    <w:abstractNumId w:val="324"/>
  </w:num>
  <w:num w:numId="370">
    <w:abstractNumId w:val="46"/>
  </w:num>
  <w:num w:numId="371">
    <w:abstractNumId w:val="275"/>
  </w:num>
  <w:num w:numId="372">
    <w:abstractNumId w:val="186"/>
  </w:num>
  <w:num w:numId="373">
    <w:abstractNumId w:val="131"/>
  </w:num>
  <w:num w:numId="374">
    <w:abstractNumId w:val="531"/>
  </w:num>
  <w:num w:numId="375">
    <w:abstractNumId w:val="619"/>
  </w:num>
  <w:num w:numId="376">
    <w:abstractNumId w:val="258"/>
  </w:num>
  <w:num w:numId="377">
    <w:abstractNumId w:val="152"/>
  </w:num>
  <w:num w:numId="378">
    <w:abstractNumId w:val="289"/>
  </w:num>
  <w:num w:numId="379">
    <w:abstractNumId w:val="115"/>
  </w:num>
  <w:num w:numId="380">
    <w:abstractNumId w:val="123"/>
  </w:num>
  <w:num w:numId="381">
    <w:abstractNumId w:val="246"/>
  </w:num>
  <w:num w:numId="382">
    <w:abstractNumId w:val="620"/>
  </w:num>
  <w:num w:numId="383">
    <w:abstractNumId w:val="527"/>
  </w:num>
  <w:num w:numId="384">
    <w:abstractNumId w:val="453"/>
  </w:num>
  <w:num w:numId="385">
    <w:abstractNumId w:val="385"/>
  </w:num>
  <w:num w:numId="386">
    <w:abstractNumId w:val="580"/>
  </w:num>
  <w:num w:numId="387">
    <w:abstractNumId w:val="363"/>
  </w:num>
  <w:num w:numId="388">
    <w:abstractNumId w:val="372"/>
  </w:num>
  <w:num w:numId="389">
    <w:abstractNumId w:val="367"/>
  </w:num>
  <w:num w:numId="390">
    <w:abstractNumId w:val="566"/>
  </w:num>
  <w:num w:numId="391">
    <w:abstractNumId w:val="551"/>
  </w:num>
  <w:num w:numId="392">
    <w:abstractNumId w:val="329"/>
  </w:num>
  <w:num w:numId="393">
    <w:abstractNumId w:val="340"/>
  </w:num>
  <w:num w:numId="394">
    <w:abstractNumId w:val="497"/>
  </w:num>
  <w:num w:numId="395">
    <w:abstractNumId w:val="109"/>
  </w:num>
  <w:num w:numId="396">
    <w:abstractNumId w:val="157"/>
  </w:num>
  <w:num w:numId="397">
    <w:abstractNumId w:val="610"/>
  </w:num>
  <w:num w:numId="398">
    <w:abstractNumId w:val="465"/>
  </w:num>
  <w:num w:numId="399">
    <w:abstractNumId w:val="155"/>
  </w:num>
  <w:num w:numId="400">
    <w:abstractNumId w:val="480"/>
  </w:num>
  <w:num w:numId="401">
    <w:abstractNumId w:val="548"/>
  </w:num>
  <w:num w:numId="402">
    <w:abstractNumId w:val="151"/>
  </w:num>
  <w:num w:numId="403">
    <w:abstractNumId w:val="303"/>
  </w:num>
  <w:num w:numId="404">
    <w:abstractNumId w:val="588"/>
  </w:num>
  <w:num w:numId="405">
    <w:abstractNumId w:val="362"/>
  </w:num>
  <w:num w:numId="406">
    <w:abstractNumId w:val="534"/>
  </w:num>
  <w:num w:numId="407">
    <w:abstractNumId w:val="199"/>
  </w:num>
  <w:num w:numId="408">
    <w:abstractNumId w:val="182"/>
  </w:num>
  <w:num w:numId="409">
    <w:abstractNumId w:val="301"/>
  </w:num>
  <w:num w:numId="410">
    <w:abstractNumId w:val="54"/>
  </w:num>
  <w:num w:numId="411">
    <w:abstractNumId w:val="288"/>
  </w:num>
  <w:num w:numId="412">
    <w:abstractNumId w:val="542"/>
  </w:num>
  <w:num w:numId="413">
    <w:abstractNumId w:val="88"/>
  </w:num>
  <w:num w:numId="414">
    <w:abstractNumId w:val="208"/>
  </w:num>
  <w:num w:numId="415">
    <w:abstractNumId w:val="192"/>
  </w:num>
  <w:num w:numId="416">
    <w:abstractNumId w:val="284"/>
  </w:num>
  <w:num w:numId="417">
    <w:abstractNumId w:val="96"/>
  </w:num>
  <w:num w:numId="418">
    <w:abstractNumId w:val="69"/>
  </w:num>
  <w:num w:numId="419">
    <w:abstractNumId w:val="393"/>
  </w:num>
  <w:num w:numId="420">
    <w:abstractNumId w:val="475"/>
  </w:num>
  <w:num w:numId="421">
    <w:abstractNumId w:val="141"/>
  </w:num>
  <w:num w:numId="422">
    <w:abstractNumId w:val="463"/>
  </w:num>
  <w:num w:numId="423">
    <w:abstractNumId w:val="546"/>
  </w:num>
  <w:num w:numId="424">
    <w:abstractNumId w:val="287"/>
  </w:num>
  <w:num w:numId="425">
    <w:abstractNumId w:val="36"/>
  </w:num>
  <w:num w:numId="426">
    <w:abstractNumId w:val="538"/>
  </w:num>
  <w:num w:numId="427">
    <w:abstractNumId w:val="589"/>
  </w:num>
  <w:num w:numId="428">
    <w:abstractNumId w:val="380"/>
  </w:num>
  <w:num w:numId="429">
    <w:abstractNumId w:val="365"/>
  </w:num>
  <w:num w:numId="430">
    <w:abstractNumId w:val="58"/>
  </w:num>
  <w:num w:numId="431">
    <w:abstractNumId w:val="132"/>
  </w:num>
  <w:num w:numId="432">
    <w:abstractNumId w:val="615"/>
  </w:num>
  <w:num w:numId="433">
    <w:abstractNumId w:val="164"/>
  </w:num>
  <w:num w:numId="434">
    <w:abstractNumId w:val="143"/>
  </w:num>
  <w:num w:numId="435">
    <w:abstractNumId w:val="271"/>
  </w:num>
  <w:num w:numId="436">
    <w:abstractNumId w:val="387"/>
  </w:num>
  <w:num w:numId="437">
    <w:abstractNumId w:val="168"/>
  </w:num>
  <w:num w:numId="438">
    <w:abstractNumId w:val="25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9">
    <w:abstractNumId w:val="357"/>
  </w:num>
  <w:num w:numId="440">
    <w:abstractNumId w:val="455"/>
  </w:num>
  <w:num w:numId="441">
    <w:abstractNumId w:val="491"/>
  </w:num>
  <w:num w:numId="442">
    <w:abstractNumId w:val="112"/>
  </w:num>
  <w:num w:numId="443">
    <w:abstractNumId w:val="276"/>
  </w:num>
  <w:num w:numId="444">
    <w:abstractNumId w:val="138"/>
  </w:num>
  <w:num w:numId="445">
    <w:abstractNumId w:val="411"/>
  </w:num>
  <w:num w:numId="446">
    <w:abstractNumId w:val="26"/>
  </w:num>
  <w:num w:numId="447">
    <w:abstractNumId w:val="391"/>
  </w:num>
  <w:num w:numId="448">
    <w:abstractNumId w:val="429"/>
  </w:num>
  <w:num w:numId="449">
    <w:abstractNumId w:val="635"/>
  </w:num>
  <w:num w:numId="450">
    <w:abstractNumId w:val="239"/>
  </w:num>
  <w:num w:numId="451">
    <w:abstractNumId w:val="488"/>
  </w:num>
  <w:num w:numId="452">
    <w:abstractNumId w:val="532"/>
  </w:num>
  <w:num w:numId="453">
    <w:abstractNumId w:val="179"/>
  </w:num>
  <w:num w:numId="454">
    <w:abstractNumId w:val="68"/>
  </w:num>
  <w:num w:numId="455">
    <w:abstractNumId w:val="518"/>
  </w:num>
  <w:num w:numId="456">
    <w:abstractNumId w:val="266"/>
  </w:num>
  <w:num w:numId="457">
    <w:abstractNumId w:val="264"/>
  </w:num>
  <w:num w:numId="458">
    <w:abstractNumId w:val="286"/>
  </w:num>
  <w:num w:numId="459">
    <w:abstractNumId w:val="28"/>
  </w:num>
  <w:num w:numId="460">
    <w:abstractNumId w:val="265"/>
  </w:num>
  <w:num w:numId="461">
    <w:abstractNumId w:val="375"/>
  </w:num>
  <w:num w:numId="462">
    <w:abstractNumId w:val="570"/>
  </w:num>
  <w:num w:numId="463">
    <w:abstractNumId w:val="406"/>
  </w:num>
  <w:num w:numId="464">
    <w:abstractNumId w:val="172"/>
  </w:num>
  <w:num w:numId="465">
    <w:abstractNumId w:val="525"/>
  </w:num>
  <w:num w:numId="466">
    <w:abstractNumId w:val="369"/>
  </w:num>
  <w:num w:numId="467">
    <w:abstractNumId w:val="296"/>
  </w:num>
  <w:num w:numId="468">
    <w:abstractNumId w:val="461"/>
  </w:num>
  <w:num w:numId="469">
    <w:abstractNumId w:val="39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0">
    <w:abstractNumId w:val="561"/>
  </w:num>
  <w:num w:numId="471">
    <w:abstractNumId w:val="484"/>
  </w:num>
  <w:num w:numId="472">
    <w:abstractNumId w:val="388"/>
  </w:num>
  <w:num w:numId="473">
    <w:abstractNumId w:val="574"/>
  </w:num>
  <w:num w:numId="474">
    <w:abstractNumId w:val="24"/>
  </w:num>
  <w:num w:numId="475">
    <w:abstractNumId w:val="325"/>
  </w:num>
  <w:num w:numId="476">
    <w:abstractNumId w:val="148"/>
  </w:num>
  <w:num w:numId="477">
    <w:abstractNumId w:val="156"/>
  </w:num>
  <w:num w:numId="478">
    <w:abstractNumId w:val="627"/>
  </w:num>
  <w:num w:numId="479">
    <w:abstractNumId w:val="571"/>
  </w:num>
  <w:num w:numId="480">
    <w:abstractNumId w:val="424"/>
  </w:num>
  <w:num w:numId="481">
    <w:abstractNumId w:val="93"/>
  </w:num>
  <w:num w:numId="482">
    <w:abstractNumId w:val="97"/>
  </w:num>
  <w:num w:numId="483">
    <w:abstractNumId w:val="459"/>
  </w:num>
  <w:num w:numId="484">
    <w:abstractNumId w:val="91"/>
  </w:num>
  <w:num w:numId="485">
    <w:abstractNumId w:val="270"/>
  </w:num>
  <w:num w:numId="486">
    <w:abstractNumId w:val="506"/>
  </w:num>
  <w:num w:numId="487">
    <w:abstractNumId w:val="486"/>
  </w:num>
  <w:num w:numId="488">
    <w:abstractNumId w:val="78"/>
  </w:num>
  <w:num w:numId="489">
    <w:abstractNumId w:val="630"/>
  </w:num>
  <w:num w:numId="490">
    <w:abstractNumId w:val="161"/>
  </w:num>
  <w:num w:numId="491">
    <w:abstractNumId w:val="274"/>
  </w:num>
  <w:num w:numId="492">
    <w:abstractNumId w:val="425"/>
  </w:num>
  <w:num w:numId="493">
    <w:abstractNumId w:val="390"/>
  </w:num>
  <w:num w:numId="494">
    <w:abstractNumId w:val="440"/>
  </w:num>
  <w:num w:numId="495">
    <w:abstractNumId w:val="359"/>
  </w:num>
  <w:num w:numId="496">
    <w:abstractNumId w:val="126"/>
  </w:num>
  <w:num w:numId="497">
    <w:abstractNumId w:val="625"/>
  </w:num>
  <w:num w:numId="498">
    <w:abstractNumId w:val="583"/>
  </w:num>
  <w:num w:numId="499">
    <w:abstractNumId w:val="400"/>
  </w:num>
  <w:num w:numId="500">
    <w:abstractNumId w:val="250"/>
  </w:num>
  <w:num w:numId="501">
    <w:abstractNumId w:val="471"/>
  </w:num>
  <w:num w:numId="502">
    <w:abstractNumId w:val="262"/>
  </w:num>
  <w:num w:numId="503">
    <w:abstractNumId w:val="105"/>
  </w:num>
  <w:num w:numId="504">
    <w:abstractNumId w:val="485"/>
  </w:num>
  <w:num w:numId="505">
    <w:abstractNumId w:val="240"/>
  </w:num>
  <w:num w:numId="506">
    <w:abstractNumId w:val="184"/>
  </w:num>
  <w:num w:numId="507">
    <w:abstractNumId w:val="268"/>
  </w:num>
  <w:num w:numId="508">
    <w:abstractNumId w:val="330"/>
  </w:num>
  <w:num w:numId="509">
    <w:abstractNumId w:val="587"/>
  </w:num>
  <w:num w:numId="510">
    <w:abstractNumId w:val="520"/>
  </w:num>
  <w:num w:numId="511">
    <w:abstractNumId w:val="547"/>
  </w:num>
  <w:num w:numId="512">
    <w:abstractNumId w:val="32"/>
  </w:num>
  <w:num w:numId="513">
    <w:abstractNumId w:val="339"/>
  </w:num>
  <w:num w:numId="514">
    <w:abstractNumId w:val="3"/>
  </w:num>
  <w:num w:numId="515">
    <w:abstractNumId w:val="72"/>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6">
    <w:abstractNumId w:val="113"/>
  </w:num>
  <w:num w:numId="517">
    <w:abstractNumId w:val="568"/>
  </w:num>
  <w:num w:numId="518">
    <w:abstractNumId w:val="399"/>
    <w:lvlOverride w:ilvl="0">
      <w:startOverride w:val="1"/>
    </w:lvlOverride>
    <w:lvlOverride w:ilvl="1">
      <w:startOverride w:val="1"/>
    </w:lvlOverride>
    <w:lvlOverride w:ilvl="2">
      <w:startOverride w:val="1"/>
    </w:lvlOverride>
    <w:lvlOverride w:ilvl="3">
      <w:startOverride w:val="1"/>
    </w:lvlOverride>
    <w:lvlOverride w:ilvl="4">
      <w:startOverride w:val="1"/>
    </w:lvlOverride>
  </w:num>
  <w:num w:numId="519">
    <w:abstractNumId w:val="342"/>
  </w:num>
  <w:num w:numId="520">
    <w:abstractNumId w:val="596"/>
  </w:num>
  <w:num w:numId="521">
    <w:abstractNumId w:val="381"/>
  </w:num>
  <w:num w:numId="522">
    <w:abstractNumId w:val="243"/>
  </w:num>
  <w:num w:numId="523">
    <w:abstractNumId w:val="316"/>
  </w:num>
  <w:num w:numId="524">
    <w:abstractNumId w:val="0"/>
  </w:num>
  <w:num w:numId="525">
    <w:abstractNumId w:val="283"/>
  </w:num>
  <w:num w:numId="526">
    <w:abstractNumId w:val="29"/>
  </w:num>
  <w:num w:numId="527">
    <w:abstractNumId w:val="419"/>
  </w:num>
  <w:num w:numId="528">
    <w:abstractNumId w:val="344"/>
  </w:num>
  <w:num w:numId="529">
    <w:abstractNumId w:val="476"/>
  </w:num>
  <w:num w:numId="530">
    <w:abstractNumId w:val="248"/>
  </w:num>
  <w:num w:numId="531">
    <w:abstractNumId w:val="628"/>
  </w:num>
  <w:num w:numId="532">
    <w:abstractNumId w:val="200"/>
  </w:num>
  <w:num w:numId="533">
    <w:abstractNumId w:val="130"/>
  </w:num>
  <w:num w:numId="534">
    <w:abstractNumId w:val="84"/>
  </w:num>
  <w:num w:numId="535">
    <w:abstractNumId w:val="313"/>
  </w:num>
  <w:num w:numId="536">
    <w:abstractNumId w:val="501"/>
  </w:num>
  <w:num w:numId="537">
    <w:abstractNumId w:val="431"/>
  </w:num>
  <w:num w:numId="538">
    <w:abstractNumId w:val="127"/>
  </w:num>
  <w:num w:numId="539">
    <w:abstractNumId w:val="4"/>
  </w:num>
  <w:num w:numId="540">
    <w:abstractNumId w:val="504"/>
  </w:num>
  <w:num w:numId="541">
    <w:abstractNumId w:val="8"/>
  </w:num>
  <w:num w:numId="542">
    <w:abstractNumId w:val="167"/>
  </w:num>
  <w:num w:numId="543">
    <w:abstractNumId w:val="7"/>
  </w:num>
  <w:num w:numId="544">
    <w:abstractNumId w:val="514"/>
  </w:num>
  <w:num w:numId="545">
    <w:abstractNumId w:val="382"/>
  </w:num>
  <w:num w:numId="546">
    <w:abstractNumId w:val="492"/>
  </w:num>
  <w:num w:numId="547">
    <w:abstractNumId w:val="233"/>
  </w:num>
  <w:num w:numId="548">
    <w:abstractNumId w:val="142"/>
  </w:num>
  <w:num w:numId="549">
    <w:abstractNumId w:val="351"/>
  </w:num>
  <w:num w:numId="550">
    <w:abstractNumId w:val="558"/>
  </w:num>
  <w:num w:numId="551">
    <w:abstractNumId w:val="305"/>
  </w:num>
  <w:num w:numId="552">
    <w:abstractNumId w:val="409"/>
  </w:num>
  <w:num w:numId="553">
    <w:abstractNumId w:val="87"/>
  </w:num>
  <w:num w:numId="554">
    <w:abstractNumId w:val="8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5">
    <w:abstractNumId w:val="220"/>
  </w:num>
  <w:num w:numId="556">
    <w:abstractNumId w:val="225"/>
  </w:num>
  <w:num w:numId="557">
    <w:abstractNumId w:val="106"/>
  </w:num>
  <w:num w:numId="558">
    <w:abstractNumId w:val="412"/>
  </w:num>
  <w:num w:numId="559">
    <w:abstractNumId w:val="417"/>
  </w:num>
  <w:num w:numId="560">
    <w:abstractNumId w:val="347"/>
  </w:num>
  <w:num w:numId="561">
    <w:abstractNumId w:val="35"/>
  </w:num>
  <w:num w:numId="562">
    <w:abstractNumId w:val="25"/>
  </w:num>
  <w:num w:numId="563">
    <w:abstractNumId w:val="427"/>
  </w:num>
  <w:num w:numId="564">
    <w:abstractNumId w:val="464"/>
  </w:num>
  <w:num w:numId="565">
    <w:abstractNumId w:val="549"/>
  </w:num>
  <w:num w:numId="566">
    <w:abstractNumId w:val="421"/>
  </w:num>
  <w:num w:numId="567">
    <w:abstractNumId w:val="334"/>
  </w:num>
  <w:num w:numId="568">
    <w:abstractNumId w:val="617"/>
  </w:num>
  <w:num w:numId="569">
    <w:abstractNumId w:val="185"/>
  </w:num>
  <w:num w:numId="570">
    <w:abstractNumId w:val="49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1">
    <w:abstractNumId w:val="318"/>
  </w:num>
  <w:num w:numId="572">
    <w:abstractNumId w:val="129"/>
  </w:num>
  <w:num w:numId="573">
    <w:abstractNumId w:val="57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4">
    <w:abstractNumId w:val="323"/>
  </w:num>
  <w:num w:numId="575">
    <w:abstractNumId w:val="585"/>
  </w:num>
  <w:num w:numId="576">
    <w:abstractNumId w:val="10"/>
  </w:num>
  <w:num w:numId="577">
    <w:abstractNumId w:val="321"/>
  </w:num>
  <w:num w:numId="578">
    <w:abstractNumId w:val="511"/>
  </w:num>
  <w:num w:numId="579">
    <w:abstractNumId w:val="502"/>
  </w:num>
  <w:num w:numId="580">
    <w:abstractNumId w:val="354"/>
  </w:num>
  <w:num w:numId="581">
    <w:abstractNumId w:val="290"/>
  </w:num>
  <w:num w:numId="582">
    <w:abstractNumId w:val="149"/>
  </w:num>
  <w:num w:numId="583">
    <w:abstractNumId w:val="373"/>
  </w:num>
  <w:num w:numId="584">
    <w:abstractNumId w:val="395"/>
  </w:num>
  <w:num w:numId="585">
    <w:abstractNumId w:val="368"/>
  </w:num>
  <w:num w:numId="586">
    <w:abstractNumId w:val="557"/>
  </w:num>
  <w:num w:numId="587">
    <w:abstractNumId w:val="231"/>
  </w:num>
  <w:num w:numId="588">
    <w:abstractNumId w:val="302"/>
  </w:num>
  <w:num w:numId="589">
    <w:abstractNumId w:val="336"/>
  </w:num>
  <w:num w:numId="590">
    <w:abstractNumId w:val="102"/>
  </w:num>
  <w:num w:numId="591">
    <w:abstractNumId w:val="196"/>
  </w:num>
  <w:num w:numId="592">
    <w:abstractNumId w:val="602"/>
  </w:num>
  <w:num w:numId="593">
    <w:abstractNumId w:val="40"/>
  </w:num>
  <w:num w:numId="594">
    <w:abstractNumId w:val="165"/>
  </w:num>
  <w:num w:numId="595">
    <w:abstractNumId w:val="529"/>
  </w:num>
  <w:num w:numId="596">
    <w:abstractNumId w:val="104"/>
  </w:num>
  <w:num w:numId="597">
    <w:abstractNumId w:val="341"/>
  </w:num>
  <w:num w:numId="598">
    <w:abstractNumId w:val="6"/>
  </w:num>
  <w:num w:numId="599">
    <w:abstractNumId w:val="554"/>
  </w:num>
  <w:num w:numId="600">
    <w:abstractNumId w:val="158"/>
  </w:num>
  <w:num w:numId="601">
    <w:abstractNumId w:val="626"/>
  </w:num>
  <w:num w:numId="602">
    <w:abstractNumId w:val="584"/>
  </w:num>
  <w:num w:numId="603">
    <w:abstractNumId w:val="50"/>
  </w:num>
  <w:num w:numId="604">
    <w:abstractNumId w:val="567"/>
  </w:num>
  <w:num w:numId="605">
    <w:abstractNumId w:val="613"/>
  </w:num>
  <w:num w:numId="606">
    <w:abstractNumId w:val="300"/>
  </w:num>
  <w:num w:numId="607">
    <w:abstractNumId w:val="134"/>
  </w:num>
  <w:num w:numId="608">
    <w:abstractNumId w:val="228"/>
  </w:num>
  <w:num w:numId="609">
    <w:abstractNumId w:val="577"/>
  </w:num>
  <w:num w:numId="610">
    <w:abstractNumId w:val="552"/>
  </w:num>
  <w:num w:numId="611">
    <w:abstractNumId w:val="604"/>
    <w:lvlOverride w:ilvl="0">
      <w:lvl w:ilvl="0">
        <w:start w:val="1"/>
        <w:numFmt w:val="decimal"/>
        <w:suff w:val="space"/>
        <w:lvlText w:val="Section %1"/>
        <w:lvlJc w:val="left"/>
        <w:pPr>
          <w:ind w:left="0" w:firstLine="0"/>
        </w:pPr>
        <w:rPr>
          <w:rFonts w:ascii="Calibri" w:hAnsi="Calibri" w:cs="Times New Roman" w:hint="default"/>
          <w:b/>
          <w:i w:val="0"/>
          <w:color w:val="0070C0"/>
          <w:sz w:val="36"/>
        </w:rPr>
      </w:lvl>
    </w:lvlOverride>
    <w:lvlOverride w:ilvl="1">
      <w:lvl w:ilvl="1">
        <w:start w:val="1"/>
        <w:numFmt w:val="decimal"/>
        <w:suff w:val="space"/>
        <w:lvlText w:val="%1.%2"/>
        <w:lvlJc w:val="left"/>
        <w:pPr>
          <w:ind w:left="0" w:firstLine="0"/>
        </w:pPr>
        <w:rPr>
          <w:rFonts w:ascii="Calibri" w:hAnsi="Calibri" w:cs="Times New Roman" w:hint="default"/>
          <w:b/>
          <w:i w:val="0"/>
          <w:sz w:val="24"/>
        </w:rPr>
      </w:lvl>
    </w:lvlOverride>
    <w:lvlOverride w:ilvl="2">
      <w:lvl w:ilvl="2">
        <w:start w:val="1"/>
        <w:numFmt w:val="decimal"/>
        <w:suff w:val="space"/>
        <w:lvlText w:val="%2.%1.%3"/>
        <w:lvlJc w:val="left"/>
        <w:pPr>
          <w:ind w:left="0" w:firstLine="0"/>
        </w:pPr>
        <w:rPr>
          <w:rFonts w:hint="default"/>
          <w:b/>
          <w:bCs w:val="0"/>
          <w:i w:val="0"/>
          <w:iCs w:val="0"/>
          <w:caps w:val="0"/>
          <w:smallCaps w:val="0"/>
          <w:strike w:val="0"/>
          <w:dstrike w:val="0"/>
          <w:outline w:val="0"/>
          <w:shadow w:val="0"/>
          <w:emboss w:val="0"/>
          <w:imprint w:val="0"/>
          <w:noProof w:val="0"/>
          <w:vanish w:val="0"/>
          <w:color w:val="auto"/>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suff w:val="space"/>
        <w:lvlText w:val="%1.%2.%3.%4"/>
        <w:lvlJc w:val="left"/>
        <w:pPr>
          <w:ind w:left="0" w:firstLine="0"/>
        </w:pPr>
        <w:rPr>
          <w:rFonts w:ascii="Calibri" w:hAnsi="Calibri" w:cs="Times New Roman" w:hint="default"/>
          <w:b w:val="0"/>
          <w:i/>
          <w:sz w:val="20"/>
          <w:szCs w:val="20"/>
        </w:rPr>
      </w:lvl>
    </w:lvlOverride>
    <w:lvlOverride w:ilvl="4">
      <w:lvl w:ilvl="4">
        <w:start w:val="1"/>
        <w:numFmt w:val="decimal"/>
        <w:lvlRestart w:val="0"/>
        <w:suff w:val="space"/>
        <w:lvlText w:val="%1.%2.%3.%4.%5"/>
        <w:lvlJc w:val="left"/>
        <w:pPr>
          <w:ind w:left="0" w:firstLine="0"/>
        </w:pPr>
        <w:rPr>
          <w:rFonts w:cs="Times New Roman" w:hint="default"/>
        </w:rPr>
      </w:lvl>
    </w:lvlOverride>
    <w:lvlOverride w:ilvl="5">
      <w:lvl w:ilvl="5">
        <w:start w:val="1"/>
        <w:numFmt w:val="decimal"/>
        <w:lvlRestart w:val="0"/>
        <w:lvlText w:val="%1.%2.%3.%4.%5.%6"/>
        <w:lvlJc w:val="left"/>
        <w:pPr>
          <w:tabs>
            <w:tab w:val="num" w:pos="1800"/>
          </w:tabs>
          <w:ind w:left="0" w:firstLine="0"/>
        </w:pPr>
        <w:rPr>
          <w:rFonts w:cs="Times New Roman" w:hint="default"/>
        </w:rPr>
      </w:lvl>
    </w:lvlOverride>
    <w:lvlOverride w:ilvl="6">
      <w:lvl w:ilvl="6">
        <w:start w:val="1"/>
        <w:numFmt w:val="decimal"/>
        <w:lvlRestart w:val="0"/>
        <w:lvlText w:val="%1.%2.%3.%4.%5.%6.%7"/>
        <w:lvlJc w:val="left"/>
        <w:pPr>
          <w:tabs>
            <w:tab w:val="num" w:pos="2160"/>
          </w:tabs>
          <w:ind w:left="0" w:firstLine="0"/>
        </w:pPr>
        <w:rPr>
          <w:rFonts w:cs="Times New Roman" w:hint="default"/>
        </w:rPr>
      </w:lvl>
    </w:lvlOverride>
    <w:lvlOverride w:ilvl="7">
      <w:lvl w:ilvl="7">
        <w:start w:val="1"/>
        <w:numFmt w:val="decimal"/>
        <w:lvlRestart w:val="0"/>
        <w:lvlText w:val="%1.%2.%3.%4.%5.%6.%7.%8"/>
        <w:lvlJc w:val="left"/>
        <w:pPr>
          <w:tabs>
            <w:tab w:val="num" w:pos="2520"/>
          </w:tabs>
          <w:ind w:left="0" w:firstLine="0"/>
        </w:pPr>
        <w:rPr>
          <w:rFonts w:cs="Times New Roman" w:hint="default"/>
        </w:rPr>
      </w:lvl>
    </w:lvlOverride>
    <w:lvlOverride w:ilvl="8">
      <w:lvl w:ilvl="8">
        <w:start w:val="1"/>
        <w:numFmt w:val="decimal"/>
        <w:lvlRestart w:val="0"/>
        <w:lvlText w:val="%1.%2.%3.%4.%5.%6.%7.%8.%9"/>
        <w:lvlJc w:val="left"/>
        <w:pPr>
          <w:tabs>
            <w:tab w:val="num" w:pos="2880"/>
          </w:tabs>
          <w:ind w:left="0" w:firstLine="0"/>
        </w:pPr>
        <w:rPr>
          <w:rFonts w:cs="Times New Roman" w:hint="default"/>
        </w:rPr>
      </w:lvl>
    </w:lvlOverride>
  </w:num>
  <w:num w:numId="612">
    <w:abstractNumId w:val="604"/>
    <w:lvlOverride w:ilvl="0">
      <w:lvl w:ilvl="0">
        <w:start w:val="1"/>
        <w:numFmt w:val="decimal"/>
        <w:suff w:val="nothing"/>
        <w:lvlText w:val="Section %1"/>
        <w:lvlJc w:val="left"/>
        <w:pPr>
          <w:ind w:left="0" w:firstLine="0"/>
        </w:pPr>
        <w:rPr>
          <w:rFonts w:ascii="Calibri" w:hAnsi="Calibri" w:hint="default"/>
          <w:b/>
          <w:i w:val="0"/>
          <w:color w:val="0070C0"/>
          <w:sz w:val="36"/>
          <w:u w:val="none"/>
        </w:rPr>
      </w:lvl>
    </w:lvlOverride>
    <w:lvlOverride w:ilvl="1">
      <w:lvl w:ilvl="1">
        <w:start w:val="1"/>
        <w:numFmt w:val="decimal"/>
        <w:suff w:val="space"/>
        <w:lvlText w:val="%1.%2"/>
        <w:lvlJc w:val="left"/>
        <w:pPr>
          <w:ind w:left="0" w:firstLine="0"/>
        </w:pPr>
        <w:rPr>
          <w:rFonts w:ascii="Calibri" w:hAnsi="Calibri" w:hint="default"/>
          <w:b/>
          <w:i w:val="0"/>
          <w:color w:val="auto"/>
          <w:sz w:val="24"/>
          <w:u w:val="none"/>
        </w:rPr>
      </w:lvl>
    </w:lvlOverride>
    <w:lvlOverride w:ilvl="2">
      <w:lvl w:ilvl="2">
        <w:start w:val="1"/>
        <w:numFmt w:val="decimal"/>
        <w:suff w:val="space"/>
        <w:lvlText w:val="%1.%2.%3"/>
        <w:lvlJc w:val="left"/>
        <w:pPr>
          <w:ind w:left="0" w:firstLine="0"/>
        </w:pPr>
        <w:rPr>
          <w:rFonts w:cs="Times New Roman" w:hint="default"/>
          <w:b/>
          <w:bCs w:val="0"/>
          <w:i w:val="0"/>
          <w:iCs w:val="0"/>
          <w:caps w:val="0"/>
          <w:smallCaps w:val="0"/>
          <w:strike w:val="0"/>
          <w:dstrike w:val="0"/>
          <w:noProof w:val="0"/>
          <w:vanish w:val="0"/>
          <w:color w:val="auto"/>
          <w:spacing w:val="0"/>
          <w:kern w:val="0"/>
          <w:position w:val="0"/>
          <w:u w:val="none"/>
          <w:vertAlign w:val="baseline"/>
          <w:em w:val="none"/>
          <w:specVanish w:val="0"/>
        </w:rPr>
      </w:lvl>
    </w:lvlOverride>
    <w:lvlOverride w:ilvl="3">
      <w:lvl w:ilvl="3">
        <w:start w:val="1"/>
        <w:numFmt w:val="decimal"/>
        <w:suff w:val="space"/>
        <w:lvlText w:val="%1.%2.%3.%4"/>
        <w:lvlJc w:val="left"/>
        <w:pPr>
          <w:ind w:left="0" w:firstLine="0"/>
        </w:pPr>
        <w:rPr>
          <w:b w:val="0"/>
          <w:bCs w:val="0"/>
          <w:i w:val="0"/>
          <w:iCs w:val="0"/>
          <w:caps w:val="0"/>
          <w:smallCaps w:val="0"/>
          <w:strike w:val="0"/>
          <w:dstrike w:val="0"/>
          <w:outline w:val="0"/>
          <w:shadow w:val="0"/>
          <w:emboss w:val="0"/>
          <w:imprint w:val="0"/>
          <w:noProof w:val="0"/>
          <w:vanish w:val="0"/>
          <w:color w:val="auto"/>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4">
      <w:lvl w:ilvl="4">
        <w:start w:val="1"/>
        <w:numFmt w:val="lowerLetter"/>
        <w:lvlText w:val="(%5)"/>
        <w:lvlJc w:val="left"/>
        <w:pPr>
          <w:ind w:left="0" w:firstLine="0"/>
        </w:pPr>
        <w:rPr>
          <w:rFonts w:hint="default"/>
        </w:rPr>
      </w:lvl>
    </w:lvlOverride>
    <w:lvlOverride w:ilvl="5">
      <w:lvl w:ilvl="5">
        <w:start w:val="1"/>
        <w:numFmt w:val="lowerRoman"/>
        <w:lvlText w:val="(%6)"/>
        <w:lvlJc w:val="left"/>
        <w:pPr>
          <w:ind w:left="0" w:firstLine="0"/>
        </w:pPr>
        <w:rPr>
          <w:rFonts w:hint="default"/>
        </w:rPr>
      </w:lvl>
    </w:lvlOverride>
    <w:lvlOverride w:ilvl="6">
      <w:lvl w:ilvl="6">
        <w:start w:val="1"/>
        <w:numFmt w:val="decimal"/>
        <w:lvlText w:val="%7."/>
        <w:lvlJc w:val="left"/>
        <w:pPr>
          <w:ind w:left="0" w:firstLine="0"/>
        </w:pPr>
        <w:rPr>
          <w:rFonts w:hint="default"/>
        </w:rPr>
      </w:lvl>
    </w:lvlOverride>
    <w:lvlOverride w:ilvl="7">
      <w:lvl w:ilvl="7">
        <w:start w:val="1"/>
        <w:numFmt w:val="lowerLetter"/>
        <w:lvlText w:val="%8."/>
        <w:lvlJc w:val="left"/>
        <w:pPr>
          <w:ind w:left="0" w:firstLine="0"/>
        </w:pPr>
        <w:rPr>
          <w:rFonts w:hint="default"/>
        </w:rPr>
      </w:lvl>
    </w:lvlOverride>
    <w:lvlOverride w:ilvl="8">
      <w:lvl w:ilvl="8">
        <w:start w:val="1"/>
        <w:numFmt w:val="lowerRoman"/>
        <w:lvlText w:val="%9."/>
        <w:lvlJc w:val="left"/>
        <w:pPr>
          <w:ind w:left="0" w:firstLine="0"/>
        </w:pPr>
        <w:rPr>
          <w:rFonts w:hint="default"/>
        </w:rPr>
      </w:lvl>
    </w:lvlOverride>
  </w:num>
  <w:num w:numId="613">
    <w:abstractNumId w:val="604"/>
    <w:lvlOverride w:ilvl="0">
      <w:lvl w:ilvl="0">
        <w:start w:val="1"/>
        <w:numFmt w:val="decimal"/>
        <w:suff w:val="nothing"/>
        <w:lvlText w:val="Section %1"/>
        <w:lvlJc w:val="left"/>
        <w:pPr>
          <w:ind w:left="0" w:firstLine="0"/>
        </w:pPr>
        <w:rPr>
          <w:rFonts w:ascii="Calibri" w:hAnsi="Calibri" w:hint="default"/>
          <w:b/>
          <w:i w:val="0"/>
          <w:color w:val="0070C0"/>
          <w:sz w:val="36"/>
          <w:u w:val="none"/>
        </w:rPr>
      </w:lvl>
    </w:lvlOverride>
    <w:lvlOverride w:ilvl="1">
      <w:lvl w:ilvl="1">
        <w:start w:val="1"/>
        <w:numFmt w:val="decimal"/>
        <w:suff w:val="space"/>
        <w:lvlText w:val="%1.%2"/>
        <w:lvlJc w:val="left"/>
        <w:pPr>
          <w:ind w:left="0" w:firstLine="0"/>
        </w:pPr>
        <w:rPr>
          <w:rFonts w:ascii="Calibri" w:hAnsi="Calibri" w:hint="default"/>
          <w:b/>
          <w:i w:val="0"/>
          <w:color w:val="auto"/>
          <w:sz w:val="24"/>
          <w:u w:val="none"/>
        </w:rPr>
      </w:lvl>
    </w:lvlOverride>
    <w:lvlOverride w:ilvl="2">
      <w:lvl w:ilvl="2">
        <w:start w:val="1"/>
        <w:numFmt w:val="decimal"/>
        <w:suff w:val="space"/>
        <w:lvlText w:val="%1.%2.%3"/>
        <w:lvlJc w:val="left"/>
        <w:pPr>
          <w:ind w:left="0" w:firstLine="0"/>
        </w:pPr>
        <w:rPr>
          <w:rFonts w:cs="Times New Roman" w:hint="default"/>
          <w:b/>
          <w:bCs w:val="0"/>
          <w:i w:val="0"/>
          <w:iCs w:val="0"/>
          <w:caps w:val="0"/>
          <w:smallCaps w:val="0"/>
          <w:strike w:val="0"/>
          <w:dstrike w:val="0"/>
          <w:noProof w:val="0"/>
          <w:vanish w:val="0"/>
          <w:color w:val="auto"/>
          <w:spacing w:val="0"/>
          <w:kern w:val="0"/>
          <w:position w:val="0"/>
          <w:u w:val="none"/>
          <w:vertAlign w:val="baseline"/>
          <w:em w:val="none"/>
          <w:specVanish w:val="0"/>
        </w:rPr>
      </w:lvl>
    </w:lvlOverride>
    <w:lvlOverride w:ilvl="3">
      <w:lvl w:ilvl="3">
        <w:start w:val="1"/>
        <w:numFmt w:val="decimal"/>
        <w:suff w:val="space"/>
        <w:lvlText w:val="%1.%2.%3.%4"/>
        <w:lvlJc w:val="left"/>
        <w:pPr>
          <w:ind w:left="0" w:firstLine="0"/>
        </w:pPr>
        <w:rPr>
          <w:b w:val="0"/>
          <w:bCs w:val="0"/>
          <w:i w:val="0"/>
          <w:iCs w:val="0"/>
          <w:caps w:val="0"/>
          <w:smallCaps w:val="0"/>
          <w:strike w:val="0"/>
          <w:dstrike w:val="0"/>
          <w:outline w:val="0"/>
          <w:shadow w:val="0"/>
          <w:emboss w:val="0"/>
          <w:imprint w:val="0"/>
          <w:noProof w:val="0"/>
          <w:vanish w:val="0"/>
          <w:color w:val="auto"/>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4">
      <w:lvl w:ilvl="4">
        <w:start w:val="1"/>
        <w:numFmt w:val="lowerLetter"/>
        <w:lvlText w:val="(%5)"/>
        <w:lvlJc w:val="left"/>
        <w:pPr>
          <w:ind w:left="0" w:firstLine="0"/>
        </w:pPr>
        <w:rPr>
          <w:rFonts w:hint="default"/>
        </w:rPr>
      </w:lvl>
    </w:lvlOverride>
    <w:lvlOverride w:ilvl="5">
      <w:lvl w:ilvl="5">
        <w:start w:val="1"/>
        <w:numFmt w:val="lowerRoman"/>
        <w:lvlText w:val="(%6)"/>
        <w:lvlJc w:val="left"/>
        <w:pPr>
          <w:ind w:left="0" w:firstLine="0"/>
        </w:pPr>
        <w:rPr>
          <w:rFonts w:hint="default"/>
        </w:rPr>
      </w:lvl>
    </w:lvlOverride>
    <w:lvlOverride w:ilvl="6">
      <w:lvl w:ilvl="6">
        <w:start w:val="1"/>
        <w:numFmt w:val="decimal"/>
        <w:lvlText w:val="%7."/>
        <w:lvlJc w:val="left"/>
        <w:pPr>
          <w:ind w:left="0" w:firstLine="0"/>
        </w:pPr>
        <w:rPr>
          <w:rFonts w:hint="default"/>
        </w:rPr>
      </w:lvl>
    </w:lvlOverride>
    <w:lvlOverride w:ilvl="7">
      <w:lvl w:ilvl="7">
        <w:start w:val="1"/>
        <w:numFmt w:val="lowerLetter"/>
        <w:lvlText w:val="%8."/>
        <w:lvlJc w:val="left"/>
        <w:pPr>
          <w:ind w:left="0" w:firstLine="0"/>
        </w:pPr>
        <w:rPr>
          <w:rFonts w:hint="default"/>
        </w:rPr>
      </w:lvl>
    </w:lvlOverride>
    <w:lvlOverride w:ilvl="8">
      <w:lvl w:ilvl="8">
        <w:start w:val="1"/>
        <w:numFmt w:val="lowerRoman"/>
        <w:lvlText w:val="%9."/>
        <w:lvlJc w:val="left"/>
        <w:pPr>
          <w:ind w:left="0" w:firstLine="0"/>
        </w:pPr>
        <w:rPr>
          <w:rFonts w:hint="default"/>
        </w:rPr>
      </w:lvl>
    </w:lvlOverride>
  </w:num>
  <w:num w:numId="614">
    <w:abstractNumId w:val="364"/>
  </w:num>
  <w:num w:numId="615">
    <w:abstractNumId w:val="569"/>
  </w:num>
  <w:num w:numId="616">
    <w:abstractNumId w:val="242"/>
  </w:num>
  <w:num w:numId="617">
    <w:abstractNumId w:val="605"/>
  </w:num>
  <w:num w:numId="618">
    <w:abstractNumId w:val="260"/>
  </w:num>
  <w:num w:numId="619">
    <w:abstractNumId w:val="187"/>
  </w:num>
  <w:num w:numId="620">
    <w:abstractNumId w:val="74"/>
  </w:num>
  <w:num w:numId="621">
    <w:abstractNumId w:val="211"/>
  </w:num>
  <w:num w:numId="622">
    <w:abstractNumId w:val="43"/>
  </w:num>
  <w:num w:numId="623">
    <w:abstractNumId w:val="122"/>
  </w:num>
  <w:num w:numId="624">
    <w:abstractNumId w:val="489"/>
  </w:num>
  <w:num w:numId="625">
    <w:abstractNumId w:val="273"/>
  </w:num>
  <w:num w:numId="626">
    <w:abstractNumId w:val="144"/>
  </w:num>
  <w:num w:numId="627">
    <w:abstractNumId w:val="537"/>
  </w:num>
  <w:num w:numId="628">
    <w:abstractNumId w:val="17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9">
    <w:abstractNumId w:val="428"/>
  </w:num>
  <w:num w:numId="630">
    <w:abstractNumId w:val="559"/>
  </w:num>
  <w:num w:numId="631">
    <w:abstractNumId w:val="1"/>
  </w:num>
  <w:num w:numId="632">
    <w:abstractNumId w:val="433"/>
  </w:num>
  <w:num w:numId="633">
    <w:abstractNumId w:val="139"/>
  </w:num>
  <w:num w:numId="634">
    <w:abstractNumId w:val="9"/>
  </w:num>
  <w:num w:numId="635">
    <w:abstractNumId w:val="600"/>
  </w:num>
  <w:num w:numId="636">
    <w:abstractNumId w:val="13"/>
  </w:num>
  <w:num w:numId="637">
    <w:abstractNumId w:val="12"/>
  </w:num>
  <w:num w:numId="638">
    <w:abstractNumId w:val="2"/>
  </w:num>
  <w:num w:numId="639">
    <w:abstractNumId w:val="477"/>
  </w:num>
  <w:num w:numId="640">
    <w:abstractNumId w:val="278"/>
  </w:num>
  <w:num w:numId="641">
    <w:abstractNumId w:val="207"/>
  </w:num>
  <w:num w:numId="642">
    <w:abstractNumId w:val="450"/>
  </w:num>
  <w:num w:numId="643">
    <w:abstractNumId w:val="376"/>
  </w:num>
  <w:num w:numId="644">
    <w:abstractNumId w:val="408"/>
  </w:num>
  <w:num w:numId="645">
    <w:abstractNumId w:val="137"/>
  </w:num>
  <w:num w:numId="646">
    <w:abstractNumId w:val="253"/>
  </w:num>
  <w:num w:numId="647">
    <w:abstractNumId w:val="11"/>
  </w:num>
  <w:num w:numId="648">
    <w:abstractNumId w:val="592"/>
  </w:num>
  <w:num w:numId="649">
    <w:abstractNumId w:val="353"/>
  </w:num>
  <w:num w:numId="650">
    <w:abstractNumId w:val="5"/>
  </w:num>
  <w:num w:numId="651">
    <w:abstractNumId w:val="92"/>
  </w:num>
  <w:num w:numId="652">
    <w:abstractNumId w:val="522"/>
  </w:num>
  <w:num w:numId="653">
    <w:abstractNumId w:val="251"/>
  </w:num>
  <w:num w:numId="654">
    <w:abstractNumId w:val="562"/>
  </w:num>
  <w:num w:numId="655">
    <w:abstractNumId w:val="348"/>
  </w:num>
  <w:num w:numId="656">
    <w:abstractNumId w:val="136"/>
  </w:num>
  <w:num w:numId="657">
    <w:abstractNumId w:val="204"/>
  </w:num>
  <w:num w:numId="658">
    <w:abstractNumId w:val="60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9">
    <w:abstractNumId w:val="623"/>
  </w:num>
  <w:num w:numId="660">
    <w:abstractNumId w:val="295"/>
  </w:num>
  <w:num w:numId="661">
    <w:abstractNumId w:val="195"/>
  </w:num>
  <w:num w:numId="662">
    <w:abstractNumId w:val="299"/>
  </w:num>
  <w:num w:numId="663">
    <w:abstractNumId w:val="4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4">
    <w:abstractNumId w:val="45"/>
  </w:num>
  <w:num w:numId="665">
    <w:abstractNumId w:val="53"/>
  </w:num>
  <w:num w:numId="666">
    <w:abstractNumId w:val="140"/>
  </w:num>
  <w:num w:numId="667">
    <w:abstractNumId w:val="315"/>
  </w:num>
  <w:num w:numId="668">
    <w:abstractNumId w:val="267"/>
  </w:num>
  <w:num w:numId="669">
    <w:abstractNumId w:val="426"/>
  </w:num>
  <w:num w:numId="670">
    <w:abstractNumId w:val="508"/>
  </w:num>
  <w:num w:numId="671">
    <w:abstractNumId w:val="209"/>
  </w:num>
  <w:num w:numId="672">
    <w:abstractNumId w:val="75"/>
  </w:num>
  <w:num w:numId="673">
    <w:abstractNumId w:val="61"/>
  </w:num>
  <w:num w:numId="674">
    <w:abstractNumId w:val="420"/>
  </w:num>
  <w:num w:numId="675">
    <w:abstractNumId w:val="478"/>
  </w:num>
  <w:num w:numId="676">
    <w:abstractNumId w:val="52"/>
  </w:num>
  <w:num w:numId="677">
    <w:abstractNumId w:val="297"/>
  </w:num>
  <w:num w:numId="678">
    <w:abstractNumId w:val="326"/>
  </w:num>
  <w:num w:numId="679">
    <w:abstractNumId w:val="441"/>
  </w:num>
  <w:num w:numId="680">
    <w:abstractNumId w:val="197"/>
  </w:num>
  <w:num w:numId="681">
    <w:abstractNumId w:val="434"/>
  </w:num>
  <w:num w:numId="682">
    <w:abstractNumId w:val="445"/>
  </w:num>
  <w:num w:numId="683">
    <w:abstractNumId w:val="454"/>
  </w:num>
  <w:num w:numId="684">
    <w:abstractNumId w:val="194"/>
  </w:num>
  <w:num w:numId="685">
    <w:abstractNumId w:val="539"/>
  </w:num>
  <w:num w:numId="686">
    <w:abstractNumId w:val="30"/>
  </w:num>
  <w:num w:numId="687">
    <w:abstractNumId w:val="309"/>
  </w:num>
  <w:num w:numId="688">
    <w:abstractNumId w:val="81"/>
  </w:num>
  <w:num w:numId="689">
    <w:abstractNumId w:val="311"/>
  </w:num>
  <w:num w:numId="690">
    <w:abstractNumId w:val="160"/>
  </w:num>
  <w:num w:numId="691">
    <w:abstractNumId w:val="33"/>
  </w:num>
  <w:num w:numId="692">
    <w:abstractNumId w:val="33"/>
  </w:num>
  <w:num w:numId="693">
    <w:abstractNumId w:val="33"/>
  </w:num>
  <w:num w:numId="694">
    <w:abstractNumId w:val="33"/>
  </w:num>
  <w:num w:numId="695">
    <w:abstractNumId w:val="33"/>
  </w:num>
  <w:num w:numId="696">
    <w:abstractNumId w:val="33"/>
  </w:num>
  <w:num w:numId="697">
    <w:abstractNumId w:val="33"/>
  </w:num>
  <w:num w:numId="698">
    <w:abstractNumId w:val="33"/>
  </w:num>
  <w:num w:numId="699">
    <w:abstractNumId w:val="33"/>
  </w:num>
  <w:num w:numId="700">
    <w:abstractNumId w:val="33"/>
  </w:num>
  <w:num w:numId="701">
    <w:abstractNumId w:val="33"/>
  </w:num>
  <w:num w:numId="702">
    <w:abstractNumId w:val="33"/>
  </w:num>
  <w:num w:numId="703">
    <w:abstractNumId w:val="33"/>
  </w:num>
  <w:num w:numId="704">
    <w:abstractNumId w:val="33"/>
  </w:num>
  <w:num w:numId="705">
    <w:abstractNumId w:val="33"/>
  </w:num>
  <w:num w:numId="706">
    <w:abstractNumId w:val="33"/>
  </w:num>
  <w:num w:numId="707">
    <w:abstractNumId w:val="33"/>
  </w:num>
  <w:num w:numId="708">
    <w:abstractNumId w:val="33"/>
  </w:num>
  <w:num w:numId="709">
    <w:abstractNumId w:val="33"/>
  </w:num>
  <w:num w:numId="710">
    <w:abstractNumId w:val="33"/>
  </w:num>
  <w:num w:numId="711">
    <w:abstractNumId w:val="33"/>
  </w:num>
  <w:num w:numId="712">
    <w:abstractNumId w:val="33"/>
  </w:num>
  <w:num w:numId="713">
    <w:abstractNumId w:val="33"/>
  </w:num>
  <w:num w:numId="714">
    <w:abstractNumId w:val="33"/>
  </w:num>
  <w:num w:numId="715">
    <w:abstractNumId w:val="33"/>
  </w:num>
  <w:num w:numId="716">
    <w:abstractNumId w:val="33"/>
  </w:num>
  <w:num w:numId="717">
    <w:abstractNumId w:val="33"/>
  </w:num>
  <w:num w:numId="718">
    <w:abstractNumId w:val="33"/>
  </w:num>
  <w:num w:numId="719">
    <w:abstractNumId w:val="33"/>
  </w:num>
  <w:num w:numId="720">
    <w:abstractNumId w:val="33"/>
  </w:num>
  <w:num w:numId="721">
    <w:abstractNumId w:val="33"/>
  </w:num>
  <w:num w:numId="722">
    <w:abstractNumId w:val="33"/>
  </w:num>
  <w:num w:numId="723">
    <w:abstractNumId w:val="33"/>
  </w:num>
  <w:num w:numId="724">
    <w:abstractNumId w:val="33"/>
  </w:num>
  <w:num w:numId="725">
    <w:abstractNumId w:val="33"/>
  </w:num>
  <w:num w:numId="726">
    <w:abstractNumId w:val="33"/>
  </w:num>
  <w:num w:numId="727">
    <w:abstractNumId w:val="33"/>
  </w:num>
  <w:num w:numId="728">
    <w:abstractNumId w:val="33"/>
  </w:num>
  <w:num w:numId="729">
    <w:abstractNumId w:val="33"/>
  </w:num>
  <w:num w:numId="730">
    <w:abstractNumId w:val="33"/>
  </w:num>
  <w:num w:numId="731">
    <w:abstractNumId w:val="33"/>
  </w:num>
  <w:num w:numId="732">
    <w:abstractNumId w:val="33"/>
  </w:num>
  <w:num w:numId="733">
    <w:abstractNumId w:val="33"/>
  </w:num>
  <w:num w:numId="734">
    <w:abstractNumId w:val="33"/>
  </w:num>
  <w:num w:numId="735">
    <w:abstractNumId w:val="33"/>
  </w:num>
  <w:num w:numId="736">
    <w:abstractNumId w:val="33"/>
  </w:num>
  <w:num w:numId="737">
    <w:abstractNumId w:val="33"/>
  </w:num>
  <w:num w:numId="738">
    <w:abstractNumId w:val="33"/>
  </w:num>
  <w:num w:numId="739">
    <w:abstractNumId w:val="33"/>
  </w:num>
  <w:num w:numId="740">
    <w:abstractNumId w:val="33"/>
  </w:num>
  <w:num w:numId="741">
    <w:abstractNumId w:val="33"/>
  </w:num>
  <w:num w:numId="742">
    <w:abstractNumId w:val="33"/>
  </w:num>
  <w:num w:numId="743">
    <w:abstractNumId w:val="33"/>
  </w:num>
  <w:num w:numId="744">
    <w:abstractNumId w:val="33"/>
  </w:num>
  <w:num w:numId="745">
    <w:abstractNumId w:val="33"/>
  </w:num>
  <w:num w:numId="746">
    <w:abstractNumId w:val="33"/>
  </w:num>
  <w:num w:numId="747">
    <w:abstractNumId w:val="33"/>
  </w:num>
  <w:num w:numId="748">
    <w:abstractNumId w:val="33"/>
  </w:num>
  <w:num w:numId="749">
    <w:abstractNumId w:val="33"/>
  </w:num>
  <w:num w:numId="750">
    <w:abstractNumId w:val="33"/>
  </w:num>
  <w:num w:numId="751">
    <w:abstractNumId w:val="33"/>
  </w:num>
  <w:num w:numId="752">
    <w:abstractNumId w:val="33"/>
  </w:num>
  <w:num w:numId="753">
    <w:abstractNumId w:val="33"/>
  </w:num>
  <w:num w:numId="754">
    <w:abstractNumId w:val="33"/>
  </w:num>
  <w:num w:numId="755">
    <w:abstractNumId w:val="33"/>
  </w:num>
  <w:num w:numId="756">
    <w:abstractNumId w:val="33"/>
  </w:num>
  <w:num w:numId="757">
    <w:abstractNumId w:val="80"/>
  </w:num>
  <w:num w:numId="758">
    <w:abstractNumId w:val="452"/>
  </w:num>
  <w:num w:numId="759">
    <w:abstractNumId w:val="449"/>
  </w:num>
  <w:num w:numId="760">
    <w:abstractNumId w:val="89"/>
  </w:num>
  <w:numIdMacAtCleanup w:val="75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removePersonalInformation/>
  <w:removeDateAndTime/>
  <w:displayBackgroundShape/>
  <w:hideSpellingErrors/>
  <w:hideGrammaticalErrors/>
  <w:activeWritingStyle w:appName="MSWord" w:lang="en-US" w:vendorID="64" w:dllVersion="131078" w:nlCheck="1" w:checkStyle="0"/>
  <w:activeWritingStyle w:appName="MSWord" w:lang="fr-FR" w:vendorID="64" w:dllVersion="131078" w:nlCheck="1" w:checkStyle="1"/>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oNotTrackMoves/>
  <w:documentProtection w:edit="readOnly" w:enforcement="0"/>
  <w:defaultTabStop w:val="720"/>
  <w:drawingGridHorizontalSpacing w:val="100"/>
  <w:displayHorizontalDrawingGridEvery w:val="2"/>
  <w:characterSpacingControl w:val="doNotCompress"/>
  <w:hdrShapeDefaults>
    <o:shapedefaults v:ext="edit" spidmax="2049"/>
  </w:hdrShapeDefaults>
  <w:footnotePr>
    <w:footnote w:id="-1"/>
    <w:footnote w:id="0"/>
    <w:footnote w:id="1"/>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35659"/>
    <w:rsid w:val="0000019C"/>
    <w:rsid w:val="000001D7"/>
    <w:rsid w:val="00000368"/>
    <w:rsid w:val="00000458"/>
    <w:rsid w:val="000006EA"/>
    <w:rsid w:val="00000864"/>
    <w:rsid w:val="00000A83"/>
    <w:rsid w:val="00000D56"/>
    <w:rsid w:val="00000E45"/>
    <w:rsid w:val="00000EC2"/>
    <w:rsid w:val="00001035"/>
    <w:rsid w:val="00001138"/>
    <w:rsid w:val="00001148"/>
    <w:rsid w:val="00001158"/>
    <w:rsid w:val="000011DE"/>
    <w:rsid w:val="000011E3"/>
    <w:rsid w:val="00001207"/>
    <w:rsid w:val="00001224"/>
    <w:rsid w:val="00001276"/>
    <w:rsid w:val="00001335"/>
    <w:rsid w:val="00001518"/>
    <w:rsid w:val="0000161B"/>
    <w:rsid w:val="00001620"/>
    <w:rsid w:val="000019E7"/>
    <w:rsid w:val="00001A7B"/>
    <w:rsid w:val="00001CAC"/>
    <w:rsid w:val="00001DB1"/>
    <w:rsid w:val="00001DC2"/>
    <w:rsid w:val="00001F29"/>
    <w:rsid w:val="00001F3D"/>
    <w:rsid w:val="00001FEC"/>
    <w:rsid w:val="00002177"/>
    <w:rsid w:val="000021CD"/>
    <w:rsid w:val="00002244"/>
    <w:rsid w:val="000022B6"/>
    <w:rsid w:val="000023D1"/>
    <w:rsid w:val="000024FD"/>
    <w:rsid w:val="00002695"/>
    <w:rsid w:val="0000274B"/>
    <w:rsid w:val="0000281A"/>
    <w:rsid w:val="000029AA"/>
    <w:rsid w:val="00002AAF"/>
    <w:rsid w:val="00002C68"/>
    <w:rsid w:val="00002D24"/>
    <w:rsid w:val="00002DDC"/>
    <w:rsid w:val="00002F2D"/>
    <w:rsid w:val="00002F80"/>
    <w:rsid w:val="00003143"/>
    <w:rsid w:val="0000321C"/>
    <w:rsid w:val="000036A0"/>
    <w:rsid w:val="000037B0"/>
    <w:rsid w:val="0000383C"/>
    <w:rsid w:val="0000399A"/>
    <w:rsid w:val="0000399B"/>
    <w:rsid w:val="00003A09"/>
    <w:rsid w:val="00003E7F"/>
    <w:rsid w:val="00004107"/>
    <w:rsid w:val="000041FD"/>
    <w:rsid w:val="000042BC"/>
    <w:rsid w:val="00004424"/>
    <w:rsid w:val="000044AB"/>
    <w:rsid w:val="00004906"/>
    <w:rsid w:val="00004D7A"/>
    <w:rsid w:val="00004DBF"/>
    <w:rsid w:val="00004E83"/>
    <w:rsid w:val="00004EEC"/>
    <w:rsid w:val="0000541B"/>
    <w:rsid w:val="000054D2"/>
    <w:rsid w:val="000054D3"/>
    <w:rsid w:val="000058F7"/>
    <w:rsid w:val="00005A0A"/>
    <w:rsid w:val="00005B2A"/>
    <w:rsid w:val="00005CA4"/>
    <w:rsid w:val="00005E34"/>
    <w:rsid w:val="00005E6A"/>
    <w:rsid w:val="00005F74"/>
    <w:rsid w:val="0000603E"/>
    <w:rsid w:val="0000615A"/>
    <w:rsid w:val="0000641D"/>
    <w:rsid w:val="0000644E"/>
    <w:rsid w:val="00006481"/>
    <w:rsid w:val="00006624"/>
    <w:rsid w:val="0000669E"/>
    <w:rsid w:val="000066A8"/>
    <w:rsid w:val="0000677E"/>
    <w:rsid w:val="00006831"/>
    <w:rsid w:val="00006991"/>
    <w:rsid w:val="00006A40"/>
    <w:rsid w:val="00006A94"/>
    <w:rsid w:val="00006B39"/>
    <w:rsid w:val="00006DF7"/>
    <w:rsid w:val="00006F01"/>
    <w:rsid w:val="00006F93"/>
    <w:rsid w:val="00007007"/>
    <w:rsid w:val="000070B3"/>
    <w:rsid w:val="0000716B"/>
    <w:rsid w:val="000072CC"/>
    <w:rsid w:val="0000731C"/>
    <w:rsid w:val="00007376"/>
    <w:rsid w:val="000073CA"/>
    <w:rsid w:val="000073EE"/>
    <w:rsid w:val="000074DE"/>
    <w:rsid w:val="0000760F"/>
    <w:rsid w:val="000076EA"/>
    <w:rsid w:val="00007728"/>
    <w:rsid w:val="000078B5"/>
    <w:rsid w:val="00007A5F"/>
    <w:rsid w:val="00007ACA"/>
    <w:rsid w:val="00007BC7"/>
    <w:rsid w:val="00007BF6"/>
    <w:rsid w:val="00007BFB"/>
    <w:rsid w:val="000100CB"/>
    <w:rsid w:val="000100DB"/>
    <w:rsid w:val="00010247"/>
    <w:rsid w:val="000102C2"/>
    <w:rsid w:val="0001031A"/>
    <w:rsid w:val="000103E5"/>
    <w:rsid w:val="00010491"/>
    <w:rsid w:val="00010C92"/>
    <w:rsid w:val="000110E5"/>
    <w:rsid w:val="000110E9"/>
    <w:rsid w:val="0001126D"/>
    <w:rsid w:val="00011359"/>
    <w:rsid w:val="000114A9"/>
    <w:rsid w:val="0001153A"/>
    <w:rsid w:val="00011649"/>
    <w:rsid w:val="00011740"/>
    <w:rsid w:val="000117AA"/>
    <w:rsid w:val="000117E8"/>
    <w:rsid w:val="000118A5"/>
    <w:rsid w:val="000118AB"/>
    <w:rsid w:val="00011953"/>
    <w:rsid w:val="000119A1"/>
    <w:rsid w:val="000119AB"/>
    <w:rsid w:val="00011AB0"/>
    <w:rsid w:val="00011B4A"/>
    <w:rsid w:val="00011C72"/>
    <w:rsid w:val="00011CFC"/>
    <w:rsid w:val="00011DA9"/>
    <w:rsid w:val="00011F12"/>
    <w:rsid w:val="00011FB2"/>
    <w:rsid w:val="00012064"/>
    <w:rsid w:val="000120BF"/>
    <w:rsid w:val="00012127"/>
    <w:rsid w:val="000122AF"/>
    <w:rsid w:val="000122F2"/>
    <w:rsid w:val="00012568"/>
    <w:rsid w:val="00012679"/>
    <w:rsid w:val="00012822"/>
    <w:rsid w:val="0001289E"/>
    <w:rsid w:val="00012A10"/>
    <w:rsid w:val="00012A12"/>
    <w:rsid w:val="00012A20"/>
    <w:rsid w:val="0001317B"/>
    <w:rsid w:val="0001350A"/>
    <w:rsid w:val="0001370A"/>
    <w:rsid w:val="00013932"/>
    <w:rsid w:val="000139C5"/>
    <w:rsid w:val="00013D94"/>
    <w:rsid w:val="00013DCA"/>
    <w:rsid w:val="0001420A"/>
    <w:rsid w:val="000143CD"/>
    <w:rsid w:val="00014446"/>
    <w:rsid w:val="000144E4"/>
    <w:rsid w:val="00014543"/>
    <w:rsid w:val="00014872"/>
    <w:rsid w:val="00014897"/>
    <w:rsid w:val="00014B19"/>
    <w:rsid w:val="00014D6D"/>
    <w:rsid w:val="00015051"/>
    <w:rsid w:val="0001523E"/>
    <w:rsid w:val="00015282"/>
    <w:rsid w:val="00015367"/>
    <w:rsid w:val="00015689"/>
    <w:rsid w:val="00015778"/>
    <w:rsid w:val="000159E4"/>
    <w:rsid w:val="00015C68"/>
    <w:rsid w:val="00015CB2"/>
    <w:rsid w:val="00015D79"/>
    <w:rsid w:val="00016290"/>
    <w:rsid w:val="000162C8"/>
    <w:rsid w:val="00016358"/>
    <w:rsid w:val="00016593"/>
    <w:rsid w:val="0001659F"/>
    <w:rsid w:val="0001667E"/>
    <w:rsid w:val="0001686E"/>
    <w:rsid w:val="00016920"/>
    <w:rsid w:val="00016A60"/>
    <w:rsid w:val="00016AB5"/>
    <w:rsid w:val="00016BFF"/>
    <w:rsid w:val="00016E64"/>
    <w:rsid w:val="00016E80"/>
    <w:rsid w:val="00016EBE"/>
    <w:rsid w:val="000170C8"/>
    <w:rsid w:val="000171B7"/>
    <w:rsid w:val="00017214"/>
    <w:rsid w:val="000172C8"/>
    <w:rsid w:val="0001749C"/>
    <w:rsid w:val="00017934"/>
    <w:rsid w:val="00017943"/>
    <w:rsid w:val="00017F90"/>
    <w:rsid w:val="00020089"/>
    <w:rsid w:val="0002029E"/>
    <w:rsid w:val="000202A1"/>
    <w:rsid w:val="000208D9"/>
    <w:rsid w:val="00020B48"/>
    <w:rsid w:val="00020BBB"/>
    <w:rsid w:val="00020C9E"/>
    <w:rsid w:val="00020D9A"/>
    <w:rsid w:val="00020E1C"/>
    <w:rsid w:val="00020E2A"/>
    <w:rsid w:val="0002113E"/>
    <w:rsid w:val="000212C9"/>
    <w:rsid w:val="000212FA"/>
    <w:rsid w:val="0002138D"/>
    <w:rsid w:val="00021460"/>
    <w:rsid w:val="000215B1"/>
    <w:rsid w:val="0002185A"/>
    <w:rsid w:val="00021B9D"/>
    <w:rsid w:val="00021D83"/>
    <w:rsid w:val="00021F28"/>
    <w:rsid w:val="0002226F"/>
    <w:rsid w:val="000222DC"/>
    <w:rsid w:val="00022367"/>
    <w:rsid w:val="00022504"/>
    <w:rsid w:val="00022508"/>
    <w:rsid w:val="0002250F"/>
    <w:rsid w:val="000226B7"/>
    <w:rsid w:val="000227C4"/>
    <w:rsid w:val="0002287D"/>
    <w:rsid w:val="00022890"/>
    <w:rsid w:val="00022A9D"/>
    <w:rsid w:val="00022CC8"/>
    <w:rsid w:val="00022DBF"/>
    <w:rsid w:val="00022DEC"/>
    <w:rsid w:val="00022E79"/>
    <w:rsid w:val="00023050"/>
    <w:rsid w:val="000230AE"/>
    <w:rsid w:val="000231B8"/>
    <w:rsid w:val="0002325D"/>
    <w:rsid w:val="00023467"/>
    <w:rsid w:val="0002362B"/>
    <w:rsid w:val="00023764"/>
    <w:rsid w:val="0002392C"/>
    <w:rsid w:val="00023BE8"/>
    <w:rsid w:val="00023C35"/>
    <w:rsid w:val="00023D38"/>
    <w:rsid w:val="00023D42"/>
    <w:rsid w:val="00023E13"/>
    <w:rsid w:val="000240B3"/>
    <w:rsid w:val="00024138"/>
    <w:rsid w:val="000243A0"/>
    <w:rsid w:val="000243C1"/>
    <w:rsid w:val="000245D6"/>
    <w:rsid w:val="00024666"/>
    <w:rsid w:val="00024676"/>
    <w:rsid w:val="00024755"/>
    <w:rsid w:val="0002495F"/>
    <w:rsid w:val="00024966"/>
    <w:rsid w:val="00024A05"/>
    <w:rsid w:val="00024A1B"/>
    <w:rsid w:val="00024A4C"/>
    <w:rsid w:val="00024B30"/>
    <w:rsid w:val="00024BD2"/>
    <w:rsid w:val="00024D51"/>
    <w:rsid w:val="00024EA7"/>
    <w:rsid w:val="00024EFC"/>
    <w:rsid w:val="000253FD"/>
    <w:rsid w:val="00025453"/>
    <w:rsid w:val="0002577C"/>
    <w:rsid w:val="000258FB"/>
    <w:rsid w:val="00025967"/>
    <w:rsid w:val="00025A7C"/>
    <w:rsid w:val="00025FAD"/>
    <w:rsid w:val="00025FCC"/>
    <w:rsid w:val="000260D0"/>
    <w:rsid w:val="0002612E"/>
    <w:rsid w:val="0002627F"/>
    <w:rsid w:val="00026473"/>
    <w:rsid w:val="0002657F"/>
    <w:rsid w:val="000265B7"/>
    <w:rsid w:val="000265CC"/>
    <w:rsid w:val="000265D3"/>
    <w:rsid w:val="0002665C"/>
    <w:rsid w:val="000269AB"/>
    <w:rsid w:val="00026B15"/>
    <w:rsid w:val="00026C99"/>
    <w:rsid w:val="00026D55"/>
    <w:rsid w:val="00026EBF"/>
    <w:rsid w:val="00026FB0"/>
    <w:rsid w:val="00026FD6"/>
    <w:rsid w:val="00026FF4"/>
    <w:rsid w:val="00027085"/>
    <w:rsid w:val="000271B9"/>
    <w:rsid w:val="0002729A"/>
    <w:rsid w:val="0002729E"/>
    <w:rsid w:val="000272CF"/>
    <w:rsid w:val="00027341"/>
    <w:rsid w:val="00027381"/>
    <w:rsid w:val="000276EB"/>
    <w:rsid w:val="00030000"/>
    <w:rsid w:val="000302C3"/>
    <w:rsid w:val="00030387"/>
    <w:rsid w:val="00030432"/>
    <w:rsid w:val="000304AC"/>
    <w:rsid w:val="000304D9"/>
    <w:rsid w:val="0003052A"/>
    <w:rsid w:val="00030686"/>
    <w:rsid w:val="00030754"/>
    <w:rsid w:val="000307A6"/>
    <w:rsid w:val="00030889"/>
    <w:rsid w:val="0003091D"/>
    <w:rsid w:val="0003094F"/>
    <w:rsid w:val="00030A50"/>
    <w:rsid w:val="00030BF2"/>
    <w:rsid w:val="00030CA1"/>
    <w:rsid w:val="00030D8C"/>
    <w:rsid w:val="00030F0F"/>
    <w:rsid w:val="0003102C"/>
    <w:rsid w:val="000310EF"/>
    <w:rsid w:val="000312F5"/>
    <w:rsid w:val="000313B0"/>
    <w:rsid w:val="0003155D"/>
    <w:rsid w:val="000316C3"/>
    <w:rsid w:val="000319E9"/>
    <w:rsid w:val="00031B01"/>
    <w:rsid w:val="00031B7A"/>
    <w:rsid w:val="00031C75"/>
    <w:rsid w:val="000320E4"/>
    <w:rsid w:val="00032297"/>
    <w:rsid w:val="000322EB"/>
    <w:rsid w:val="00032497"/>
    <w:rsid w:val="000325A4"/>
    <w:rsid w:val="000326C9"/>
    <w:rsid w:val="000326DA"/>
    <w:rsid w:val="00032814"/>
    <w:rsid w:val="0003288C"/>
    <w:rsid w:val="00032929"/>
    <w:rsid w:val="00032985"/>
    <w:rsid w:val="00032A54"/>
    <w:rsid w:val="00032B2F"/>
    <w:rsid w:val="00032C13"/>
    <w:rsid w:val="00032DA4"/>
    <w:rsid w:val="000330B5"/>
    <w:rsid w:val="000330CE"/>
    <w:rsid w:val="000330F2"/>
    <w:rsid w:val="00033376"/>
    <w:rsid w:val="0003339A"/>
    <w:rsid w:val="000335F6"/>
    <w:rsid w:val="0003361F"/>
    <w:rsid w:val="0003371C"/>
    <w:rsid w:val="000337AC"/>
    <w:rsid w:val="0003390D"/>
    <w:rsid w:val="00033936"/>
    <w:rsid w:val="000339C1"/>
    <w:rsid w:val="00033A47"/>
    <w:rsid w:val="00033A54"/>
    <w:rsid w:val="00033B30"/>
    <w:rsid w:val="00033B87"/>
    <w:rsid w:val="00033DAE"/>
    <w:rsid w:val="00033E67"/>
    <w:rsid w:val="00034360"/>
    <w:rsid w:val="0003444D"/>
    <w:rsid w:val="00034785"/>
    <w:rsid w:val="000348C9"/>
    <w:rsid w:val="000349D0"/>
    <w:rsid w:val="00034AF3"/>
    <w:rsid w:val="00034DFA"/>
    <w:rsid w:val="00034E73"/>
    <w:rsid w:val="00035077"/>
    <w:rsid w:val="000350CA"/>
    <w:rsid w:val="00035145"/>
    <w:rsid w:val="0003514A"/>
    <w:rsid w:val="00035510"/>
    <w:rsid w:val="00035573"/>
    <w:rsid w:val="0003564D"/>
    <w:rsid w:val="0003577C"/>
    <w:rsid w:val="00035A67"/>
    <w:rsid w:val="00035C0A"/>
    <w:rsid w:val="00035DA1"/>
    <w:rsid w:val="000360A3"/>
    <w:rsid w:val="000360BA"/>
    <w:rsid w:val="000362C1"/>
    <w:rsid w:val="00036394"/>
    <w:rsid w:val="000364A7"/>
    <w:rsid w:val="000365EB"/>
    <w:rsid w:val="0003681B"/>
    <w:rsid w:val="0003681D"/>
    <w:rsid w:val="0003681E"/>
    <w:rsid w:val="00036A28"/>
    <w:rsid w:val="00036B6E"/>
    <w:rsid w:val="00036CDC"/>
    <w:rsid w:val="00036D07"/>
    <w:rsid w:val="00036DE8"/>
    <w:rsid w:val="00036DFD"/>
    <w:rsid w:val="00036EF6"/>
    <w:rsid w:val="00036EF9"/>
    <w:rsid w:val="000371A6"/>
    <w:rsid w:val="00037461"/>
    <w:rsid w:val="0003761B"/>
    <w:rsid w:val="00037A65"/>
    <w:rsid w:val="00037BCC"/>
    <w:rsid w:val="00037C50"/>
    <w:rsid w:val="00037CDF"/>
    <w:rsid w:val="00037F2A"/>
    <w:rsid w:val="0004026F"/>
    <w:rsid w:val="00040478"/>
    <w:rsid w:val="000405B2"/>
    <w:rsid w:val="00040691"/>
    <w:rsid w:val="0004079E"/>
    <w:rsid w:val="00040842"/>
    <w:rsid w:val="00040863"/>
    <w:rsid w:val="00040969"/>
    <w:rsid w:val="000409BE"/>
    <w:rsid w:val="000409DB"/>
    <w:rsid w:val="00040B81"/>
    <w:rsid w:val="00040E74"/>
    <w:rsid w:val="00040FC9"/>
    <w:rsid w:val="00041156"/>
    <w:rsid w:val="0004116C"/>
    <w:rsid w:val="000412B6"/>
    <w:rsid w:val="000412D3"/>
    <w:rsid w:val="0004144B"/>
    <w:rsid w:val="0004175A"/>
    <w:rsid w:val="0004176E"/>
    <w:rsid w:val="00041A3F"/>
    <w:rsid w:val="00041A98"/>
    <w:rsid w:val="000421A3"/>
    <w:rsid w:val="0004248B"/>
    <w:rsid w:val="000424C4"/>
    <w:rsid w:val="000425D7"/>
    <w:rsid w:val="0004272E"/>
    <w:rsid w:val="000427D9"/>
    <w:rsid w:val="000428DA"/>
    <w:rsid w:val="00042901"/>
    <w:rsid w:val="00042C54"/>
    <w:rsid w:val="00042CBA"/>
    <w:rsid w:val="0004305C"/>
    <w:rsid w:val="000431D8"/>
    <w:rsid w:val="000431EA"/>
    <w:rsid w:val="000434F7"/>
    <w:rsid w:val="0004352B"/>
    <w:rsid w:val="0004359B"/>
    <w:rsid w:val="000435B6"/>
    <w:rsid w:val="0004364F"/>
    <w:rsid w:val="00043B41"/>
    <w:rsid w:val="00043BBE"/>
    <w:rsid w:val="00043BF5"/>
    <w:rsid w:val="00043C34"/>
    <w:rsid w:val="00043F19"/>
    <w:rsid w:val="00044121"/>
    <w:rsid w:val="00044124"/>
    <w:rsid w:val="0004424F"/>
    <w:rsid w:val="0004429D"/>
    <w:rsid w:val="00044328"/>
    <w:rsid w:val="000444C8"/>
    <w:rsid w:val="00044641"/>
    <w:rsid w:val="00044685"/>
    <w:rsid w:val="00044757"/>
    <w:rsid w:val="000448F5"/>
    <w:rsid w:val="00044C15"/>
    <w:rsid w:val="00044D22"/>
    <w:rsid w:val="00044D7F"/>
    <w:rsid w:val="00044F07"/>
    <w:rsid w:val="00044FFC"/>
    <w:rsid w:val="0004500D"/>
    <w:rsid w:val="000450A3"/>
    <w:rsid w:val="000450BF"/>
    <w:rsid w:val="00045186"/>
    <w:rsid w:val="000451B5"/>
    <w:rsid w:val="000451C3"/>
    <w:rsid w:val="00045379"/>
    <w:rsid w:val="0004556F"/>
    <w:rsid w:val="00045583"/>
    <w:rsid w:val="0004592A"/>
    <w:rsid w:val="0004595A"/>
    <w:rsid w:val="000459A9"/>
    <w:rsid w:val="00045A2B"/>
    <w:rsid w:val="00045A51"/>
    <w:rsid w:val="00045A91"/>
    <w:rsid w:val="00045B5E"/>
    <w:rsid w:val="00045B5F"/>
    <w:rsid w:val="00045C21"/>
    <w:rsid w:val="00045DA2"/>
    <w:rsid w:val="00045E51"/>
    <w:rsid w:val="00045EBF"/>
    <w:rsid w:val="000460BE"/>
    <w:rsid w:val="0004621A"/>
    <w:rsid w:val="00046298"/>
    <w:rsid w:val="0004633C"/>
    <w:rsid w:val="000465FA"/>
    <w:rsid w:val="00046613"/>
    <w:rsid w:val="00046763"/>
    <w:rsid w:val="00046971"/>
    <w:rsid w:val="000469D3"/>
    <w:rsid w:val="00046D0E"/>
    <w:rsid w:val="00046ED7"/>
    <w:rsid w:val="00047023"/>
    <w:rsid w:val="00047085"/>
    <w:rsid w:val="0004709B"/>
    <w:rsid w:val="000470F5"/>
    <w:rsid w:val="00047149"/>
    <w:rsid w:val="00047340"/>
    <w:rsid w:val="00047353"/>
    <w:rsid w:val="0004739D"/>
    <w:rsid w:val="00047475"/>
    <w:rsid w:val="000474C9"/>
    <w:rsid w:val="00047621"/>
    <w:rsid w:val="0004763D"/>
    <w:rsid w:val="000477E9"/>
    <w:rsid w:val="000477FF"/>
    <w:rsid w:val="00047993"/>
    <w:rsid w:val="000479BA"/>
    <w:rsid w:val="00047AC0"/>
    <w:rsid w:val="00047CF5"/>
    <w:rsid w:val="00047ED0"/>
    <w:rsid w:val="00047F14"/>
    <w:rsid w:val="00047F2F"/>
    <w:rsid w:val="00047F70"/>
    <w:rsid w:val="00047FD8"/>
    <w:rsid w:val="00050083"/>
    <w:rsid w:val="000500D3"/>
    <w:rsid w:val="000501B9"/>
    <w:rsid w:val="00050327"/>
    <w:rsid w:val="00050430"/>
    <w:rsid w:val="00050573"/>
    <w:rsid w:val="00050575"/>
    <w:rsid w:val="000505DD"/>
    <w:rsid w:val="00050666"/>
    <w:rsid w:val="00050B0F"/>
    <w:rsid w:val="00050B5B"/>
    <w:rsid w:val="00050B7D"/>
    <w:rsid w:val="00050DD4"/>
    <w:rsid w:val="00050E24"/>
    <w:rsid w:val="00050EC2"/>
    <w:rsid w:val="00051084"/>
    <w:rsid w:val="0005109F"/>
    <w:rsid w:val="0005133A"/>
    <w:rsid w:val="00051666"/>
    <w:rsid w:val="000518F4"/>
    <w:rsid w:val="00051910"/>
    <w:rsid w:val="00051B34"/>
    <w:rsid w:val="00051E75"/>
    <w:rsid w:val="00051E94"/>
    <w:rsid w:val="00051EB5"/>
    <w:rsid w:val="00051F0E"/>
    <w:rsid w:val="00052286"/>
    <w:rsid w:val="000523BD"/>
    <w:rsid w:val="000524E1"/>
    <w:rsid w:val="00052582"/>
    <w:rsid w:val="0005260E"/>
    <w:rsid w:val="000527E2"/>
    <w:rsid w:val="00052809"/>
    <w:rsid w:val="0005286A"/>
    <w:rsid w:val="0005295F"/>
    <w:rsid w:val="00052C18"/>
    <w:rsid w:val="00052C6B"/>
    <w:rsid w:val="00052CF0"/>
    <w:rsid w:val="00052E1B"/>
    <w:rsid w:val="00052EB9"/>
    <w:rsid w:val="00053376"/>
    <w:rsid w:val="0005345A"/>
    <w:rsid w:val="000534CD"/>
    <w:rsid w:val="00053629"/>
    <w:rsid w:val="00053695"/>
    <w:rsid w:val="0005388A"/>
    <w:rsid w:val="00053A2D"/>
    <w:rsid w:val="00053BAE"/>
    <w:rsid w:val="000542B9"/>
    <w:rsid w:val="0005434F"/>
    <w:rsid w:val="000544BD"/>
    <w:rsid w:val="00054510"/>
    <w:rsid w:val="00054768"/>
    <w:rsid w:val="00054793"/>
    <w:rsid w:val="000547F4"/>
    <w:rsid w:val="00054826"/>
    <w:rsid w:val="00054913"/>
    <w:rsid w:val="00054A68"/>
    <w:rsid w:val="00054BA9"/>
    <w:rsid w:val="00054BDC"/>
    <w:rsid w:val="00054F47"/>
    <w:rsid w:val="00054F76"/>
    <w:rsid w:val="00055014"/>
    <w:rsid w:val="000550E0"/>
    <w:rsid w:val="00055412"/>
    <w:rsid w:val="0005543E"/>
    <w:rsid w:val="000555BA"/>
    <w:rsid w:val="0005599A"/>
    <w:rsid w:val="00055AEF"/>
    <w:rsid w:val="00055B21"/>
    <w:rsid w:val="00055C7E"/>
    <w:rsid w:val="00055DB2"/>
    <w:rsid w:val="00055FF2"/>
    <w:rsid w:val="000562E5"/>
    <w:rsid w:val="0005635A"/>
    <w:rsid w:val="000563FE"/>
    <w:rsid w:val="0005644E"/>
    <w:rsid w:val="000565BB"/>
    <w:rsid w:val="000565DD"/>
    <w:rsid w:val="00056648"/>
    <w:rsid w:val="000567B9"/>
    <w:rsid w:val="000567FC"/>
    <w:rsid w:val="0005688B"/>
    <w:rsid w:val="000569AC"/>
    <w:rsid w:val="000569B2"/>
    <w:rsid w:val="00056A2A"/>
    <w:rsid w:val="00056A84"/>
    <w:rsid w:val="00056C3D"/>
    <w:rsid w:val="00056D58"/>
    <w:rsid w:val="00056E6E"/>
    <w:rsid w:val="000570E4"/>
    <w:rsid w:val="0005727F"/>
    <w:rsid w:val="000572CE"/>
    <w:rsid w:val="0005736F"/>
    <w:rsid w:val="00057382"/>
    <w:rsid w:val="000573EB"/>
    <w:rsid w:val="0005748B"/>
    <w:rsid w:val="00057556"/>
    <w:rsid w:val="000577AD"/>
    <w:rsid w:val="00057970"/>
    <w:rsid w:val="00057976"/>
    <w:rsid w:val="00057A4C"/>
    <w:rsid w:val="00057A55"/>
    <w:rsid w:val="00057BF1"/>
    <w:rsid w:val="00057FB5"/>
    <w:rsid w:val="000600E8"/>
    <w:rsid w:val="0006065C"/>
    <w:rsid w:val="000606D9"/>
    <w:rsid w:val="000606F4"/>
    <w:rsid w:val="00060913"/>
    <w:rsid w:val="00060A35"/>
    <w:rsid w:val="00060A7A"/>
    <w:rsid w:val="00060D90"/>
    <w:rsid w:val="00060DD3"/>
    <w:rsid w:val="00060E8E"/>
    <w:rsid w:val="00061047"/>
    <w:rsid w:val="000611BB"/>
    <w:rsid w:val="00061340"/>
    <w:rsid w:val="00061355"/>
    <w:rsid w:val="00061414"/>
    <w:rsid w:val="00061421"/>
    <w:rsid w:val="00061480"/>
    <w:rsid w:val="000614B4"/>
    <w:rsid w:val="000615C2"/>
    <w:rsid w:val="00061652"/>
    <w:rsid w:val="00061662"/>
    <w:rsid w:val="0006186D"/>
    <w:rsid w:val="00061B3D"/>
    <w:rsid w:val="00061B41"/>
    <w:rsid w:val="00061B8F"/>
    <w:rsid w:val="00061D97"/>
    <w:rsid w:val="00061FFF"/>
    <w:rsid w:val="00062050"/>
    <w:rsid w:val="0006230D"/>
    <w:rsid w:val="00062478"/>
    <w:rsid w:val="000625A5"/>
    <w:rsid w:val="0006275F"/>
    <w:rsid w:val="00062876"/>
    <w:rsid w:val="000628F3"/>
    <w:rsid w:val="00062B54"/>
    <w:rsid w:val="00062BD1"/>
    <w:rsid w:val="00062EAF"/>
    <w:rsid w:val="00062EEE"/>
    <w:rsid w:val="00063068"/>
    <w:rsid w:val="00063122"/>
    <w:rsid w:val="00063175"/>
    <w:rsid w:val="0006317B"/>
    <w:rsid w:val="000631E0"/>
    <w:rsid w:val="00063594"/>
    <w:rsid w:val="0006386A"/>
    <w:rsid w:val="000639C0"/>
    <w:rsid w:val="00063A39"/>
    <w:rsid w:val="00063AB2"/>
    <w:rsid w:val="00063CF5"/>
    <w:rsid w:val="00063D15"/>
    <w:rsid w:val="00063D6B"/>
    <w:rsid w:val="00063E69"/>
    <w:rsid w:val="00063ED5"/>
    <w:rsid w:val="000641FE"/>
    <w:rsid w:val="00064275"/>
    <w:rsid w:val="0006429F"/>
    <w:rsid w:val="000642FB"/>
    <w:rsid w:val="00064586"/>
    <w:rsid w:val="000645AD"/>
    <w:rsid w:val="00064651"/>
    <w:rsid w:val="00064654"/>
    <w:rsid w:val="000646F3"/>
    <w:rsid w:val="000648B8"/>
    <w:rsid w:val="00064BEF"/>
    <w:rsid w:val="00064C81"/>
    <w:rsid w:val="00064CB3"/>
    <w:rsid w:val="00064DB5"/>
    <w:rsid w:val="00064E69"/>
    <w:rsid w:val="000650F1"/>
    <w:rsid w:val="0006519D"/>
    <w:rsid w:val="000651A2"/>
    <w:rsid w:val="0006524A"/>
    <w:rsid w:val="00065349"/>
    <w:rsid w:val="00065444"/>
    <w:rsid w:val="000654DD"/>
    <w:rsid w:val="0006569B"/>
    <w:rsid w:val="00065829"/>
    <w:rsid w:val="00065955"/>
    <w:rsid w:val="00065A41"/>
    <w:rsid w:val="00065CB2"/>
    <w:rsid w:val="00065D4E"/>
    <w:rsid w:val="00065DED"/>
    <w:rsid w:val="00065E23"/>
    <w:rsid w:val="00065E99"/>
    <w:rsid w:val="0006606E"/>
    <w:rsid w:val="000660E5"/>
    <w:rsid w:val="00066476"/>
    <w:rsid w:val="000664E9"/>
    <w:rsid w:val="0006654F"/>
    <w:rsid w:val="000667A2"/>
    <w:rsid w:val="000667D4"/>
    <w:rsid w:val="00066B4C"/>
    <w:rsid w:val="00066BC9"/>
    <w:rsid w:val="00066C6A"/>
    <w:rsid w:val="00066C91"/>
    <w:rsid w:val="00066CE9"/>
    <w:rsid w:val="00066D33"/>
    <w:rsid w:val="00066D41"/>
    <w:rsid w:val="00066D57"/>
    <w:rsid w:val="00066DAE"/>
    <w:rsid w:val="00067024"/>
    <w:rsid w:val="0006727B"/>
    <w:rsid w:val="00067289"/>
    <w:rsid w:val="000674D1"/>
    <w:rsid w:val="0006757A"/>
    <w:rsid w:val="000678ED"/>
    <w:rsid w:val="00067A10"/>
    <w:rsid w:val="00067BB0"/>
    <w:rsid w:val="00067C82"/>
    <w:rsid w:val="00067D66"/>
    <w:rsid w:val="00067D9E"/>
    <w:rsid w:val="00067EC4"/>
    <w:rsid w:val="000700E3"/>
    <w:rsid w:val="0007045F"/>
    <w:rsid w:val="00070661"/>
    <w:rsid w:val="000706C0"/>
    <w:rsid w:val="000709CB"/>
    <w:rsid w:val="00070A1A"/>
    <w:rsid w:val="00070D60"/>
    <w:rsid w:val="00070E23"/>
    <w:rsid w:val="00070E50"/>
    <w:rsid w:val="00070FA5"/>
    <w:rsid w:val="00071085"/>
    <w:rsid w:val="000710EF"/>
    <w:rsid w:val="000711C6"/>
    <w:rsid w:val="00071369"/>
    <w:rsid w:val="000713D5"/>
    <w:rsid w:val="0007152F"/>
    <w:rsid w:val="000715ED"/>
    <w:rsid w:val="000716F4"/>
    <w:rsid w:val="00071A78"/>
    <w:rsid w:val="00071DB8"/>
    <w:rsid w:val="00071F0B"/>
    <w:rsid w:val="000721BA"/>
    <w:rsid w:val="0007259A"/>
    <w:rsid w:val="0007263D"/>
    <w:rsid w:val="000726BC"/>
    <w:rsid w:val="00072947"/>
    <w:rsid w:val="00072B6A"/>
    <w:rsid w:val="00072F57"/>
    <w:rsid w:val="00073204"/>
    <w:rsid w:val="00073246"/>
    <w:rsid w:val="00073277"/>
    <w:rsid w:val="0007327C"/>
    <w:rsid w:val="000732D1"/>
    <w:rsid w:val="00073481"/>
    <w:rsid w:val="00073560"/>
    <w:rsid w:val="000736AF"/>
    <w:rsid w:val="00073812"/>
    <w:rsid w:val="00073A33"/>
    <w:rsid w:val="00073A5D"/>
    <w:rsid w:val="00073DB7"/>
    <w:rsid w:val="000740CD"/>
    <w:rsid w:val="000745EE"/>
    <w:rsid w:val="000746F2"/>
    <w:rsid w:val="0007483F"/>
    <w:rsid w:val="00074958"/>
    <w:rsid w:val="00074AF6"/>
    <w:rsid w:val="00074C39"/>
    <w:rsid w:val="00074E06"/>
    <w:rsid w:val="00074EAB"/>
    <w:rsid w:val="00075384"/>
    <w:rsid w:val="000753B2"/>
    <w:rsid w:val="000753D6"/>
    <w:rsid w:val="00075498"/>
    <w:rsid w:val="000754D8"/>
    <w:rsid w:val="00075797"/>
    <w:rsid w:val="000757FB"/>
    <w:rsid w:val="00075897"/>
    <w:rsid w:val="0007592E"/>
    <w:rsid w:val="00075A35"/>
    <w:rsid w:val="00075C8E"/>
    <w:rsid w:val="00075CC2"/>
    <w:rsid w:val="000762EC"/>
    <w:rsid w:val="00076687"/>
    <w:rsid w:val="00076798"/>
    <w:rsid w:val="000768B5"/>
    <w:rsid w:val="00076915"/>
    <w:rsid w:val="00076ADE"/>
    <w:rsid w:val="00076D94"/>
    <w:rsid w:val="00076DB9"/>
    <w:rsid w:val="00076DE6"/>
    <w:rsid w:val="00077104"/>
    <w:rsid w:val="00077132"/>
    <w:rsid w:val="00077177"/>
    <w:rsid w:val="00077218"/>
    <w:rsid w:val="00077296"/>
    <w:rsid w:val="000772E0"/>
    <w:rsid w:val="0007730F"/>
    <w:rsid w:val="00077475"/>
    <w:rsid w:val="00077699"/>
    <w:rsid w:val="000776E4"/>
    <w:rsid w:val="00077808"/>
    <w:rsid w:val="00077866"/>
    <w:rsid w:val="000778A9"/>
    <w:rsid w:val="000778F1"/>
    <w:rsid w:val="000779A5"/>
    <w:rsid w:val="00077EDD"/>
    <w:rsid w:val="00077EEA"/>
    <w:rsid w:val="00080022"/>
    <w:rsid w:val="0008002D"/>
    <w:rsid w:val="000802E2"/>
    <w:rsid w:val="000803DF"/>
    <w:rsid w:val="00080440"/>
    <w:rsid w:val="0008067F"/>
    <w:rsid w:val="0008076C"/>
    <w:rsid w:val="0008080E"/>
    <w:rsid w:val="000808D8"/>
    <w:rsid w:val="00080B14"/>
    <w:rsid w:val="00080CE6"/>
    <w:rsid w:val="00080F70"/>
    <w:rsid w:val="0008106C"/>
    <w:rsid w:val="000813B1"/>
    <w:rsid w:val="000813C3"/>
    <w:rsid w:val="00081645"/>
    <w:rsid w:val="00081834"/>
    <w:rsid w:val="0008191F"/>
    <w:rsid w:val="00081959"/>
    <w:rsid w:val="00081DDE"/>
    <w:rsid w:val="00081E12"/>
    <w:rsid w:val="000820F1"/>
    <w:rsid w:val="000821A0"/>
    <w:rsid w:val="00082273"/>
    <w:rsid w:val="000822D1"/>
    <w:rsid w:val="00082394"/>
    <w:rsid w:val="0008255A"/>
    <w:rsid w:val="000825F7"/>
    <w:rsid w:val="000826E8"/>
    <w:rsid w:val="000827EE"/>
    <w:rsid w:val="00082858"/>
    <w:rsid w:val="000828C3"/>
    <w:rsid w:val="00082B2F"/>
    <w:rsid w:val="00082B99"/>
    <w:rsid w:val="00082E36"/>
    <w:rsid w:val="00083042"/>
    <w:rsid w:val="000830D0"/>
    <w:rsid w:val="000832C7"/>
    <w:rsid w:val="000832CF"/>
    <w:rsid w:val="000833C1"/>
    <w:rsid w:val="00083410"/>
    <w:rsid w:val="00083509"/>
    <w:rsid w:val="0008357B"/>
    <w:rsid w:val="00083617"/>
    <w:rsid w:val="0008361D"/>
    <w:rsid w:val="00083632"/>
    <w:rsid w:val="00083657"/>
    <w:rsid w:val="00083705"/>
    <w:rsid w:val="00083729"/>
    <w:rsid w:val="000837CA"/>
    <w:rsid w:val="000839D7"/>
    <w:rsid w:val="00083AAC"/>
    <w:rsid w:val="00083C9E"/>
    <w:rsid w:val="00083E0B"/>
    <w:rsid w:val="0008412D"/>
    <w:rsid w:val="0008429C"/>
    <w:rsid w:val="000842E0"/>
    <w:rsid w:val="000842EF"/>
    <w:rsid w:val="000844B5"/>
    <w:rsid w:val="00084843"/>
    <w:rsid w:val="00084988"/>
    <w:rsid w:val="00084A28"/>
    <w:rsid w:val="00084C57"/>
    <w:rsid w:val="00084F1D"/>
    <w:rsid w:val="00084F2F"/>
    <w:rsid w:val="00084FCD"/>
    <w:rsid w:val="00085389"/>
    <w:rsid w:val="0008547B"/>
    <w:rsid w:val="000854D2"/>
    <w:rsid w:val="00085621"/>
    <w:rsid w:val="00085699"/>
    <w:rsid w:val="000856A9"/>
    <w:rsid w:val="000857EC"/>
    <w:rsid w:val="00085A28"/>
    <w:rsid w:val="00085AFA"/>
    <w:rsid w:val="00085BF1"/>
    <w:rsid w:val="00085D22"/>
    <w:rsid w:val="00085D7E"/>
    <w:rsid w:val="00085E1D"/>
    <w:rsid w:val="00086054"/>
    <w:rsid w:val="000862CD"/>
    <w:rsid w:val="000862E2"/>
    <w:rsid w:val="000865D4"/>
    <w:rsid w:val="000866FC"/>
    <w:rsid w:val="000867FC"/>
    <w:rsid w:val="00086819"/>
    <w:rsid w:val="000868C5"/>
    <w:rsid w:val="00086BE9"/>
    <w:rsid w:val="00086D31"/>
    <w:rsid w:val="00086E28"/>
    <w:rsid w:val="00086EB6"/>
    <w:rsid w:val="000870B5"/>
    <w:rsid w:val="0008723D"/>
    <w:rsid w:val="0008761E"/>
    <w:rsid w:val="00087772"/>
    <w:rsid w:val="00087797"/>
    <w:rsid w:val="00087AC9"/>
    <w:rsid w:val="00087BAB"/>
    <w:rsid w:val="00087D18"/>
    <w:rsid w:val="00087D59"/>
    <w:rsid w:val="00087F1B"/>
    <w:rsid w:val="00087F34"/>
    <w:rsid w:val="00087FBB"/>
    <w:rsid w:val="00090095"/>
    <w:rsid w:val="000902CF"/>
    <w:rsid w:val="000902FB"/>
    <w:rsid w:val="000905BB"/>
    <w:rsid w:val="00090648"/>
    <w:rsid w:val="000907E0"/>
    <w:rsid w:val="0009099A"/>
    <w:rsid w:val="00090AA7"/>
    <w:rsid w:val="00090BAE"/>
    <w:rsid w:val="00090C5C"/>
    <w:rsid w:val="00090D4B"/>
    <w:rsid w:val="00090DAC"/>
    <w:rsid w:val="0009135D"/>
    <w:rsid w:val="00091430"/>
    <w:rsid w:val="0009145C"/>
    <w:rsid w:val="00091472"/>
    <w:rsid w:val="00091719"/>
    <w:rsid w:val="00091724"/>
    <w:rsid w:val="00091734"/>
    <w:rsid w:val="000918B9"/>
    <w:rsid w:val="00091D33"/>
    <w:rsid w:val="00091D6E"/>
    <w:rsid w:val="00091E2D"/>
    <w:rsid w:val="00091FB0"/>
    <w:rsid w:val="00092316"/>
    <w:rsid w:val="0009249A"/>
    <w:rsid w:val="000926FA"/>
    <w:rsid w:val="0009280D"/>
    <w:rsid w:val="00092C80"/>
    <w:rsid w:val="00092DC3"/>
    <w:rsid w:val="00092F42"/>
    <w:rsid w:val="00092FAE"/>
    <w:rsid w:val="00092FE5"/>
    <w:rsid w:val="000931B6"/>
    <w:rsid w:val="00093214"/>
    <w:rsid w:val="0009321C"/>
    <w:rsid w:val="000932F6"/>
    <w:rsid w:val="00093372"/>
    <w:rsid w:val="0009343C"/>
    <w:rsid w:val="00093449"/>
    <w:rsid w:val="0009364C"/>
    <w:rsid w:val="00093799"/>
    <w:rsid w:val="00093847"/>
    <w:rsid w:val="0009391B"/>
    <w:rsid w:val="00093A01"/>
    <w:rsid w:val="00093B25"/>
    <w:rsid w:val="00093D6A"/>
    <w:rsid w:val="00093E85"/>
    <w:rsid w:val="00093FD4"/>
    <w:rsid w:val="00094081"/>
    <w:rsid w:val="000940A9"/>
    <w:rsid w:val="00094161"/>
    <w:rsid w:val="000941FB"/>
    <w:rsid w:val="0009427C"/>
    <w:rsid w:val="000945EB"/>
    <w:rsid w:val="0009474D"/>
    <w:rsid w:val="00094B86"/>
    <w:rsid w:val="00094E03"/>
    <w:rsid w:val="00094FB9"/>
    <w:rsid w:val="000950F0"/>
    <w:rsid w:val="00095278"/>
    <w:rsid w:val="0009531B"/>
    <w:rsid w:val="0009536D"/>
    <w:rsid w:val="000953B7"/>
    <w:rsid w:val="000954DC"/>
    <w:rsid w:val="0009552E"/>
    <w:rsid w:val="0009589A"/>
    <w:rsid w:val="00095A82"/>
    <w:rsid w:val="00095AA5"/>
    <w:rsid w:val="00095C1B"/>
    <w:rsid w:val="00095EA0"/>
    <w:rsid w:val="00095F08"/>
    <w:rsid w:val="00095F23"/>
    <w:rsid w:val="00096040"/>
    <w:rsid w:val="0009611E"/>
    <w:rsid w:val="00096132"/>
    <w:rsid w:val="000961B7"/>
    <w:rsid w:val="000962E9"/>
    <w:rsid w:val="00096522"/>
    <w:rsid w:val="000965BC"/>
    <w:rsid w:val="000965CA"/>
    <w:rsid w:val="00096612"/>
    <w:rsid w:val="000966CE"/>
    <w:rsid w:val="00096968"/>
    <w:rsid w:val="00096A11"/>
    <w:rsid w:val="00096B94"/>
    <w:rsid w:val="00096C0B"/>
    <w:rsid w:val="00096EC2"/>
    <w:rsid w:val="00096F40"/>
    <w:rsid w:val="000971D6"/>
    <w:rsid w:val="0009734B"/>
    <w:rsid w:val="000973BC"/>
    <w:rsid w:val="00097444"/>
    <w:rsid w:val="00097446"/>
    <w:rsid w:val="00097560"/>
    <w:rsid w:val="00097868"/>
    <w:rsid w:val="000979D6"/>
    <w:rsid w:val="00097C8A"/>
    <w:rsid w:val="00097CC7"/>
    <w:rsid w:val="000A00AC"/>
    <w:rsid w:val="000A00F9"/>
    <w:rsid w:val="000A0307"/>
    <w:rsid w:val="000A0467"/>
    <w:rsid w:val="000A0681"/>
    <w:rsid w:val="000A075A"/>
    <w:rsid w:val="000A0812"/>
    <w:rsid w:val="000A09C4"/>
    <w:rsid w:val="000A0DF7"/>
    <w:rsid w:val="000A0F67"/>
    <w:rsid w:val="000A112B"/>
    <w:rsid w:val="000A11EA"/>
    <w:rsid w:val="000A13BD"/>
    <w:rsid w:val="000A158A"/>
    <w:rsid w:val="000A1695"/>
    <w:rsid w:val="000A193D"/>
    <w:rsid w:val="000A1B78"/>
    <w:rsid w:val="000A1BDE"/>
    <w:rsid w:val="000A1CD4"/>
    <w:rsid w:val="000A1F2B"/>
    <w:rsid w:val="000A1F7E"/>
    <w:rsid w:val="000A22D9"/>
    <w:rsid w:val="000A2695"/>
    <w:rsid w:val="000A284D"/>
    <w:rsid w:val="000A2E13"/>
    <w:rsid w:val="000A2E48"/>
    <w:rsid w:val="000A316C"/>
    <w:rsid w:val="000A34D0"/>
    <w:rsid w:val="000A3511"/>
    <w:rsid w:val="000A3656"/>
    <w:rsid w:val="000A3941"/>
    <w:rsid w:val="000A3B06"/>
    <w:rsid w:val="000A3ECD"/>
    <w:rsid w:val="000A3F72"/>
    <w:rsid w:val="000A404F"/>
    <w:rsid w:val="000A406E"/>
    <w:rsid w:val="000A439F"/>
    <w:rsid w:val="000A43B3"/>
    <w:rsid w:val="000A4701"/>
    <w:rsid w:val="000A4845"/>
    <w:rsid w:val="000A48A8"/>
    <w:rsid w:val="000A49EC"/>
    <w:rsid w:val="000A4AC4"/>
    <w:rsid w:val="000A4AF3"/>
    <w:rsid w:val="000A4F59"/>
    <w:rsid w:val="000A50C0"/>
    <w:rsid w:val="000A5312"/>
    <w:rsid w:val="000A56B4"/>
    <w:rsid w:val="000A5734"/>
    <w:rsid w:val="000A5762"/>
    <w:rsid w:val="000A5A82"/>
    <w:rsid w:val="000A5A8D"/>
    <w:rsid w:val="000A5ADA"/>
    <w:rsid w:val="000A5EE8"/>
    <w:rsid w:val="000A5F01"/>
    <w:rsid w:val="000A627D"/>
    <w:rsid w:val="000A6347"/>
    <w:rsid w:val="000A64DE"/>
    <w:rsid w:val="000A6795"/>
    <w:rsid w:val="000A67F7"/>
    <w:rsid w:val="000A6834"/>
    <w:rsid w:val="000A69B5"/>
    <w:rsid w:val="000A6B3D"/>
    <w:rsid w:val="000A6B9C"/>
    <w:rsid w:val="000A6CA6"/>
    <w:rsid w:val="000A6DD7"/>
    <w:rsid w:val="000A6EC3"/>
    <w:rsid w:val="000A71AE"/>
    <w:rsid w:val="000A7318"/>
    <w:rsid w:val="000A76E4"/>
    <w:rsid w:val="000A78CD"/>
    <w:rsid w:val="000A79DB"/>
    <w:rsid w:val="000A7ABD"/>
    <w:rsid w:val="000A7C46"/>
    <w:rsid w:val="000A7C60"/>
    <w:rsid w:val="000A7E24"/>
    <w:rsid w:val="000A7E90"/>
    <w:rsid w:val="000A7EAA"/>
    <w:rsid w:val="000A7FE5"/>
    <w:rsid w:val="000B0100"/>
    <w:rsid w:val="000B0276"/>
    <w:rsid w:val="000B0480"/>
    <w:rsid w:val="000B05EA"/>
    <w:rsid w:val="000B0630"/>
    <w:rsid w:val="000B066A"/>
    <w:rsid w:val="000B06A8"/>
    <w:rsid w:val="000B06F4"/>
    <w:rsid w:val="000B0DD6"/>
    <w:rsid w:val="000B0E5F"/>
    <w:rsid w:val="000B0F44"/>
    <w:rsid w:val="000B0F51"/>
    <w:rsid w:val="000B127D"/>
    <w:rsid w:val="000B1581"/>
    <w:rsid w:val="000B1635"/>
    <w:rsid w:val="000B1691"/>
    <w:rsid w:val="000B1692"/>
    <w:rsid w:val="000B16A9"/>
    <w:rsid w:val="000B1771"/>
    <w:rsid w:val="000B192C"/>
    <w:rsid w:val="000B19DE"/>
    <w:rsid w:val="000B1C94"/>
    <w:rsid w:val="000B1FB5"/>
    <w:rsid w:val="000B215C"/>
    <w:rsid w:val="000B2216"/>
    <w:rsid w:val="000B221A"/>
    <w:rsid w:val="000B2472"/>
    <w:rsid w:val="000B249F"/>
    <w:rsid w:val="000B2517"/>
    <w:rsid w:val="000B25F5"/>
    <w:rsid w:val="000B2727"/>
    <w:rsid w:val="000B2791"/>
    <w:rsid w:val="000B28AA"/>
    <w:rsid w:val="000B2A29"/>
    <w:rsid w:val="000B2B18"/>
    <w:rsid w:val="000B2B79"/>
    <w:rsid w:val="000B2BE4"/>
    <w:rsid w:val="000B2C4E"/>
    <w:rsid w:val="000B2D74"/>
    <w:rsid w:val="000B2E50"/>
    <w:rsid w:val="000B2E73"/>
    <w:rsid w:val="000B2EE9"/>
    <w:rsid w:val="000B2F48"/>
    <w:rsid w:val="000B2F58"/>
    <w:rsid w:val="000B3165"/>
    <w:rsid w:val="000B31BE"/>
    <w:rsid w:val="000B31FC"/>
    <w:rsid w:val="000B34C7"/>
    <w:rsid w:val="000B358F"/>
    <w:rsid w:val="000B374D"/>
    <w:rsid w:val="000B37CD"/>
    <w:rsid w:val="000B37EB"/>
    <w:rsid w:val="000B37FA"/>
    <w:rsid w:val="000B397D"/>
    <w:rsid w:val="000B3A01"/>
    <w:rsid w:val="000B3BB1"/>
    <w:rsid w:val="000B3BBA"/>
    <w:rsid w:val="000B3CAD"/>
    <w:rsid w:val="000B3D30"/>
    <w:rsid w:val="000B3D5B"/>
    <w:rsid w:val="000B3E6A"/>
    <w:rsid w:val="000B403B"/>
    <w:rsid w:val="000B40FA"/>
    <w:rsid w:val="000B4157"/>
    <w:rsid w:val="000B4175"/>
    <w:rsid w:val="000B42BF"/>
    <w:rsid w:val="000B44C3"/>
    <w:rsid w:val="000B46D2"/>
    <w:rsid w:val="000B4749"/>
    <w:rsid w:val="000B4A64"/>
    <w:rsid w:val="000B4A84"/>
    <w:rsid w:val="000B4B91"/>
    <w:rsid w:val="000B4CE2"/>
    <w:rsid w:val="000B4D13"/>
    <w:rsid w:val="000B4D60"/>
    <w:rsid w:val="000B4D64"/>
    <w:rsid w:val="000B4D9C"/>
    <w:rsid w:val="000B4DF9"/>
    <w:rsid w:val="000B4F5E"/>
    <w:rsid w:val="000B4F7F"/>
    <w:rsid w:val="000B4F86"/>
    <w:rsid w:val="000B4FF7"/>
    <w:rsid w:val="000B50A6"/>
    <w:rsid w:val="000B50D7"/>
    <w:rsid w:val="000B5136"/>
    <w:rsid w:val="000B5187"/>
    <w:rsid w:val="000B51EC"/>
    <w:rsid w:val="000B52FD"/>
    <w:rsid w:val="000B531D"/>
    <w:rsid w:val="000B53D9"/>
    <w:rsid w:val="000B5885"/>
    <w:rsid w:val="000B5BA0"/>
    <w:rsid w:val="000B5BFA"/>
    <w:rsid w:val="000B5C01"/>
    <w:rsid w:val="000B5C58"/>
    <w:rsid w:val="000B5CBB"/>
    <w:rsid w:val="000B5D8A"/>
    <w:rsid w:val="000B5EB3"/>
    <w:rsid w:val="000B5EDB"/>
    <w:rsid w:val="000B5F81"/>
    <w:rsid w:val="000B600D"/>
    <w:rsid w:val="000B61D1"/>
    <w:rsid w:val="000B61DD"/>
    <w:rsid w:val="000B633C"/>
    <w:rsid w:val="000B635F"/>
    <w:rsid w:val="000B6488"/>
    <w:rsid w:val="000B68D4"/>
    <w:rsid w:val="000B696F"/>
    <w:rsid w:val="000B6A32"/>
    <w:rsid w:val="000B6EBD"/>
    <w:rsid w:val="000B6FF8"/>
    <w:rsid w:val="000B708A"/>
    <w:rsid w:val="000B7091"/>
    <w:rsid w:val="000B73EB"/>
    <w:rsid w:val="000B7404"/>
    <w:rsid w:val="000B76EB"/>
    <w:rsid w:val="000B786F"/>
    <w:rsid w:val="000B7919"/>
    <w:rsid w:val="000B7951"/>
    <w:rsid w:val="000B7999"/>
    <w:rsid w:val="000B7B92"/>
    <w:rsid w:val="000B7C99"/>
    <w:rsid w:val="000B7F02"/>
    <w:rsid w:val="000B7F97"/>
    <w:rsid w:val="000C0013"/>
    <w:rsid w:val="000C0045"/>
    <w:rsid w:val="000C0074"/>
    <w:rsid w:val="000C0263"/>
    <w:rsid w:val="000C0328"/>
    <w:rsid w:val="000C0535"/>
    <w:rsid w:val="000C09CC"/>
    <w:rsid w:val="000C0D50"/>
    <w:rsid w:val="000C0F18"/>
    <w:rsid w:val="000C1105"/>
    <w:rsid w:val="000C116D"/>
    <w:rsid w:val="000C13C5"/>
    <w:rsid w:val="000C1500"/>
    <w:rsid w:val="000C1607"/>
    <w:rsid w:val="000C1616"/>
    <w:rsid w:val="000C16D2"/>
    <w:rsid w:val="000C17F3"/>
    <w:rsid w:val="000C19EC"/>
    <w:rsid w:val="000C1A77"/>
    <w:rsid w:val="000C1BD6"/>
    <w:rsid w:val="000C1CAF"/>
    <w:rsid w:val="000C1D03"/>
    <w:rsid w:val="000C1D3F"/>
    <w:rsid w:val="000C1E78"/>
    <w:rsid w:val="000C1E90"/>
    <w:rsid w:val="000C1F8A"/>
    <w:rsid w:val="000C2281"/>
    <w:rsid w:val="000C22C7"/>
    <w:rsid w:val="000C236D"/>
    <w:rsid w:val="000C2473"/>
    <w:rsid w:val="000C287B"/>
    <w:rsid w:val="000C2A04"/>
    <w:rsid w:val="000C2ACE"/>
    <w:rsid w:val="000C2CDF"/>
    <w:rsid w:val="000C2D2F"/>
    <w:rsid w:val="000C311F"/>
    <w:rsid w:val="000C3519"/>
    <w:rsid w:val="000C355B"/>
    <w:rsid w:val="000C36FA"/>
    <w:rsid w:val="000C380F"/>
    <w:rsid w:val="000C3955"/>
    <w:rsid w:val="000C39B4"/>
    <w:rsid w:val="000C3BDE"/>
    <w:rsid w:val="000C3CA9"/>
    <w:rsid w:val="000C3CAF"/>
    <w:rsid w:val="000C3EF1"/>
    <w:rsid w:val="000C42B7"/>
    <w:rsid w:val="000C4338"/>
    <w:rsid w:val="000C45E3"/>
    <w:rsid w:val="000C463E"/>
    <w:rsid w:val="000C4646"/>
    <w:rsid w:val="000C4663"/>
    <w:rsid w:val="000C468C"/>
    <w:rsid w:val="000C4698"/>
    <w:rsid w:val="000C47D1"/>
    <w:rsid w:val="000C47E3"/>
    <w:rsid w:val="000C4890"/>
    <w:rsid w:val="000C48A7"/>
    <w:rsid w:val="000C492D"/>
    <w:rsid w:val="000C4EF7"/>
    <w:rsid w:val="000C4F7A"/>
    <w:rsid w:val="000C536C"/>
    <w:rsid w:val="000C53B2"/>
    <w:rsid w:val="000C5476"/>
    <w:rsid w:val="000C5484"/>
    <w:rsid w:val="000C5660"/>
    <w:rsid w:val="000C5958"/>
    <w:rsid w:val="000C5A17"/>
    <w:rsid w:val="000C5A1D"/>
    <w:rsid w:val="000C5AA2"/>
    <w:rsid w:val="000C5C96"/>
    <w:rsid w:val="000C5CA9"/>
    <w:rsid w:val="000C5DBD"/>
    <w:rsid w:val="000C5EE0"/>
    <w:rsid w:val="000C6059"/>
    <w:rsid w:val="000C6124"/>
    <w:rsid w:val="000C648A"/>
    <w:rsid w:val="000C6738"/>
    <w:rsid w:val="000C67EE"/>
    <w:rsid w:val="000C680F"/>
    <w:rsid w:val="000C6843"/>
    <w:rsid w:val="000C692B"/>
    <w:rsid w:val="000C6A36"/>
    <w:rsid w:val="000C6D45"/>
    <w:rsid w:val="000C704C"/>
    <w:rsid w:val="000C711A"/>
    <w:rsid w:val="000C71B1"/>
    <w:rsid w:val="000C71F9"/>
    <w:rsid w:val="000C7695"/>
    <w:rsid w:val="000C7859"/>
    <w:rsid w:val="000C79AB"/>
    <w:rsid w:val="000C7ADC"/>
    <w:rsid w:val="000C7B0D"/>
    <w:rsid w:val="000C7CEB"/>
    <w:rsid w:val="000C7D31"/>
    <w:rsid w:val="000D02B8"/>
    <w:rsid w:val="000D051A"/>
    <w:rsid w:val="000D0657"/>
    <w:rsid w:val="000D0698"/>
    <w:rsid w:val="000D06C8"/>
    <w:rsid w:val="000D06F5"/>
    <w:rsid w:val="000D078D"/>
    <w:rsid w:val="000D080A"/>
    <w:rsid w:val="000D0854"/>
    <w:rsid w:val="000D08B1"/>
    <w:rsid w:val="000D08DB"/>
    <w:rsid w:val="000D0903"/>
    <w:rsid w:val="000D0998"/>
    <w:rsid w:val="000D0C59"/>
    <w:rsid w:val="000D0C75"/>
    <w:rsid w:val="000D0E03"/>
    <w:rsid w:val="000D0E70"/>
    <w:rsid w:val="000D0E79"/>
    <w:rsid w:val="000D166E"/>
    <w:rsid w:val="000D187C"/>
    <w:rsid w:val="000D1C81"/>
    <w:rsid w:val="000D1D03"/>
    <w:rsid w:val="000D1D04"/>
    <w:rsid w:val="000D1E4D"/>
    <w:rsid w:val="000D218F"/>
    <w:rsid w:val="000D21CF"/>
    <w:rsid w:val="000D23DF"/>
    <w:rsid w:val="000D2607"/>
    <w:rsid w:val="000D2642"/>
    <w:rsid w:val="000D2695"/>
    <w:rsid w:val="000D26CD"/>
    <w:rsid w:val="000D29DF"/>
    <w:rsid w:val="000D2B70"/>
    <w:rsid w:val="000D2BCB"/>
    <w:rsid w:val="000D2C0D"/>
    <w:rsid w:val="000D2C5B"/>
    <w:rsid w:val="000D32CE"/>
    <w:rsid w:val="000D3484"/>
    <w:rsid w:val="000D361A"/>
    <w:rsid w:val="000D36BB"/>
    <w:rsid w:val="000D37F9"/>
    <w:rsid w:val="000D3B1B"/>
    <w:rsid w:val="000D3BAE"/>
    <w:rsid w:val="000D3BFF"/>
    <w:rsid w:val="000D3CB7"/>
    <w:rsid w:val="000D3D5D"/>
    <w:rsid w:val="000D3DEC"/>
    <w:rsid w:val="000D3FFA"/>
    <w:rsid w:val="000D4143"/>
    <w:rsid w:val="000D4146"/>
    <w:rsid w:val="000D41D4"/>
    <w:rsid w:val="000D421D"/>
    <w:rsid w:val="000D44E5"/>
    <w:rsid w:val="000D45FE"/>
    <w:rsid w:val="000D47CB"/>
    <w:rsid w:val="000D4899"/>
    <w:rsid w:val="000D4AA2"/>
    <w:rsid w:val="000D4CE8"/>
    <w:rsid w:val="000D4E29"/>
    <w:rsid w:val="000D4F95"/>
    <w:rsid w:val="000D5035"/>
    <w:rsid w:val="000D5357"/>
    <w:rsid w:val="000D5A65"/>
    <w:rsid w:val="000D5B0F"/>
    <w:rsid w:val="000D5B2C"/>
    <w:rsid w:val="000D5E5E"/>
    <w:rsid w:val="000D5EC6"/>
    <w:rsid w:val="000D5EF3"/>
    <w:rsid w:val="000D5F05"/>
    <w:rsid w:val="000D604D"/>
    <w:rsid w:val="000D6079"/>
    <w:rsid w:val="000D60BC"/>
    <w:rsid w:val="000D623F"/>
    <w:rsid w:val="000D64D4"/>
    <w:rsid w:val="000D6552"/>
    <w:rsid w:val="000D65AA"/>
    <w:rsid w:val="000D65E1"/>
    <w:rsid w:val="000D6653"/>
    <w:rsid w:val="000D683D"/>
    <w:rsid w:val="000D6912"/>
    <w:rsid w:val="000D6CDE"/>
    <w:rsid w:val="000D6E4B"/>
    <w:rsid w:val="000D718F"/>
    <w:rsid w:val="000D738D"/>
    <w:rsid w:val="000D73CE"/>
    <w:rsid w:val="000D7893"/>
    <w:rsid w:val="000D78A4"/>
    <w:rsid w:val="000D7946"/>
    <w:rsid w:val="000D795C"/>
    <w:rsid w:val="000D7A73"/>
    <w:rsid w:val="000D7B71"/>
    <w:rsid w:val="000D7BE9"/>
    <w:rsid w:val="000D7CA6"/>
    <w:rsid w:val="000D7E6D"/>
    <w:rsid w:val="000D7F97"/>
    <w:rsid w:val="000E00A4"/>
    <w:rsid w:val="000E064A"/>
    <w:rsid w:val="000E0730"/>
    <w:rsid w:val="000E0783"/>
    <w:rsid w:val="000E0A02"/>
    <w:rsid w:val="000E0A46"/>
    <w:rsid w:val="000E0A9C"/>
    <w:rsid w:val="000E0B80"/>
    <w:rsid w:val="000E0D0C"/>
    <w:rsid w:val="000E0D48"/>
    <w:rsid w:val="000E0D95"/>
    <w:rsid w:val="000E0EAC"/>
    <w:rsid w:val="000E10AC"/>
    <w:rsid w:val="000E1201"/>
    <w:rsid w:val="000E120F"/>
    <w:rsid w:val="000E1263"/>
    <w:rsid w:val="000E1347"/>
    <w:rsid w:val="000E1652"/>
    <w:rsid w:val="000E175C"/>
    <w:rsid w:val="000E1994"/>
    <w:rsid w:val="000E19F7"/>
    <w:rsid w:val="000E1A09"/>
    <w:rsid w:val="000E1B32"/>
    <w:rsid w:val="000E1C0D"/>
    <w:rsid w:val="000E1E09"/>
    <w:rsid w:val="000E1E34"/>
    <w:rsid w:val="000E1EB5"/>
    <w:rsid w:val="000E1F8D"/>
    <w:rsid w:val="000E22B0"/>
    <w:rsid w:val="000E22EA"/>
    <w:rsid w:val="000E2352"/>
    <w:rsid w:val="000E2485"/>
    <w:rsid w:val="000E26CC"/>
    <w:rsid w:val="000E27AD"/>
    <w:rsid w:val="000E27C8"/>
    <w:rsid w:val="000E2899"/>
    <w:rsid w:val="000E2B27"/>
    <w:rsid w:val="000E2D01"/>
    <w:rsid w:val="000E2DAF"/>
    <w:rsid w:val="000E2E69"/>
    <w:rsid w:val="000E2EB9"/>
    <w:rsid w:val="000E2F93"/>
    <w:rsid w:val="000E3086"/>
    <w:rsid w:val="000E32C6"/>
    <w:rsid w:val="000E34BB"/>
    <w:rsid w:val="000E34CD"/>
    <w:rsid w:val="000E3537"/>
    <w:rsid w:val="000E3554"/>
    <w:rsid w:val="000E3A7B"/>
    <w:rsid w:val="000E3C5F"/>
    <w:rsid w:val="000E3E21"/>
    <w:rsid w:val="000E3E5A"/>
    <w:rsid w:val="000E3F0C"/>
    <w:rsid w:val="000E4074"/>
    <w:rsid w:val="000E4515"/>
    <w:rsid w:val="000E45C5"/>
    <w:rsid w:val="000E45FF"/>
    <w:rsid w:val="000E4977"/>
    <w:rsid w:val="000E4B76"/>
    <w:rsid w:val="000E4B87"/>
    <w:rsid w:val="000E4BC4"/>
    <w:rsid w:val="000E4CA8"/>
    <w:rsid w:val="000E4CCF"/>
    <w:rsid w:val="000E4FFC"/>
    <w:rsid w:val="000E509A"/>
    <w:rsid w:val="000E50FC"/>
    <w:rsid w:val="000E5108"/>
    <w:rsid w:val="000E56D3"/>
    <w:rsid w:val="000E5942"/>
    <w:rsid w:val="000E5C22"/>
    <w:rsid w:val="000E5C2F"/>
    <w:rsid w:val="000E5E01"/>
    <w:rsid w:val="000E5E27"/>
    <w:rsid w:val="000E5E60"/>
    <w:rsid w:val="000E5ED9"/>
    <w:rsid w:val="000E622D"/>
    <w:rsid w:val="000E6389"/>
    <w:rsid w:val="000E643F"/>
    <w:rsid w:val="000E663E"/>
    <w:rsid w:val="000E67A2"/>
    <w:rsid w:val="000E68DC"/>
    <w:rsid w:val="000E6A9F"/>
    <w:rsid w:val="000E6B78"/>
    <w:rsid w:val="000E6BA8"/>
    <w:rsid w:val="000E7021"/>
    <w:rsid w:val="000E7179"/>
    <w:rsid w:val="000E7210"/>
    <w:rsid w:val="000E7746"/>
    <w:rsid w:val="000E7B8F"/>
    <w:rsid w:val="000E7BC4"/>
    <w:rsid w:val="000E7CC5"/>
    <w:rsid w:val="000E7E29"/>
    <w:rsid w:val="000E7E37"/>
    <w:rsid w:val="000E7FDF"/>
    <w:rsid w:val="000F0043"/>
    <w:rsid w:val="000F0130"/>
    <w:rsid w:val="000F037B"/>
    <w:rsid w:val="000F0832"/>
    <w:rsid w:val="000F093A"/>
    <w:rsid w:val="000F0A87"/>
    <w:rsid w:val="000F0B33"/>
    <w:rsid w:val="000F0D44"/>
    <w:rsid w:val="000F1016"/>
    <w:rsid w:val="000F113C"/>
    <w:rsid w:val="000F115E"/>
    <w:rsid w:val="000F1239"/>
    <w:rsid w:val="000F14B3"/>
    <w:rsid w:val="000F1573"/>
    <w:rsid w:val="000F158D"/>
    <w:rsid w:val="000F15B3"/>
    <w:rsid w:val="000F165E"/>
    <w:rsid w:val="000F16B0"/>
    <w:rsid w:val="000F16C2"/>
    <w:rsid w:val="000F1766"/>
    <w:rsid w:val="000F17DC"/>
    <w:rsid w:val="000F1960"/>
    <w:rsid w:val="000F1A8A"/>
    <w:rsid w:val="000F1C26"/>
    <w:rsid w:val="000F1CEC"/>
    <w:rsid w:val="000F1FD8"/>
    <w:rsid w:val="000F2086"/>
    <w:rsid w:val="000F217F"/>
    <w:rsid w:val="000F2207"/>
    <w:rsid w:val="000F2499"/>
    <w:rsid w:val="000F27D8"/>
    <w:rsid w:val="000F28E1"/>
    <w:rsid w:val="000F2A1D"/>
    <w:rsid w:val="000F2A8E"/>
    <w:rsid w:val="000F2A99"/>
    <w:rsid w:val="000F2AC4"/>
    <w:rsid w:val="000F2B0A"/>
    <w:rsid w:val="000F2B27"/>
    <w:rsid w:val="000F2E08"/>
    <w:rsid w:val="000F2E6E"/>
    <w:rsid w:val="000F2F2F"/>
    <w:rsid w:val="000F2F92"/>
    <w:rsid w:val="000F2FB4"/>
    <w:rsid w:val="000F3024"/>
    <w:rsid w:val="000F30A3"/>
    <w:rsid w:val="000F319F"/>
    <w:rsid w:val="000F329B"/>
    <w:rsid w:val="000F32CB"/>
    <w:rsid w:val="000F33C8"/>
    <w:rsid w:val="000F3458"/>
    <w:rsid w:val="000F346A"/>
    <w:rsid w:val="000F3697"/>
    <w:rsid w:val="000F3705"/>
    <w:rsid w:val="000F37C3"/>
    <w:rsid w:val="000F3903"/>
    <w:rsid w:val="000F397D"/>
    <w:rsid w:val="000F3B2D"/>
    <w:rsid w:val="000F3B49"/>
    <w:rsid w:val="000F3BCD"/>
    <w:rsid w:val="000F3C41"/>
    <w:rsid w:val="000F3C89"/>
    <w:rsid w:val="000F3DA5"/>
    <w:rsid w:val="000F3FB0"/>
    <w:rsid w:val="000F41C2"/>
    <w:rsid w:val="000F444B"/>
    <w:rsid w:val="000F448F"/>
    <w:rsid w:val="000F4956"/>
    <w:rsid w:val="000F49BE"/>
    <w:rsid w:val="000F49C8"/>
    <w:rsid w:val="000F4A42"/>
    <w:rsid w:val="000F4ABD"/>
    <w:rsid w:val="000F4D03"/>
    <w:rsid w:val="000F4EED"/>
    <w:rsid w:val="000F4F72"/>
    <w:rsid w:val="000F5143"/>
    <w:rsid w:val="000F514F"/>
    <w:rsid w:val="000F52F6"/>
    <w:rsid w:val="000F5346"/>
    <w:rsid w:val="000F53F8"/>
    <w:rsid w:val="000F5510"/>
    <w:rsid w:val="000F553D"/>
    <w:rsid w:val="000F56CC"/>
    <w:rsid w:val="000F57A9"/>
    <w:rsid w:val="000F5992"/>
    <w:rsid w:val="000F5A3B"/>
    <w:rsid w:val="000F5A58"/>
    <w:rsid w:val="000F5A96"/>
    <w:rsid w:val="000F5B44"/>
    <w:rsid w:val="000F5F2C"/>
    <w:rsid w:val="000F6189"/>
    <w:rsid w:val="000F61B3"/>
    <w:rsid w:val="000F6204"/>
    <w:rsid w:val="000F639D"/>
    <w:rsid w:val="000F660D"/>
    <w:rsid w:val="000F6A3B"/>
    <w:rsid w:val="000F6A56"/>
    <w:rsid w:val="000F6AD7"/>
    <w:rsid w:val="000F6C7C"/>
    <w:rsid w:val="000F6CA2"/>
    <w:rsid w:val="000F6E06"/>
    <w:rsid w:val="000F6E13"/>
    <w:rsid w:val="000F6E85"/>
    <w:rsid w:val="000F6F26"/>
    <w:rsid w:val="000F7158"/>
    <w:rsid w:val="000F7317"/>
    <w:rsid w:val="000F73D1"/>
    <w:rsid w:val="000F7457"/>
    <w:rsid w:val="000F765E"/>
    <w:rsid w:val="000F7862"/>
    <w:rsid w:val="000F793F"/>
    <w:rsid w:val="000F7A95"/>
    <w:rsid w:val="000F7AE0"/>
    <w:rsid w:val="000F7B89"/>
    <w:rsid w:val="000F7BED"/>
    <w:rsid w:val="000F7FB9"/>
    <w:rsid w:val="001000B8"/>
    <w:rsid w:val="00100244"/>
    <w:rsid w:val="0010035C"/>
    <w:rsid w:val="001003AF"/>
    <w:rsid w:val="00100433"/>
    <w:rsid w:val="0010044D"/>
    <w:rsid w:val="00100755"/>
    <w:rsid w:val="00100848"/>
    <w:rsid w:val="00100925"/>
    <w:rsid w:val="00100B93"/>
    <w:rsid w:val="00100C3D"/>
    <w:rsid w:val="00100EE3"/>
    <w:rsid w:val="0010107E"/>
    <w:rsid w:val="001010C4"/>
    <w:rsid w:val="00101132"/>
    <w:rsid w:val="00101135"/>
    <w:rsid w:val="00101141"/>
    <w:rsid w:val="0010129D"/>
    <w:rsid w:val="0010143D"/>
    <w:rsid w:val="001014F8"/>
    <w:rsid w:val="00101CD3"/>
    <w:rsid w:val="00101CE3"/>
    <w:rsid w:val="00101D47"/>
    <w:rsid w:val="00101EED"/>
    <w:rsid w:val="00101FB7"/>
    <w:rsid w:val="00102016"/>
    <w:rsid w:val="0010219C"/>
    <w:rsid w:val="00102272"/>
    <w:rsid w:val="0010261A"/>
    <w:rsid w:val="0010262F"/>
    <w:rsid w:val="00102777"/>
    <w:rsid w:val="00102A46"/>
    <w:rsid w:val="00102E6D"/>
    <w:rsid w:val="00102FD0"/>
    <w:rsid w:val="00103088"/>
    <w:rsid w:val="001033CC"/>
    <w:rsid w:val="00103431"/>
    <w:rsid w:val="001034CC"/>
    <w:rsid w:val="00103518"/>
    <w:rsid w:val="001035C0"/>
    <w:rsid w:val="001035D4"/>
    <w:rsid w:val="00103799"/>
    <w:rsid w:val="001038CF"/>
    <w:rsid w:val="0010393D"/>
    <w:rsid w:val="00103A26"/>
    <w:rsid w:val="00103A6F"/>
    <w:rsid w:val="00103AAA"/>
    <w:rsid w:val="00103AF1"/>
    <w:rsid w:val="00103BA8"/>
    <w:rsid w:val="00103EDF"/>
    <w:rsid w:val="001041B8"/>
    <w:rsid w:val="0010443D"/>
    <w:rsid w:val="001047BC"/>
    <w:rsid w:val="001047C7"/>
    <w:rsid w:val="001047C9"/>
    <w:rsid w:val="00104802"/>
    <w:rsid w:val="00104A22"/>
    <w:rsid w:val="00104C42"/>
    <w:rsid w:val="00104E68"/>
    <w:rsid w:val="00104F25"/>
    <w:rsid w:val="00105111"/>
    <w:rsid w:val="00105197"/>
    <w:rsid w:val="0010525C"/>
    <w:rsid w:val="00105325"/>
    <w:rsid w:val="00105374"/>
    <w:rsid w:val="0010541F"/>
    <w:rsid w:val="00105567"/>
    <w:rsid w:val="0010559C"/>
    <w:rsid w:val="001055CA"/>
    <w:rsid w:val="00105661"/>
    <w:rsid w:val="001056F8"/>
    <w:rsid w:val="00105739"/>
    <w:rsid w:val="0010581D"/>
    <w:rsid w:val="0010591B"/>
    <w:rsid w:val="0010594B"/>
    <w:rsid w:val="00105AD0"/>
    <w:rsid w:val="00105BE0"/>
    <w:rsid w:val="00106088"/>
    <w:rsid w:val="001060D3"/>
    <w:rsid w:val="001060F3"/>
    <w:rsid w:val="0010618E"/>
    <w:rsid w:val="001061B4"/>
    <w:rsid w:val="00106310"/>
    <w:rsid w:val="00106391"/>
    <w:rsid w:val="00106444"/>
    <w:rsid w:val="00106553"/>
    <w:rsid w:val="00106647"/>
    <w:rsid w:val="00106813"/>
    <w:rsid w:val="001069C7"/>
    <w:rsid w:val="00106CB2"/>
    <w:rsid w:val="00106E27"/>
    <w:rsid w:val="001070A1"/>
    <w:rsid w:val="001070A6"/>
    <w:rsid w:val="00107130"/>
    <w:rsid w:val="001071B3"/>
    <w:rsid w:val="00107201"/>
    <w:rsid w:val="0010723E"/>
    <w:rsid w:val="001074F4"/>
    <w:rsid w:val="001076D6"/>
    <w:rsid w:val="00107726"/>
    <w:rsid w:val="00107922"/>
    <w:rsid w:val="00107A13"/>
    <w:rsid w:val="00107A3B"/>
    <w:rsid w:val="00107B27"/>
    <w:rsid w:val="00107D7F"/>
    <w:rsid w:val="00107F1F"/>
    <w:rsid w:val="0011006E"/>
    <w:rsid w:val="001102BA"/>
    <w:rsid w:val="001102F2"/>
    <w:rsid w:val="001103FA"/>
    <w:rsid w:val="001104DD"/>
    <w:rsid w:val="00110527"/>
    <w:rsid w:val="0011087D"/>
    <w:rsid w:val="00110A24"/>
    <w:rsid w:val="00110C96"/>
    <w:rsid w:val="00110D13"/>
    <w:rsid w:val="001112CB"/>
    <w:rsid w:val="001112E4"/>
    <w:rsid w:val="00111315"/>
    <w:rsid w:val="00111355"/>
    <w:rsid w:val="00111447"/>
    <w:rsid w:val="0011149D"/>
    <w:rsid w:val="0011163E"/>
    <w:rsid w:val="001117D6"/>
    <w:rsid w:val="00111B26"/>
    <w:rsid w:val="00111B69"/>
    <w:rsid w:val="00111C6A"/>
    <w:rsid w:val="00111D5F"/>
    <w:rsid w:val="00111DBA"/>
    <w:rsid w:val="00111F9D"/>
    <w:rsid w:val="001120B7"/>
    <w:rsid w:val="0011226E"/>
    <w:rsid w:val="001122FB"/>
    <w:rsid w:val="0011231A"/>
    <w:rsid w:val="00112385"/>
    <w:rsid w:val="001125AD"/>
    <w:rsid w:val="00112804"/>
    <w:rsid w:val="00112894"/>
    <w:rsid w:val="001129BA"/>
    <w:rsid w:val="00112DA2"/>
    <w:rsid w:val="00112E53"/>
    <w:rsid w:val="00112F1F"/>
    <w:rsid w:val="00113136"/>
    <w:rsid w:val="001133CF"/>
    <w:rsid w:val="0011341D"/>
    <w:rsid w:val="00113775"/>
    <w:rsid w:val="001137FE"/>
    <w:rsid w:val="0011398B"/>
    <w:rsid w:val="00113AC2"/>
    <w:rsid w:val="00113BDE"/>
    <w:rsid w:val="00113C11"/>
    <w:rsid w:val="00113C54"/>
    <w:rsid w:val="00113DDB"/>
    <w:rsid w:val="00113DF9"/>
    <w:rsid w:val="00113ED3"/>
    <w:rsid w:val="001140C9"/>
    <w:rsid w:val="00114120"/>
    <w:rsid w:val="0011420E"/>
    <w:rsid w:val="00114326"/>
    <w:rsid w:val="001143DA"/>
    <w:rsid w:val="0011443C"/>
    <w:rsid w:val="00114487"/>
    <w:rsid w:val="001144A1"/>
    <w:rsid w:val="00114762"/>
    <w:rsid w:val="001147F7"/>
    <w:rsid w:val="00114AAE"/>
    <w:rsid w:val="00114ACC"/>
    <w:rsid w:val="00114ADF"/>
    <w:rsid w:val="00114AED"/>
    <w:rsid w:val="00114DB6"/>
    <w:rsid w:val="00114E04"/>
    <w:rsid w:val="00114E9A"/>
    <w:rsid w:val="00114F36"/>
    <w:rsid w:val="00114FEB"/>
    <w:rsid w:val="001150EC"/>
    <w:rsid w:val="00115361"/>
    <w:rsid w:val="001153D4"/>
    <w:rsid w:val="00115448"/>
    <w:rsid w:val="0011545F"/>
    <w:rsid w:val="001154DA"/>
    <w:rsid w:val="00115547"/>
    <w:rsid w:val="00115744"/>
    <w:rsid w:val="00115889"/>
    <w:rsid w:val="001158D4"/>
    <w:rsid w:val="00115923"/>
    <w:rsid w:val="001159E1"/>
    <w:rsid w:val="00115A9E"/>
    <w:rsid w:val="00115B04"/>
    <w:rsid w:val="00115C14"/>
    <w:rsid w:val="00116013"/>
    <w:rsid w:val="001160A1"/>
    <w:rsid w:val="0011639F"/>
    <w:rsid w:val="001165C0"/>
    <w:rsid w:val="001165E1"/>
    <w:rsid w:val="0011672E"/>
    <w:rsid w:val="001168C8"/>
    <w:rsid w:val="00116944"/>
    <w:rsid w:val="00116B29"/>
    <w:rsid w:val="00116B52"/>
    <w:rsid w:val="00116B70"/>
    <w:rsid w:val="00116D37"/>
    <w:rsid w:val="00116E1C"/>
    <w:rsid w:val="0011717D"/>
    <w:rsid w:val="001171A1"/>
    <w:rsid w:val="0011729D"/>
    <w:rsid w:val="0011730B"/>
    <w:rsid w:val="001175D0"/>
    <w:rsid w:val="00117690"/>
    <w:rsid w:val="00117728"/>
    <w:rsid w:val="00117A3F"/>
    <w:rsid w:val="00117B5F"/>
    <w:rsid w:val="00117C8D"/>
    <w:rsid w:val="001204BE"/>
    <w:rsid w:val="001204DD"/>
    <w:rsid w:val="00120691"/>
    <w:rsid w:val="001207FF"/>
    <w:rsid w:val="00120BB6"/>
    <w:rsid w:val="00120C7E"/>
    <w:rsid w:val="00120E0A"/>
    <w:rsid w:val="00120F38"/>
    <w:rsid w:val="00121106"/>
    <w:rsid w:val="001211E9"/>
    <w:rsid w:val="001213DA"/>
    <w:rsid w:val="0012149B"/>
    <w:rsid w:val="001215B3"/>
    <w:rsid w:val="001215BB"/>
    <w:rsid w:val="001215C6"/>
    <w:rsid w:val="0012183D"/>
    <w:rsid w:val="00121B67"/>
    <w:rsid w:val="00121BBF"/>
    <w:rsid w:val="00121BFA"/>
    <w:rsid w:val="00121D8B"/>
    <w:rsid w:val="00121E63"/>
    <w:rsid w:val="001221B7"/>
    <w:rsid w:val="00122331"/>
    <w:rsid w:val="00122522"/>
    <w:rsid w:val="001225AC"/>
    <w:rsid w:val="001225C1"/>
    <w:rsid w:val="0012264D"/>
    <w:rsid w:val="001227B3"/>
    <w:rsid w:val="00122827"/>
    <w:rsid w:val="001229E3"/>
    <w:rsid w:val="00122AAD"/>
    <w:rsid w:val="00122C41"/>
    <w:rsid w:val="00122D52"/>
    <w:rsid w:val="0012300E"/>
    <w:rsid w:val="001230D8"/>
    <w:rsid w:val="0012350E"/>
    <w:rsid w:val="001236E4"/>
    <w:rsid w:val="00123755"/>
    <w:rsid w:val="00123773"/>
    <w:rsid w:val="0012398E"/>
    <w:rsid w:val="001239BA"/>
    <w:rsid w:val="001239D5"/>
    <w:rsid w:val="00123A4B"/>
    <w:rsid w:val="00123B71"/>
    <w:rsid w:val="00123E40"/>
    <w:rsid w:val="00123E66"/>
    <w:rsid w:val="00124015"/>
    <w:rsid w:val="00124231"/>
    <w:rsid w:val="00124258"/>
    <w:rsid w:val="00124298"/>
    <w:rsid w:val="001242FA"/>
    <w:rsid w:val="00124383"/>
    <w:rsid w:val="00124384"/>
    <w:rsid w:val="001245BE"/>
    <w:rsid w:val="00124655"/>
    <w:rsid w:val="0012467D"/>
    <w:rsid w:val="00124749"/>
    <w:rsid w:val="00124887"/>
    <w:rsid w:val="00124A55"/>
    <w:rsid w:val="00124A63"/>
    <w:rsid w:val="00124A6B"/>
    <w:rsid w:val="00124ABE"/>
    <w:rsid w:val="00124BAA"/>
    <w:rsid w:val="00124E55"/>
    <w:rsid w:val="00124EBC"/>
    <w:rsid w:val="001254CD"/>
    <w:rsid w:val="00125870"/>
    <w:rsid w:val="00125C25"/>
    <w:rsid w:val="00125D15"/>
    <w:rsid w:val="00125D52"/>
    <w:rsid w:val="00125F2D"/>
    <w:rsid w:val="00125FA7"/>
    <w:rsid w:val="001260F8"/>
    <w:rsid w:val="001261E7"/>
    <w:rsid w:val="00126283"/>
    <w:rsid w:val="001264C0"/>
    <w:rsid w:val="00126783"/>
    <w:rsid w:val="001269B6"/>
    <w:rsid w:val="00126B24"/>
    <w:rsid w:val="00126B2C"/>
    <w:rsid w:val="00126DB1"/>
    <w:rsid w:val="00126EDC"/>
    <w:rsid w:val="00126FB7"/>
    <w:rsid w:val="00127123"/>
    <w:rsid w:val="001275A9"/>
    <w:rsid w:val="00127728"/>
    <w:rsid w:val="00127753"/>
    <w:rsid w:val="0012778C"/>
    <w:rsid w:val="00127BF3"/>
    <w:rsid w:val="00127C5F"/>
    <w:rsid w:val="00127CF8"/>
    <w:rsid w:val="00127E2A"/>
    <w:rsid w:val="0013003B"/>
    <w:rsid w:val="00130280"/>
    <w:rsid w:val="001302D2"/>
    <w:rsid w:val="00130514"/>
    <w:rsid w:val="00130579"/>
    <w:rsid w:val="0013063B"/>
    <w:rsid w:val="001307A8"/>
    <w:rsid w:val="001308F2"/>
    <w:rsid w:val="00130A2C"/>
    <w:rsid w:val="00130A30"/>
    <w:rsid w:val="00130A33"/>
    <w:rsid w:val="00130F01"/>
    <w:rsid w:val="00130F43"/>
    <w:rsid w:val="00130FC7"/>
    <w:rsid w:val="00130FC8"/>
    <w:rsid w:val="001311EB"/>
    <w:rsid w:val="0013128C"/>
    <w:rsid w:val="001314F3"/>
    <w:rsid w:val="001317C0"/>
    <w:rsid w:val="001317E4"/>
    <w:rsid w:val="00131B3C"/>
    <w:rsid w:val="00131CD3"/>
    <w:rsid w:val="00131D27"/>
    <w:rsid w:val="00131F2A"/>
    <w:rsid w:val="00131F89"/>
    <w:rsid w:val="00131F9E"/>
    <w:rsid w:val="001323C9"/>
    <w:rsid w:val="00132472"/>
    <w:rsid w:val="00132570"/>
    <w:rsid w:val="0013260A"/>
    <w:rsid w:val="00132709"/>
    <w:rsid w:val="00132787"/>
    <w:rsid w:val="00132805"/>
    <w:rsid w:val="00132812"/>
    <w:rsid w:val="001328EB"/>
    <w:rsid w:val="001329E5"/>
    <w:rsid w:val="00132A80"/>
    <w:rsid w:val="00132AEC"/>
    <w:rsid w:val="00132B2F"/>
    <w:rsid w:val="00132B68"/>
    <w:rsid w:val="00132B81"/>
    <w:rsid w:val="00132C61"/>
    <w:rsid w:val="00132D01"/>
    <w:rsid w:val="00132F98"/>
    <w:rsid w:val="001330BA"/>
    <w:rsid w:val="001335CD"/>
    <w:rsid w:val="00133772"/>
    <w:rsid w:val="001338D1"/>
    <w:rsid w:val="00133916"/>
    <w:rsid w:val="0013397B"/>
    <w:rsid w:val="001339C0"/>
    <w:rsid w:val="00133A5F"/>
    <w:rsid w:val="00133A76"/>
    <w:rsid w:val="00133AC9"/>
    <w:rsid w:val="00133AD9"/>
    <w:rsid w:val="00133C75"/>
    <w:rsid w:val="00133CDB"/>
    <w:rsid w:val="00133E76"/>
    <w:rsid w:val="00133EA4"/>
    <w:rsid w:val="00133F06"/>
    <w:rsid w:val="00133FF6"/>
    <w:rsid w:val="0013401D"/>
    <w:rsid w:val="0013405B"/>
    <w:rsid w:val="0013436A"/>
    <w:rsid w:val="001343A6"/>
    <w:rsid w:val="00134481"/>
    <w:rsid w:val="00134561"/>
    <w:rsid w:val="001346E8"/>
    <w:rsid w:val="00134751"/>
    <w:rsid w:val="001347C5"/>
    <w:rsid w:val="00134A96"/>
    <w:rsid w:val="00134AD8"/>
    <w:rsid w:val="00134C29"/>
    <w:rsid w:val="00134D1D"/>
    <w:rsid w:val="00134D74"/>
    <w:rsid w:val="00134FF4"/>
    <w:rsid w:val="0013507D"/>
    <w:rsid w:val="001350B7"/>
    <w:rsid w:val="00135137"/>
    <w:rsid w:val="00135274"/>
    <w:rsid w:val="0013527D"/>
    <w:rsid w:val="00135307"/>
    <w:rsid w:val="00135369"/>
    <w:rsid w:val="001353F4"/>
    <w:rsid w:val="00135473"/>
    <w:rsid w:val="001356CF"/>
    <w:rsid w:val="00135710"/>
    <w:rsid w:val="001359FC"/>
    <w:rsid w:val="00135D58"/>
    <w:rsid w:val="00135E72"/>
    <w:rsid w:val="00135F6C"/>
    <w:rsid w:val="00135FF3"/>
    <w:rsid w:val="00136127"/>
    <w:rsid w:val="00136183"/>
    <w:rsid w:val="001361A5"/>
    <w:rsid w:val="0013626C"/>
    <w:rsid w:val="001366F8"/>
    <w:rsid w:val="00136742"/>
    <w:rsid w:val="001367AE"/>
    <w:rsid w:val="00136808"/>
    <w:rsid w:val="00136857"/>
    <w:rsid w:val="001368DF"/>
    <w:rsid w:val="00136988"/>
    <w:rsid w:val="001369FF"/>
    <w:rsid w:val="00136A47"/>
    <w:rsid w:val="00136C2A"/>
    <w:rsid w:val="00136D6F"/>
    <w:rsid w:val="00136F2F"/>
    <w:rsid w:val="00137111"/>
    <w:rsid w:val="00137225"/>
    <w:rsid w:val="001374B9"/>
    <w:rsid w:val="001374F3"/>
    <w:rsid w:val="001375B9"/>
    <w:rsid w:val="00137627"/>
    <w:rsid w:val="0013763C"/>
    <w:rsid w:val="00137783"/>
    <w:rsid w:val="00137930"/>
    <w:rsid w:val="00137950"/>
    <w:rsid w:val="00137B60"/>
    <w:rsid w:val="00137C26"/>
    <w:rsid w:val="00137F55"/>
    <w:rsid w:val="00137F78"/>
    <w:rsid w:val="00137FDE"/>
    <w:rsid w:val="00140088"/>
    <w:rsid w:val="0014008A"/>
    <w:rsid w:val="001402A8"/>
    <w:rsid w:val="0014036D"/>
    <w:rsid w:val="001405F0"/>
    <w:rsid w:val="0014072F"/>
    <w:rsid w:val="0014083F"/>
    <w:rsid w:val="00140A02"/>
    <w:rsid w:val="00140AF6"/>
    <w:rsid w:val="00140C59"/>
    <w:rsid w:val="00140DA9"/>
    <w:rsid w:val="00140DD3"/>
    <w:rsid w:val="00140E74"/>
    <w:rsid w:val="00140F61"/>
    <w:rsid w:val="00140FD2"/>
    <w:rsid w:val="001411AF"/>
    <w:rsid w:val="0014145F"/>
    <w:rsid w:val="0014172E"/>
    <w:rsid w:val="001417C8"/>
    <w:rsid w:val="00141938"/>
    <w:rsid w:val="00141991"/>
    <w:rsid w:val="00141B0D"/>
    <w:rsid w:val="00141BB5"/>
    <w:rsid w:val="00141BCB"/>
    <w:rsid w:val="00141BED"/>
    <w:rsid w:val="00141C8F"/>
    <w:rsid w:val="00141D5A"/>
    <w:rsid w:val="001421C0"/>
    <w:rsid w:val="0014226B"/>
    <w:rsid w:val="001423DD"/>
    <w:rsid w:val="001424A7"/>
    <w:rsid w:val="00142581"/>
    <w:rsid w:val="001425BB"/>
    <w:rsid w:val="00142A54"/>
    <w:rsid w:val="00142AF1"/>
    <w:rsid w:val="00142E3D"/>
    <w:rsid w:val="001430E5"/>
    <w:rsid w:val="001434D1"/>
    <w:rsid w:val="00143563"/>
    <w:rsid w:val="00143680"/>
    <w:rsid w:val="001439D4"/>
    <w:rsid w:val="00143BC6"/>
    <w:rsid w:val="00143C4A"/>
    <w:rsid w:val="00143C71"/>
    <w:rsid w:val="00143C82"/>
    <w:rsid w:val="00143D4E"/>
    <w:rsid w:val="00143D68"/>
    <w:rsid w:val="00143DF7"/>
    <w:rsid w:val="00143EF4"/>
    <w:rsid w:val="0014408C"/>
    <w:rsid w:val="0014413E"/>
    <w:rsid w:val="001441E0"/>
    <w:rsid w:val="00144231"/>
    <w:rsid w:val="00144519"/>
    <w:rsid w:val="00144695"/>
    <w:rsid w:val="00144709"/>
    <w:rsid w:val="0014488C"/>
    <w:rsid w:val="001448CA"/>
    <w:rsid w:val="00144927"/>
    <w:rsid w:val="001449A1"/>
    <w:rsid w:val="00144BD7"/>
    <w:rsid w:val="00144CFF"/>
    <w:rsid w:val="00144DC8"/>
    <w:rsid w:val="00145043"/>
    <w:rsid w:val="001450AA"/>
    <w:rsid w:val="00145228"/>
    <w:rsid w:val="001453EF"/>
    <w:rsid w:val="0014551C"/>
    <w:rsid w:val="001455AE"/>
    <w:rsid w:val="001456AC"/>
    <w:rsid w:val="00145A9E"/>
    <w:rsid w:val="001461E6"/>
    <w:rsid w:val="001463E7"/>
    <w:rsid w:val="00146468"/>
    <w:rsid w:val="001466AD"/>
    <w:rsid w:val="001466B0"/>
    <w:rsid w:val="001467EF"/>
    <w:rsid w:val="00146A20"/>
    <w:rsid w:val="00146B35"/>
    <w:rsid w:val="00146C18"/>
    <w:rsid w:val="00146C1B"/>
    <w:rsid w:val="00146DAF"/>
    <w:rsid w:val="00146E31"/>
    <w:rsid w:val="00146EDA"/>
    <w:rsid w:val="00146FB7"/>
    <w:rsid w:val="001472AB"/>
    <w:rsid w:val="001473AE"/>
    <w:rsid w:val="0014742D"/>
    <w:rsid w:val="00147628"/>
    <w:rsid w:val="00147674"/>
    <w:rsid w:val="00147AAE"/>
    <w:rsid w:val="00147F63"/>
    <w:rsid w:val="00150060"/>
    <w:rsid w:val="001500F8"/>
    <w:rsid w:val="00150184"/>
    <w:rsid w:val="001501D9"/>
    <w:rsid w:val="001501E0"/>
    <w:rsid w:val="001502B1"/>
    <w:rsid w:val="00150468"/>
    <w:rsid w:val="00150470"/>
    <w:rsid w:val="001507BD"/>
    <w:rsid w:val="0015087F"/>
    <w:rsid w:val="00150B2F"/>
    <w:rsid w:val="00150C02"/>
    <w:rsid w:val="00150D09"/>
    <w:rsid w:val="00150F74"/>
    <w:rsid w:val="00151079"/>
    <w:rsid w:val="00151093"/>
    <w:rsid w:val="0015131B"/>
    <w:rsid w:val="00151516"/>
    <w:rsid w:val="001515D2"/>
    <w:rsid w:val="001516C8"/>
    <w:rsid w:val="001516E9"/>
    <w:rsid w:val="00151715"/>
    <w:rsid w:val="00151A8E"/>
    <w:rsid w:val="00151B6A"/>
    <w:rsid w:val="00151C94"/>
    <w:rsid w:val="00151D68"/>
    <w:rsid w:val="00151D7B"/>
    <w:rsid w:val="00151E0D"/>
    <w:rsid w:val="0015207A"/>
    <w:rsid w:val="0015213D"/>
    <w:rsid w:val="001522EB"/>
    <w:rsid w:val="00152598"/>
    <w:rsid w:val="00152637"/>
    <w:rsid w:val="00152754"/>
    <w:rsid w:val="001528C3"/>
    <w:rsid w:val="00152908"/>
    <w:rsid w:val="00152A55"/>
    <w:rsid w:val="00152A98"/>
    <w:rsid w:val="00152B87"/>
    <w:rsid w:val="00152D48"/>
    <w:rsid w:val="00152D7F"/>
    <w:rsid w:val="00152D95"/>
    <w:rsid w:val="0015313F"/>
    <w:rsid w:val="0015314D"/>
    <w:rsid w:val="00153216"/>
    <w:rsid w:val="00153233"/>
    <w:rsid w:val="0015340A"/>
    <w:rsid w:val="001537C0"/>
    <w:rsid w:val="00153843"/>
    <w:rsid w:val="00153896"/>
    <w:rsid w:val="001538B5"/>
    <w:rsid w:val="00153ABB"/>
    <w:rsid w:val="00153BC4"/>
    <w:rsid w:val="00153BFE"/>
    <w:rsid w:val="00153D98"/>
    <w:rsid w:val="00153DDC"/>
    <w:rsid w:val="00154017"/>
    <w:rsid w:val="0015429B"/>
    <w:rsid w:val="001543CF"/>
    <w:rsid w:val="001544D1"/>
    <w:rsid w:val="00154613"/>
    <w:rsid w:val="00154696"/>
    <w:rsid w:val="00154AC1"/>
    <w:rsid w:val="00154B44"/>
    <w:rsid w:val="00154D00"/>
    <w:rsid w:val="00154DB3"/>
    <w:rsid w:val="00154E6D"/>
    <w:rsid w:val="0015538F"/>
    <w:rsid w:val="00155624"/>
    <w:rsid w:val="00155933"/>
    <w:rsid w:val="00155A42"/>
    <w:rsid w:val="00155A6B"/>
    <w:rsid w:val="00155CA2"/>
    <w:rsid w:val="00155D26"/>
    <w:rsid w:val="00155DD5"/>
    <w:rsid w:val="00155DDE"/>
    <w:rsid w:val="00155E07"/>
    <w:rsid w:val="00155E41"/>
    <w:rsid w:val="001560AE"/>
    <w:rsid w:val="001566B6"/>
    <w:rsid w:val="00156738"/>
    <w:rsid w:val="001567F0"/>
    <w:rsid w:val="0015695E"/>
    <w:rsid w:val="00156A7C"/>
    <w:rsid w:val="00156B4C"/>
    <w:rsid w:val="00156C0F"/>
    <w:rsid w:val="00156C3C"/>
    <w:rsid w:val="00156C97"/>
    <w:rsid w:val="00156D15"/>
    <w:rsid w:val="00156F06"/>
    <w:rsid w:val="00157089"/>
    <w:rsid w:val="001574F1"/>
    <w:rsid w:val="0015751A"/>
    <w:rsid w:val="001575C6"/>
    <w:rsid w:val="00157738"/>
    <w:rsid w:val="0015780B"/>
    <w:rsid w:val="001578D6"/>
    <w:rsid w:val="0015794B"/>
    <w:rsid w:val="0015798B"/>
    <w:rsid w:val="00157999"/>
    <w:rsid w:val="00157B90"/>
    <w:rsid w:val="00157C6D"/>
    <w:rsid w:val="00157C9E"/>
    <w:rsid w:val="00157D3C"/>
    <w:rsid w:val="00157DBF"/>
    <w:rsid w:val="001600C1"/>
    <w:rsid w:val="001602E2"/>
    <w:rsid w:val="001603AE"/>
    <w:rsid w:val="00160581"/>
    <w:rsid w:val="001606F4"/>
    <w:rsid w:val="0016074F"/>
    <w:rsid w:val="00160840"/>
    <w:rsid w:val="00160C53"/>
    <w:rsid w:val="00160FD5"/>
    <w:rsid w:val="001612CC"/>
    <w:rsid w:val="0016135E"/>
    <w:rsid w:val="001614A6"/>
    <w:rsid w:val="001614F1"/>
    <w:rsid w:val="00161533"/>
    <w:rsid w:val="00161616"/>
    <w:rsid w:val="00161726"/>
    <w:rsid w:val="0016179D"/>
    <w:rsid w:val="00161D91"/>
    <w:rsid w:val="00161E0A"/>
    <w:rsid w:val="00161E51"/>
    <w:rsid w:val="00161E69"/>
    <w:rsid w:val="001620E0"/>
    <w:rsid w:val="001620EA"/>
    <w:rsid w:val="0016213F"/>
    <w:rsid w:val="001622EC"/>
    <w:rsid w:val="001624B1"/>
    <w:rsid w:val="0016257D"/>
    <w:rsid w:val="00162766"/>
    <w:rsid w:val="00162825"/>
    <w:rsid w:val="0016286C"/>
    <w:rsid w:val="001628DD"/>
    <w:rsid w:val="00162940"/>
    <w:rsid w:val="00162B13"/>
    <w:rsid w:val="00162B17"/>
    <w:rsid w:val="00162FAC"/>
    <w:rsid w:val="0016312A"/>
    <w:rsid w:val="0016321A"/>
    <w:rsid w:val="0016327F"/>
    <w:rsid w:val="001632A8"/>
    <w:rsid w:val="001634BC"/>
    <w:rsid w:val="001635E7"/>
    <w:rsid w:val="0016377C"/>
    <w:rsid w:val="00163894"/>
    <w:rsid w:val="001638DB"/>
    <w:rsid w:val="00163A7C"/>
    <w:rsid w:val="00163AF4"/>
    <w:rsid w:val="00163D19"/>
    <w:rsid w:val="00163D7F"/>
    <w:rsid w:val="00163E8D"/>
    <w:rsid w:val="00163E8E"/>
    <w:rsid w:val="0016419C"/>
    <w:rsid w:val="001642ED"/>
    <w:rsid w:val="001644B6"/>
    <w:rsid w:val="001645B1"/>
    <w:rsid w:val="001645E1"/>
    <w:rsid w:val="00164653"/>
    <w:rsid w:val="0016468F"/>
    <w:rsid w:val="001648F0"/>
    <w:rsid w:val="00164A74"/>
    <w:rsid w:val="00164B06"/>
    <w:rsid w:val="00164B45"/>
    <w:rsid w:val="00164F88"/>
    <w:rsid w:val="00164FC9"/>
    <w:rsid w:val="00165057"/>
    <w:rsid w:val="00165059"/>
    <w:rsid w:val="001650C7"/>
    <w:rsid w:val="0016511F"/>
    <w:rsid w:val="00165235"/>
    <w:rsid w:val="001652AF"/>
    <w:rsid w:val="00165481"/>
    <w:rsid w:val="001654A1"/>
    <w:rsid w:val="0016556E"/>
    <w:rsid w:val="001655D0"/>
    <w:rsid w:val="001655E5"/>
    <w:rsid w:val="0016583B"/>
    <w:rsid w:val="00165AAB"/>
    <w:rsid w:val="00165B35"/>
    <w:rsid w:val="00165BA9"/>
    <w:rsid w:val="00165BAE"/>
    <w:rsid w:val="00165CEA"/>
    <w:rsid w:val="00165D7A"/>
    <w:rsid w:val="00165E76"/>
    <w:rsid w:val="00166071"/>
    <w:rsid w:val="0016616E"/>
    <w:rsid w:val="00166518"/>
    <w:rsid w:val="0016653E"/>
    <w:rsid w:val="0016681B"/>
    <w:rsid w:val="00166886"/>
    <w:rsid w:val="00166AC6"/>
    <w:rsid w:val="00166BB9"/>
    <w:rsid w:val="00166CC5"/>
    <w:rsid w:val="00166E94"/>
    <w:rsid w:val="001673E3"/>
    <w:rsid w:val="001673FA"/>
    <w:rsid w:val="00167554"/>
    <w:rsid w:val="001675FE"/>
    <w:rsid w:val="001676F8"/>
    <w:rsid w:val="00167720"/>
    <w:rsid w:val="00167ABB"/>
    <w:rsid w:val="00167B41"/>
    <w:rsid w:val="00167D2E"/>
    <w:rsid w:val="00167DBD"/>
    <w:rsid w:val="00167F09"/>
    <w:rsid w:val="00167F85"/>
    <w:rsid w:val="0017002E"/>
    <w:rsid w:val="00170420"/>
    <w:rsid w:val="00170518"/>
    <w:rsid w:val="001708EE"/>
    <w:rsid w:val="00170912"/>
    <w:rsid w:val="00170A3C"/>
    <w:rsid w:val="00170D65"/>
    <w:rsid w:val="00170F50"/>
    <w:rsid w:val="00170FA2"/>
    <w:rsid w:val="00171027"/>
    <w:rsid w:val="00171320"/>
    <w:rsid w:val="001715CB"/>
    <w:rsid w:val="0017169D"/>
    <w:rsid w:val="001718D9"/>
    <w:rsid w:val="00171A9D"/>
    <w:rsid w:val="00171C58"/>
    <w:rsid w:val="00171C8F"/>
    <w:rsid w:val="00171E47"/>
    <w:rsid w:val="00171FF4"/>
    <w:rsid w:val="001721CB"/>
    <w:rsid w:val="001722CF"/>
    <w:rsid w:val="0017237F"/>
    <w:rsid w:val="0017253D"/>
    <w:rsid w:val="0017255D"/>
    <w:rsid w:val="0017268E"/>
    <w:rsid w:val="00172829"/>
    <w:rsid w:val="0017291D"/>
    <w:rsid w:val="001729BB"/>
    <w:rsid w:val="001729D4"/>
    <w:rsid w:val="00172B12"/>
    <w:rsid w:val="00172B45"/>
    <w:rsid w:val="00172C22"/>
    <w:rsid w:val="00172EC6"/>
    <w:rsid w:val="00173108"/>
    <w:rsid w:val="001733B1"/>
    <w:rsid w:val="00173858"/>
    <w:rsid w:val="00173863"/>
    <w:rsid w:val="0017386C"/>
    <w:rsid w:val="001738BC"/>
    <w:rsid w:val="00173B76"/>
    <w:rsid w:val="00173BAB"/>
    <w:rsid w:val="00173D64"/>
    <w:rsid w:val="00173D68"/>
    <w:rsid w:val="00173F1B"/>
    <w:rsid w:val="00173FEF"/>
    <w:rsid w:val="00174078"/>
    <w:rsid w:val="0017407E"/>
    <w:rsid w:val="0017408B"/>
    <w:rsid w:val="001745BC"/>
    <w:rsid w:val="0017488C"/>
    <w:rsid w:val="001748C7"/>
    <w:rsid w:val="00174995"/>
    <w:rsid w:val="00175149"/>
    <w:rsid w:val="001755F4"/>
    <w:rsid w:val="0017565A"/>
    <w:rsid w:val="00175692"/>
    <w:rsid w:val="0017580B"/>
    <w:rsid w:val="001759F1"/>
    <w:rsid w:val="00175AC9"/>
    <w:rsid w:val="00175BFF"/>
    <w:rsid w:val="00175C99"/>
    <w:rsid w:val="00175CD4"/>
    <w:rsid w:val="00175CE3"/>
    <w:rsid w:val="00176087"/>
    <w:rsid w:val="001760E3"/>
    <w:rsid w:val="00176143"/>
    <w:rsid w:val="0017625F"/>
    <w:rsid w:val="0017637B"/>
    <w:rsid w:val="001763EC"/>
    <w:rsid w:val="00176473"/>
    <w:rsid w:val="0017656D"/>
    <w:rsid w:val="001765D8"/>
    <w:rsid w:val="0017663C"/>
    <w:rsid w:val="001767D6"/>
    <w:rsid w:val="00176B11"/>
    <w:rsid w:val="00177283"/>
    <w:rsid w:val="00177442"/>
    <w:rsid w:val="00177700"/>
    <w:rsid w:val="00177726"/>
    <w:rsid w:val="001777FF"/>
    <w:rsid w:val="0017796B"/>
    <w:rsid w:val="001779A8"/>
    <w:rsid w:val="00177DED"/>
    <w:rsid w:val="00180073"/>
    <w:rsid w:val="001802EA"/>
    <w:rsid w:val="00180300"/>
    <w:rsid w:val="0018053C"/>
    <w:rsid w:val="00180683"/>
    <w:rsid w:val="00180761"/>
    <w:rsid w:val="00180804"/>
    <w:rsid w:val="00180A39"/>
    <w:rsid w:val="00180A6C"/>
    <w:rsid w:val="00181438"/>
    <w:rsid w:val="0018144F"/>
    <w:rsid w:val="00181557"/>
    <w:rsid w:val="001815DF"/>
    <w:rsid w:val="00181630"/>
    <w:rsid w:val="001816B6"/>
    <w:rsid w:val="00181741"/>
    <w:rsid w:val="00181D58"/>
    <w:rsid w:val="00181EFE"/>
    <w:rsid w:val="00181F12"/>
    <w:rsid w:val="00181F5E"/>
    <w:rsid w:val="00181F84"/>
    <w:rsid w:val="00182037"/>
    <w:rsid w:val="0018204F"/>
    <w:rsid w:val="001820FD"/>
    <w:rsid w:val="0018229E"/>
    <w:rsid w:val="001822D1"/>
    <w:rsid w:val="001822D7"/>
    <w:rsid w:val="00182485"/>
    <w:rsid w:val="001824AB"/>
    <w:rsid w:val="00182528"/>
    <w:rsid w:val="0018253B"/>
    <w:rsid w:val="00182835"/>
    <w:rsid w:val="001828B6"/>
    <w:rsid w:val="00182999"/>
    <w:rsid w:val="00182A69"/>
    <w:rsid w:val="00182C19"/>
    <w:rsid w:val="00182E15"/>
    <w:rsid w:val="00182E2B"/>
    <w:rsid w:val="00182F68"/>
    <w:rsid w:val="00183006"/>
    <w:rsid w:val="001831B5"/>
    <w:rsid w:val="001831BA"/>
    <w:rsid w:val="00183289"/>
    <w:rsid w:val="00183417"/>
    <w:rsid w:val="001834F0"/>
    <w:rsid w:val="001835DB"/>
    <w:rsid w:val="001836E7"/>
    <w:rsid w:val="00183787"/>
    <w:rsid w:val="0018383B"/>
    <w:rsid w:val="00183B47"/>
    <w:rsid w:val="00183B69"/>
    <w:rsid w:val="00183C5E"/>
    <w:rsid w:val="00183C6B"/>
    <w:rsid w:val="00183D34"/>
    <w:rsid w:val="00183D57"/>
    <w:rsid w:val="00183DB8"/>
    <w:rsid w:val="00183E36"/>
    <w:rsid w:val="00183E73"/>
    <w:rsid w:val="00183EEB"/>
    <w:rsid w:val="00183F4E"/>
    <w:rsid w:val="0018418D"/>
    <w:rsid w:val="001843DF"/>
    <w:rsid w:val="0018454C"/>
    <w:rsid w:val="00184674"/>
    <w:rsid w:val="001846E9"/>
    <w:rsid w:val="001848FC"/>
    <w:rsid w:val="0018497F"/>
    <w:rsid w:val="00184C44"/>
    <w:rsid w:val="00184DFC"/>
    <w:rsid w:val="00184E69"/>
    <w:rsid w:val="00184EFA"/>
    <w:rsid w:val="00184F27"/>
    <w:rsid w:val="001851C8"/>
    <w:rsid w:val="001851CF"/>
    <w:rsid w:val="00185324"/>
    <w:rsid w:val="001854E5"/>
    <w:rsid w:val="0018556D"/>
    <w:rsid w:val="0018559B"/>
    <w:rsid w:val="0018562E"/>
    <w:rsid w:val="0018588D"/>
    <w:rsid w:val="00185B6C"/>
    <w:rsid w:val="00185BA0"/>
    <w:rsid w:val="00185C9C"/>
    <w:rsid w:val="00185D6B"/>
    <w:rsid w:val="00185F24"/>
    <w:rsid w:val="0018602B"/>
    <w:rsid w:val="0018616C"/>
    <w:rsid w:val="0018641B"/>
    <w:rsid w:val="001864F0"/>
    <w:rsid w:val="00186597"/>
    <w:rsid w:val="001865D7"/>
    <w:rsid w:val="00186859"/>
    <w:rsid w:val="00186A58"/>
    <w:rsid w:val="00186B97"/>
    <w:rsid w:val="00186BC6"/>
    <w:rsid w:val="00186DAA"/>
    <w:rsid w:val="00186E5A"/>
    <w:rsid w:val="001870ED"/>
    <w:rsid w:val="0018742A"/>
    <w:rsid w:val="00187443"/>
    <w:rsid w:val="001876C0"/>
    <w:rsid w:val="00187721"/>
    <w:rsid w:val="001878CC"/>
    <w:rsid w:val="001878E4"/>
    <w:rsid w:val="00187B6F"/>
    <w:rsid w:val="00187DEB"/>
    <w:rsid w:val="00187E94"/>
    <w:rsid w:val="00187EA7"/>
    <w:rsid w:val="00190071"/>
    <w:rsid w:val="00190088"/>
    <w:rsid w:val="00190210"/>
    <w:rsid w:val="001902E6"/>
    <w:rsid w:val="0019030A"/>
    <w:rsid w:val="0019067D"/>
    <w:rsid w:val="001909A7"/>
    <w:rsid w:val="001909AF"/>
    <w:rsid w:val="00190A01"/>
    <w:rsid w:val="00190AE2"/>
    <w:rsid w:val="00190B73"/>
    <w:rsid w:val="00190BC4"/>
    <w:rsid w:val="00190E28"/>
    <w:rsid w:val="00190EBB"/>
    <w:rsid w:val="00190FAC"/>
    <w:rsid w:val="00190FF1"/>
    <w:rsid w:val="00191031"/>
    <w:rsid w:val="00191042"/>
    <w:rsid w:val="0019104C"/>
    <w:rsid w:val="00191064"/>
    <w:rsid w:val="0019134D"/>
    <w:rsid w:val="0019172B"/>
    <w:rsid w:val="001919F3"/>
    <w:rsid w:val="00191A10"/>
    <w:rsid w:val="00191B8E"/>
    <w:rsid w:val="00191C6F"/>
    <w:rsid w:val="00191F0F"/>
    <w:rsid w:val="00192071"/>
    <w:rsid w:val="00192126"/>
    <w:rsid w:val="001923A1"/>
    <w:rsid w:val="00192A79"/>
    <w:rsid w:val="00192F37"/>
    <w:rsid w:val="00193043"/>
    <w:rsid w:val="00193051"/>
    <w:rsid w:val="001930A6"/>
    <w:rsid w:val="001930B1"/>
    <w:rsid w:val="001930F6"/>
    <w:rsid w:val="0019347C"/>
    <w:rsid w:val="00193562"/>
    <w:rsid w:val="001936CF"/>
    <w:rsid w:val="001937B0"/>
    <w:rsid w:val="00193847"/>
    <w:rsid w:val="001939C4"/>
    <w:rsid w:val="00193A11"/>
    <w:rsid w:val="00193AC6"/>
    <w:rsid w:val="00194113"/>
    <w:rsid w:val="001946C5"/>
    <w:rsid w:val="001946DC"/>
    <w:rsid w:val="0019476B"/>
    <w:rsid w:val="001947A9"/>
    <w:rsid w:val="0019491C"/>
    <w:rsid w:val="0019497D"/>
    <w:rsid w:val="00194A05"/>
    <w:rsid w:val="00194E09"/>
    <w:rsid w:val="00194F11"/>
    <w:rsid w:val="00195192"/>
    <w:rsid w:val="00195273"/>
    <w:rsid w:val="001952D3"/>
    <w:rsid w:val="0019542D"/>
    <w:rsid w:val="00195614"/>
    <w:rsid w:val="00195646"/>
    <w:rsid w:val="001958FF"/>
    <w:rsid w:val="001959DF"/>
    <w:rsid w:val="00195A31"/>
    <w:rsid w:val="00195A9A"/>
    <w:rsid w:val="00195C04"/>
    <w:rsid w:val="00195C2D"/>
    <w:rsid w:val="00195EB0"/>
    <w:rsid w:val="00195EFB"/>
    <w:rsid w:val="00195F78"/>
    <w:rsid w:val="00195FB9"/>
    <w:rsid w:val="00196032"/>
    <w:rsid w:val="0019608E"/>
    <w:rsid w:val="001960BA"/>
    <w:rsid w:val="00196107"/>
    <w:rsid w:val="0019624C"/>
    <w:rsid w:val="001963B7"/>
    <w:rsid w:val="00196632"/>
    <w:rsid w:val="001966DA"/>
    <w:rsid w:val="00196840"/>
    <w:rsid w:val="00196876"/>
    <w:rsid w:val="001968D2"/>
    <w:rsid w:val="00196C29"/>
    <w:rsid w:val="00196C5E"/>
    <w:rsid w:val="00196D34"/>
    <w:rsid w:val="00196E0F"/>
    <w:rsid w:val="00196ECD"/>
    <w:rsid w:val="00196F3D"/>
    <w:rsid w:val="001971D2"/>
    <w:rsid w:val="001972E6"/>
    <w:rsid w:val="001974D3"/>
    <w:rsid w:val="00197562"/>
    <w:rsid w:val="0019757F"/>
    <w:rsid w:val="0019758D"/>
    <w:rsid w:val="001975DA"/>
    <w:rsid w:val="001977B1"/>
    <w:rsid w:val="00197923"/>
    <w:rsid w:val="00197C25"/>
    <w:rsid w:val="00197CA4"/>
    <w:rsid w:val="00197D3A"/>
    <w:rsid w:val="00197E8F"/>
    <w:rsid w:val="001A0072"/>
    <w:rsid w:val="001A0160"/>
    <w:rsid w:val="001A018B"/>
    <w:rsid w:val="001A029B"/>
    <w:rsid w:val="001A0300"/>
    <w:rsid w:val="001A0547"/>
    <w:rsid w:val="001A0628"/>
    <w:rsid w:val="001A092F"/>
    <w:rsid w:val="001A0939"/>
    <w:rsid w:val="001A0AB6"/>
    <w:rsid w:val="001A0ACC"/>
    <w:rsid w:val="001A0C5B"/>
    <w:rsid w:val="001A0C9C"/>
    <w:rsid w:val="001A0DC6"/>
    <w:rsid w:val="001A114C"/>
    <w:rsid w:val="001A11B0"/>
    <w:rsid w:val="001A14A2"/>
    <w:rsid w:val="001A1545"/>
    <w:rsid w:val="001A15BB"/>
    <w:rsid w:val="001A15C3"/>
    <w:rsid w:val="001A1604"/>
    <w:rsid w:val="001A1640"/>
    <w:rsid w:val="001A16C2"/>
    <w:rsid w:val="001A1874"/>
    <w:rsid w:val="001A1A7D"/>
    <w:rsid w:val="001A1BF6"/>
    <w:rsid w:val="001A1E6F"/>
    <w:rsid w:val="001A1EA5"/>
    <w:rsid w:val="001A2036"/>
    <w:rsid w:val="001A2128"/>
    <w:rsid w:val="001A2176"/>
    <w:rsid w:val="001A21CB"/>
    <w:rsid w:val="001A229B"/>
    <w:rsid w:val="001A2332"/>
    <w:rsid w:val="001A233D"/>
    <w:rsid w:val="001A24FE"/>
    <w:rsid w:val="001A279D"/>
    <w:rsid w:val="001A2C31"/>
    <w:rsid w:val="001A2D49"/>
    <w:rsid w:val="001A2DD1"/>
    <w:rsid w:val="001A2EB4"/>
    <w:rsid w:val="001A30CE"/>
    <w:rsid w:val="001A315C"/>
    <w:rsid w:val="001A3245"/>
    <w:rsid w:val="001A343E"/>
    <w:rsid w:val="001A3464"/>
    <w:rsid w:val="001A3578"/>
    <w:rsid w:val="001A390E"/>
    <w:rsid w:val="001A3A20"/>
    <w:rsid w:val="001A3A43"/>
    <w:rsid w:val="001A3CD4"/>
    <w:rsid w:val="001A3D7F"/>
    <w:rsid w:val="001A4201"/>
    <w:rsid w:val="001A4267"/>
    <w:rsid w:val="001A4315"/>
    <w:rsid w:val="001A446F"/>
    <w:rsid w:val="001A4517"/>
    <w:rsid w:val="001A45A1"/>
    <w:rsid w:val="001A45E2"/>
    <w:rsid w:val="001A46D4"/>
    <w:rsid w:val="001A47F1"/>
    <w:rsid w:val="001A488F"/>
    <w:rsid w:val="001A49AA"/>
    <w:rsid w:val="001A4B75"/>
    <w:rsid w:val="001A4B8E"/>
    <w:rsid w:val="001A4B90"/>
    <w:rsid w:val="001A4E17"/>
    <w:rsid w:val="001A4EF1"/>
    <w:rsid w:val="001A520C"/>
    <w:rsid w:val="001A54BC"/>
    <w:rsid w:val="001A54EF"/>
    <w:rsid w:val="001A556C"/>
    <w:rsid w:val="001A576E"/>
    <w:rsid w:val="001A5846"/>
    <w:rsid w:val="001A58F7"/>
    <w:rsid w:val="001A5910"/>
    <w:rsid w:val="001A59D0"/>
    <w:rsid w:val="001A5A0B"/>
    <w:rsid w:val="001A5C67"/>
    <w:rsid w:val="001A5DFD"/>
    <w:rsid w:val="001A5F2D"/>
    <w:rsid w:val="001A5F46"/>
    <w:rsid w:val="001A62BC"/>
    <w:rsid w:val="001A69E9"/>
    <w:rsid w:val="001A6B75"/>
    <w:rsid w:val="001A6E2F"/>
    <w:rsid w:val="001A6FBA"/>
    <w:rsid w:val="001A6FE0"/>
    <w:rsid w:val="001A70AC"/>
    <w:rsid w:val="001A71E8"/>
    <w:rsid w:val="001A7227"/>
    <w:rsid w:val="001A72C2"/>
    <w:rsid w:val="001A73A3"/>
    <w:rsid w:val="001A74A8"/>
    <w:rsid w:val="001A764D"/>
    <w:rsid w:val="001A7ABA"/>
    <w:rsid w:val="001A7C8A"/>
    <w:rsid w:val="001A7DCC"/>
    <w:rsid w:val="001A7DF4"/>
    <w:rsid w:val="001B010F"/>
    <w:rsid w:val="001B02BA"/>
    <w:rsid w:val="001B058B"/>
    <w:rsid w:val="001B05F5"/>
    <w:rsid w:val="001B0607"/>
    <w:rsid w:val="001B0915"/>
    <w:rsid w:val="001B09C1"/>
    <w:rsid w:val="001B0A75"/>
    <w:rsid w:val="001B0D68"/>
    <w:rsid w:val="001B13CA"/>
    <w:rsid w:val="001B15B5"/>
    <w:rsid w:val="001B1807"/>
    <w:rsid w:val="001B1D06"/>
    <w:rsid w:val="001B209C"/>
    <w:rsid w:val="001B222F"/>
    <w:rsid w:val="001B2491"/>
    <w:rsid w:val="001B24B7"/>
    <w:rsid w:val="001B24F7"/>
    <w:rsid w:val="001B2654"/>
    <w:rsid w:val="001B26BF"/>
    <w:rsid w:val="001B2753"/>
    <w:rsid w:val="001B27DA"/>
    <w:rsid w:val="001B2849"/>
    <w:rsid w:val="001B2A22"/>
    <w:rsid w:val="001B2B73"/>
    <w:rsid w:val="001B2FC2"/>
    <w:rsid w:val="001B308F"/>
    <w:rsid w:val="001B3090"/>
    <w:rsid w:val="001B317F"/>
    <w:rsid w:val="001B32DE"/>
    <w:rsid w:val="001B349C"/>
    <w:rsid w:val="001B35F3"/>
    <w:rsid w:val="001B3898"/>
    <w:rsid w:val="001B38F3"/>
    <w:rsid w:val="001B3935"/>
    <w:rsid w:val="001B3B2D"/>
    <w:rsid w:val="001B3BFA"/>
    <w:rsid w:val="001B3C9E"/>
    <w:rsid w:val="001B40BE"/>
    <w:rsid w:val="001B428F"/>
    <w:rsid w:val="001B42AA"/>
    <w:rsid w:val="001B43CF"/>
    <w:rsid w:val="001B4669"/>
    <w:rsid w:val="001B4A23"/>
    <w:rsid w:val="001B4A66"/>
    <w:rsid w:val="001B4A72"/>
    <w:rsid w:val="001B4B7D"/>
    <w:rsid w:val="001B4BAD"/>
    <w:rsid w:val="001B4E88"/>
    <w:rsid w:val="001B5090"/>
    <w:rsid w:val="001B5389"/>
    <w:rsid w:val="001B5A86"/>
    <w:rsid w:val="001B5AA4"/>
    <w:rsid w:val="001B5CBB"/>
    <w:rsid w:val="001B5EBE"/>
    <w:rsid w:val="001B5F06"/>
    <w:rsid w:val="001B5FC0"/>
    <w:rsid w:val="001B6039"/>
    <w:rsid w:val="001B613C"/>
    <w:rsid w:val="001B627D"/>
    <w:rsid w:val="001B6391"/>
    <w:rsid w:val="001B6394"/>
    <w:rsid w:val="001B6430"/>
    <w:rsid w:val="001B64DC"/>
    <w:rsid w:val="001B6C62"/>
    <w:rsid w:val="001B6D15"/>
    <w:rsid w:val="001B6D3F"/>
    <w:rsid w:val="001B6DA4"/>
    <w:rsid w:val="001B6F39"/>
    <w:rsid w:val="001B6F5B"/>
    <w:rsid w:val="001B6FBB"/>
    <w:rsid w:val="001B72AC"/>
    <w:rsid w:val="001B730E"/>
    <w:rsid w:val="001B735A"/>
    <w:rsid w:val="001B73C3"/>
    <w:rsid w:val="001B7486"/>
    <w:rsid w:val="001B7598"/>
    <w:rsid w:val="001B76F7"/>
    <w:rsid w:val="001B7793"/>
    <w:rsid w:val="001B7910"/>
    <w:rsid w:val="001B799C"/>
    <w:rsid w:val="001B79F0"/>
    <w:rsid w:val="001B7C4B"/>
    <w:rsid w:val="001B7E67"/>
    <w:rsid w:val="001B7F7C"/>
    <w:rsid w:val="001C0321"/>
    <w:rsid w:val="001C0334"/>
    <w:rsid w:val="001C080C"/>
    <w:rsid w:val="001C084B"/>
    <w:rsid w:val="001C0901"/>
    <w:rsid w:val="001C0952"/>
    <w:rsid w:val="001C0C3B"/>
    <w:rsid w:val="001C0FD0"/>
    <w:rsid w:val="001C1383"/>
    <w:rsid w:val="001C1577"/>
    <w:rsid w:val="001C184B"/>
    <w:rsid w:val="001C1A62"/>
    <w:rsid w:val="001C1B4F"/>
    <w:rsid w:val="001C1E65"/>
    <w:rsid w:val="001C216A"/>
    <w:rsid w:val="001C236F"/>
    <w:rsid w:val="001C249D"/>
    <w:rsid w:val="001C25FF"/>
    <w:rsid w:val="001C26EC"/>
    <w:rsid w:val="001C2792"/>
    <w:rsid w:val="001C281B"/>
    <w:rsid w:val="001C29E9"/>
    <w:rsid w:val="001C29F7"/>
    <w:rsid w:val="001C2BAE"/>
    <w:rsid w:val="001C2C1B"/>
    <w:rsid w:val="001C2DE5"/>
    <w:rsid w:val="001C301A"/>
    <w:rsid w:val="001C30C9"/>
    <w:rsid w:val="001C3216"/>
    <w:rsid w:val="001C3362"/>
    <w:rsid w:val="001C33DD"/>
    <w:rsid w:val="001C3418"/>
    <w:rsid w:val="001C3465"/>
    <w:rsid w:val="001C34E0"/>
    <w:rsid w:val="001C3594"/>
    <w:rsid w:val="001C36C4"/>
    <w:rsid w:val="001C372E"/>
    <w:rsid w:val="001C38BC"/>
    <w:rsid w:val="001C3961"/>
    <w:rsid w:val="001C3A97"/>
    <w:rsid w:val="001C3AB6"/>
    <w:rsid w:val="001C3B42"/>
    <w:rsid w:val="001C3C2A"/>
    <w:rsid w:val="001C3C62"/>
    <w:rsid w:val="001C3E63"/>
    <w:rsid w:val="001C3EED"/>
    <w:rsid w:val="001C4006"/>
    <w:rsid w:val="001C41D2"/>
    <w:rsid w:val="001C4259"/>
    <w:rsid w:val="001C42B7"/>
    <w:rsid w:val="001C4333"/>
    <w:rsid w:val="001C44E7"/>
    <w:rsid w:val="001C44EB"/>
    <w:rsid w:val="001C485E"/>
    <w:rsid w:val="001C4A57"/>
    <w:rsid w:val="001C4F2F"/>
    <w:rsid w:val="001C4F85"/>
    <w:rsid w:val="001C5123"/>
    <w:rsid w:val="001C563D"/>
    <w:rsid w:val="001C57D4"/>
    <w:rsid w:val="001C59DF"/>
    <w:rsid w:val="001C59E8"/>
    <w:rsid w:val="001C5BDA"/>
    <w:rsid w:val="001C5F59"/>
    <w:rsid w:val="001C677B"/>
    <w:rsid w:val="001C6842"/>
    <w:rsid w:val="001C69FD"/>
    <w:rsid w:val="001C6AB7"/>
    <w:rsid w:val="001C6EB1"/>
    <w:rsid w:val="001C718B"/>
    <w:rsid w:val="001C7307"/>
    <w:rsid w:val="001C7533"/>
    <w:rsid w:val="001C7729"/>
    <w:rsid w:val="001C77A9"/>
    <w:rsid w:val="001C79D1"/>
    <w:rsid w:val="001C7A40"/>
    <w:rsid w:val="001C7B47"/>
    <w:rsid w:val="001C7BFE"/>
    <w:rsid w:val="001C7CF8"/>
    <w:rsid w:val="001C7CF9"/>
    <w:rsid w:val="001C7EB5"/>
    <w:rsid w:val="001D0038"/>
    <w:rsid w:val="001D013D"/>
    <w:rsid w:val="001D018F"/>
    <w:rsid w:val="001D0576"/>
    <w:rsid w:val="001D0585"/>
    <w:rsid w:val="001D084D"/>
    <w:rsid w:val="001D085D"/>
    <w:rsid w:val="001D0958"/>
    <w:rsid w:val="001D0A01"/>
    <w:rsid w:val="001D0B5C"/>
    <w:rsid w:val="001D1229"/>
    <w:rsid w:val="001D13F1"/>
    <w:rsid w:val="001D1427"/>
    <w:rsid w:val="001D1681"/>
    <w:rsid w:val="001D179E"/>
    <w:rsid w:val="001D18C5"/>
    <w:rsid w:val="001D1B85"/>
    <w:rsid w:val="001D1C3F"/>
    <w:rsid w:val="001D1F48"/>
    <w:rsid w:val="001D1FD6"/>
    <w:rsid w:val="001D21E5"/>
    <w:rsid w:val="001D248F"/>
    <w:rsid w:val="001D24EE"/>
    <w:rsid w:val="001D29EC"/>
    <w:rsid w:val="001D2A60"/>
    <w:rsid w:val="001D2B11"/>
    <w:rsid w:val="001D2B5D"/>
    <w:rsid w:val="001D2D10"/>
    <w:rsid w:val="001D2D2E"/>
    <w:rsid w:val="001D2DCB"/>
    <w:rsid w:val="001D2E1C"/>
    <w:rsid w:val="001D2ED1"/>
    <w:rsid w:val="001D2F4C"/>
    <w:rsid w:val="001D33CA"/>
    <w:rsid w:val="001D34EE"/>
    <w:rsid w:val="001D3664"/>
    <w:rsid w:val="001D37DB"/>
    <w:rsid w:val="001D3805"/>
    <w:rsid w:val="001D3A4C"/>
    <w:rsid w:val="001D3B61"/>
    <w:rsid w:val="001D3F8F"/>
    <w:rsid w:val="001D3F9B"/>
    <w:rsid w:val="001D410A"/>
    <w:rsid w:val="001D4182"/>
    <w:rsid w:val="001D4204"/>
    <w:rsid w:val="001D43BB"/>
    <w:rsid w:val="001D4628"/>
    <w:rsid w:val="001D4844"/>
    <w:rsid w:val="001D49C5"/>
    <w:rsid w:val="001D4A00"/>
    <w:rsid w:val="001D4B69"/>
    <w:rsid w:val="001D4C39"/>
    <w:rsid w:val="001D4C43"/>
    <w:rsid w:val="001D4DA7"/>
    <w:rsid w:val="001D4E67"/>
    <w:rsid w:val="001D4EA5"/>
    <w:rsid w:val="001D4EF1"/>
    <w:rsid w:val="001D5097"/>
    <w:rsid w:val="001D5114"/>
    <w:rsid w:val="001D512C"/>
    <w:rsid w:val="001D5188"/>
    <w:rsid w:val="001D5369"/>
    <w:rsid w:val="001D5376"/>
    <w:rsid w:val="001D53B3"/>
    <w:rsid w:val="001D5510"/>
    <w:rsid w:val="001D55D5"/>
    <w:rsid w:val="001D5942"/>
    <w:rsid w:val="001D59F4"/>
    <w:rsid w:val="001D5A41"/>
    <w:rsid w:val="001D5D86"/>
    <w:rsid w:val="001D5DC2"/>
    <w:rsid w:val="001D5ECF"/>
    <w:rsid w:val="001D6046"/>
    <w:rsid w:val="001D61A0"/>
    <w:rsid w:val="001D649A"/>
    <w:rsid w:val="001D65FB"/>
    <w:rsid w:val="001D6774"/>
    <w:rsid w:val="001D69DE"/>
    <w:rsid w:val="001D6B0E"/>
    <w:rsid w:val="001D6BD5"/>
    <w:rsid w:val="001D6E4B"/>
    <w:rsid w:val="001D6E94"/>
    <w:rsid w:val="001D6F6C"/>
    <w:rsid w:val="001D7230"/>
    <w:rsid w:val="001D7363"/>
    <w:rsid w:val="001D743A"/>
    <w:rsid w:val="001D74ED"/>
    <w:rsid w:val="001D753B"/>
    <w:rsid w:val="001D75C5"/>
    <w:rsid w:val="001D765B"/>
    <w:rsid w:val="001D7780"/>
    <w:rsid w:val="001D7996"/>
    <w:rsid w:val="001D79DD"/>
    <w:rsid w:val="001D7ABD"/>
    <w:rsid w:val="001D7B04"/>
    <w:rsid w:val="001D7D12"/>
    <w:rsid w:val="001D7EEC"/>
    <w:rsid w:val="001E039D"/>
    <w:rsid w:val="001E041A"/>
    <w:rsid w:val="001E04C0"/>
    <w:rsid w:val="001E0525"/>
    <w:rsid w:val="001E05FA"/>
    <w:rsid w:val="001E0651"/>
    <w:rsid w:val="001E079E"/>
    <w:rsid w:val="001E0876"/>
    <w:rsid w:val="001E0A26"/>
    <w:rsid w:val="001E0CB4"/>
    <w:rsid w:val="001E0DB6"/>
    <w:rsid w:val="001E0E0B"/>
    <w:rsid w:val="001E0F4E"/>
    <w:rsid w:val="001E12A1"/>
    <w:rsid w:val="001E1492"/>
    <w:rsid w:val="001E1559"/>
    <w:rsid w:val="001E16E5"/>
    <w:rsid w:val="001E196B"/>
    <w:rsid w:val="001E1A11"/>
    <w:rsid w:val="001E1E2D"/>
    <w:rsid w:val="001E1EDC"/>
    <w:rsid w:val="001E1FD1"/>
    <w:rsid w:val="001E20B3"/>
    <w:rsid w:val="001E2514"/>
    <w:rsid w:val="001E251F"/>
    <w:rsid w:val="001E25B2"/>
    <w:rsid w:val="001E265D"/>
    <w:rsid w:val="001E27C4"/>
    <w:rsid w:val="001E29E4"/>
    <w:rsid w:val="001E2AC2"/>
    <w:rsid w:val="001E2BD6"/>
    <w:rsid w:val="001E2C4A"/>
    <w:rsid w:val="001E2CD5"/>
    <w:rsid w:val="001E2D3D"/>
    <w:rsid w:val="001E2DEE"/>
    <w:rsid w:val="001E2EB0"/>
    <w:rsid w:val="001E2FE3"/>
    <w:rsid w:val="001E3205"/>
    <w:rsid w:val="001E3235"/>
    <w:rsid w:val="001E3325"/>
    <w:rsid w:val="001E3372"/>
    <w:rsid w:val="001E3405"/>
    <w:rsid w:val="001E3655"/>
    <w:rsid w:val="001E36AC"/>
    <w:rsid w:val="001E374A"/>
    <w:rsid w:val="001E37C7"/>
    <w:rsid w:val="001E3809"/>
    <w:rsid w:val="001E394F"/>
    <w:rsid w:val="001E39AD"/>
    <w:rsid w:val="001E39EE"/>
    <w:rsid w:val="001E3D0F"/>
    <w:rsid w:val="001E3FDD"/>
    <w:rsid w:val="001E4017"/>
    <w:rsid w:val="001E41C6"/>
    <w:rsid w:val="001E4485"/>
    <w:rsid w:val="001E44AB"/>
    <w:rsid w:val="001E4622"/>
    <w:rsid w:val="001E47B2"/>
    <w:rsid w:val="001E4B33"/>
    <w:rsid w:val="001E4E13"/>
    <w:rsid w:val="001E4E22"/>
    <w:rsid w:val="001E4FE0"/>
    <w:rsid w:val="001E539E"/>
    <w:rsid w:val="001E541A"/>
    <w:rsid w:val="001E549B"/>
    <w:rsid w:val="001E55AC"/>
    <w:rsid w:val="001E5651"/>
    <w:rsid w:val="001E5711"/>
    <w:rsid w:val="001E583D"/>
    <w:rsid w:val="001E5A06"/>
    <w:rsid w:val="001E5BDA"/>
    <w:rsid w:val="001E5C1E"/>
    <w:rsid w:val="001E60E0"/>
    <w:rsid w:val="001E615D"/>
    <w:rsid w:val="001E620D"/>
    <w:rsid w:val="001E6244"/>
    <w:rsid w:val="001E62C7"/>
    <w:rsid w:val="001E6347"/>
    <w:rsid w:val="001E635F"/>
    <w:rsid w:val="001E6422"/>
    <w:rsid w:val="001E64C0"/>
    <w:rsid w:val="001E6742"/>
    <w:rsid w:val="001E69AF"/>
    <w:rsid w:val="001E6C9E"/>
    <w:rsid w:val="001E6CA5"/>
    <w:rsid w:val="001E6EBD"/>
    <w:rsid w:val="001E6FFD"/>
    <w:rsid w:val="001E70A7"/>
    <w:rsid w:val="001E70CE"/>
    <w:rsid w:val="001E711F"/>
    <w:rsid w:val="001E724C"/>
    <w:rsid w:val="001E725A"/>
    <w:rsid w:val="001E7321"/>
    <w:rsid w:val="001E73EB"/>
    <w:rsid w:val="001E7570"/>
    <w:rsid w:val="001E775D"/>
    <w:rsid w:val="001E79B2"/>
    <w:rsid w:val="001E79E1"/>
    <w:rsid w:val="001E7E88"/>
    <w:rsid w:val="001E7EF8"/>
    <w:rsid w:val="001E7F5D"/>
    <w:rsid w:val="001F04F9"/>
    <w:rsid w:val="001F0958"/>
    <w:rsid w:val="001F0F87"/>
    <w:rsid w:val="001F104D"/>
    <w:rsid w:val="001F121F"/>
    <w:rsid w:val="001F12AE"/>
    <w:rsid w:val="001F1361"/>
    <w:rsid w:val="001F1405"/>
    <w:rsid w:val="001F144D"/>
    <w:rsid w:val="001F148B"/>
    <w:rsid w:val="001F1509"/>
    <w:rsid w:val="001F15F0"/>
    <w:rsid w:val="001F15FD"/>
    <w:rsid w:val="001F17E7"/>
    <w:rsid w:val="001F196A"/>
    <w:rsid w:val="001F19C5"/>
    <w:rsid w:val="001F1A0B"/>
    <w:rsid w:val="001F1A28"/>
    <w:rsid w:val="001F1D87"/>
    <w:rsid w:val="001F1F3A"/>
    <w:rsid w:val="001F1F6C"/>
    <w:rsid w:val="001F1F9F"/>
    <w:rsid w:val="001F2144"/>
    <w:rsid w:val="001F22AD"/>
    <w:rsid w:val="001F23CE"/>
    <w:rsid w:val="001F2460"/>
    <w:rsid w:val="001F25D2"/>
    <w:rsid w:val="001F263C"/>
    <w:rsid w:val="001F279E"/>
    <w:rsid w:val="001F28AA"/>
    <w:rsid w:val="001F2A67"/>
    <w:rsid w:val="001F2ACA"/>
    <w:rsid w:val="001F2B33"/>
    <w:rsid w:val="001F2B4B"/>
    <w:rsid w:val="001F2EE9"/>
    <w:rsid w:val="001F2EF9"/>
    <w:rsid w:val="001F2F42"/>
    <w:rsid w:val="001F2F51"/>
    <w:rsid w:val="001F307B"/>
    <w:rsid w:val="001F334A"/>
    <w:rsid w:val="001F34C4"/>
    <w:rsid w:val="001F34DA"/>
    <w:rsid w:val="001F34EB"/>
    <w:rsid w:val="001F367E"/>
    <w:rsid w:val="001F372C"/>
    <w:rsid w:val="001F3801"/>
    <w:rsid w:val="001F393C"/>
    <w:rsid w:val="001F399D"/>
    <w:rsid w:val="001F3B56"/>
    <w:rsid w:val="001F3BCC"/>
    <w:rsid w:val="001F3C5A"/>
    <w:rsid w:val="001F3C82"/>
    <w:rsid w:val="001F3CD2"/>
    <w:rsid w:val="001F3E3E"/>
    <w:rsid w:val="001F3F4E"/>
    <w:rsid w:val="001F3F55"/>
    <w:rsid w:val="001F3F7F"/>
    <w:rsid w:val="001F4029"/>
    <w:rsid w:val="001F4192"/>
    <w:rsid w:val="001F4208"/>
    <w:rsid w:val="001F4267"/>
    <w:rsid w:val="001F4385"/>
    <w:rsid w:val="001F43B6"/>
    <w:rsid w:val="001F43DE"/>
    <w:rsid w:val="001F4680"/>
    <w:rsid w:val="001F475D"/>
    <w:rsid w:val="001F4B92"/>
    <w:rsid w:val="001F4C78"/>
    <w:rsid w:val="001F4D17"/>
    <w:rsid w:val="001F4D78"/>
    <w:rsid w:val="001F4F00"/>
    <w:rsid w:val="001F4FE4"/>
    <w:rsid w:val="001F50AD"/>
    <w:rsid w:val="001F52D1"/>
    <w:rsid w:val="001F536C"/>
    <w:rsid w:val="001F55C4"/>
    <w:rsid w:val="001F5646"/>
    <w:rsid w:val="001F564A"/>
    <w:rsid w:val="001F5754"/>
    <w:rsid w:val="001F59B2"/>
    <w:rsid w:val="001F5ABC"/>
    <w:rsid w:val="001F5B0E"/>
    <w:rsid w:val="001F5BA6"/>
    <w:rsid w:val="001F5BD8"/>
    <w:rsid w:val="001F5C01"/>
    <w:rsid w:val="001F5E09"/>
    <w:rsid w:val="001F6093"/>
    <w:rsid w:val="001F61FF"/>
    <w:rsid w:val="001F6295"/>
    <w:rsid w:val="001F6382"/>
    <w:rsid w:val="001F64B2"/>
    <w:rsid w:val="001F64C9"/>
    <w:rsid w:val="001F66D4"/>
    <w:rsid w:val="001F6786"/>
    <w:rsid w:val="001F67F6"/>
    <w:rsid w:val="001F685E"/>
    <w:rsid w:val="001F69C1"/>
    <w:rsid w:val="001F6A77"/>
    <w:rsid w:val="001F6B2C"/>
    <w:rsid w:val="001F6C65"/>
    <w:rsid w:val="001F6CC8"/>
    <w:rsid w:val="001F6D14"/>
    <w:rsid w:val="001F6FAE"/>
    <w:rsid w:val="001F78DF"/>
    <w:rsid w:val="001F78E1"/>
    <w:rsid w:val="001F797E"/>
    <w:rsid w:val="001F7CF1"/>
    <w:rsid w:val="001F7F75"/>
    <w:rsid w:val="00200006"/>
    <w:rsid w:val="0020016D"/>
    <w:rsid w:val="0020030F"/>
    <w:rsid w:val="00200415"/>
    <w:rsid w:val="0020048E"/>
    <w:rsid w:val="00200507"/>
    <w:rsid w:val="002005F4"/>
    <w:rsid w:val="0020089B"/>
    <w:rsid w:val="002008FD"/>
    <w:rsid w:val="002009DC"/>
    <w:rsid w:val="00200A99"/>
    <w:rsid w:val="00200BC2"/>
    <w:rsid w:val="00200D09"/>
    <w:rsid w:val="00200D6B"/>
    <w:rsid w:val="00200DCC"/>
    <w:rsid w:val="00201106"/>
    <w:rsid w:val="002012A6"/>
    <w:rsid w:val="0020131A"/>
    <w:rsid w:val="002013D5"/>
    <w:rsid w:val="00201417"/>
    <w:rsid w:val="0020150A"/>
    <w:rsid w:val="0020186D"/>
    <w:rsid w:val="00201985"/>
    <w:rsid w:val="0020198A"/>
    <w:rsid w:val="00201DF3"/>
    <w:rsid w:val="00201F87"/>
    <w:rsid w:val="00201FD2"/>
    <w:rsid w:val="002020CC"/>
    <w:rsid w:val="002021D3"/>
    <w:rsid w:val="0020245B"/>
    <w:rsid w:val="00202758"/>
    <w:rsid w:val="002028B0"/>
    <w:rsid w:val="00202980"/>
    <w:rsid w:val="00202ADA"/>
    <w:rsid w:val="00202BCA"/>
    <w:rsid w:val="00202E4F"/>
    <w:rsid w:val="002031E9"/>
    <w:rsid w:val="0020332C"/>
    <w:rsid w:val="002033A2"/>
    <w:rsid w:val="0020347F"/>
    <w:rsid w:val="00203702"/>
    <w:rsid w:val="00203788"/>
    <w:rsid w:val="00203A48"/>
    <w:rsid w:val="00203ABA"/>
    <w:rsid w:val="00203B33"/>
    <w:rsid w:val="00203F05"/>
    <w:rsid w:val="00203F2B"/>
    <w:rsid w:val="00203F78"/>
    <w:rsid w:val="00203F91"/>
    <w:rsid w:val="00203FD6"/>
    <w:rsid w:val="002040F0"/>
    <w:rsid w:val="002043EA"/>
    <w:rsid w:val="00204552"/>
    <w:rsid w:val="00204738"/>
    <w:rsid w:val="00204740"/>
    <w:rsid w:val="00204ADA"/>
    <w:rsid w:val="00204B2F"/>
    <w:rsid w:val="00204F59"/>
    <w:rsid w:val="00205075"/>
    <w:rsid w:val="0020517A"/>
    <w:rsid w:val="00205282"/>
    <w:rsid w:val="00205495"/>
    <w:rsid w:val="0020559E"/>
    <w:rsid w:val="0020565C"/>
    <w:rsid w:val="00205679"/>
    <w:rsid w:val="0020595F"/>
    <w:rsid w:val="0020598B"/>
    <w:rsid w:val="00205A45"/>
    <w:rsid w:val="00205BAD"/>
    <w:rsid w:val="00205C5F"/>
    <w:rsid w:val="00205C93"/>
    <w:rsid w:val="00205CC2"/>
    <w:rsid w:val="00205E2A"/>
    <w:rsid w:val="00205ECD"/>
    <w:rsid w:val="00205EFA"/>
    <w:rsid w:val="00205F88"/>
    <w:rsid w:val="00205F9C"/>
    <w:rsid w:val="00206089"/>
    <w:rsid w:val="00206386"/>
    <w:rsid w:val="0020647E"/>
    <w:rsid w:val="00206525"/>
    <w:rsid w:val="00206629"/>
    <w:rsid w:val="002066EA"/>
    <w:rsid w:val="002068C0"/>
    <w:rsid w:val="00206B43"/>
    <w:rsid w:val="00206D36"/>
    <w:rsid w:val="00206FDB"/>
    <w:rsid w:val="0020712A"/>
    <w:rsid w:val="002071C6"/>
    <w:rsid w:val="002071D6"/>
    <w:rsid w:val="002071DE"/>
    <w:rsid w:val="002071E6"/>
    <w:rsid w:val="002071E7"/>
    <w:rsid w:val="0020747D"/>
    <w:rsid w:val="0020772E"/>
    <w:rsid w:val="002077D8"/>
    <w:rsid w:val="00207834"/>
    <w:rsid w:val="00207867"/>
    <w:rsid w:val="002079E9"/>
    <w:rsid w:val="00207EC3"/>
    <w:rsid w:val="002100EA"/>
    <w:rsid w:val="00210115"/>
    <w:rsid w:val="0021015F"/>
    <w:rsid w:val="00210304"/>
    <w:rsid w:val="0021047B"/>
    <w:rsid w:val="002104A5"/>
    <w:rsid w:val="002104C6"/>
    <w:rsid w:val="00210727"/>
    <w:rsid w:val="002108D7"/>
    <w:rsid w:val="00210A81"/>
    <w:rsid w:val="00210AA6"/>
    <w:rsid w:val="00210AAF"/>
    <w:rsid w:val="00210BEA"/>
    <w:rsid w:val="00210D98"/>
    <w:rsid w:val="00210EB0"/>
    <w:rsid w:val="00211037"/>
    <w:rsid w:val="00211059"/>
    <w:rsid w:val="002110D0"/>
    <w:rsid w:val="002110D7"/>
    <w:rsid w:val="002110F5"/>
    <w:rsid w:val="00211202"/>
    <w:rsid w:val="00211205"/>
    <w:rsid w:val="00211459"/>
    <w:rsid w:val="00211974"/>
    <w:rsid w:val="00211A3E"/>
    <w:rsid w:val="00211AAE"/>
    <w:rsid w:val="00211CB9"/>
    <w:rsid w:val="00211CD5"/>
    <w:rsid w:val="00211D28"/>
    <w:rsid w:val="00211D4D"/>
    <w:rsid w:val="00211E81"/>
    <w:rsid w:val="002122E1"/>
    <w:rsid w:val="002127C6"/>
    <w:rsid w:val="00212A44"/>
    <w:rsid w:val="00212E0F"/>
    <w:rsid w:val="00213068"/>
    <w:rsid w:val="00213177"/>
    <w:rsid w:val="0021337F"/>
    <w:rsid w:val="0021376F"/>
    <w:rsid w:val="002139EC"/>
    <w:rsid w:val="00213A4E"/>
    <w:rsid w:val="00213ACE"/>
    <w:rsid w:val="00213BFC"/>
    <w:rsid w:val="00213C7C"/>
    <w:rsid w:val="00213CA9"/>
    <w:rsid w:val="00213CC0"/>
    <w:rsid w:val="00213E03"/>
    <w:rsid w:val="00213EAF"/>
    <w:rsid w:val="0021412E"/>
    <w:rsid w:val="00214226"/>
    <w:rsid w:val="002142EB"/>
    <w:rsid w:val="002144D2"/>
    <w:rsid w:val="002146C2"/>
    <w:rsid w:val="002147BB"/>
    <w:rsid w:val="00214A93"/>
    <w:rsid w:val="00214B22"/>
    <w:rsid w:val="00214D0F"/>
    <w:rsid w:val="00214D6C"/>
    <w:rsid w:val="00214DC7"/>
    <w:rsid w:val="00214E1D"/>
    <w:rsid w:val="00214E60"/>
    <w:rsid w:val="002150CF"/>
    <w:rsid w:val="002150D5"/>
    <w:rsid w:val="00215157"/>
    <w:rsid w:val="002154AB"/>
    <w:rsid w:val="002154CD"/>
    <w:rsid w:val="002159A6"/>
    <w:rsid w:val="00215B62"/>
    <w:rsid w:val="00215EDD"/>
    <w:rsid w:val="00215F36"/>
    <w:rsid w:val="00215F95"/>
    <w:rsid w:val="00216150"/>
    <w:rsid w:val="002167EA"/>
    <w:rsid w:val="00216868"/>
    <w:rsid w:val="0021688C"/>
    <w:rsid w:val="00216B79"/>
    <w:rsid w:val="00216CEE"/>
    <w:rsid w:val="00216CF4"/>
    <w:rsid w:val="00216D03"/>
    <w:rsid w:val="00216DA7"/>
    <w:rsid w:val="00216E0E"/>
    <w:rsid w:val="00216E51"/>
    <w:rsid w:val="00216EA8"/>
    <w:rsid w:val="00216EEC"/>
    <w:rsid w:val="00216F88"/>
    <w:rsid w:val="00216F89"/>
    <w:rsid w:val="0021720E"/>
    <w:rsid w:val="002172B1"/>
    <w:rsid w:val="00217334"/>
    <w:rsid w:val="00217340"/>
    <w:rsid w:val="002173C5"/>
    <w:rsid w:val="00217422"/>
    <w:rsid w:val="002176DA"/>
    <w:rsid w:val="0021780A"/>
    <w:rsid w:val="002178FF"/>
    <w:rsid w:val="00217A3B"/>
    <w:rsid w:val="00217A85"/>
    <w:rsid w:val="00217B1B"/>
    <w:rsid w:val="00217BF0"/>
    <w:rsid w:val="00217C0B"/>
    <w:rsid w:val="00217DC7"/>
    <w:rsid w:val="00217E71"/>
    <w:rsid w:val="00217F1D"/>
    <w:rsid w:val="00217F74"/>
    <w:rsid w:val="00217FF5"/>
    <w:rsid w:val="002202CE"/>
    <w:rsid w:val="002204DF"/>
    <w:rsid w:val="002208C7"/>
    <w:rsid w:val="00220D5A"/>
    <w:rsid w:val="002211B6"/>
    <w:rsid w:val="0022120C"/>
    <w:rsid w:val="00221251"/>
    <w:rsid w:val="002213D3"/>
    <w:rsid w:val="00221474"/>
    <w:rsid w:val="00221480"/>
    <w:rsid w:val="00221851"/>
    <w:rsid w:val="00221A16"/>
    <w:rsid w:val="00221A77"/>
    <w:rsid w:val="00221B66"/>
    <w:rsid w:val="00221B72"/>
    <w:rsid w:val="00221CA2"/>
    <w:rsid w:val="00221FDA"/>
    <w:rsid w:val="00222645"/>
    <w:rsid w:val="00222957"/>
    <w:rsid w:val="00222998"/>
    <w:rsid w:val="002229EC"/>
    <w:rsid w:val="00222A7D"/>
    <w:rsid w:val="00222AFC"/>
    <w:rsid w:val="00222C48"/>
    <w:rsid w:val="00222CD2"/>
    <w:rsid w:val="00222FB0"/>
    <w:rsid w:val="00222FD1"/>
    <w:rsid w:val="0022336F"/>
    <w:rsid w:val="00223431"/>
    <w:rsid w:val="0022346A"/>
    <w:rsid w:val="00223624"/>
    <w:rsid w:val="00223675"/>
    <w:rsid w:val="00223725"/>
    <w:rsid w:val="002237C4"/>
    <w:rsid w:val="0022394F"/>
    <w:rsid w:val="002239D5"/>
    <w:rsid w:val="00223A81"/>
    <w:rsid w:val="00223D3F"/>
    <w:rsid w:val="00223F28"/>
    <w:rsid w:val="00223FFD"/>
    <w:rsid w:val="0022423A"/>
    <w:rsid w:val="002243A0"/>
    <w:rsid w:val="002243C5"/>
    <w:rsid w:val="0022445F"/>
    <w:rsid w:val="0022446A"/>
    <w:rsid w:val="002245DD"/>
    <w:rsid w:val="0022480D"/>
    <w:rsid w:val="00224889"/>
    <w:rsid w:val="00224CFF"/>
    <w:rsid w:val="00224D41"/>
    <w:rsid w:val="00224F05"/>
    <w:rsid w:val="00224F68"/>
    <w:rsid w:val="00224FB5"/>
    <w:rsid w:val="00225015"/>
    <w:rsid w:val="0022501A"/>
    <w:rsid w:val="00225247"/>
    <w:rsid w:val="002254F0"/>
    <w:rsid w:val="002255AD"/>
    <w:rsid w:val="002255E6"/>
    <w:rsid w:val="002258D1"/>
    <w:rsid w:val="00225B74"/>
    <w:rsid w:val="00225DC9"/>
    <w:rsid w:val="00225E71"/>
    <w:rsid w:val="00225E87"/>
    <w:rsid w:val="0022601B"/>
    <w:rsid w:val="00226107"/>
    <w:rsid w:val="0022611D"/>
    <w:rsid w:val="002262C0"/>
    <w:rsid w:val="002263D2"/>
    <w:rsid w:val="002264B2"/>
    <w:rsid w:val="002264BF"/>
    <w:rsid w:val="002264C6"/>
    <w:rsid w:val="00226654"/>
    <w:rsid w:val="0022685D"/>
    <w:rsid w:val="00226A36"/>
    <w:rsid w:val="00226AAD"/>
    <w:rsid w:val="00226B8B"/>
    <w:rsid w:val="00226CD5"/>
    <w:rsid w:val="00226E89"/>
    <w:rsid w:val="00226E91"/>
    <w:rsid w:val="00226E9E"/>
    <w:rsid w:val="00226EBA"/>
    <w:rsid w:val="00227279"/>
    <w:rsid w:val="00227417"/>
    <w:rsid w:val="00227455"/>
    <w:rsid w:val="002274A4"/>
    <w:rsid w:val="002276CD"/>
    <w:rsid w:val="0022771E"/>
    <w:rsid w:val="002277EB"/>
    <w:rsid w:val="00227838"/>
    <w:rsid w:val="002278C4"/>
    <w:rsid w:val="002278CA"/>
    <w:rsid w:val="00227A3A"/>
    <w:rsid w:val="00227CD4"/>
    <w:rsid w:val="00227D65"/>
    <w:rsid w:val="00227FDA"/>
    <w:rsid w:val="0023004B"/>
    <w:rsid w:val="002300E6"/>
    <w:rsid w:val="00230127"/>
    <w:rsid w:val="00230200"/>
    <w:rsid w:val="002302B6"/>
    <w:rsid w:val="00230373"/>
    <w:rsid w:val="00230435"/>
    <w:rsid w:val="00230944"/>
    <w:rsid w:val="00230948"/>
    <w:rsid w:val="002309AC"/>
    <w:rsid w:val="002309D5"/>
    <w:rsid w:val="00230A2E"/>
    <w:rsid w:val="00230AAC"/>
    <w:rsid w:val="00230AB7"/>
    <w:rsid w:val="00230BC2"/>
    <w:rsid w:val="00230BEC"/>
    <w:rsid w:val="00230C9E"/>
    <w:rsid w:val="00230D85"/>
    <w:rsid w:val="00231093"/>
    <w:rsid w:val="002310D7"/>
    <w:rsid w:val="00231209"/>
    <w:rsid w:val="00231250"/>
    <w:rsid w:val="00231320"/>
    <w:rsid w:val="0023138C"/>
    <w:rsid w:val="002315F3"/>
    <w:rsid w:val="00231654"/>
    <w:rsid w:val="00231820"/>
    <w:rsid w:val="002319EF"/>
    <w:rsid w:val="00231A08"/>
    <w:rsid w:val="00231A1E"/>
    <w:rsid w:val="00231A39"/>
    <w:rsid w:val="00231BC6"/>
    <w:rsid w:val="00231F09"/>
    <w:rsid w:val="0023204F"/>
    <w:rsid w:val="0023205F"/>
    <w:rsid w:val="002320A9"/>
    <w:rsid w:val="002320BD"/>
    <w:rsid w:val="002323C4"/>
    <w:rsid w:val="00232664"/>
    <w:rsid w:val="00232685"/>
    <w:rsid w:val="00232855"/>
    <w:rsid w:val="00232ACA"/>
    <w:rsid w:val="00232ACE"/>
    <w:rsid w:val="00232BA3"/>
    <w:rsid w:val="00232BB1"/>
    <w:rsid w:val="00232BC6"/>
    <w:rsid w:val="00232C47"/>
    <w:rsid w:val="00232CD7"/>
    <w:rsid w:val="00232DFB"/>
    <w:rsid w:val="00233137"/>
    <w:rsid w:val="0023313F"/>
    <w:rsid w:val="002331CC"/>
    <w:rsid w:val="00233218"/>
    <w:rsid w:val="00233473"/>
    <w:rsid w:val="002335BD"/>
    <w:rsid w:val="0023363D"/>
    <w:rsid w:val="00233966"/>
    <w:rsid w:val="00233CBA"/>
    <w:rsid w:val="00233DD0"/>
    <w:rsid w:val="00233EFA"/>
    <w:rsid w:val="00233F7E"/>
    <w:rsid w:val="0023417A"/>
    <w:rsid w:val="00234343"/>
    <w:rsid w:val="00234669"/>
    <w:rsid w:val="002346DF"/>
    <w:rsid w:val="00234996"/>
    <w:rsid w:val="00234C65"/>
    <w:rsid w:val="00234D44"/>
    <w:rsid w:val="00234FE0"/>
    <w:rsid w:val="00235131"/>
    <w:rsid w:val="0023516A"/>
    <w:rsid w:val="002351F9"/>
    <w:rsid w:val="002352D2"/>
    <w:rsid w:val="00235549"/>
    <w:rsid w:val="00235567"/>
    <w:rsid w:val="00235591"/>
    <w:rsid w:val="00235A4D"/>
    <w:rsid w:val="00235A65"/>
    <w:rsid w:val="00235AF5"/>
    <w:rsid w:val="00235BDD"/>
    <w:rsid w:val="00235EF6"/>
    <w:rsid w:val="0023619C"/>
    <w:rsid w:val="002361DA"/>
    <w:rsid w:val="002362AE"/>
    <w:rsid w:val="00236367"/>
    <w:rsid w:val="002365DD"/>
    <w:rsid w:val="00236612"/>
    <w:rsid w:val="00236775"/>
    <w:rsid w:val="002367FC"/>
    <w:rsid w:val="002369A0"/>
    <w:rsid w:val="002369F7"/>
    <w:rsid w:val="00236B3D"/>
    <w:rsid w:val="00236D2D"/>
    <w:rsid w:val="00236DE5"/>
    <w:rsid w:val="00236E90"/>
    <w:rsid w:val="00236F40"/>
    <w:rsid w:val="00236F71"/>
    <w:rsid w:val="002370D4"/>
    <w:rsid w:val="00237263"/>
    <w:rsid w:val="002373B0"/>
    <w:rsid w:val="0023747F"/>
    <w:rsid w:val="00237498"/>
    <w:rsid w:val="00237602"/>
    <w:rsid w:val="00237735"/>
    <w:rsid w:val="00237745"/>
    <w:rsid w:val="002378B1"/>
    <w:rsid w:val="00237B72"/>
    <w:rsid w:val="0024009B"/>
    <w:rsid w:val="002400A4"/>
    <w:rsid w:val="00240508"/>
    <w:rsid w:val="002405E7"/>
    <w:rsid w:val="002406CE"/>
    <w:rsid w:val="002406FA"/>
    <w:rsid w:val="00240B53"/>
    <w:rsid w:val="00240BD7"/>
    <w:rsid w:val="00240CC7"/>
    <w:rsid w:val="002410EC"/>
    <w:rsid w:val="0024112D"/>
    <w:rsid w:val="00241436"/>
    <w:rsid w:val="00241486"/>
    <w:rsid w:val="00241566"/>
    <w:rsid w:val="00241653"/>
    <w:rsid w:val="0024165C"/>
    <w:rsid w:val="0024169A"/>
    <w:rsid w:val="002416E0"/>
    <w:rsid w:val="0024187E"/>
    <w:rsid w:val="00241900"/>
    <w:rsid w:val="00241AF8"/>
    <w:rsid w:val="00241B2C"/>
    <w:rsid w:val="00241C63"/>
    <w:rsid w:val="00241D96"/>
    <w:rsid w:val="00241EAF"/>
    <w:rsid w:val="00241F92"/>
    <w:rsid w:val="00242237"/>
    <w:rsid w:val="002422A4"/>
    <w:rsid w:val="00242302"/>
    <w:rsid w:val="00242420"/>
    <w:rsid w:val="00242452"/>
    <w:rsid w:val="002424E5"/>
    <w:rsid w:val="002425B3"/>
    <w:rsid w:val="002427A1"/>
    <w:rsid w:val="002427AA"/>
    <w:rsid w:val="002428EF"/>
    <w:rsid w:val="002428FD"/>
    <w:rsid w:val="00242903"/>
    <w:rsid w:val="00242A88"/>
    <w:rsid w:val="00242ED6"/>
    <w:rsid w:val="00242F89"/>
    <w:rsid w:val="00242F92"/>
    <w:rsid w:val="0024318D"/>
    <w:rsid w:val="00243238"/>
    <w:rsid w:val="002433D6"/>
    <w:rsid w:val="002434D5"/>
    <w:rsid w:val="00243639"/>
    <w:rsid w:val="00243713"/>
    <w:rsid w:val="002439B5"/>
    <w:rsid w:val="00243BD7"/>
    <w:rsid w:val="00243D58"/>
    <w:rsid w:val="00243DDB"/>
    <w:rsid w:val="00243E60"/>
    <w:rsid w:val="00243EA4"/>
    <w:rsid w:val="00243F2E"/>
    <w:rsid w:val="00244101"/>
    <w:rsid w:val="0024430D"/>
    <w:rsid w:val="00244327"/>
    <w:rsid w:val="00244601"/>
    <w:rsid w:val="002446CF"/>
    <w:rsid w:val="00244817"/>
    <w:rsid w:val="00244858"/>
    <w:rsid w:val="0024489C"/>
    <w:rsid w:val="0024494B"/>
    <w:rsid w:val="00244A4A"/>
    <w:rsid w:val="00244F5B"/>
    <w:rsid w:val="002450CB"/>
    <w:rsid w:val="00245103"/>
    <w:rsid w:val="00245146"/>
    <w:rsid w:val="00245183"/>
    <w:rsid w:val="002451AB"/>
    <w:rsid w:val="002452D5"/>
    <w:rsid w:val="002452EF"/>
    <w:rsid w:val="0024534E"/>
    <w:rsid w:val="00245433"/>
    <w:rsid w:val="002456B1"/>
    <w:rsid w:val="002457C4"/>
    <w:rsid w:val="002458E7"/>
    <w:rsid w:val="002458F8"/>
    <w:rsid w:val="00245BA8"/>
    <w:rsid w:val="00245DC8"/>
    <w:rsid w:val="00245EB1"/>
    <w:rsid w:val="00245EF3"/>
    <w:rsid w:val="00245F6B"/>
    <w:rsid w:val="00246021"/>
    <w:rsid w:val="002460CD"/>
    <w:rsid w:val="002461A0"/>
    <w:rsid w:val="002462E4"/>
    <w:rsid w:val="00246414"/>
    <w:rsid w:val="00246431"/>
    <w:rsid w:val="0024646D"/>
    <w:rsid w:val="00246676"/>
    <w:rsid w:val="00246691"/>
    <w:rsid w:val="00246B84"/>
    <w:rsid w:val="00246C00"/>
    <w:rsid w:val="00246DD0"/>
    <w:rsid w:val="00246FA6"/>
    <w:rsid w:val="00247004"/>
    <w:rsid w:val="0024741A"/>
    <w:rsid w:val="00247578"/>
    <w:rsid w:val="00247685"/>
    <w:rsid w:val="002476AE"/>
    <w:rsid w:val="002476B9"/>
    <w:rsid w:val="0024774F"/>
    <w:rsid w:val="00247DFF"/>
    <w:rsid w:val="00247E01"/>
    <w:rsid w:val="00247E06"/>
    <w:rsid w:val="00247FAF"/>
    <w:rsid w:val="00247FDC"/>
    <w:rsid w:val="00250163"/>
    <w:rsid w:val="00250210"/>
    <w:rsid w:val="002504C4"/>
    <w:rsid w:val="00250669"/>
    <w:rsid w:val="0025076C"/>
    <w:rsid w:val="002507D2"/>
    <w:rsid w:val="002508B4"/>
    <w:rsid w:val="0025090B"/>
    <w:rsid w:val="0025093B"/>
    <w:rsid w:val="0025099F"/>
    <w:rsid w:val="00250A96"/>
    <w:rsid w:val="00250AC8"/>
    <w:rsid w:val="00250BE4"/>
    <w:rsid w:val="00251105"/>
    <w:rsid w:val="0025119D"/>
    <w:rsid w:val="002517E6"/>
    <w:rsid w:val="002518A5"/>
    <w:rsid w:val="00251C4B"/>
    <w:rsid w:val="00251CDD"/>
    <w:rsid w:val="00251CE5"/>
    <w:rsid w:val="002520C9"/>
    <w:rsid w:val="00252186"/>
    <w:rsid w:val="002521BC"/>
    <w:rsid w:val="00252250"/>
    <w:rsid w:val="002522AD"/>
    <w:rsid w:val="00252619"/>
    <w:rsid w:val="0025277F"/>
    <w:rsid w:val="0025285A"/>
    <w:rsid w:val="00252BB0"/>
    <w:rsid w:val="00252C5C"/>
    <w:rsid w:val="00252D36"/>
    <w:rsid w:val="00252DC8"/>
    <w:rsid w:val="00252E48"/>
    <w:rsid w:val="00252FCA"/>
    <w:rsid w:val="00253060"/>
    <w:rsid w:val="002530D4"/>
    <w:rsid w:val="002536CC"/>
    <w:rsid w:val="00253771"/>
    <w:rsid w:val="002537FD"/>
    <w:rsid w:val="00253915"/>
    <w:rsid w:val="00253AEB"/>
    <w:rsid w:val="00253BA3"/>
    <w:rsid w:val="00253EE1"/>
    <w:rsid w:val="00253F3B"/>
    <w:rsid w:val="0025411B"/>
    <w:rsid w:val="002542BE"/>
    <w:rsid w:val="0025434B"/>
    <w:rsid w:val="0025434C"/>
    <w:rsid w:val="0025456E"/>
    <w:rsid w:val="00254601"/>
    <w:rsid w:val="0025465F"/>
    <w:rsid w:val="00254819"/>
    <w:rsid w:val="00254A71"/>
    <w:rsid w:val="00254D63"/>
    <w:rsid w:val="00254D70"/>
    <w:rsid w:val="00254EF7"/>
    <w:rsid w:val="00254F29"/>
    <w:rsid w:val="0025510B"/>
    <w:rsid w:val="00255147"/>
    <w:rsid w:val="00255201"/>
    <w:rsid w:val="002554C7"/>
    <w:rsid w:val="002554DC"/>
    <w:rsid w:val="002557AE"/>
    <w:rsid w:val="0025581C"/>
    <w:rsid w:val="00255CC9"/>
    <w:rsid w:val="00255D5A"/>
    <w:rsid w:val="00255D6A"/>
    <w:rsid w:val="00255E21"/>
    <w:rsid w:val="00255E3B"/>
    <w:rsid w:val="00256045"/>
    <w:rsid w:val="00256353"/>
    <w:rsid w:val="002563C8"/>
    <w:rsid w:val="002563F1"/>
    <w:rsid w:val="00256438"/>
    <w:rsid w:val="002564AC"/>
    <w:rsid w:val="00256575"/>
    <w:rsid w:val="002566BF"/>
    <w:rsid w:val="002566E0"/>
    <w:rsid w:val="002566F5"/>
    <w:rsid w:val="0025673D"/>
    <w:rsid w:val="002568C5"/>
    <w:rsid w:val="00256939"/>
    <w:rsid w:val="00256956"/>
    <w:rsid w:val="00256C30"/>
    <w:rsid w:val="00256CB3"/>
    <w:rsid w:val="00256D29"/>
    <w:rsid w:val="00256EF0"/>
    <w:rsid w:val="00256F00"/>
    <w:rsid w:val="00257128"/>
    <w:rsid w:val="002571B4"/>
    <w:rsid w:val="002573E6"/>
    <w:rsid w:val="00257A69"/>
    <w:rsid w:val="00257FF4"/>
    <w:rsid w:val="002600C8"/>
    <w:rsid w:val="00260203"/>
    <w:rsid w:val="00260357"/>
    <w:rsid w:val="002603B2"/>
    <w:rsid w:val="002604BD"/>
    <w:rsid w:val="002605D3"/>
    <w:rsid w:val="002607A1"/>
    <w:rsid w:val="0026081C"/>
    <w:rsid w:val="0026082F"/>
    <w:rsid w:val="00260B94"/>
    <w:rsid w:val="00260D6B"/>
    <w:rsid w:val="00260FF8"/>
    <w:rsid w:val="002610F0"/>
    <w:rsid w:val="00261416"/>
    <w:rsid w:val="00261525"/>
    <w:rsid w:val="00261703"/>
    <w:rsid w:val="00261716"/>
    <w:rsid w:val="00261760"/>
    <w:rsid w:val="0026196A"/>
    <w:rsid w:val="00261B83"/>
    <w:rsid w:val="00261B88"/>
    <w:rsid w:val="00261F16"/>
    <w:rsid w:val="00261FBA"/>
    <w:rsid w:val="002623FB"/>
    <w:rsid w:val="00262445"/>
    <w:rsid w:val="0026247D"/>
    <w:rsid w:val="002624F5"/>
    <w:rsid w:val="00262531"/>
    <w:rsid w:val="002626CF"/>
    <w:rsid w:val="0026274B"/>
    <w:rsid w:val="0026294D"/>
    <w:rsid w:val="002629C6"/>
    <w:rsid w:val="00262AFB"/>
    <w:rsid w:val="00262B9E"/>
    <w:rsid w:val="00262C15"/>
    <w:rsid w:val="00262D17"/>
    <w:rsid w:val="00262DC8"/>
    <w:rsid w:val="00262F4B"/>
    <w:rsid w:val="002630EE"/>
    <w:rsid w:val="002630F2"/>
    <w:rsid w:val="00263220"/>
    <w:rsid w:val="0026324A"/>
    <w:rsid w:val="00263313"/>
    <w:rsid w:val="0026346F"/>
    <w:rsid w:val="00263651"/>
    <w:rsid w:val="00263793"/>
    <w:rsid w:val="002637ED"/>
    <w:rsid w:val="00263A68"/>
    <w:rsid w:val="00263C1D"/>
    <w:rsid w:val="00263D6F"/>
    <w:rsid w:val="0026405F"/>
    <w:rsid w:val="002640A1"/>
    <w:rsid w:val="002640D8"/>
    <w:rsid w:val="00264172"/>
    <w:rsid w:val="0026417B"/>
    <w:rsid w:val="002641AB"/>
    <w:rsid w:val="002641EF"/>
    <w:rsid w:val="00264741"/>
    <w:rsid w:val="0026476F"/>
    <w:rsid w:val="00264850"/>
    <w:rsid w:val="0026492E"/>
    <w:rsid w:val="00264B58"/>
    <w:rsid w:val="00264C78"/>
    <w:rsid w:val="00265078"/>
    <w:rsid w:val="0026560F"/>
    <w:rsid w:val="00265654"/>
    <w:rsid w:val="0026565E"/>
    <w:rsid w:val="002657BD"/>
    <w:rsid w:val="00265982"/>
    <w:rsid w:val="00265A98"/>
    <w:rsid w:val="00265B31"/>
    <w:rsid w:val="00265BD7"/>
    <w:rsid w:val="00265D1E"/>
    <w:rsid w:val="00265D9C"/>
    <w:rsid w:val="00265E60"/>
    <w:rsid w:val="0026618A"/>
    <w:rsid w:val="002661B8"/>
    <w:rsid w:val="00266335"/>
    <w:rsid w:val="00266356"/>
    <w:rsid w:val="00266393"/>
    <w:rsid w:val="00266913"/>
    <w:rsid w:val="002669AE"/>
    <w:rsid w:val="00266A9A"/>
    <w:rsid w:val="00266AF6"/>
    <w:rsid w:val="00266B62"/>
    <w:rsid w:val="00266E6F"/>
    <w:rsid w:val="00266EB0"/>
    <w:rsid w:val="0026701F"/>
    <w:rsid w:val="0026718E"/>
    <w:rsid w:val="00267292"/>
    <w:rsid w:val="002672D8"/>
    <w:rsid w:val="0026768C"/>
    <w:rsid w:val="002676B4"/>
    <w:rsid w:val="00267826"/>
    <w:rsid w:val="00267945"/>
    <w:rsid w:val="002679E7"/>
    <w:rsid w:val="00267A58"/>
    <w:rsid w:val="00267AF7"/>
    <w:rsid w:val="00267C27"/>
    <w:rsid w:val="00267E13"/>
    <w:rsid w:val="00267E6D"/>
    <w:rsid w:val="0027018F"/>
    <w:rsid w:val="0027038E"/>
    <w:rsid w:val="00270442"/>
    <w:rsid w:val="00270571"/>
    <w:rsid w:val="00270876"/>
    <w:rsid w:val="002708CB"/>
    <w:rsid w:val="002709E5"/>
    <w:rsid w:val="00270BD3"/>
    <w:rsid w:val="00270C4E"/>
    <w:rsid w:val="00270D35"/>
    <w:rsid w:val="00270DCC"/>
    <w:rsid w:val="00270ED0"/>
    <w:rsid w:val="00270F10"/>
    <w:rsid w:val="002712BE"/>
    <w:rsid w:val="002717A4"/>
    <w:rsid w:val="002717AD"/>
    <w:rsid w:val="002717BB"/>
    <w:rsid w:val="0027191F"/>
    <w:rsid w:val="0027193C"/>
    <w:rsid w:val="00271B49"/>
    <w:rsid w:val="002720E8"/>
    <w:rsid w:val="00272179"/>
    <w:rsid w:val="002722A7"/>
    <w:rsid w:val="002722BF"/>
    <w:rsid w:val="002722F2"/>
    <w:rsid w:val="00272408"/>
    <w:rsid w:val="00272956"/>
    <w:rsid w:val="00272B3B"/>
    <w:rsid w:val="00272BE8"/>
    <w:rsid w:val="00272DFB"/>
    <w:rsid w:val="00272EFD"/>
    <w:rsid w:val="00272FB3"/>
    <w:rsid w:val="00273051"/>
    <w:rsid w:val="0027358F"/>
    <w:rsid w:val="00273637"/>
    <w:rsid w:val="002736C5"/>
    <w:rsid w:val="00273942"/>
    <w:rsid w:val="00273981"/>
    <w:rsid w:val="00273B73"/>
    <w:rsid w:val="00273B83"/>
    <w:rsid w:val="0027426F"/>
    <w:rsid w:val="002743AC"/>
    <w:rsid w:val="00274428"/>
    <w:rsid w:val="00274516"/>
    <w:rsid w:val="00274569"/>
    <w:rsid w:val="0027461F"/>
    <w:rsid w:val="00274694"/>
    <w:rsid w:val="00274824"/>
    <w:rsid w:val="0027482F"/>
    <w:rsid w:val="00274910"/>
    <w:rsid w:val="00274979"/>
    <w:rsid w:val="002749B0"/>
    <w:rsid w:val="002749CA"/>
    <w:rsid w:val="00274B21"/>
    <w:rsid w:val="00274B85"/>
    <w:rsid w:val="00274C05"/>
    <w:rsid w:val="00274CA2"/>
    <w:rsid w:val="00274E1D"/>
    <w:rsid w:val="00274F04"/>
    <w:rsid w:val="00274F51"/>
    <w:rsid w:val="00275000"/>
    <w:rsid w:val="0027547F"/>
    <w:rsid w:val="002756E6"/>
    <w:rsid w:val="002757B5"/>
    <w:rsid w:val="002757EA"/>
    <w:rsid w:val="0027583B"/>
    <w:rsid w:val="00275AA2"/>
    <w:rsid w:val="00275DBF"/>
    <w:rsid w:val="00275E2E"/>
    <w:rsid w:val="00275EC7"/>
    <w:rsid w:val="00275F72"/>
    <w:rsid w:val="00275F95"/>
    <w:rsid w:val="00276133"/>
    <w:rsid w:val="0027614B"/>
    <w:rsid w:val="002764FB"/>
    <w:rsid w:val="0027659C"/>
    <w:rsid w:val="002765F3"/>
    <w:rsid w:val="002768B1"/>
    <w:rsid w:val="00276998"/>
    <w:rsid w:val="00276BC0"/>
    <w:rsid w:val="00276F86"/>
    <w:rsid w:val="00276FB9"/>
    <w:rsid w:val="0027700F"/>
    <w:rsid w:val="0027707B"/>
    <w:rsid w:val="002770EA"/>
    <w:rsid w:val="0027719F"/>
    <w:rsid w:val="002771B0"/>
    <w:rsid w:val="002773FC"/>
    <w:rsid w:val="0027767A"/>
    <w:rsid w:val="00277853"/>
    <w:rsid w:val="00277A66"/>
    <w:rsid w:val="00277A91"/>
    <w:rsid w:val="00277B1A"/>
    <w:rsid w:val="00277B23"/>
    <w:rsid w:val="00277BEB"/>
    <w:rsid w:val="00277D38"/>
    <w:rsid w:val="00277ED5"/>
    <w:rsid w:val="00277EF7"/>
    <w:rsid w:val="00277FD9"/>
    <w:rsid w:val="00280126"/>
    <w:rsid w:val="002803AF"/>
    <w:rsid w:val="00280425"/>
    <w:rsid w:val="00280559"/>
    <w:rsid w:val="002805FC"/>
    <w:rsid w:val="002805FF"/>
    <w:rsid w:val="0028075F"/>
    <w:rsid w:val="00280770"/>
    <w:rsid w:val="00280795"/>
    <w:rsid w:val="002808E6"/>
    <w:rsid w:val="00280BB2"/>
    <w:rsid w:val="00280D5B"/>
    <w:rsid w:val="00280E6A"/>
    <w:rsid w:val="0028123B"/>
    <w:rsid w:val="0028130A"/>
    <w:rsid w:val="00281375"/>
    <w:rsid w:val="00281660"/>
    <w:rsid w:val="002817BD"/>
    <w:rsid w:val="00281ACB"/>
    <w:rsid w:val="00281CE9"/>
    <w:rsid w:val="00281EC9"/>
    <w:rsid w:val="00282057"/>
    <w:rsid w:val="0028208B"/>
    <w:rsid w:val="00282170"/>
    <w:rsid w:val="00282565"/>
    <w:rsid w:val="00282834"/>
    <w:rsid w:val="00282AF2"/>
    <w:rsid w:val="00282B08"/>
    <w:rsid w:val="00282EC7"/>
    <w:rsid w:val="00282F87"/>
    <w:rsid w:val="00283388"/>
    <w:rsid w:val="00283592"/>
    <w:rsid w:val="00283606"/>
    <w:rsid w:val="0028386B"/>
    <w:rsid w:val="00283871"/>
    <w:rsid w:val="0028389E"/>
    <w:rsid w:val="00283A5B"/>
    <w:rsid w:val="00283CDB"/>
    <w:rsid w:val="00283D7A"/>
    <w:rsid w:val="00283F43"/>
    <w:rsid w:val="0028405C"/>
    <w:rsid w:val="0028418B"/>
    <w:rsid w:val="0028427D"/>
    <w:rsid w:val="002842C3"/>
    <w:rsid w:val="002843B8"/>
    <w:rsid w:val="002846BE"/>
    <w:rsid w:val="0028473C"/>
    <w:rsid w:val="00284749"/>
    <w:rsid w:val="00284A6C"/>
    <w:rsid w:val="00284A82"/>
    <w:rsid w:val="00284AFB"/>
    <w:rsid w:val="00284BC5"/>
    <w:rsid w:val="00284CE3"/>
    <w:rsid w:val="00284EAD"/>
    <w:rsid w:val="00284F8E"/>
    <w:rsid w:val="00284FD6"/>
    <w:rsid w:val="0028510C"/>
    <w:rsid w:val="00285788"/>
    <w:rsid w:val="0028578F"/>
    <w:rsid w:val="002857C7"/>
    <w:rsid w:val="002858BE"/>
    <w:rsid w:val="00285C29"/>
    <w:rsid w:val="00285C58"/>
    <w:rsid w:val="00285E13"/>
    <w:rsid w:val="00285EC5"/>
    <w:rsid w:val="00285F4A"/>
    <w:rsid w:val="002860F7"/>
    <w:rsid w:val="00286290"/>
    <w:rsid w:val="0028638A"/>
    <w:rsid w:val="002863A5"/>
    <w:rsid w:val="00286503"/>
    <w:rsid w:val="00286657"/>
    <w:rsid w:val="002867D4"/>
    <w:rsid w:val="002868AF"/>
    <w:rsid w:val="00286904"/>
    <w:rsid w:val="00286AC9"/>
    <w:rsid w:val="00286E7F"/>
    <w:rsid w:val="00286F2C"/>
    <w:rsid w:val="00286F6D"/>
    <w:rsid w:val="0028748F"/>
    <w:rsid w:val="002877A1"/>
    <w:rsid w:val="002878A4"/>
    <w:rsid w:val="00287A92"/>
    <w:rsid w:val="00287B07"/>
    <w:rsid w:val="00287BA2"/>
    <w:rsid w:val="00287D45"/>
    <w:rsid w:val="00287D50"/>
    <w:rsid w:val="00287DD7"/>
    <w:rsid w:val="002901BD"/>
    <w:rsid w:val="0029027A"/>
    <w:rsid w:val="002902EF"/>
    <w:rsid w:val="00290357"/>
    <w:rsid w:val="002903A4"/>
    <w:rsid w:val="00290536"/>
    <w:rsid w:val="002908C8"/>
    <w:rsid w:val="00290905"/>
    <w:rsid w:val="00290A62"/>
    <w:rsid w:val="00290A6E"/>
    <w:rsid w:val="00290BE1"/>
    <w:rsid w:val="00290BF5"/>
    <w:rsid w:val="00290C30"/>
    <w:rsid w:val="00290C7A"/>
    <w:rsid w:val="00291086"/>
    <w:rsid w:val="00291104"/>
    <w:rsid w:val="00291182"/>
    <w:rsid w:val="00291553"/>
    <w:rsid w:val="002915A8"/>
    <w:rsid w:val="00291889"/>
    <w:rsid w:val="00291DBE"/>
    <w:rsid w:val="00291E21"/>
    <w:rsid w:val="00291F97"/>
    <w:rsid w:val="00291FA8"/>
    <w:rsid w:val="00291FFC"/>
    <w:rsid w:val="00292222"/>
    <w:rsid w:val="0029224F"/>
    <w:rsid w:val="002922C1"/>
    <w:rsid w:val="00292587"/>
    <w:rsid w:val="0029261D"/>
    <w:rsid w:val="00292641"/>
    <w:rsid w:val="002928F8"/>
    <w:rsid w:val="00292ADB"/>
    <w:rsid w:val="00292BE4"/>
    <w:rsid w:val="00292C7A"/>
    <w:rsid w:val="00292CC7"/>
    <w:rsid w:val="00292CFB"/>
    <w:rsid w:val="00292D3A"/>
    <w:rsid w:val="00292DFA"/>
    <w:rsid w:val="00293020"/>
    <w:rsid w:val="00293307"/>
    <w:rsid w:val="00293483"/>
    <w:rsid w:val="002934E5"/>
    <w:rsid w:val="002936AC"/>
    <w:rsid w:val="002936D0"/>
    <w:rsid w:val="002937F3"/>
    <w:rsid w:val="0029389C"/>
    <w:rsid w:val="002938C2"/>
    <w:rsid w:val="00293C51"/>
    <w:rsid w:val="00293DDC"/>
    <w:rsid w:val="00293E47"/>
    <w:rsid w:val="00293F21"/>
    <w:rsid w:val="0029401B"/>
    <w:rsid w:val="00294041"/>
    <w:rsid w:val="002943F7"/>
    <w:rsid w:val="00294687"/>
    <w:rsid w:val="0029483C"/>
    <w:rsid w:val="00294914"/>
    <w:rsid w:val="00294A0E"/>
    <w:rsid w:val="00294C06"/>
    <w:rsid w:val="00294C3F"/>
    <w:rsid w:val="00294D9E"/>
    <w:rsid w:val="00294EA3"/>
    <w:rsid w:val="00295079"/>
    <w:rsid w:val="0029519D"/>
    <w:rsid w:val="002951E4"/>
    <w:rsid w:val="00295335"/>
    <w:rsid w:val="0029571C"/>
    <w:rsid w:val="0029571E"/>
    <w:rsid w:val="00295896"/>
    <w:rsid w:val="00295949"/>
    <w:rsid w:val="002959CA"/>
    <w:rsid w:val="00295A44"/>
    <w:rsid w:val="00295A55"/>
    <w:rsid w:val="00295C5B"/>
    <w:rsid w:val="00295D12"/>
    <w:rsid w:val="00295EAE"/>
    <w:rsid w:val="00295EB8"/>
    <w:rsid w:val="00295F5C"/>
    <w:rsid w:val="002961EA"/>
    <w:rsid w:val="0029626E"/>
    <w:rsid w:val="002962B2"/>
    <w:rsid w:val="002963DF"/>
    <w:rsid w:val="002964B1"/>
    <w:rsid w:val="00296789"/>
    <w:rsid w:val="002969F8"/>
    <w:rsid w:val="00296B54"/>
    <w:rsid w:val="00296BBE"/>
    <w:rsid w:val="00296CA4"/>
    <w:rsid w:val="00296D14"/>
    <w:rsid w:val="00296D7E"/>
    <w:rsid w:val="00296E2D"/>
    <w:rsid w:val="00296E59"/>
    <w:rsid w:val="0029717A"/>
    <w:rsid w:val="0029721E"/>
    <w:rsid w:val="002973FE"/>
    <w:rsid w:val="00297484"/>
    <w:rsid w:val="002975AB"/>
    <w:rsid w:val="002975B6"/>
    <w:rsid w:val="0029782A"/>
    <w:rsid w:val="00297A7E"/>
    <w:rsid w:val="00297BE5"/>
    <w:rsid w:val="00297C9D"/>
    <w:rsid w:val="00297D39"/>
    <w:rsid w:val="00297E91"/>
    <w:rsid w:val="00297FDF"/>
    <w:rsid w:val="002A00C6"/>
    <w:rsid w:val="002A0431"/>
    <w:rsid w:val="002A06A3"/>
    <w:rsid w:val="002A0802"/>
    <w:rsid w:val="002A0816"/>
    <w:rsid w:val="002A0890"/>
    <w:rsid w:val="002A0BF1"/>
    <w:rsid w:val="002A0D08"/>
    <w:rsid w:val="002A0D82"/>
    <w:rsid w:val="002A0F6B"/>
    <w:rsid w:val="002A0FA8"/>
    <w:rsid w:val="002A1018"/>
    <w:rsid w:val="002A121F"/>
    <w:rsid w:val="002A1363"/>
    <w:rsid w:val="002A14EF"/>
    <w:rsid w:val="002A15E1"/>
    <w:rsid w:val="002A1ABF"/>
    <w:rsid w:val="002A1B55"/>
    <w:rsid w:val="002A1B5D"/>
    <w:rsid w:val="002A1D9D"/>
    <w:rsid w:val="002A1E66"/>
    <w:rsid w:val="002A1F2E"/>
    <w:rsid w:val="002A212F"/>
    <w:rsid w:val="002A232E"/>
    <w:rsid w:val="002A233D"/>
    <w:rsid w:val="002A25EB"/>
    <w:rsid w:val="002A26D1"/>
    <w:rsid w:val="002A28AA"/>
    <w:rsid w:val="002A2940"/>
    <w:rsid w:val="002A294D"/>
    <w:rsid w:val="002A295E"/>
    <w:rsid w:val="002A2BED"/>
    <w:rsid w:val="002A2C8D"/>
    <w:rsid w:val="002A2D06"/>
    <w:rsid w:val="002A2D21"/>
    <w:rsid w:val="002A2DAA"/>
    <w:rsid w:val="002A2E6F"/>
    <w:rsid w:val="002A2F95"/>
    <w:rsid w:val="002A2FEE"/>
    <w:rsid w:val="002A3012"/>
    <w:rsid w:val="002A309F"/>
    <w:rsid w:val="002A3132"/>
    <w:rsid w:val="002A321D"/>
    <w:rsid w:val="002A335C"/>
    <w:rsid w:val="002A34A5"/>
    <w:rsid w:val="002A3574"/>
    <w:rsid w:val="002A35B5"/>
    <w:rsid w:val="002A3617"/>
    <w:rsid w:val="002A3763"/>
    <w:rsid w:val="002A38A1"/>
    <w:rsid w:val="002A3A0F"/>
    <w:rsid w:val="002A3A79"/>
    <w:rsid w:val="002A3D07"/>
    <w:rsid w:val="002A3E8C"/>
    <w:rsid w:val="002A3F2D"/>
    <w:rsid w:val="002A403E"/>
    <w:rsid w:val="002A4143"/>
    <w:rsid w:val="002A43E7"/>
    <w:rsid w:val="002A44F1"/>
    <w:rsid w:val="002A4663"/>
    <w:rsid w:val="002A470C"/>
    <w:rsid w:val="002A4729"/>
    <w:rsid w:val="002A479A"/>
    <w:rsid w:val="002A47AF"/>
    <w:rsid w:val="002A47C8"/>
    <w:rsid w:val="002A491B"/>
    <w:rsid w:val="002A49D6"/>
    <w:rsid w:val="002A4CDB"/>
    <w:rsid w:val="002A4E64"/>
    <w:rsid w:val="002A4E8C"/>
    <w:rsid w:val="002A4EA7"/>
    <w:rsid w:val="002A502F"/>
    <w:rsid w:val="002A5363"/>
    <w:rsid w:val="002A53BF"/>
    <w:rsid w:val="002A5574"/>
    <w:rsid w:val="002A5608"/>
    <w:rsid w:val="002A5637"/>
    <w:rsid w:val="002A5A85"/>
    <w:rsid w:val="002A5A9D"/>
    <w:rsid w:val="002A5AAE"/>
    <w:rsid w:val="002A5B49"/>
    <w:rsid w:val="002A5F40"/>
    <w:rsid w:val="002A6163"/>
    <w:rsid w:val="002A632F"/>
    <w:rsid w:val="002A634C"/>
    <w:rsid w:val="002A645B"/>
    <w:rsid w:val="002A64B7"/>
    <w:rsid w:val="002A650E"/>
    <w:rsid w:val="002A65A5"/>
    <w:rsid w:val="002A6816"/>
    <w:rsid w:val="002A6824"/>
    <w:rsid w:val="002A6896"/>
    <w:rsid w:val="002A6A04"/>
    <w:rsid w:val="002A6B4C"/>
    <w:rsid w:val="002A6B8A"/>
    <w:rsid w:val="002A6C1E"/>
    <w:rsid w:val="002A6C4D"/>
    <w:rsid w:val="002A6D22"/>
    <w:rsid w:val="002A6DF6"/>
    <w:rsid w:val="002A7047"/>
    <w:rsid w:val="002A719A"/>
    <w:rsid w:val="002A71BF"/>
    <w:rsid w:val="002A7261"/>
    <w:rsid w:val="002A73B2"/>
    <w:rsid w:val="002A73BC"/>
    <w:rsid w:val="002A75A0"/>
    <w:rsid w:val="002A75BE"/>
    <w:rsid w:val="002A75EB"/>
    <w:rsid w:val="002A77A1"/>
    <w:rsid w:val="002A77CA"/>
    <w:rsid w:val="002A7808"/>
    <w:rsid w:val="002A7869"/>
    <w:rsid w:val="002A787E"/>
    <w:rsid w:val="002A79B3"/>
    <w:rsid w:val="002A7AA9"/>
    <w:rsid w:val="002A7B45"/>
    <w:rsid w:val="002A7B66"/>
    <w:rsid w:val="002A7B72"/>
    <w:rsid w:val="002A7B8A"/>
    <w:rsid w:val="002A7C14"/>
    <w:rsid w:val="002A7C8F"/>
    <w:rsid w:val="002A7D33"/>
    <w:rsid w:val="002A7D60"/>
    <w:rsid w:val="002A7F89"/>
    <w:rsid w:val="002B00BC"/>
    <w:rsid w:val="002B03AA"/>
    <w:rsid w:val="002B0664"/>
    <w:rsid w:val="002B06D4"/>
    <w:rsid w:val="002B0790"/>
    <w:rsid w:val="002B07A3"/>
    <w:rsid w:val="002B082F"/>
    <w:rsid w:val="002B0A17"/>
    <w:rsid w:val="002B0ACA"/>
    <w:rsid w:val="002B0BBB"/>
    <w:rsid w:val="002B0BE7"/>
    <w:rsid w:val="002B0CCF"/>
    <w:rsid w:val="002B0D0B"/>
    <w:rsid w:val="002B14B7"/>
    <w:rsid w:val="002B1504"/>
    <w:rsid w:val="002B17CC"/>
    <w:rsid w:val="002B19F6"/>
    <w:rsid w:val="002B1B2C"/>
    <w:rsid w:val="002B1C5F"/>
    <w:rsid w:val="002B1CC9"/>
    <w:rsid w:val="002B1FEE"/>
    <w:rsid w:val="002B2222"/>
    <w:rsid w:val="002B2385"/>
    <w:rsid w:val="002B257B"/>
    <w:rsid w:val="002B284C"/>
    <w:rsid w:val="002B2949"/>
    <w:rsid w:val="002B2966"/>
    <w:rsid w:val="002B2975"/>
    <w:rsid w:val="002B299E"/>
    <w:rsid w:val="002B2BAC"/>
    <w:rsid w:val="002B3028"/>
    <w:rsid w:val="002B30CC"/>
    <w:rsid w:val="002B3241"/>
    <w:rsid w:val="002B33C9"/>
    <w:rsid w:val="002B3549"/>
    <w:rsid w:val="002B35B9"/>
    <w:rsid w:val="002B38AC"/>
    <w:rsid w:val="002B39B8"/>
    <w:rsid w:val="002B3B3C"/>
    <w:rsid w:val="002B3BA4"/>
    <w:rsid w:val="002B3C51"/>
    <w:rsid w:val="002B3D4F"/>
    <w:rsid w:val="002B3D9C"/>
    <w:rsid w:val="002B3DF7"/>
    <w:rsid w:val="002B3F13"/>
    <w:rsid w:val="002B414F"/>
    <w:rsid w:val="002B419A"/>
    <w:rsid w:val="002B4299"/>
    <w:rsid w:val="002B43B0"/>
    <w:rsid w:val="002B443D"/>
    <w:rsid w:val="002B4452"/>
    <w:rsid w:val="002B4470"/>
    <w:rsid w:val="002B475E"/>
    <w:rsid w:val="002B4A2E"/>
    <w:rsid w:val="002B4A88"/>
    <w:rsid w:val="002B4E0A"/>
    <w:rsid w:val="002B5139"/>
    <w:rsid w:val="002B514F"/>
    <w:rsid w:val="002B5190"/>
    <w:rsid w:val="002B55EE"/>
    <w:rsid w:val="002B573C"/>
    <w:rsid w:val="002B5753"/>
    <w:rsid w:val="002B58B9"/>
    <w:rsid w:val="002B592A"/>
    <w:rsid w:val="002B5D6A"/>
    <w:rsid w:val="002B5E43"/>
    <w:rsid w:val="002B5F70"/>
    <w:rsid w:val="002B60D7"/>
    <w:rsid w:val="002B60E6"/>
    <w:rsid w:val="002B613F"/>
    <w:rsid w:val="002B629B"/>
    <w:rsid w:val="002B635E"/>
    <w:rsid w:val="002B6690"/>
    <w:rsid w:val="002B6DED"/>
    <w:rsid w:val="002B6DF8"/>
    <w:rsid w:val="002B6E74"/>
    <w:rsid w:val="002B6FA1"/>
    <w:rsid w:val="002B7010"/>
    <w:rsid w:val="002B715E"/>
    <w:rsid w:val="002B72CB"/>
    <w:rsid w:val="002B7377"/>
    <w:rsid w:val="002B7593"/>
    <w:rsid w:val="002B761B"/>
    <w:rsid w:val="002B795D"/>
    <w:rsid w:val="002B7A85"/>
    <w:rsid w:val="002B7AD0"/>
    <w:rsid w:val="002B7B9A"/>
    <w:rsid w:val="002B7CAB"/>
    <w:rsid w:val="002B7CCA"/>
    <w:rsid w:val="002B7D73"/>
    <w:rsid w:val="002B7F5D"/>
    <w:rsid w:val="002B7F95"/>
    <w:rsid w:val="002C0081"/>
    <w:rsid w:val="002C01C8"/>
    <w:rsid w:val="002C05A1"/>
    <w:rsid w:val="002C05A9"/>
    <w:rsid w:val="002C0611"/>
    <w:rsid w:val="002C0654"/>
    <w:rsid w:val="002C0753"/>
    <w:rsid w:val="002C0936"/>
    <w:rsid w:val="002C0938"/>
    <w:rsid w:val="002C095F"/>
    <w:rsid w:val="002C09C2"/>
    <w:rsid w:val="002C0AE3"/>
    <w:rsid w:val="002C0F62"/>
    <w:rsid w:val="002C1171"/>
    <w:rsid w:val="002C1204"/>
    <w:rsid w:val="002C12C3"/>
    <w:rsid w:val="002C1365"/>
    <w:rsid w:val="002C13B2"/>
    <w:rsid w:val="002C144C"/>
    <w:rsid w:val="002C1521"/>
    <w:rsid w:val="002C1758"/>
    <w:rsid w:val="002C17D0"/>
    <w:rsid w:val="002C1816"/>
    <w:rsid w:val="002C18B1"/>
    <w:rsid w:val="002C18E2"/>
    <w:rsid w:val="002C1981"/>
    <w:rsid w:val="002C19B9"/>
    <w:rsid w:val="002C1B9B"/>
    <w:rsid w:val="002C1C30"/>
    <w:rsid w:val="002C1D38"/>
    <w:rsid w:val="002C1D67"/>
    <w:rsid w:val="002C1E60"/>
    <w:rsid w:val="002C1ED8"/>
    <w:rsid w:val="002C1FA6"/>
    <w:rsid w:val="002C1FF1"/>
    <w:rsid w:val="002C206E"/>
    <w:rsid w:val="002C2074"/>
    <w:rsid w:val="002C220D"/>
    <w:rsid w:val="002C23AD"/>
    <w:rsid w:val="002C2421"/>
    <w:rsid w:val="002C24FD"/>
    <w:rsid w:val="002C26A5"/>
    <w:rsid w:val="002C2876"/>
    <w:rsid w:val="002C295E"/>
    <w:rsid w:val="002C29BC"/>
    <w:rsid w:val="002C2B21"/>
    <w:rsid w:val="002C2EC7"/>
    <w:rsid w:val="002C30CB"/>
    <w:rsid w:val="002C31B4"/>
    <w:rsid w:val="002C31DD"/>
    <w:rsid w:val="002C32C4"/>
    <w:rsid w:val="002C334C"/>
    <w:rsid w:val="002C3606"/>
    <w:rsid w:val="002C365A"/>
    <w:rsid w:val="002C3762"/>
    <w:rsid w:val="002C3775"/>
    <w:rsid w:val="002C37E3"/>
    <w:rsid w:val="002C3A51"/>
    <w:rsid w:val="002C3D67"/>
    <w:rsid w:val="002C3EC1"/>
    <w:rsid w:val="002C3FB7"/>
    <w:rsid w:val="002C4192"/>
    <w:rsid w:val="002C4459"/>
    <w:rsid w:val="002C44A9"/>
    <w:rsid w:val="002C44E6"/>
    <w:rsid w:val="002C4696"/>
    <w:rsid w:val="002C4916"/>
    <w:rsid w:val="002C4917"/>
    <w:rsid w:val="002C496A"/>
    <w:rsid w:val="002C49B2"/>
    <w:rsid w:val="002C4CFE"/>
    <w:rsid w:val="002C4FAC"/>
    <w:rsid w:val="002C5160"/>
    <w:rsid w:val="002C5259"/>
    <w:rsid w:val="002C528C"/>
    <w:rsid w:val="002C5292"/>
    <w:rsid w:val="002C54C6"/>
    <w:rsid w:val="002C54E8"/>
    <w:rsid w:val="002C550E"/>
    <w:rsid w:val="002C565C"/>
    <w:rsid w:val="002C5A8A"/>
    <w:rsid w:val="002C5ABA"/>
    <w:rsid w:val="002C5B91"/>
    <w:rsid w:val="002C5BBF"/>
    <w:rsid w:val="002C5DE1"/>
    <w:rsid w:val="002C5E41"/>
    <w:rsid w:val="002C5E42"/>
    <w:rsid w:val="002C6052"/>
    <w:rsid w:val="002C611F"/>
    <w:rsid w:val="002C6173"/>
    <w:rsid w:val="002C6198"/>
    <w:rsid w:val="002C6216"/>
    <w:rsid w:val="002C6373"/>
    <w:rsid w:val="002C64B0"/>
    <w:rsid w:val="002C6709"/>
    <w:rsid w:val="002C67F6"/>
    <w:rsid w:val="002C6984"/>
    <w:rsid w:val="002C6B13"/>
    <w:rsid w:val="002C6C49"/>
    <w:rsid w:val="002C6D44"/>
    <w:rsid w:val="002C6D64"/>
    <w:rsid w:val="002C6DB9"/>
    <w:rsid w:val="002C6DDD"/>
    <w:rsid w:val="002C7007"/>
    <w:rsid w:val="002C708F"/>
    <w:rsid w:val="002C73A4"/>
    <w:rsid w:val="002C73D8"/>
    <w:rsid w:val="002C7704"/>
    <w:rsid w:val="002C7B1D"/>
    <w:rsid w:val="002C7BAF"/>
    <w:rsid w:val="002C7F79"/>
    <w:rsid w:val="002C7FA8"/>
    <w:rsid w:val="002D022F"/>
    <w:rsid w:val="002D032C"/>
    <w:rsid w:val="002D0367"/>
    <w:rsid w:val="002D03E1"/>
    <w:rsid w:val="002D0554"/>
    <w:rsid w:val="002D06C7"/>
    <w:rsid w:val="002D0B6F"/>
    <w:rsid w:val="002D0D6C"/>
    <w:rsid w:val="002D0E3A"/>
    <w:rsid w:val="002D0E48"/>
    <w:rsid w:val="002D0EE9"/>
    <w:rsid w:val="002D12EB"/>
    <w:rsid w:val="002D1473"/>
    <w:rsid w:val="002D14C7"/>
    <w:rsid w:val="002D1647"/>
    <w:rsid w:val="002D166D"/>
    <w:rsid w:val="002D1BB5"/>
    <w:rsid w:val="002D1CD4"/>
    <w:rsid w:val="002D1DE6"/>
    <w:rsid w:val="002D1E26"/>
    <w:rsid w:val="002D1FCC"/>
    <w:rsid w:val="002D2212"/>
    <w:rsid w:val="002D2214"/>
    <w:rsid w:val="002D2223"/>
    <w:rsid w:val="002D2233"/>
    <w:rsid w:val="002D228A"/>
    <w:rsid w:val="002D2538"/>
    <w:rsid w:val="002D273E"/>
    <w:rsid w:val="002D276B"/>
    <w:rsid w:val="002D27EB"/>
    <w:rsid w:val="002D2842"/>
    <w:rsid w:val="002D2845"/>
    <w:rsid w:val="002D296A"/>
    <w:rsid w:val="002D2AB1"/>
    <w:rsid w:val="002D2AC2"/>
    <w:rsid w:val="002D2B58"/>
    <w:rsid w:val="002D2BF7"/>
    <w:rsid w:val="002D2CBD"/>
    <w:rsid w:val="002D2D6C"/>
    <w:rsid w:val="002D2D7A"/>
    <w:rsid w:val="002D2D9E"/>
    <w:rsid w:val="002D2DFD"/>
    <w:rsid w:val="002D30C2"/>
    <w:rsid w:val="002D3335"/>
    <w:rsid w:val="002D33A3"/>
    <w:rsid w:val="002D33EA"/>
    <w:rsid w:val="002D3463"/>
    <w:rsid w:val="002D3544"/>
    <w:rsid w:val="002D35F6"/>
    <w:rsid w:val="002D3653"/>
    <w:rsid w:val="002D39A3"/>
    <w:rsid w:val="002D3AE8"/>
    <w:rsid w:val="002D3B6C"/>
    <w:rsid w:val="002D3CCD"/>
    <w:rsid w:val="002D3D09"/>
    <w:rsid w:val="002D3E14"/>
    <w:rsid w:val="002D3E66"/>
    <w:rsid w:val="002D3F07"/>
    <w:rsid w:val="002D4057"/>
    <w:rsid w:val="002D40B3"/>
    <w:rsid w:val="002D413C"/>
    <w:rsid w:val="002D42BC"/>
    <w:rsid w:val="002D4343"/>
    <w:rsid w:val="002D436F"/>
    <w:rsid w:val="002D4413"/>
    <w:rsid w:val="002D48A4"/>
    <w:rsid w:val="002D4BEE"/>
    <w:rsid w:val="002D4C2D"/>
    <w:rsid w:val="002D4C6E"/>
    <w:rsid w:val="002D4E96"/>
    <w:rsid w:val="002D4F07"/>
    <w:rsid w:val="002D4F17"/>
    <w:rsid w:val="002D4F93"/>
    <w:rsid w:val="002D51A9"/>
    <w:rsid w:val="002D5567"/>
    <w:rsid w:val="002D5784"/>
    <w:rsid w:val="002D583B"/>
    <w:rsid w:val="002D599C"/>
    <w:rsid w:val="002D5A15"/>
    <w:rsid w:val="002D5B51"/>
    <w:rsid w:val="002D5F6B"/>
    <w:rsid w:val="002D6113"/>
    <w:rsid w:val="002D6173"/>
    <w:rsid w:val="002D6234"/>
    <w:rsid w:val="002D631F"/>
    <w:rsid w:val="002D6372"/>
    <w:rsid w:val="002D63A6"/>
    <w:rsid w:val="002D680F"/>
    <w:rsid w:val="002D6AC0"/>
    <w:rsid w:val="002D6B80"/>
    <w:rsid w:val="002D6CF8"/>
    <w:rsid w:val="002D6CFA"/>
    <w:rsid w:val="002D6D29"/>
    <w:rsid w:val="002D6D33"/>
    <w:rsid w:val="002D6E99"/>
    <w:rsid w:val="002D6F46"/>
    <w:rsid w:val="002D70DC"/>
    <w:rsid w:val="002D71B2"/>
    <w:rsid w:val="002D721B"/>
    <w:rsid w:val="002D7304"/>
    <w:rsid w:val="002D730F"/>
    <w:rsid w:val="002D731E"/>
    <w:rsid w:val="002D73CA"/>
    <w:rsid w:val="002D73EE"/>
    <w:rsid w:val="002D7763"/>
    <w:rsid w:val="002D790A"/>
    <w:rsid w:val="002D7C5B"/>
    <w:rsid w:val="002D7F9B"/>
    <w:rsid w:val="002E018B"/>
    <w:rsid w:val="002E02B6"/>
    <w:rsid w:val="002E03D6"/>
    <w:rsid w:val="002E0579"/>
    <w:rsid w:val="002E058B"/>
    <w:rsid w:val="002E0C4D"/>
    <w:rsid w:val="002E0C6C"/>
    <w:rsid w:val="002E0DAD"/>
    <w:rsid w:val="002E0FA6"/>
    <w:rsid w:val="002E138F"/>
    <w:rsid w:val="002E13B8"/>
    <w:rsid w:val="002E1669"/>
    <w:rsid w:val="002E1850"/>
    <w:rsid w:val="002E18FF"/>
    <w:rsid w:val="002E1AAC"/>
    <w:rsid w:val="002E1AD2"/>
    <w:rsid w:val="002E1ADF"/>
    <w:rsid w:val="002E1B64"/>
    <w:rsid w:val="002E1CD8"/>
    <w:rsid w:val="002E1D19"/>
    <w:rsid w:val="002E1E51"/>
    <w:rsid w:val="002E1FBF"/>
    <w:rsid w:val="002E209F"/>
    <w:rsid w:val="002E215B"/>
    <w:rsid w:val="002E2234"/>
    <w:rsid w:val="002E226F"/>
    <w:rsid w:val="002E25A2"/>
    <w:rsid w:val="002E25BA"/>
    <w:rsid w:val="002E25EE"/>
    <w:rsid w:val="002E26E4"/>
    <w:rsid w:val="002E292F"/>
    <w:rsid w:val="002E2B66"/>
    <w:rsid w:val="002E2CA6"/>
    <w:rsid w:val="002E2CB1"/>
    <w:rsid w:val="002E2D29"/>
    <w:rsid w:val="002E2DF3"/>
    <w:rsid w:val="002E2ECB"/>
    <w:rsid w:val="002E3080"/>
    <w:rsid w:val="002E3111"/>
    <w:rsid w:val="002E3358"/>
    <w:rsid w:val="002E344E"/>
    <w:rsid w:val="002E345C"/>
    <w:rsid w:val="002E367B"/>
    <w:rsid w:val="002E38AB"/>
    <w:rsid w:val="002E38EE"/>
    <w:rsid w:val="002E3A5A"/>
    <w:rsid w:val="002E3A68"/>
    <w:rsid w:val="002E3A9E"/>
    <w:rsid w:val="002E3CA3"/>
    <w:rsid w:val="002E3E01"/>
    <w:rsid w:val="002E3EAD"/>
    <w:rsid w:val="002E3EB9"/>
    <w:rsid w:val="002E3EDC"/>
    <w:rsid w:val="002E3FB4"/>
    <w:rsid w:val="002E3FE9"/>
    <w:rsid w:val="002E40F4"/>
    <w:rsid w:val="002E4113"/>
    <w:rsid w:val="002E42C8"/>
    <w:rsid w:val="002E4423"/>
    <w:rsid w:val="002E4488"/>
    <w:rsid w:val="002E4730"/>
    <w:rsid w:val="002E47F2"/>
    <w:rsid w:val="002E4A47"/>
    <w:rsid w:val="002E4B0E"/>
    <w:rsid w:val="002E4C92"/>
    <w:rsid w:val="002E4F0F"/>
    <w:rsid w:val="002E51EE"/>
    <w:rsid w:val="002E5647"/>
    <w:rsid w:val="002E567D"/>
    <w:rsid w:val="002E5748"/>
    <w:rsid w:val="002E576D"/>
    <w:rsid w:val="002E5978"/>
    <w:rsid w:val="002E5A03"/>
    <w:rsid w:val="002E5AEB"/>
    <w:rsid w:val="002E5B60"/>
    <w:rsid w:val="002E5BC9"/>
    <w:rsid w:val="002E5D32"/>
    <w:rsid w:val="002E632D"/>
    <w:rsid w:val="002E641D"/>
    <w:rsid w:val="002E6460"/>
    <w:rsid w:val="002E6503"/>
    <w:rsid w:val="002E67E2"/>
    <w:rsid w:val="002E686E"/>
    <w:rsid w:val="002E6B17"/>
    <w:rsid w:val="002E6B1B"/>
    <w:rsid w:val="002E6B89"/>
    <w:rsid w:val="002E6BEA"/>
    <w:rsid w:val="002E6E88"/>
    <w:rsid w:val="002E70D1"/>
    <w:rsid w:val="002E71A1"/>
    <w:rsid w:val="002E7231"/>
    <w:rsid w:val="002E7260"/>
    <w:rsid w:val="002E756C"/>
    <w:rsid w:val="002E7586"/>
    <w:rsid w:val="002E75CC"/>
    <w:rsid w:val="002E7909"/>
    <w:rsid w:val="002E7A00"/>
    <w:rsid w:val="002E7AC9"/>
    <w:rsid w:val="002E7C61"/>
    <w:rsid w:val="002E7CBE"/>
    <w:rsid w:val="002E7DBB"/>
    <w:rsid w:val="002E7E6F"/>
    <w:rsid w:val="002F03A1"/>
    <w:rsid w:val="002F0448"/>
    <w:rsid w:val="002F0532"/>
    <w:rsid w:val="002F067A"/>
    <w:rsid w:val="002F08B7"/>
    <w:rsid w:val="002F0AF1"/>
    <w:rsid w:val="002F0D59"/>
    <w:rsid w:val="002F0EB2"/>
    <w:rsid w:val="002F10E5"/>
    <w:rsid w:val="002F1133"/>
    <w:rsid w:val="002F1350"/>
    <w:rsid w:val="002F15A7"/>
    <w:rsid w:val="002F15F6"/>
    <w:rsid w:val="002F1A02"/>
    <w:rsid w:val="002F1CCD"/>
    <w:rsid w:val="002F1F0B"/>
    <w:rsid w:val="002F1F2D"/>
    <w:rsid w:val="002F1FD6"/>
    <w:rsid w:val="002F225D"/>
    <w:rsid w:val="002F22C9"/>
    <w:rsid w:val="002F23B9"/>
    <w:rsid w:val="002F2665"/>
    <w:rsid w:val="002F27FF"/>
    <w:rsid w:val="002F2925"/>
    <w:rsid w:val="002F2B35"/>
    <w:rsid w:val="002F2C34"/>
    <w:rsid w:val="002F2C3C"/>
    <w:rsid w:val="002F2CBC"/>
    <w:rsid w:val="002F2D60"/>
    <w:rsid w:val="002F2D8C"/>
    <w:rsid w:val="002F2F23"/>
    <w:rsid w:val="002F2FB4"/>
    <w:rsid w:val="002F2FB8"/>
    <w:rsid w:val="002F3077"/>
    <w:rsid w:val="002F310F"/>
    <w:rsid w:val="002F3637"/>
    <w:rsid w:val="002F3693"/>
    <w:rsid w:val="002F381C"/>
    <w:rsid w:val="002F38CF"/>
    <w:rsid w:val="002F39D9"/>
    <w:rsid w:val="002F3DCB"/>
    <w:rsid w:val="002F3E20"/>
    <w:rsid w:val="002F3EB7"/>
    <w:rsid w:val="002F3EF4"/>
    <w:rsid w:val="002F3F48"/>
    <w:rsid w:val="002F4070"/>
    <w:rsid w:val="002F41C3"/>
    <w:rsid w:val="002F44B5"/>
    <w:rsid w:val="002F4508"/>
    <w:rsid w:val="002F45DC"/>
    <w:rsid w:val="002F47E8"/>
    <w:rsid w:val="002F4877"/>
    <w:rsid w:val="002F49D7"/>
    <w:rsid w:val="002F4A8A"/>
    <w:rsid w:val="002F4CC0"/>
    <w:rsid w:val="002F4EA4"/>
    <w:rsid w:val="002F4EBB"/>
    <w:rsid w:val="002F5182"/>
    <w:rsid w:val="002F5293"/>
    <w:rsid w:val="002F55FC"/>
    <w:rsid w:val="002F56E1"/>
    <w:rsid w:val="002F5844"/>
    <w:rsid w:val="002F5AE8"/>
    <w:rsid w:val="002F5AFA"/>
    <w:rsid w:val="002F5CB7"/>
    <w:rsid w:val="002F5D13"/>
    <w:rsid w:val="002F5D8F"/>
    <w:rsid w:val="002F5DE4"/>
    <w:rsid w:val="002F65FE"/>
    <w:rsid w:val="002F6854"/>
    <w:rsid w:val="002F6986"/>
    <w:rsid w:val="002F69DB"/>
    <w:rsid w:val="002F71A8"/>
    <w:rsid w:val="002F73AB"/>
    <w:rsid w:val="002F73D6"/>
    <w:rsid w:val="002F74EF"/>
    <w:rsid w:val="002F761C"/>
    <w:rsid w:val="002F7A02"/>
    <w:rsid w:val="002F7A7D"/>
    <w:rsid w:val="002F7DF8"/>
    <w:rsid w:val="002F7DFA"/>
    <w:rsid w:val="00300145"/>
    <w:rsid w:val="003001A6"/>
    <w:rsid w:val="00300296"/>
    <w:rsid w:val="003003BA"/>
    <w:rsid w:val="00300491"/>
    <w:rsid w:val="00300678"/>
    <w:rsid w:val="00300827"/>
    <w:rsid w:val="00300870"/>
    <w:rsid w:val="00300879"/>
    <w:rsid w:val="00300915"/>
    <w:rsid w:val="00300B42"/>
    <w:rsid w:val="00300F8A"/>
    <w:rsid w:val="003010F1"/>
    <w:rsid w:val="00301206"/>
    <w:rsid w:val="00301253"/>
    <w:rsid w:val="003013D8"/>
    <w:rsid w:val="0030141C"/>
    <w:rsid w:val="00301546"/>
    <w:rsid w:val="003016E9"/>
    <w:rsid w:val="003017F9"/>
    <w:rsid w:val="0030185E"/>
    <w:rsid w:val="003018D8"/>
    <w:rsid w:val="0030198E"/>
    <w:rsid w:val="00301A1D"/>
    <w:rsid w:val="00301A5F"/>
    <w:rsid w:val="00301B4A"/>
    <w:rsid w:val="00301BD2"/>
    <w:rsid w:val="00301CC9"/>
    <w:rsid w:val="00301D5C"/>
    <w:rsid w:val="00301E18"/>
    <w:rsid w:val="00301F7F"/>
    <w:rsid w:val="0030201E"/>
    <w:rsid w:val="00302063"/>
    <w:rsid w:val="003020BC"/>
    <w:rsid w:val="003021D4"/>
    <w:rsid w:val="00302263"/>
    <w:rsid w:val="00302332"/>
    <w:rsid w:val="0030297F"/>
    <w:rsid w:val="00302A52"/>
    <w:rsid w:val="00302AD7"/>
    <w:rsid w:val="00302CAE"/>
    <w:rsid w:val="00302DE8"/>
    <w:rsid w:val="00302DF0"/>
    <w:rsid w:val="00302E1C"/>
    <w:rsid w:val="00302FDD"/>
    <w:rsid w:val="00303252"/>
    <w:rsid w:val="0030333F"/>
    <w:rsid w:val="00303425"/>
    <w:rsid w:val="00303449"/>
    <w:rsid w:val="003036E2"/>
    <w:rsid w:val="003036F6"/>
    <w:rsid w:val="0030394C"/>
    <w:rsid w:val="00303B30"/>
    <w:rsid w:val="00303CDC"/>
    <w:rsid w:val="00303E80"/>
    <w:rsid w:val="00303EA5"/>
    <w:rsid w:val="00303F37"/>
    <w:rsid w:val="00303FA5"/>
    <w:rsid w:val="00304001"/>
    <w:rsid w:val="003040EE"/>
    <w:rsid w:val="00304153"/>
    <w:rsid w:val="00304172"/>
    <w:rsid w:val="003043A5"/>
    <w:rsid w:val="00304704"/>
    <w:rsid w:val="003047FC"/>
    <w:rsid w:val="0030499B"/>
    <w:rsid w:val="00304A8D"/>
    <w:rsid w:val="00304C68"/>
    <w:rsid w:val="00304C76"/>
    <w:rsid w:val="00304D64"/>
    <w:rsid w:val="00304E2B"/>
    <w:rsid w:val="00305023"/>
    <w:rsid w:val="003050A7"/>
    <w:rsid w:val="0030523B"/>
    <w:rsid w:val="00305400"/>
    <w:rsid w:val="0030544D"/>
    <w:rsid w:val="00305687"/>
    <w:rsid w:val="003056E4"/>
    <w:rsid w:val="003057C3"/>
    <w:rsid w:val="003057DC"/>
    <w:rsid w:val="0030583B"/>
    <w:rsid w:val="003058F1"/>
    <w:rsid w:val="00305AD3"/>
    <w:rsid w:val="00305B35"/>
    <w:rsid w:val="00305E9A"/>
    <w:rsid w:val="00306064"/>
    <w:rsid w:val="0030609B"/>
    <w:rsid w:val="00306246"/>
    <w:rsid w:val="003062B5"/>
    <w:rsid w:val="00306370"/>
    <w:rsid w:val="0030659C"/>
    <w:rsid w:val="003067AA"/>
    <w:rsid w:val="00306875"/>
    <w:rsid w:val="00306A62"/>
    <w:rsid w:val="00306B65"/>
    <w:rsid w:val="00306C5A"/>
    <w:rsid w:val="00306D3C"/>
    <w:rsid w:val="00306D59"/>
    <w:rsid w:val="00306ECE"/>
    <w:rsid w:val="00306F2B"/>
    <w:rsid w:val="00306F87"/>
    <w:rsid w:val="0030700C"/>
    <w:rsid w:val="0030724D"/>
    <w:rsid w:val="00307888"/>
    <w:rsid w:val="00307B36"/>
    <w:rsid w:val="00307BF1"/>
    <w:rsid w:val="00307C00"/>
    <w:rsid w:val="00307C11"/>
    <w:rsid w:val="00307D40"/>
    <w:rsid w:val="00307F14"/>
    <w:rsid w:val="00310079"/>
    <w:rsid w:val="00310296"/>
    <w:rsid w:val="003102D2"/>
    <w:rsid w:val="00310349"/>
    <w:rsid w:val="003103B1"/>
    <w:rsid w:val="003104B5"/>
    <w:rsid w:val="003104F4"/>
    <w:rsid w:val="00310505"/>
    <w:rsid w:val="003105ED"/>
    <w:rsid w:val="00310644"/>
    <w:rsid w:val="003106EC"/>
    <w:rsid w:val="00310702"/>
    <w:rsid w:val="00310865"/>
    <w:rsid w:val="003108AA"/>
    <w:rsid w:val="003108C1"/>
    <w:rsid w:val="00310A79"/>
    <w:rsid w:val="00310AD4"/>
    <w:rsid w:val="00310E2B"/>
    <w:rsid w:val="00310F0F"/>
    <w:rsid w:val="00310F12"/>
    <w:rsid w:val="00310F14"/>
    <w:rsid w:val="00310F4F"/>
    <w:rsid w:val="003111CE"/>
    <w:rsid w:val="003112DF"/>
    <w:rsid w:val="0031149A"/>
    <w:rsid w:val="0031169A"/>
    <w:rsid w:val="003116D2"/>
    <w:rsid w:val="003116F7"/>
    <w:rsid w:val="00311926"/>
    <w:rsid w:val="00311BAB"/>
    <w:rsid w:val="00311C0D"/>
    <w:rsid w:val="00311E0A"/>
    <w:rsid w:val="00312074"/>
    <w:rsid w:val="00312116"/>
    <w:rsid w:val="0031227E"/>
    <w:rsid w:val="00312379"/>
    <w:rsid w:val="00312573"/>
    <w:rsid w:val="003126D6"/>
    <w:rsid w:val="00312775"/>
    <w:rsid w:val="003127FB"/>
    <w:rsid w:val="003128B2"/>
    <w:rsid w:val="00312952"/>
    <w:rsid w:val="00312C4C"/>
    <w:rsid w:val="00312E35"/>
    <w:rsid w:val="00312E7B"/>
    <w:rsid w:val="00312FA3"/>
    <w:rsid w:val="00313205"/>
    <w:rsid w:val="003132C1"/>
    <w:rsid w:val="003133C2"/>
    <w:rsid w:val="00313566"/>
    <w:rsid w:val="0031359B"/>
    <w:rsid w:val="003136AF"/>
    <w:rsid w:val="00313935"/>
    <w:rsid w:val="00313A40"/>
    <w:rsid w:val="00313B52"/>
    <w:rsid w:val="00313BB5"/>
    <w:rsid w:val="00313CFA"/>
    <w:rsid w:val="00313D07"/>
    <w:rsid w:val="00313D10"/>
    <w:rsid w:val="00313D96"/>
    <w:rsid w:val="00313E1A"/>
    <w:rsid w:val="0031401D"/>
    <w:rsid w:val="003140B2"/>
    <w:rsid w:val="003142D7"/>
    <w:rsid w:val="003142E3"/>
    <w:rsid w:val="0031430C"/>
    <w:rsid w:val="003143E4"/>
    <w:rsid w:val="003144B0"/>
    <w:rsid w:val="00314518"/>
    <w:rsid w:val="0031457B"/>
    <w:rsid w:val="0031458E"/>
    <w:rsid w:val="003145A4"/>
    <w:rsid w:val="00314781"/>
    <w:rsid w:val="003147E3"/>
    <w:rsid w:val="00314877"/>
    <w:rsid w:val="00314881"/>
    <w:rsid w:val="00314A89"/>
    <w:rsid w:val="00314B35"/>
    <w:rsid w:val="00314BDE"/>
    <w:rsid w:val="00314FBA"/>
    <w:rsid w:val="00314FDD"/>
    <w:rsid w:val="003151FC"/>
    <w:rsid w:val="003152C8"/>
    <w:rsid w:val="003154F7"/>
    <w:rsid w:val="0031550F"/>
    <w:rsid w:val="0031577C"/>
    <w:rsid w:val="003158A3"/>
    <w:rsid w:val="003158A4"/>
    <w:rsid w:val="003158C5"/>
    <w:rsid w:val="0031595E"/>
    <w:rsid w:val="00315A6A"/>
    <w:rsid w:val="00315A7C"/>
    <w:rsid w:val="00315B08"/>
    <w:rsid w:val="00315B7F"/>
    <w:rsid w:val="00315E10"/>
    <w:rsid w:val="00315F31"/>
    <w:rsid w:val="00316129"/>
    <w:rsid w:val="0031613E"/>
    <w:rsid w:val="00316208"/>
    <w:rsid w:val="0031648D"/>
    <w:rsid w:val="003167FE"/>
    <w:rsid w:val="00316BA5"/>
    <w:rsid w:val="00316C6E"/>
    <w:rsid w:val="00316D33"/>
    <w:rsid w:val="00317036"/>
    <w:rsid w:val="00317139"/>
    <w:rsid w:val="00317218"/>
    <w:rsid w:val="003172B4"/>
    <w:rsid w:val="00317353"/>
    <w:rsid w:val="003174D8"/>
    <w:rsid w:val="00317597"/>
    <w:rsid w:val="003175DC"/>
    <w:rsid w:val="00317765"/>
    <w:rsid w:val="003177BA"/>
    <w:rsid w:val="00317893"/>
    <w:rsid w:val="00317A3B"/>
    <w:rsid w:val="00317D7A"/>
    <w:rsid w:val="00317D86"/>
    <w:rsid w:val="00317E76"/>
    <w:rsid w:val="00317F1B"/>
    <w:rsid w:val="00320043"/>
    <w:rsid w:val="0032065D"/>
    <w:rsid w:val="003206FC"/>
    <w:rsid w:val="003207B0"/>
    <w:rsid w:val="003207CE"/>
    <w:rsid w:val="003207E3"/>
    <w:rsid w:val="003208FD"/>
    <w:rsid w:val="00320A9B"/>
    <w:rsid w:val="00320C7E"/>
    <w:rsid w:val="00320CD3"/>
    <w:rsid w:val="00320CFF"/>
    <w:rsid w:val="00320D63"/>
    <w:rsid w:val="00320D6A"/>
    <w:rsid w:val="00320EED"/>
    <w:rsid w:val="00320F99"/>
    <w:rsid w:val="00320FB1"/>
    <w:rsid w:val="00321073"/>
    <w:rsid w:val="003213AA"/>
    <w:rsid w:val="0032157F"/>
    <w:rsid w:val="003215A6"/>
    <w:rsid w:val="0032181D"/>
    <w:rsid w:val="003219DA"/>
    <w:rsid w:val="00321B66"/>
    <w:rsid w:val="00321B90"/>
    <w:rsid w:val="00321C91"/>
    <w:rsid w:val="00321DC4"/>
    <w:rsid w:val="00321E3D"/>
    <w:rsid w:val="00321E73"/>
    <w:rsid w:val="00321EB4"/>
    <w:rsid w:val="00321EEF"/>
    <w:rsid w:val="00321F35"/>
    <w:rsid w:val="00321FB9"/>
    <w:rsid w:val="003221FE"/>
    <w:rsid w:val="00322216"/>
    <w:rsid w:val="003223BD"/>
    <w:rsid w:val="00322594"/>
    <w:rsid w:val="003225FA"/>
    <w:rsid w:val="00322736"/>
    <w:rsid w:val="003227EA"/>
    <w:rsid w:val="00322838"/>
    <w:rsid w:val="00322D8C"/>
    <w:rsid w:val="00322E0A"/>
    <w:rsid w:val="00322EC7"/>
    <w:rsid w:val="00322F0D"/>
    <w:rsid w:val="00322F98"/>
    <w:rsid w:val="00323071"/>
    <w:rsid w:val="00323135"/>
    <w:rsid w:val="0032326C"/>
    <w:rsid w:val="0032336F"/>
    <w:rsid w:val="003233E2"/>
    <w:rsid w:val="00323420"/>
    <w:rsid w:val="0032345B"/>
    <w:rsid w:val="0032348E"/>
    <w:rsid w:val="00323540"/>
    <w:rsid w:val="003236EF"/>
    <w:rsid w:val="0032381E"/>
    <w:rsid w:val="0032388E"/>
    <w:rsid w:val="003238BD"/>
    <w:rsid w:val="00323B0F"/>
    <w:rsid w:val="00323CC6"/>
    <w:rsid w:val="00323E28"/>
    <w:rsid w:val="00323FFC"/>
    <w:rsid w:val="00324089"/>
    <w:rsid w:val="003240F1"/>
    <w:rsid w:val="00324263"/>
    <w:rsid w:val="0032426B"/>
    <w:rsid w:val="00324296"/>
    <w:rsid w:val="00324548"/>
    <w:rsid w:val="003245DB"/>
    <w:rsid w:val="0032467D"/>
    <w:rsid w:val="00324723"/>
    <w:rsid w:val="003248D3"/>
    <w:rsid w:val="00324952"/>
    <w:rsid w:val="00324C21"/>
    <w:rsid w:val="00324D2C"/>
    <w:rsid w:val="00324D2F"/>
    <w:rsid w:val="00324D5C"/>
    <w:rsid w:val="00324EB1"/>
    <w:rsid w:val="00324EFF"/>
    <w:rsid w:val="00324FD4"/>
    <w:rsid w:val="0032508D"/>
    <w:rsid w:val="003251EC"/>
    <w:rsid w:val="003252BC"/>
    <w:rsid w:val="0032531A"/>
    <w:rsid w:val="0032535E"/>
    <w:rsid w:val="00325733"/>
    <w:rsid w:val="0032575E"/>
    <w:rsid w:val="003258CB"/>
    <w:rsid w:val="00325976"/>
    <w:rsid w:val="00325A4B"/>
    <w:rsid w:val="00325B10"/>
    <w:rsid w:val="00325C33"/>
    <w:rsid w:val="00325C73"/>
    <w:rsid w:val="00325EB9"/>
    <w:rsid w:val="00325FA2"/>
    <w:rsid w:val="003260B6"/>
    <w:rsid w:val="003264C4"/>
    <w:rsid w:val="003267D6"/>
    <w:rsid w:val="00326967"/>
    <w:rsid w:val="00326A93"/>
    <w:rsid w:val="00326AD5"/>
    <w:rsid w:val="00326C79"/>
    <w:rsid w:val="00326CAD"/>
    <w:rsid w:val="00326D47"/>
    <w:rsid w:val="00326DE7"/>
    <w:rsid w:val="00326F56"/>
    <w:rsid w:val="00326FB4"/>
    <w:rsid w:val="00326FF7"/>
    <w:rsid w:val="003270A9"/>
    <w:rsid w:val="003270B8"/>
    <w:rsid w:val="003270ED"/>
    <w:rsid w:val="00327255"/>
    <w:rsid w:val="00327336"/>
    <w:rsid w:val="003273B9"/>
    <w:rsid w:val="0032741D"/>
    <w:rsid w:val="003274B4"/>
    <w:rsid w:val="003275CA"/>
    <w:rsid w:val="00327624"/>
    <w:rsid w:val="00327941"/>
    <w:rsid w:val="00327963"/>
    <w:rsid w:val="00327987"/>
    <w:rsid w:val="00327C8E"/>
    <w:rsid w:val="00327CB0"/>
    <w:rsid w:val="00327D19"/>
    <w:rsid w:val="00327F30"/>
    <w:rsid w:val="00327F7D"/>
    <w:rsid w:val="00327FE0"/>
    <w:rsid w:val="00330034"/>
    <w:rsid w:val="00330059"/>
    <w:rsid w:val="003301D6"/>
    <w:rsid w:val="00330276"/>
    <w:rsid w:val="0033029C"/>
    <w:rsid w:val="00330518"/>
    <w:rsid w:val="00330779"/>
    <w:rsid w:val="00330822"/>
    <w:rsid w:val="00330883"/>
    <w:rsid w:val="003308A7"/>
    <w:rsid w:val="00330999"/>
    <w:rsid w:val="00330AC6"/>
    <w:rsid w:val="00330C5C"/>
    <w:rsid w:val="00330D6D"/>
    <w:rsid w:val="00330DCC"/>
    <w:rsid w:val="00330F03"/>
    <w:rsid w:val="00330FFC"/>
    <w:rsid w:val="003310E6"/>
    <w:rsid w:val="003312B4"/>
    <w:rsid w:val="003313C7"/>
    <w:rsid w:val="003316A2"/>
    <w:rsid w:val="00331788"/>
    <w:rsid w:val="003317A5"/>
    <w:rsid w:val="0033180A"/>
    <w:rsid w:val="0033196F"/>
    <w:rsid w:val="0033197D"/>
    <w:rsid w:val="00331B6D"/>
    <w:rsid w:val="00331BB3"/>
    <w:rsid w:val="00331CD2"/>
    <w:rsid w:val="00331F0A"/>
    <w:rsid w:val="00332111"/>
    <w:rsid w:val="003321B8"/>
    <w:rsid w:val="0033221A"/>
    <w:rsid w:val="003324F0"/>
    <w:rsid w:val="003326B0"/>
    <w:rsid w:val="00332749"/>
    <w:rsid w:val="0033289D"/>
    <w:rsid w:val="00332986"/>
    <w:rsid w:val="00332C62"/>
    <w:rsid w:val="00332CE9"/>
    <w:rsid w:val="003330EA"/>
    <w:rsid w:val="00333123"/>
    <w:rsid w:val="003332B7"/>
    <w:rsid w:val="00333352"/>
    <w:rsid w:val="00333587"/>
    <w:rsid w:val="0033375C"/>
    <w:rsid w:val="003338C2"/>
    <w:rsid w:val="003338CE"/>
    <w:rsid w:val="00333A8B"/>
    <w:rsid w:val="00333D0D"/>
    <w:rsid w:val="00333D28"/>
    <w:rsid w:val="00333DD1"/>
    <w:rsid w:val="00333DF6"/>
    <w:rsid w:val="00333F28"/>
    <w:rsid w:val="00333F6C"/>
    <w:rsid w:val="0033415D"/>
    <w:rsid w:val="003341C8"/>
    <w:rsid w:val="0033459A"/>
    <w:rsid w:val="0033464B"/>
    <w:rsid w:val="0033467D"/>
    <w:rsid w:val="00334B94"/>
    <w:rsid w:val="00334E06"/>
    <w:rsid w:val="00334FB6"/>
    <w:rsid w:val="003352A4"/>
    <w:rsid w:val="003353CE"/>
    <w:rsid w:val="0033543E"/>
    <w:rsid w:val="0033547F"/>
    <w:rsid w:val="003354A4"/>
    <w:rsid w:val="00335525"/>
    <w:rsid w:val="0033568F"/>
    <w:rsid w:val="0033576D"/>
    <w:rsid w:val="003357C5"/>
    <w:rsid w:val="003359FA"/>
    <w:rsid w:val="00335C0D"/>
    <w:rsid w:val="00335C7D"/>
    <w:rsid w:val="00335CF3"/>
    <w:rsid w:val="00335D5A"/>
    <w:rsid w:val="00335DE0"/>
    <w:rsid w:val="00335DF3"/>
    <w:rsid w:val="00335E09"/>
    <w:rsid w:val="00335EF7"/>
    <w:rsid w:val="00335F95"/>
    <w:rsid w:val="00336039"/>
    <w:rsid w:val="0033606A"/>
    <w:rsid w:val="0033611B"/>
    <w:rsid w:val="003364A6"/>
    <w:rsid w:val="00336603"/>
    <w:rsid w:val="003366CE"/>
    <w:rsid w:val="0033692D"/>
    <w:rsid w:val="00336936"/>
    <w:rsid w:val="00336B73"/>
    <w:rsid w:val="00336E1E"/>
    <w:rsid w:val="003370E1"/>
    <w:rsid w:val="00337250"/>
    <w:rsid w:val="0033727F"/>
    <w:rsid w:val="003374AE"/>
    <w:rsid w:val="0033771A"/>
    <w:rsid w:val="003377AE"/>
    <w:rsid w:val="003377B5"/>
    <w:rsid w:val="003377B9"/>
    <w:rsid w:val="00337C3A"/>
    <w:rsid w:val="00337CCB"/>
    <w:rsid w:val="00340298"/>
    <w:rsid w:val="003403F7"/>
    <w:rsid w:val="003405AE"/>
    <w:rsid w:val="003407D8"/>
    <w:rsid w:val="0034080E"/>
    <w:rsid w:val="003408B4"/>
    <w:rsid w:val="00340AA3"/>
    <w:rsid w:val="00340D46"/>
    <w:rsid w:val="00340D8C"/>
    <w:rsid w:val="00340DD2"/>
    <w:rsid w:val="00340F00"/>
    <w:rsid w:val="00341032"/>
    <w:rsid w:val="0034114F"/>
    <w:rsid w:val="003412A6"/>
    <w:rsid w:val="003414D4"/>
    <w:rsid w:val="00341518"/>
    <w:rsid w:val="003415AD"/>
    <w:rsid w:val="003417B6"/>
    <w:rsid w:val="003417F3"/>
    <w:rsid w:val="00341886"/>
    <w:rsid w:val="003418B7"/>
    <w:rsid w:val="00341EB2"/>
    <w:rsid w:val="00341FB6"/>
    <w:rsid w:val="003422E9"/>
    <w:rsid w:val="00342326"/>
    <w:rsid w:val="003426F4"/>
    <w:rsid w:val="0034278B"/>
    <w:rsid w:val="00342945"/>
    <w:rsid w:val="003429D3"/>
    <w:rsid w:val="00342A84"/>
    <w:rsid w:val="00342D95"/>
    <w:rsid w:val="00342E42"/>
    <w:rsid w:val="00342F41"/>
    <w:rsid w:val="0034308A"/>
    <w:rsid w:val="003430B9"/>
    <w:rsid w:val="003431C0"/>
    <w:rsid w:val="00343220"/>
    <w:rsid w:val="003433C3"/>
    <w:rsid w:val="00343642"/>
    <w:rsid w:val="00343741"/>
    <w:rsid w:val="00343AE3"/>
    <w:rsid w:val="00343FA9"/>
    <w:rsid w:val="00343FCA"/>
    <w:rsid w:val="00344031"/>
    <w:rsid w:val="0034411B"/>
    <w:rsid w:val="003443E7"/>
    <w:rsid w:val="003443F2"/>
    <w:rsid w:val="00344893"/>
    <w:rsid w:val="00344921"/>
    <w:rsid w:val="003449F8"/>
    <w:rsid w:val="00344A3F"/>
    <w:rsid w:val="00344A90"/>
    <w:rsid w:val="00344B29"/>
    <w:rsid w:val="0034509A"/>
    <w:rsid w:val="003452F8"/>
    <w:rsid w:val="00345305"/>
    <w:rsid w:val="003453C2"/>
    <w:rsid w:val="0034541F"/>
    <w:rsid w:val="003455CA"/>
    <w:rsid w:val="003455F4"/>
    <w:rsid w:val="003456AD"/>
    <w:rsid w:val="003456D8"/>
    <w:rsid w:val="003457B4"/>
    <w:rsid w:val="00345809"/>
    <w:rsid w:val="00345C6A"/>
    <w:rsid w:val="00345C93"/>
    <w:rsid w:val="00345CC7"/>
    <w:rsid w:val="00345F51"/>
    <w:rsid w:val="00345F5B"/>
    <w:rsid w:val="003462D3"/>
    <w:rsid w:val="0034647F"/>
    <w:rsid w:val="0034686A"/>
    <w:rsid w:val="003468C7"/>
    <w:rsid w:val="00346902"/>
    <w:rsid w:val="0034698B"/>
    <w:rsid w:val="00346AF0"/>
    <w:rsid w:val="00346B84"/>
    <w:rsid w:val="00346FD3"/>
    <w:rsid w:val="00346FD4"/>
    <w:rsid w:val="003470F1"/>
    <w:rsid w:val="00347214"/>
    <w:rsid w:val="0034754B"/>
    <w:rsid w:val="003475A3"/>
    <w:rsid w:val="00347936"/>
    <w:rsid w:val="00347B16"/>
    <w:rsid w:val="00347C46"/>
    <w:rsid w:val="00347CCE"/>
    <w:rsid w:val="00347CFA"/>
    <w:rsid w:val="00347EED"/>
    <w:rsid w:val="003500C6"/>
    <w:rsid w:val="003503C4"/>
    <w:rsid w:val="003504B2"/>
    <w:rsid w:val="003504CB"/>
    <w:rsid w:val="003504EC"/>
    <w:rsid w:val="00350745"/>
    <w:rsid w:val="00350748"/>
    <w:rsid w:val="003509FE"/>
    <w:rsid w:val="00350F3F"/>
    <w:rsid w:val="00350F6B"/>
    <w:rsid w:val="0035115F"/>
    <w:rsid w:val="003511F3"/>
    <w:rsid w:val="0035138D"/>
    <w:rsid w:val="00351414"/>
    <w:rsid w:val="003517AF"/>
    <w:rsid w:val="0035184C"/>
    <w:rsid w:val="003519B7"/>
    <w:rsid w:val="00351A38"/>
    <w:rsid w:val="00351A48"/>
    <w:rsid w:val="00351B3C"/>
    <w:rsid w:val="00351C12"/>
    <w:rsid w:val="00351C86"/>
    <w:rsid w:val="00351CD6"/>
    <w:rsid w:val="00351D08"/>
    <w:rsid w:val="00351E39"/>
    <w:rsid w:val="00351F82"/>
    <w:rsid w:val="00351FF3"/>
    <w:rsid w:val="00352056"/>
    <w:rsid w:val="00352370"/>
    <w:rsid w:val="003523A7"/>
    <w:rsid w:val="0035251D"/>
    <w:rsid w:val="003525F5"/>
    <w:rsid w:val="00352726"/>
    <w:rsid w:val="00352797"/>
    <w:rsid w:val="00352847"/>
    <w:rsid w:val="00352A68"/>
    <w:rsid w:val="00352BC0"/>
    <w:rsid w:val="00352F1B"/>
    <w:rsid w:val="00352F35"/>
    <w:rsid w:val="00352FEC"/>
    <w:rsid w:val="0035331E"/>
    <w:rsid w:val="00353387"/>
    <w:rsid w:val="00353494"/>
    <w:rsid w:val="00353578"/>
    <w:rsid w:val="0035382D"/>
    <w:rsid w:val="003539D6"/>
    <w:rsid w:val="003539DA"/>
    <w:rsid w:val="003539F2"/>
    <w:rsid w:val="00353BE2"/>
    <w:rsid w:val="00353D7A"/>
    <w:rsid w:val="00353E71"/>
    <w:rsid w:val="00354140"/>
    <w:rsid w:val="003542D8"/>
    <w:rsid w:val="003544F9"/>
    <w:rsid w:val="00354514"/>
    <w:rsid w:val="003546CC"/>
    <w:rsid w:val="00354A4F"/>
    <w:rsid w:val="00354E0B"/>
    <w:rsid w:val="0035546F"/>
    <w:rsid w:val="00355649"/>
    <w:rsid w:val="00355694"/>
    <w:rsid w:val="0035570D"/>
    <w:rsid w:val="00355740"/>
    <w:rsid w:val="0035582A"/>
    <w:rsid w:val="00355870"/>
    <w:rsid w:val="003558C0"/>
    <w:rsid w:val="0035593C"/>
    <w:rsid w:val="00355CEE"/>
    <w:rsid w:val="00355D58"/>
    <w:rsid w:val="00356003"/>
    <w:rsid w:val="00356364"/>
    <w:rsid w:val="0035637A"/>
    <w:rsid w:val="00356481"/>
    <w:rsid w:val="0035678F"/>
    <w:rsid w:val="003567E8"/>
    <w:rsid w:val="003568FC"/>
    <w:rsid w:val="00356902"/>
    <w:rsid w:val="00356AB5"/>
    <w:rsid w:val="00356B0B"/>
    <w:rsid w:val="00356C1E"/>
    <w:rsid w:val="00356C9A"/>
    <w:rsid w:val="00356D65"/>
    <w:rsid w:val="00356F01"/>
    <w:rsid w:val="00356FF4"/>
    <w:rsid w:val="0035702A"/>
    <w:rsid w:val="003570AF"/>
    <w:rsid w:val="003570CE"/>
    <w:rsid w:val="003571C8"/>
    <w:rsid w:val="003572E1"/>
    <w:rsid w:val="00357372"/>
    <w:rsid w:val="003576DE"/>
    <w:rsid w:val="00357790"/>
    <w:rsid w:val="00357815"/>
    <w:rsid w:val="0035782D"/>
    <w:rsid w:val="00357B84"/>
    <w:rsid w:val="00357C2F"/>
    <w:rsid w:val="00360060"/>
    <w:rsid w:val="003601DB"/>
    <w:rsid w:val="0036022B"/>
    <w:rsid w:val="0036049E"/>
    <w:rsid w:val="0036051F"/>
    <w:rsid w:val="00360695"/>
    <w:rsid w:val="00360776"/>
    <w:rsid w:val="003608F9"/>
    <w:rsid w:val="003609C3"/>
    <w:rsid w:val="00360CFF"/>
    <w:rsid w:val="00360DFD"/>
    <w:rsid w:val="00360F89"/>
    <w:rsid w:val="00361010"/>
    <w:rsid w:val="00361142"/>
    <w:rsid w:val="00361166"/>
    <w:rsid w:val="00361210"/>
    <w:rsid w:val="0036139D"/>
    <w:rsid w:val="003613EA"/>
    <w:rsid w:val="00361545"/>
    <w:rsid w:val="003619A7"/>
    <w:rsid w:val="00361A9D"/>
    <w:rsid w:val="00361AD6"/>
    <w:rsid w:val="00361B97"/>
    <w:rsid w:val="00361D57"/>
    <w:rsid w:val="00361E39"/>
    <w:rsid w:val="00361FD7"/>
    <w:rsid w:val="003622A5"/>
    <w:rsid w:val="00362315"/>
    <w:rsid w:val="003623EF"/>
    <w:rsid w:val="0036241B"/>
    <w:rsid w:val="00362421"/>
    <w:rsid w:val="00362476"/>
    <w:rsid w:val="00362507"/>
    <w:rsid w:val="00362835"/>
    <w:rsid w:val="00362A73"/>
    <w:rsid w:val="00362C40"/>
    <w:rsid w:val="00362E58"/>
    <w:rsid w:val="00362E6A"/>
    <w:rsid w:val="00362EA1"/>
    <w:rsid w:val="00362FB1"/>
    <w:rsid w:val="00363010"/>
    <w:rsid w:val="00363095"/>
    <w:rsid w:val="00363181"/>
    <w:rsid w:val="0036324B"/>
    <w:rsid w:val="0036346B"/>
    <w:rsid w:val="0036352C"/>
    <w:rsid w:val="0036379F"/>
    <w:rsid w:val="0036391F"/>
    <w:rsid w:val="003639D1"/>
    <w:rsid w:val="00363A64"/>
    <w:rsid w:val="00363B3D"/>
    <w:rsid w:val="00363CBA"/>
    <w:rsid w:val="00363D24"/>
    <w:rsid w:val="00363DAE"/>
    <w:rsid w:val="00363E67"/>
    <w:rsid w:val="00364019"/>
    <w:rsid w:val="0036417D"/>
    <w:rsid w:val="003642B1"/>
    <w:rsid w:val="003644FF"/>
    <w:rsid w:val="0036464D"/>
    <w:rsid w:val="00364682"/>
    <w:rsid w:val="00364692"/>
    <w:rsid w:val="003647E5"/>
    <w:rsid w:val="00364AD0"/>
    <w:rsid w:val="00364E3B"/>
    <w:rsid w:val="003650AF"/>
    <w:rsid w:val="003650ED"/>
    <w:rsid w:val="00365293"/>
    <w:rsid w:val="003653F7"/>
    <w:rsid w:val="00365477"/>
    <w:rsid w:val="003654EC"/>
    <w:rsid w:val="003656E3"/>
    <w:rsid w:val="00365AC4"/>
    <w:rsid w:val="00365B5F"/>
    <w:rsid w:val="00366018"/>
    <w:rsid w:val="00366314"/>
    <w:rsid w:val="00366351"/>
    <w:rsid w:val="00366577"/>
    <w:rsid w:val="003666C4"/>
    <w:rsid w:val="003666DD"/>
    <w:rsid w:val="00366751"/>
    <w:rsid w:val="00366957"/>
    <w:rsid w:val="00366BE7"/>
    <w:rsid w:val="00366CB1"/>
    <w:rsid w:val="00366DDE"/>
    <w:rsid w:val="003670C3"/>
    <w:rsid w:val="00367485"/>
    <w:rsid w:val="0036768F"/>
    <w:rsid w:val="003677CC"/>
    <w:rsid w:val="00367864"/>
    <w:rsid w:val="003678CD"/>
    <w:rsid w:val="00367A16"/>
    <w:rsid w:val="00367A82"/>
    <w:rsid w:val="00367B61"/>
    <w:rsid w:val="00367BBE"/>
    <w:rsid w:val="00367E53"/>
    <w:rsid w:val="00367EE5"/>
    <w:rsid w:val="003700B9"/>
    <w:rsid w:val="003700EE"/>
    <w:rsid w:val="003701A2"/>
    <w:rsid w:val="0037020E"/>
    <w:rsid w:val="0037035B"/>
    <w:rsid w:val="003706C6"/>
    <w:rsid w:val="00370787"/>
    <w:rsid w:val="0037082D"/>
    <w:rsid w:val="00370910"/>
    <w:rsid w:val="003709FA"/>
    <w:rsid w:val="00370AEC"/>
    <w:rsid w:val="00370B00"/>
    <w:rsid w:val="00370DB7"/>
    <w:rsid w:val="00370F3E"/>
    <w:rsid w:val="00370FDC"/>
    <w:rsid w:val="00371188"/>
    <w:rsid w:val="003714B0"/>
    <w:rsid w:val="003714D9"/>
    <w:rsid w:val="003714DE"/>
    <w:rsid w:val="0037163A"/>
    <w:rsid w:val="0037175D"/>
    <w:rsid w:val="003719A8"/>
    <w:rsid w:val="00371D22"/>
    <w:rsid w:val="00371D67"/>
    <w:rsid w:val="00371DB0"/>
    <w:rsid w:val="00371DF7"/>
    <w:rsid w:val="00371FBC"/>
    <w:rsid w:val="00372097"/>
    <w:rsid w:val="0037236B"/>
    <w:rsid w:val="003723A3"/>
    <w:rsid w:val="00372471"/>
    <w:rsid w:val="003725EC"/>
    <w:rsid w:val="0037271B"/>
    <w:rsid w:val="0037273B"/>
    <w:rsid w:val="00372C66"/>
    <w:rsid w:val="00372C91"/>
    <w:rsid w:val="00372CE3"/>
    <w:rsid w:val="00372D47"/>
    <w:rsid w:val="00372FDE"/>
    <w:rsid w:val="003737D5"/>
    <w:rsid w:val="003739A4"/>
    <w:rsid w:val="00373AB8"/>
    <w:rsid w:val="00373BEB"/>
    <w:rsid w:val="00373D0E"/>
    <w:rsid w:val="00373E21"/>
    <w:rsid w:val="00373E8F"/>
    <w:rsid w:val="00373E93"/>
    <w:rsid w:val="00374002"/>
    <w:rsid w:val="003741C2"/>
    <w:rsid w:val="003741CE"/>
    <w:rsid w:val="00374234"/>
    <w:rsid w:val="003743BE"/>
    <w:rsid w:val="00374464"/>
    <w:rsid w:val="00374811"/>
    <w:rsid w:val="003748B9"/>
    <w:rsid w:val="00374A0F"/>
    <w:rsid w:val="00374DE7"/>
    <w:rsid w:val="00374E2B"/>
    <w:rsid w:val="00374E9F"/>
    <w:rsid w:val="00374ED2"/>
    <w:rsid w:val="0037534A"/>
    <w:rsid w:val="003754A9"/>
    <w:rsid w:val="003754AA"/>
    <w:rsid w:val="00375595"/>
    <w:rsid w:val="00375813"/>
    <w:rsid w:val="00375997"/>
    <w:rsid w:val="00375A24"/>
    <w:rsid w:val="00375A62"/>
    <w:rsid w:val="00375BFF"/>
    <w:rsid w:val="00375C7E"/>
    <w:rsid w:val="00375D14"/>
    <w:rsid w:val="00375DA1"/>
    <w:rsid w:val="00375E0B"/>
    <w:rsid w:val="00375E4A"/>
    <w:rsid w:val="00375EC5"/>
    <w:rsid w:val="00375F4E"/>
    <w:rsid w:val="00375FB0"/>
    <w:rsid w:val="00376049"/>
    <w:rsid w:val="0037638D"/>
    <w:rsid w:val="0037642A"/>
    <w:rsid w:val="003764F2"/>
    <w:rsid w:val="0037662A"/>
    <w:rsid w:val="00376751"/>
    <w:rsid w:val="00376AB6"/>
    <w:rsid w:val="00376B3E"/>
    <w:rsid w:val="00376BD5"/>
    <w:rsid w:val="00376E7B"/>
    <w:rsid w:val="00376F6A"/>
    <w:rsid w:val="00376FA0"/>
    <w:rsid w:val="00377090"/>
    <w:rsid w:val="003770AD"/>
    <w:rsid w:val="003771CF"/>
    <w:rsid w:val="00377268"/>
    <w:rsid w:val="0037747D"/>
    <w:rsid w:val="003776AE"/>
    <w:rsid w:val="003777EC"/>
    <w:rsid w:val="00377B69"/>
    <w:rsid w:val="00377BF9"/>
    <w:rsid w:val="00377CA4"/>
    <w:rsid w:val="00377CCA"/>
    <w:rsid w:val="00377D43"/>
    <w:rsid w:val="00377F65"/>
    <w:rsid w:val="00377FDA"/>
    <w:rsid w:val="00380132"/>
    <w:rsid w:val="00380451"/>
    <w:rsid w:val="003805FF"/>
    <w:rsid w:val="003806C0"/>
    <w:rsid w:val="003808BE"/>
    <w:rsid w:val="00380947"/>
    <w:rsid w:val="003809C4"/>
    <w:rsid w:val="00380AD2"/>
    <w:rsid w:val="00380D1B"/>
    <w:rsid w:val="00381017"/>
    <w:rsid w:val="0038113F"/>
    <w:rsid w:val="003811C4"/>
    <w:rsid w:val="0038140F"/>
    <w:rsid w:val="00381674"/>
    <w:rsid w:val="0038171A"/>
    <w:rsid w:val="00381720"/>
    <w:rsid w:val="00381AB8"/>
    <w:rsid w:val="00381DE5"/>
    <w:rsid w:val="00381E4C"/>
    <w:rsid w:val="00381EB8"/>
    <w:rsid w:val="00381EE6"/>
    <w:rsid w:val="00382018"/>
    <w:rsid w:val="00382050"/>
    <w:rsid w:val="00382287"/>
    <w:rsid w:val="0038256B"/>
    <w:rsid w:val="003825E2"/>
    <w:rsid w:val="0038272C"/>
    <w:rsid w:val="00382AAF"/>
    <w:rsid w:val="00382AC7"/>
    <w:rsid w:val="00382D40"/>
    <w:rsid w:val="00382D99"/>
    <w:rsid w:val="00382E3A"/>
    <w:rsid w:val="00382FA9"/>
    <w:rsid w:val="00382FD3"/>
    <w:rsid w:val="0038323F"/>
    <w:rsid w:val="003832F9"/>
    <w:rsid w:val="0038333A"/>
    <w:rsid w:val="003833F9"/>
    <w:rsid w:val="00383501"/>
    <w:rsid w:val="0038357B"/>
    <w:rsid w:val="00383684"/>
    <w:rsid w:val="0038379F"/>
    <w:rsid w:val="003837E0"/>
    <w:rsid w:val="00383934"/>
    <w:rsid w:val="00383D69"/>
    <w:rsid w:val="00384045"/>
    <w:rsid w:val="003841B5"/>
    <w:rsid w:val="0038425D"/>
    <w:rsid w:val="00384723"/>
    <w:rsid w:val="0038483B"/>
    <w:rsid w:val="003848CF"/>
    <w:rsid w:val="00384BBC"/>
    <w:rsid w:val="00384CBC"/>
    <w:rsid w:val="00384DF5"/>
    <w:rsid w:val="00384E48"/>
    <w:rsid w:val="00385095"/>
    <w:rsid w:val="003850A2"/>
    <w:rsid w:val="00385250"/>
    <w:rsid w:val="003853CD"/>
    <w:rsid w:val="00385424"/>
    <w:rsid w:val="0038545E"/>
    <w:rsid w:val="00385510"/>
    <w:rsid w:val="003856F8"/>
    <w:rsid w:val="00385C1D"/>
    <w:rsid w:val="00385CF3"/>
    <w:rsid w:val="0038617B"/>
    <w:rsid w:val="0038620F"/>
    <w:rsid w:val="00386337"/>
    <w:rsid w:val="003863B3"/>
    <w:rsid w:val="0038640C"/>
    <w:rsid w:val="003864CB"/>
    <w:rsid w:val="00386654"/>
    <w:rsid w:val="00386880"/>
    <w:rsid w:val="00386AF5"/>
    <w:rsid w:val="00386DA8"/>
    <w:rsid w:val="00386E51"/>
    <w:rsid w:val="00386E55"/>
    <w:rsid w:val="00387034"/>
    <w:rsid w:val="00387220"/>
    <w:rsid w:val="00387476"/>
    <w:rsid w:val="00387738"/>
    <w:rsid w:val="00387A19"/>
    <w:rsid w:val="00387A29"/>
    <w:rsid w:val="00387C83"/>
    <w:rsid w:val="00387D91"/>
    <w:rsid w:val="00387E2D"/>
    <w:rsid w:val="00387E93"/>
    <w:rsid w:val="00387F8A"/>
    <w:rsid w:val="003905B2"/>
    <w:rsid w:val="003906DE"/>
    <w:rsid w:val="003906EE"/>
    <w:rsid w:val="00390761"/>
    <w:rsid w:val="00390857"/>
    <w:rsid w:val="00390A25"/>
    <w:rsid w:val="00390FEB"/>
    <w:rsid w:val="00391017"/>
    <w:rsid w:val="0039108C"/>
    <w:rsid w:val="00391209"/>
    <w:rsid w:val="00391220"/>
    <w:rsid w:val="00391224"/>
    <w:rsid w:val="0039138F"/>
    <w:rsid w:val="00391481"/>
    <w:rsid w:val="003914FA"/>
    <w:rsid w:val="00391771"/>
    <w:rsid w:val="003919FF"/>
    <w:rsid w:val="00391A5A"/>
    <w:rsid w:val="00391C63"/>
    <w:rsid w:val="00391CB0"/>
    <w:rsid w:val="00391D3F"/>
    <w:rsid w:val="00391D7A"/>
    <w:rsid w:val="00391DD7"/>
    <w:rsid w:val="00391EE9"/>
    <w:rsid w:val="00392080"/>
    <w:rsid w:val="003921E0"/>
    <w:rsid w:val="0039223A"/>
    <w:rsid w:val="0039237C"/>
    <w:rsid w:val="0039256E"/>
    <w:rsid w:val="003925C4"/>
    <w:rsid w:val="00392657"/>
    <w:rsid w:val="00392674"/>
    <w:rsid w:val="00392761"/>
    <w:rsid w:val="00392A96"/>
    <w:rsid w:val="00392A9A"/>
    <w:rsid w:val="00392AAA"/>
    <w:rsid w:val="00392BB8"/>
    <w:rsid w:val="00392CE6"/>
    <w:rsid w:val="00392D11"/>
    <w:rsid w:val="00392D65"/>
    <w:rsid w:val="00392E66"/>
    <w:rsid w:val="00392EEF"/>
    <w:rsid w:val="00392F1E"/>
    <w:rsid w:val="0039302D"/>
    <w:rsid w:val="003930F5"/>
    <w:rsid w:val="00393128"/>
    <w:rsid w:val="0039321B"/>
    <w:rsid w:val="0039324B"/>
    <w:rsid w:val="0039325C"/>
    <w:rsid w:val="00393431"/>
    <w:rsid w:val="0039388F"/>
    <w:rsid w:val="0039389C"/>
    <w:rsid w:val="003938E2"/>
    <w:rsid w:val="003938F8"/>
    <w:rsid w:val="00393940"/>
    <w:rsid w:val="00393AA3"/>
    <w:rsid w:val="00393B8F"/>
    <w:rsid w:val="00393D40"/>
    <w:rsid w:val="003941C0"/>
    <w:rsid w:val="00394378"/>
    <w:rsid w:val="003943F1"/>
    <w:rsid w:val="003945AC"/>
    <w:rsid w:val="003946EC"/>
    <w:rsid w:val="00394726"/>
    <w:rsid w:val="0039487F"/>
    <w:rsid w:val="003949BB"/>
    <w:rsid w:val="00394AA5"/>
    <w:rsid w:val="00394C7C"/>
    <w:rsid w:val="00394CF5"/>
    <w:rsid w:val="003951C1"/>
    <w:rsid w:val="00395591"/>
    <w:rsid w:val="003956A3"/>
    <w:rsid w:val="003956E4"/>
    <w:rsid w:val="0039581A"/>
    <w:rsid w:val="003958D5"/>
    <w:rsid w:val="00395930"/>
    <w:rsid w:val="003959C0"/>
    <w:rsid w:val="00395A30"/>
    <w:rsid w:val="00395A50"/>
    <w:rsid w:val="00395AE9"/>
    <w:rsid w:val="00395BEB"/>
    <w:rsid w:val="00395D37"/>
    <w:rsid w:val="00395DFD"/>
    <w:rsid w:val="00395E02"/>
    <w:rsid w:val="00395F1F"/>
    <w:rsid w:val="00396072"/>
    <w:rsid w:val="003960D7"/>
    <w:rsid w:val="0039618A"/>
    <w:rsid w:val="00396277"/>
    <w:rsid w:val="003963C6"/>
    <w:rsid w:val="00396584"/>
    <w:rsid w:val="003967F9"/>
    <w:rsid w:val="003969A6"/>
    <w:rsid w:val="00396CE2"/>
    <w:rsid w:val="00396E44"/>
    <w:rsid w:val="00396F76"/>
    <w:rsid w:val="00397226"/>
    <w:rsid w:val="00397559"/>
    <w:rsid w:val="00397776"/>
    <w:rsid w:val="00397787"/>
    <w:rsid w:val="003979F3"/>
    <w:rsid w:val="00397AEE"/>
    <w:rsid w:val="00397B22"/>
    <w:rsid w:val="00397B63"/>
    <w:rsid w:val="00397B71"/>
    <w:rsid w:val="00397FB2"/>
    <w:rsid w:val="00397FDC"/>
    <w:rsid w:val="003A01A0"/>
    <w:rsid w:val="003A01B8"/>
    <w:rsid w:val="003A035D"/>
    <w:rsid w:val="003A041A"/>
    <w:rsid w:val="003A0438"/>
    <w:rsid w:val="003A04B7"/>
    <w:rsid w:val="003A06B3"/>
    <w:rsid w:val="003A07B8"/>
    <w:rsid w:val="003A0B94"/>
    <w:rsid w:val="003A0BED"/>
    <w:rsid w:val="003A0C57"/>
    <w:rsid w:val="003A0CFF"/>
    <w:rsid w:val="003A0E55"/>
    <w:rsid w:val="003A1110"/>
    <w:rsid w:val="003A12DA"/>
    <w:rsid w:val="003A13A4"/>
    <w:rsid w:val="003A1664"/>
    <w:rsid w:val="003A1756"/>
    <w:rsid w:val="003A17B5"/>
    <w:rsid w:val="003A1852"/>
    <w:rsid w:val="003A1860"/>
    <w:rsid w:val="003A19B8"/>
    <w:rsid w:val="003A1ACA"/>
    <w:rsid w:val="003A1B6B"/>
    <w:rsid w:val="003A1D94"/>
    <w:rsid w:val="003A1EA3"/>
    <w:rsid w:val="003A20F2"/>
    <w:rsid w:val="003A235F"/>
    <w:rsid w:val="003A2521"/>
    <w:rsid w:val="003A25B8"/>
    <w:rsid w:val="003A264B"/>
    <w:rsid w:val="003A271D"/>
    <w:rsid w:val="003A27A7"/>
    <w:rsid w:val="003A2A04"/>
    <w:rsid w:val="003A2B4D"/>
    <w:rsid w:val="003A2C65"/>
    <w:rsid w:val="003A2D7D"/>
    <w:rsid w:val="003A2E36"/>
    <w:rsid w:val="003A2E66"/>
    <w:rsid w:val="003A2E87"/>
    <w:rsid w:val="003A2EFE"/>
    <w:rsid w:val="003A30AF"/>
    <w:rsid w:val="003A30D3"/>
    <w:rsid w:val="003A313F"/>
    <w:rsid w:val="003A3226"/>
    <w:rsid w:val="003A364A"/>
    <w:rsid w:val="003A3834"/>
    <w:rsid w:val="003A39A1"/>
    <w:rsid w:val="003A3A35"/>
    <w:rsid w:val="003A3E5C"/>
    <w:rsid w:val="003A3EDA"/>
    <w:rsid w:val="003A4192"/>
    <w:rsid w:val="003A43CD"/>
    <w:rsid w:val="003A449D"/>
    <w:rsid w:val="003A4A4D"/>
    <w:rsid w:val="003A4AD7"/>
    <w:rsid w:val="003A4D0C"/>
    <w:rsid w:val="003A4D5A"/>
    <w:rsid w:val="003A4D9C"/>
    <w:rsid w:val="003A4DCB"/>
    <w:rsid w:val="003A4F0D"/>
    <w:rsid w:val="003A4FBE"/>
    <w:rsid w:val="003A50F0"/>
    <w:rsid w:val="003A51BF"/>
    <w:rsid w:val="003A5215"/>
    <w:rsid w:val="003A544D"/>
    <w:rsid w:val="003A5741"/>
    <w:rsid w:val="003A5817"/>
    <w:rsid w:val="003A5885"/>
    <w:rsid w:val="003A5A94"/>
    <w:rsid w:val="003A5ACE"/>
    <w:rsid w:val="003A5AFD"/>
    <w:rsid w:val="003A5B36"/>
    <w:rsid w:val="003A5C91"/>
    <w:rsid w:val="003A5F2D"/>
    <w:rsid w:val="003A6360"/>
    <w:rsid w:val="003A63A3"/>
    <w:rsid w:val="003A63C0"/>
    <w:rsid w:val="003A68AD"/>
    <w:rsid w:val="003A695C"/>
    <w:rsid w:val="003A6BAC"/>
    <w:rsid w:val="003A6C0B"/>
    <w:rsid w:val="003A6D75"/>
    <w:rsid w:val="003A6F3A"/>
    <w:rsid w:val="003A6F6A"/>
    <w:rsid w:val="003A7137"/>
    <w:rsid w:val="003A756E"/>
    <w:rsid w:val="003A75AE"/>
    <w:rsid w:val="003A79EA"/>
    <w:rsid w:val="003A79F1"/>
    <w:rsid w:val="003A7B6E"/>
    <w:rsid w:val="003A7B9F"/>
    <w:rsid w:val="003A7BF3"/>
    <w:rsid w:val="003A7D32"/>
    <w:rsid w:val="003A7D74"/>
    <w:rsid w:val="003A7EEC"/>
    <w:rsid w:val="003B035F"/>
    <w:rsid w:val="003B0361"/>
    <w:rsid w:val="003B03A6"/>
    <w:rsid w:val="003B0735"/>
    <w:rsid w:val="003B0A2B"/>
    <w:rsid w:val="003B0A80"/>
    <w:rsid w:val="003B0B96"/>
    <w:rsid w:val="003B0D4B"/>
    <w:rsid w:val="003B0E8A"/>
    <w:rsid w:val="003B1081"/>
    <w:rsid w:val="003B12E5"/>
    <w:rsid w:val="003B13AF"/>
    <w:rsid w:val="003B13E4"/>
    <w:rsid w:val="003B15C6"/>
    <w:rsid w:val="003B17D2"/>
    <w:rsid w:val="003B193F"/>
    <w:rsid w:val="003B197F"/>
    <w:rsid w:val="003B1BEB"/>
    <w:rsid w:val="003B1C31"/>
    <w:rsid w:val="003B1D15"/>
    <w:rsid w:val="003B1D3A"/>
    <w:rsid w:val="003B1D97"/>
    <w:rsid w:val="003B1DC8"/>
    <w:rsid w:val="003B1E51"/>
    <w:rsid w:val="003B1F67"/>
    <w:rsid w:val="003B200C"/>
    <w:rsid w:val="003B21F9"/>
    <w:rsid w:val="003B2353"/>
    <w:rsid w:val="003B24DB"/>
    <w:rsid w:val="003B26CF"/>
    <w:rsid w:val="003B2ABE"/>
    <w:rsid w:val="003B2CF8"/>
    <w:rsid w:val="003B2D5C"/>
    <w:rsid w:val="003B2E47"/>
    <w:rsid w:val="003B2F01"/>
    <w:rsid w:val="003B3092"/>
    <w:rsid w:val="003B3097"/>
    <w:rsid w:val="003B31C3"/>
    <w:rsid w:val="003B3272"/>
    <w:rsid w:val="003B32D9"/>
    <w:rsid w:val="003B34C0"/>
    <w:rsid w:val="003B3551"/>
    <w:rsid w:val="003B364B"/>
    <w:rsid w:val="003B3675"/>
    <w:rsid w:val="003B38A5"/>
    <w:rsid w:val="003B38EE"/>
    <w:rsid w:val="003B394F"/>
    <w:rsid w:val="003B395A"/>
    <w:rsid w:val="003B3A26"/>
    <w:rsid w:val="003B3CBA"/>
    <w:rsid w:val="003B3CEE"/>
    <w:rsid w:val="003B3E28"/>
    <w:rsid w:val="003B3E56"/>
    <w:rsid w:val="003B4161"/>
    <w:rsid w:val="003B437A"/>
    <w:rsid w:val="003B43E8"/>
    <w:rsid w:val="003B4459"/>
    <w:rsid w:val="003B4581"/>
    <w:rsid w:val="003B4695"/>
    <w:rsid w:val="003B482D"/>
    <w:rsid w:val="003B4A06"/>
    <w:rsid w:val="003B4BBA"/>
    <w:rsid w:val="003B4DEA"/>
    <w:rsid w:val="003B4E15"/>
    <w:rsid w:val="003B516D"/>
    <w:rsid w:val="003B5328"/>
    <w:rsid w:val="003B5490"/>
    <w:rsid w:val="003B54A6"/>
    <w:rsid w:val="003B54D7"/>
    <w:rsid w:val="003B5991"/>
    <w:rsid w:val="003B5A3C"/>
    <w:rsid w:val="003B5B82"/>
    <w:rsid w:val="003B5CAE"/>
    <w:rsid w:val="003B5CDB"/>
    <w:rsid w:val="003B5FD7"/>
    <w:rsid w:val="003B6004"/>
    <w:rsid w:val="003B6342"/>
    <w:rsid w:val="003B6362"/>
    <w:rsid w:val="003B64EC"/>
    <w:rsid w:val="003B6612"/>
    <w:rsid w:val="003B661D"/>
    <w:rsid w:val="003B6688"/>
    <w:rsid w:val="003B676C"/>
    <w:rsid w:val="003B688F"/>
    <w:rsid w:val="003B6E70"/>
    <w:rsid w:val="003B6F01"/>
    <w:rsid w:val="003B7265"/>
    <w:rsid w:val="003B728F"/>
    <w:rsid w:val="003B7344"/>
    <w:rsid w:val="003B79F5"/>
    <w:rsid w:val="003B7BE0"/>
    <w:rsid w:val="003B7D0B"/>
    <w:rsid w:val="003C0044"/>
    <w:rsid w:val="003C00BF"/>
    <w:rsid w:val="003C014A"/>
    <w:rsid w:val="003C01B9"/>
    <w:rsid w:val="003C0322"/>
    <w:rsid w:val="003C05B5"/>
    <w:rsid w:val="003C06BB"/>
    <w:rsid w:val="003C07D2"/>
    <w:rsid w:val="003C08A9"/>
    <w:rsid w:val="003C08BA"/>
    <w:rsid w:val="003C0AB2"/>
    <w:rsid w:val="003C0B11"/>
    <w:rsid w:val="003C0BAF"/>
    <w:rsid w:val="003C0C05"/>
    <w:rsid w:val="003C0CB7"/>
    <w:rsid w:val="003C0D7E"/>
    <w:rsid w:val="003C10E7"/>
    <w:rsid w:val="003C11CC"/>
    <w:rsid w:val="003C126C"/>
    <w:rsid w:val="003C14B4"/>
    <w:rsid w:val="003C169E"/>
    <w:rsid w:val="003C1774"/>
    <w:rsid w:val="003C1793"/>
    <w:rsid w:val="003C17FF"/>
    <w:rsid w:val="003C1D47"/>
    <w:rsid w:val="003C1D75"/>
    <w:rsid w:val="003C1D87"/>
    <w:rsid w:val="003C1DC4"/>
    <w:rsid w:val="003C2048"/>
    <w:rsid w:val="003C2131"/>
    <w:rsid w:val="003C2151"/>
    <w:rsid w:val="003C2223"/>
    <w:rsid w:val="003C22BE"/>
    <w:rsid w:val="003C23AE"/>
    <w:rsid w:val="003C23EE"/>
    <w:rsid w:val="003C259E"/>
    <w:rsid w:val="003C26F5"/>
    <w:rsid w:val="003C2794"/>
    <w:rsid w:val="003C2918"/>
    <w:rsid w:val="003C29BF"/>
    <w:rsid w:val="003C2A28"/>
    <w:rsid w:val="003C2A4A"/>
    <w:rsid w:val="003C2A6E"/>
    <w:rsid w:val="003C2E6B"/>
    <w:rsid w:val="003C2E7B"/>
    <w:rsid w:val="003C2EA4"/>
    <w:rsid w:val="003C321B"/>
    <w:rsid w:val="003C3269"/>
    <w:rsid w:val="003C35F2"/>
    <w:rsid w:val="003C36EA"/>
    <w:rsid w:val="003C390F"/>
    <w:rsid w:val="003C3912"/>
    <w:rsid w:val="003C3A80"/>
    <w:rsid w:val="003C3B1C"/>
    <w:rsid w:val="003C3B8F"/>
    <w:rsid w:val="003C3C24"/>
    <w:rsid w:val="003C3D16"/>
    <w:rsid w:val="003C3D83"/>
    <w:rsid w:val="003C3DB2"/>
    <w:rsid w:val="003C3EB7"/>
    <w:rsid w:val="003C3EFC"/>
    <w:rsid w:val="003C42F2"/>
    <w:rsid w:val="003C484D"/>
    <w:rsid w:val="003C49D4"/>
    <w:rsid w:val="003C4AA7"/>
    <w:rsid w:val="003C4D86"/>
    <w:rsid w:val="003C4E05"/>
    <w:rsid w:val="003C4FEF"/>
    <w:rsid w:val="003C51B7"/>
    <w:rsid w:val="003C52AF"/>
    <w:rsid w:val="003C52B5"/>
    <w:rsid w:val="003C5532"/>
    <w:rsid w:val="003C573C"/>
    <w:rsid w:val="003C574C"/>
    <w:rsid w:val="003C5B2D"/>
    <w:rsid w:val="003C5BF7"/>
    <w:rsid w:val="003C5C2E"/>
    <w:rsid w:val="003C5C69"/>
    <w:rsid w:val="003C5D64"/>
    <w:rsid w:val="003C5D7E"/>
    <w:rsid w:val="003C5DCF"/>
    <w:rsid w:val="003C5F39"/>
    <w:rsid w:val="003C60F6"/>
    <w:rsid w:val="003C61B0"/>
    <w:rsid w:val="003C6294"/>
    <w:rsid w:val="003C651C"/>
    <w:rsid w:val="003C6566"/>
    <w:rsid w:val="003C6599"/>
    <w:rsid w:val="003C6691"/>
    <w:rsid w:val="003C66E8"/>
    <w:rsid w:val="003C68C0"/>
    <w:rsid w:val="003C6ACF"/>
    <w:rsid w:val="003C6BB5"/>
    <w:rsid w:val="003C6D34"/>
    <w:rsid w:val="003C6FAF"/>
    <w:rsid w:val="003C716B"/>
    <w:rsid w:val="003C74C0"/>
    <w:rsid w:val="003C7515"/>
    <w:rsid w:val="003C7557"/>
    <w:rsid w:val="003C7794"/>
    <w:rsid w:val="003C77EA"/>
    <w:rsid w:val="003C780C"/>
    <w:rsid w:val="003C78A4"/>
    <w:rsid w:val="003C7A4F"/>
    <w:rsid w:val="003D0174"/>
    <w:rsid w:val="003D0185"/>
    <w:rsid w:val="003D0338"/>
    <w:rsid w:val="003D0386"/>
    <w:rsid w:val="003D03EB"/>
    <w:rsid w:val="003D0411"/>
    <w:rsid w:val="003D04A8"/>
    <w:rsid w:val="003D078C"/>
    <w:rsid w:val="003D0837"/>
    <w:rsid w:val="003D088C"/>
    <w:rsid w:val="003D08E8"/>
    <w:rsid w:val="003D08EA"/>
    <w:rsid w:val="003D093E"/>
    <w:rsid w:val="003D0B0B"/>
    <w:rsid w:val="003D0C45"/>
    <w:rsid w:val="003D0C60"/>
    <w:rsid w:val="003D0D65"/>
    <w:rsid w:val="003D0D85"/>
    <w:rsid w:val="003D0DDB"/>
    <w:rsid w:val="003D0F00"/>
    <w:rsid w:val="003D1003"/>
    <w:rsid w:val="003D1293"/>
    <w:rsid w:val="003D13C0"/>
    <w:rsid w:val="003D147E"/>
    <w:rsid w:val="003D1494"/>
    <w:rsid w:val="003D14F0"/>
    <w:rsid w:val="003D178C"/>
    <w:rsid w:val="003D1790"/>
    <w:rsid w:val="003D1870"/>
    <w:rsid w:val="003D191A"/>
    <w:rsid w:val="003D19FA"/>
    <w:rsid w:val="003D1AA7"/>
    <w:rsid w:val="003D1B0B"/>
    <w:rsid w:val="003D1B23"/>
    <w:rsid w:val="003D1C1F"/>
    <w:rsid w:val="003D1DA1"/>
    <w:rsid w:val="003D1F55"/>
    <w:rsid w:val="003D1F68"/>
    <w:rsid w:val="003D1FDA"/>
    <w:rsid w:val="003D1FFD"/>
    <w:rsid w:val="003D214A"/>
    <w:rsid w:val="003D21E3"/>
    <w:rsid w:val="003D23B7"/>
    <w:rsid w:val="003D2542"/>
    <w:rsid w:val="003D2559"/>
    <w:rsid w:val="003D257B"/>
    <w:rsid w:val="003D281B"/>
    <w:rsid w:val="003D2A8F"/>
    <w:rsid w:val="003D2ADB"/>
    <w:rsid w:val="003D2F37"/>
    <w:rsid w:val="003D2F82"/>
    <w:rsid w:val="003D30DD"/>
    <w:rsid w:val="003D30FC"/>
    <w:rsid w:val="003D329F"/>
    <w:rsid w:val="003D336B"/>
    <w:rsid w:val="003D348C"/>
    <w:rsid w:val="003D34CC"/>
    <w:rsid w:val="003D36B0"/>
    <w:rsid w:val="003D37A3"/>
    <w:rsid w:val="003D39B0"/>
    <w:rsid w:val="003D3CA8"/>
    <w:rsid w:val="003D3ECB"/>
    <w:rsid w:val="003D41EC"/>
    <w:rsid w:val="003D42BB"/>
    <w:rsid w:val="003D42C7"/>
    <w:rsid w:val="003D4333"/>
    <w:rsid w:val="003D439F"/>
    <w:rsid w:val="003D461D"/>
    <w:rsid w:val="003D4712"/>
    <w:rsid w:val="003D494C"/>
    <w:rsid w:val="003D49B4"/>
    <w:rsid w:val="003D4BEF"/>
    <w:rsid w:val="003D4BFD"/>
    <w:rsid w:val="003D4BFF"/>
    <w:rsid w:val="003D4F3D"/>
    <w:rsid w:val="003D4FAD"/>
    <w:rsid w:val="003D505C"/>
    <w:rsid w:val="003D50A6"/>
    <w:rsid w:val="003D52F8"/>
    <w:rsid w:val="003D54B1"/>
    <w:rsid w:val="003D57C9"/>
    <w:rsid w:val="003D58C7"/>
    <w:rsid w:val="003D5976"/>
    <w:rsid w:val="003D59DA"/>
    <w:rsid w:val="003D5AFB"/>
    <w:rsid w:val="003D5B05"/>
    <w:rsid w:val="003D5B18"/>
    <w:rsid w:val="003D5BF5"/>
    <w:rsid w:val="003D5C12"/>
    <w:rsid w:val="003D5E5F"/>
    <w:rsid w:val="003D5FB1"/>
    <w:rsid w:val="003D6083"/>
    <w:rsid w:val="003D6133"/>
    <w:rsid w:val="003D62E5"/>
    <w:rsid w:val="003D6503"/>
    <w:rsid w:val="003D666A"/>
    <w:rsid w:val="003D667D"/>
    <w:rsid w:val="003D6702"/>
    <w:rsid w:val="003D672D"/>
    <w:rsid w:val="003D6AAE"/>
    <w:rsid w:val="003D6D2A"/>
    <w:rsid w:val="003D6FD0"/>
    <w:rsid w:val="003D70FB"/>
    <w:rsid w:val="003D719D"/>
    <w:rsid w:val="003D71B0"/>
    <w:rsid w:val="003D72B5"/>
    <w:rsid w:val="003D73B1"/>
    <w:rsid w:val="003D7404"/>
    <w:rsid w:val="003D740C"/>
    <w:rsid w:val="003D747A"/>
    <w:rsid w:val="003D7668"/>
    <w:rsid w:val="003D7B6B"/>
    <w:rsid w:val="003D7B80"/>
    <w:rsid w:val="003D7C3E"/>
    <w:rsid w:val="003D7E66"/>
    <w:rsid w:val="003D7F42"/>
    <w:rsid w:val="003E002A"/>
    <w:rsid w:val="003E0072"/>
    <w:rsid w:val="003E0153"/>
    <w:rsid w:val="003E02EC"/>
    <w:rsid w:val="003E0467"/>
    <w:rsid w:val="003E04BE"/>
    <w:rsid w:val="003E05AF"/>
    <w:rsid w:val="003E0606"/>
    <w:rsid w:val="003E0A64"/>
    <w:rsid w:val="003E0B9C"/>
    <w:rsid w:val="003E0C3F"/>
    <w:rsid w:val="003E0DE3"/>
    <w:rsid w:val="003E0EB4"/>
    <w:rsid w:val="003E0F70"/>
    <w:rsid w:val="003E0F88"/>
    <w:rsid w:val="003E1052"/>
    <w:rsid w:val="003E1360"/>
    <w:rsid w:val="003E1393"/>
    <w:rsid w:val="003E1466"/>
    <w:rsid w:val="003E1591"/>
    <w:rsid w:val="003E1715"/>
    <w:rsid w:val="003E186C"/>
    <w:rsid w:val="003E18D9"/>
    <w:rsid w:val="003E196A"/>
    <w:rsid w:val="003E1C1C"/>
    <w:rsid w:val="003E1F06"/>
    <w:rsid w:val="003E20D5"/>
    <w:rsid w:val="003E22BF"/>
    <w:rsid w:val="003E2306"/>
    <w:rsid w:val="003E23AA"/>
    <w:rsid w:val="003E23E4"/>
    <w:rsid w:val="003E2428"/>
    <w:rsid w:val="003E2435"/>
    <w:rsid w:val="003E2687"/>
    <w:rsid w:val="003E26FC"/>
    <w:rsid w:val="003E272B"/>
    <w:rsid w:val="003E2758"/>
    <w:rsid w:val="003E28A4"/>
    <w:rsid w:val="003E28C9"/>
    <w:rsid w:val="003E294C"/>
    <w:rsid w:val="003E29CF"/>
    <w:rsid w:val="003E2E1C"/>
    <w:rsid w:val="003E2ED7"/>
    <w:rsid w:val="003E3002"/>
    <w:rsid w:val="003E3037"/>
    <w:rsid w:val="003E311F"/>
    <w:rsid w:val="003E314C"/>
    <w:rsid w:val="003E31BE"/>
    <w:rsid w:val="003E33C1"/>
    <w:rsid w:val="003E36A1"/>
    <w:rsid w:val="003E39FE"/>
    <w:rsid w:val="003E3DF2"/>
    <w:rsid w:val="003E3F64"/>
    <w:rsid w:val="003E3FCA"/>
    <w:rsid w:val="003E40AE"/>
    <w:rsid w:val="003E411D"/>
    <w:rsid w:val="003E41E8"/>
    <w:rsid w:val="003E43A2"/>
    <w:rsid w:val="003E4436"/>
    <w:rsid w:val="003E4549"/>
    <w:rsid w:val="003E45E9"/>
    <w:rsid w:val="003E45F1"/>
    <w:rsid w:val="003E4631"/>
    <w:rsid w:val="003E4A2A"/>
    <w:rsid w:val="003E4AB0"/>
    <w:rsid w:val="003E4C97"/>
    <w:rsid w:val="003E4E1A"/>
    <w:rsid w:val="003E4F16"/>
    <w:rsid w:val="003E5151"/>
    <w:rsid w:val="003E5424"/>
    <w:rsid w:val="003E563D"/>
    <w:rsid w:val="003E5696"/>
    <w:rsid w:val="003E5857"/>
    <w:rsid w:val="003E586C"/>
    <w:rsid w:val="003E59B1"/>
    <w:rsid w:val="003E5AC4"/>
    <w:rsid w:val="003E5D48"/>
    <w:rsid w:val="003E5DEA"/>
    <w:rsid w:val="003E5E1C"/>
    <w:rsid w:val="003E5EA3"/>
    <w:rsid w:val="003E5EFB"/>
    <w:rsid w:val="003E5F07"/>
    <w:rsid w:val="003E5FC7"/>
    <w:rsid w:val="003E61B3"/>
    <w:rsid w:val="003E64AC"/>
    <w:rsid w:val="003E651B"/>
    <w:rsid w:val="003E67FD"/>
    <w:rsid w:val="003E68EE"/>
    <w:rsid w:val="003E7014"/>
    <w:rsid w:val="003E701E"/>
    <w:rsid w:val="003E70AC"/>
    <w:rsid w:val="003E7202"/>
    <w:rsid w:val="003E7379"/>
    <w:rsid w:val="003E74F3"/>
    <w:rsid w:val="003E752E"/>
    <w:rsid w:val="003E75AE"/>
    <w:rsid w:val="003E7761"/>
    <w:rsid w:val="003E78C1"/>
    <w:rsid w:val="003E7919"/>
    <w:rsid w:val="003E7AAD"/>
    <w:rsid w:val="003E7FB7"/>
    <w:rsid w:val="003F00CD"/>
    <w:rsid w:val="003F03CB"/>
    <w:rsid w:val="003F04AA"/>
    <w:rsid w:val="003F053D"/>
    <w:rsid w:val="003F078C"/>
    <w:rsid w:val="003F0B11"/>
    <w:rsid w:val="003F0B3F"/>
    <w:rsid w:val="003F0BB3"/>
    <w:rsid w:val="003F0FC7"/>
    <w:rsid w:val="003F10A7"/>
    <w:rsid w:val="003F1193"/>
    <w:rsid w:val="003F119A"/>
    <w:rsid w:val="003F11BF"/>
    <w:rsid w:val="003F14FC"/>
    <w:rsid w:val="003F1533"/>
    <w:rsid w:val="003F1BFF"/>
    <w:rsid w:val="003F1D43"/>
    <w:rsid w:val="003F1DEA"/>
    <w:rsid w:val="003F1E87"/>
    <w:rsid w:val="003F1F28"/>
    <w:rsid w:val="003F1FB9"/>
    <w:rsid w:val="003F2027"/>
    <w:rsid w:val="003F20C0"/>
    <w:rsid w:val="003F2108"/>
    <w:rsid w:val="003F2189"/>
    <w:rsid w:val="003F21D7"/>
    <w:rsid w:val="003F2378"/>
    <w:rsid w:val="003F23DC"/>
    <w:rsid w:val="003F23FD"/>
    <w:rsid w:val="003F243A"/>
    <w:rsid w:val="003F25F5"/>
    <w:rsid w:val="003F2646"/>
    <w:rsid w:val="003F2739"/>
    <w:rsid w:val="003F2A34"/>
    <w:rsid w:val="003F2C2D"/>
    <w:rsid w:val="003F2C66"/>
    <w:rsid w:val="003F2D99"/>
    <w:rsid w:val="003F2DB5"/>
    <w:rsid w:val="003F2DBA"/>
    <w:rsid w:val="003F2FF8"/>
    <w:rsid w:val="003F3577"/>
    <w:rsid w:val="003F35EE"/>
    <w:rsid w:val="003F3915"/>
    <w:rsid w:val="003F3B63"/>
    <w:rsid w:val="003F3B7E"/>
    <w:rsid w:val="003F3CF8"/>
    <w:rsid w:val="003F3D84"/>
    <w:rsid w:val="003F3DF6"/>
    <w:rsid w:val="003F4131"/>
    <w:rsid w:val="003F4150"/>
    <w:rsid w:val="003F4218"/>
    <w:rsid w:val="003F4337"/>
    <w:rsid w:val="003F449E"/>
    <w:rsid w:val="003F45E2"/>
    <w:rsid w:val="003F47DD"/>
    <w:rsid w:val="003F4966"/>
    <w:rsid w:val="003F4BA7"/>
    <w:rsid w:val="003F4D11"/>
    <w:rsid w:val="003F4E84"/>
    <w:rsid w:val="003F4F9D"/>
    <w:rsid w:val="003F4FFD"/>
    <w:rsid w:val="003F5131"/>
    <w:rsid w:val="003F5182"/>
    <w:rsid w:val="003F52BE"/>
    <w:rsid w:val="003F5511"/>
    <w:rsid w:val="003F56B1"/>
    <w:rsid w:val="003F5761"/>
    <w:rsid w:val="003F5AA4"/>
    <w:rsid w:val="003F5B29"/>
    <w:rsid w:val="003F5BF2"/>
    <w:rsid w:val="003F5C4C"/>
    <w:rsid w:val="003F5D31"/>
    <w:rsid w:val="003F5D3B"/>
    <w:rsid w:val="003F5E17"/>
    <w:rsid w:val="003F6044"/>
    <w:rsid w:val="003F62B9"/>
    <w:rsid w:val="003F6334"/>
    <w:rsid w:val="003F6434"/>
    <w:rsid w:val="003F6722"/>
    <w:rsid w:val="003F694C"/>
    <w:rsid w:val="003F69A9"/>
    <w:rsid w:val="003F6B4E"/>
    <w:rsid w:val="003F6C40"/>
    <w:rsid w:val="003F70C4"/>
    <w:rsid w:val="003F70EF"/>
    <w:rsid w:val="003F7208"/>
    <w:rsid w:val="003F7389"/>
    <w:rsid w:val="003F7458"/>
    <w:rsid w:val="003F7860"/>
    <w:rsid w:val="003F7892"/>
    <w:rsid w:val="003F78BB"/>
    <w:rsid w:val="003F7A4F"/>
    <w:rsid w:val="003F7A5E"/>
    <w:rsid w:val="003F7B0E"/>
    <w:rsid w:val="003F7C7C"/>
    <w:rsid w:val="003F7E27"/>
    <w:rsid w:val="003F7EFB"/>
    <w:rsid w:val="003F7F68"/>
    <w:rsid w:val="004000C3"/>
    <w:rsid w:val="004001B4"/>
    <w:rsid w:val="004001CC"/>
    <w:rsid w:val="0040049B"/>
    <w:rsid w:val="004005F5"/>
    <w:rsid w:val="00400B2D"/>
    <w:rsid w:val="00400B49"/>
    <w:rsid w:val="00400BFC"/>
    <w:rsid w:val="00400D6B"/>
    <w:rsid w:val="00400EDF"/>
    <w:rsid w:val="004010FA"/>
    <w:rsid w:val="004012A1"/>
    <w:rsid w:val="004012FE"/>
    <w:rsid w:val="004016D8"/>
    <w:rsid w:val="0040178C"/>
    <w:rsid w:val="004017A5"/>
    <w:rsid w:val="004017FD"/>
    <w:rsid w:val="0040191D"/>
    <w:rsid w:val="00401958"/>
    <w:rsid w:val="00401C55"/>
    <w:rsid w:val="00401CA5"/>
    <w:rsid w:val="00401D51"/>
    <w:rsid w:val="00401F54"/>
    <w:rsid w:val="00401F81"/>
    <w:rsid w:val="00401FCD"/>
    <w:rsid w:val="0040201E"/>
    <w:rsid w:val="0040226B"/>
    <w:rsid w:val="00402447"/>
    <w:rsid w:val="0040247D"/>
    <w:rsid w:val="0040265D"/>
    <w:rsid w:val="00402884"/>
    <w:rsid w:val="00402906"/>
    <w:rsid w:val="00402B91"/>
    <w:rsid w:val="00402F3E"/>
    <w:rsid w:val="00402FBC"/>
    <w:rsid w:val="00402FF1"/>
    <w:rsid w:val="00403015"/>
    <w:rsid w:val="0040312B"/>
    <w:rsid w:val="0040313D"/>
    <w:rsid w:val="0040328E"/>
    <w:rsid w:val="004032BF"/>
    <w:rsid w:val="00403301"/>
    <w:rsid w:val="00403499"/>
    <w:rsid w:val="0040357E"/>
    <w:rsid w:val="00403611"/>
    <w:rsid w:val="00403688"/>
    <w:rsid w:val="004037D7"/>
    <w:rsid w:val="004038DD"/>
    <w:rsid w:val="00403B39"/>
    <w:rsid w:val="00403BDB"/>
    <w:rsid w:val="00403C24"/>
    <w:rsid w:val="00403CC2"/>
    <w:rsid w:val="00403CE1"/>
    <w:rsid w:val="00403D84"/>
    <w:rsid w:val="00403DA2"/>
    <w:rsid w:val="00403E4C"/>
    <w:rsid w:val="00403FE2"/>
    <w:rsid w:val="004040BC"/>
    <w:rsid w:val="004040FC"/>
    <w:rsid w:val="0040421C"/>
    <w:rsid w:val="00404238"/>
    <w:rsid w:val="004042A4"/>
    <w:rsid w:val="00404577"/>
    <w:rsid w:val="00404631"/>
    <w:rsid w:val="004048C0"/>
    <w:rsid w:val="00404D34"/>
    <w:rsid w:val="00404E88"/>
    <w:rsid w:val="00404F0F"/>
    <w:rsid w:val="0040509C"/>
    <w:rsid w:val="0040521B"/>
    <w:rsid w:val="0040525F"/>
    <w:rsid w:val="004054D6"/>
    <w:rsid w:val="00405706"/>
    <w:rsid w:val="0040573A"/>
    <w:rsid w:val="00405911"/>
    <w:rsid w:val="00405ACC"/>
    <w:rsid w:val="00405F38"/>
    <w:rsid w:val="00406100"/>
    <w:rsid w:val="004061D9"/>
    <w:rsid w:val="0040655C"/>
    <w:rsid w:val="00406560"/>
    <w:rsid w:val="0040684B"/>
    <w:rsid w:val="00406867"/>
    <w:rsid w:val="004068A2"/>
    <w:rsid w:val="004068E9"/>
    <w:rsid w:val="00406B7F"/>
    <w:rsid w:val="00406C6A"/>
    <w:rsid w:val="00406E2C"/>
    <w:rsid w:val="00406E99"/>
    <w:rsid w:val="004070B4"/>
    <w:rsid w:val="00407256"/>
    <w:rsid w:val="00407578"/>
    <w:rsid w:val="004076BD"/>
    <w:rsid w:val="004076DD"/>
    <w:rsid w:val="004076DE"/>
    <w:rsid w:val="004076F3"/>
    <w:rsid w:val="00407805"/>
    <w:rsid w:val="0040784F"/>
    <w:rsid w:val="00407911"/>
    <w:rsid w:val="00407948"/>
    <w:rsid w:val="00407985"/>
    <w:rsid w:val="0040799D"/>
    <w:rsid w:val="00407B19"/>
    <w:rsid w:val="00407B92"/>
    <w:rsid w:val="00407BD2"/>
    <w:rsid w:val="00407C61"/>
    <w:rsid w:val="00407CB9"/>
    <w:rsid w:val="00407D63"/>
    <w:rsid w:val="00407DB7"/>
    <w:rsid w:val="00407E4D"/>
    <w:rsid w:val="00410160"/>
    <w:rsid w:val="00410227"/>
    <w:rsid w:val="0041038A"/>
    <w:rsid w:val="00410487"/>
    <w:rsid w:val="0041052B"/>
    <w:rsid w:val="0041058B"/>
    <w:rsid w:val="004107AA"/>
    <w:rsid w:val="0041087C"/>
    <w:rsid w:val="004109AE"/>
    <w:rsid w:val="00410A2C"/>
    <w:rsid w:val="00410B2E"/>
    <w:rsid w:val="00410C2A"/>
    <w:rsid w:val="00410FF8"/>
    <w:rsid w:val="0041102B"/>
    <w:rsid w:val="00411143"/>
    <w:rsid w:val="00411292"/>
    <w:rsid w:val="00411426"/>
    <w:rsid w:val="00411641"/>
    <w:rsid w:val="004116BF"/>
    <w:rsid w:val="00411725"/>
    <w:rsid w:val="00411869"/>
    <w:rsid w:val="00411A15"/>
    <w:rsid w:val="00411B28"/>
    <w:rsid w:val="00411CFF"/>
    <w:rsid w:val="00411E80"/>
    <w:rsid w:val="00411FC1"/>
    <w:rsid w:val="004120A5"/>
    <w:rsid w:val="00412233"/>
    <w:rsid w:val="0041239F"/>
    <w:rsid w:val="0041244B"/>
    <w:rsid w:val="004125F5"/>
    <w:rsid w:val="00412B87"/>
    <w:rsid w:val="00412CF8"/>
    <w:rsid w:val="00412D6D"/>
    <w:rsid w:val="00412D8C"/>
    <w:rsid w:val="00412ECD"/>
    <w:rsid w:val="004133B9"/>
    <w:rsid w:val="00413413"/>
    <w:rsid w:val="004135C5"/>
    <w:rsid w:val="004139D6"/>
    <w:rsid w:val="004139DD"/>
    <w:rsid w:val="00413BFD"/>
    <w:rsid w:val="00413C13"/>
    <w:rsid w:val="00413C6D"/>
    <w:rsid w:val="00413D67"/>
    <w:rsid w:val="00413DA8"/>
    <w:rsid w:val="00413F61"/>
    <w:rsid w:val="00414022"/>
    <w:rsid w:val="004140BF"/>
    <w:rsid w:val="004142D7"/>
    <w:rsid w:val="004145CB"/>
    <w:rsid w:val="004146AD"/>
    <w:rsid w:val="004148CE"/>
    <w:rsid w:val="00414A2D"/>
    <w:rsid w:val="00414AE4"/>
    <w:rsid w:val="00414BB0"/>
    <w:rsid w:val="00414E02"/>
    <w:rsid w:val="00414E86"/>
    <w:rsid w:val="004151CC"/>
    <w:rsid w:val="004151D2"/>
    <w:rsid w:val="0041525F"/>
    <w:rsid w:val="004154CE"/>
    <w:rsid w:val="00415507"/>
    <w:rsid w:val="00415641"/>
    <w:rsid w:val="00415642"/>
    <w:rsid w:val="00415662"/>
    <w:rsid w:val="004158CB"/>
    <w:rsid w:val="00415A9B"/>
    <w:rsid w:val="00415AAC"/>
    <w:rsid w:val="00415CB4"/>
    <w:rsid w:val="00415D27"/>
    <w:rsid w:val="00415DAB"/>
    <w:rsid w:val="00415DB1"/>
    <w:rsid w:val="00415EC9"/>
    <w:rsid w:val="00415EF0"/>
    <w:rsid w:val="00415FA9"/>
    <w:rsid w:val="00416074"/>
    <w:rsid w:val="00416237"/>
    <w:rsid w:val="0041651B"/>
    <w:rsid w:val="004166C8"/>
    <w:rsid w:val="004166F8"/>
    <w:rsid w:val="0041672D"/>
    <w:rsid w:val="00416733"/>
    <w:rsid w:val="00416822"/>
    <w:rsid w:val="004169A1"/>
    <w:rsid w:val="00416A15"/>
    <w:rsid w:val="00416AAE"/>
    <w:rsid w:val="00416AB1"/>
    <w:rsid w:val="00416ABD"/>
    <w:rsid w:val="00416B4F"/>
    <w:rsid w:val="00416D1D"/>
    <w:rsid w:val="00416D6C"/>
    <w:rsid w:val="00416E9F"/>
    <w:rsid w:val="00416F21"/>
    <w:rsid w:val="00417092"/>
    <w:rsid w:val="004172DA"/>
    <w:rsid w:val="0041770D"/>
    <w:rsid w:val="0041777B"/>
    <w:rsid w:val="004177C7"/>
    <w:rsid w:val="004179E0"/>
    <w:rsid w:val="00417CF7"/>
    <w:rsid w:val="00417EDA"/>
    <w:rsid w:val="004200FA"/>
    <w:rsid w:val="004203E4"/>
    <w:rsid w:val="00420407"/>
    <w:rsid w:val="00420519"/>
    <w:rsid w:val="004205C2"/>
    <w:rsid w:val="004206E1"/>
    <w:rsid w:val="004208E6"/>
    <w:rsid w:val="00420A25"/>
    <w:rsid w:val="00420B66"/>
    <w:rsid w:val="00420C75"/>
    <w:rsid w:val="00420C86"/>
    <w:rsid w:val="00420CCF"/>
    <w:rsid w:val="00420CFC"/>
    <w:rsid w:val="00420DFD"/>
    <w:rsid w:val="00420EA7"/>
    <w:rsid w:val="00420EC8"/>
    <w:rsid w:val="00421150"/>
    <w:rsid w:val="0042121F"/>
    <w:rsid w:val="00421271"/>
    <w:rsid w:val="00421391"/>
    <w:rsid w:val="004213EE"/>
    <w:rsid w:val="00421484"/>
    <w:rsid w:val="0042189D"/>
    <w:rsid w:val="00421955"/>
    <w:rsid w:val="004219DB"/>
    <w:rsid w:val="00421A60"/>
    <w:rsid w:val="00421CD2"/>
    <w:rsid w:val="00421CEF"/>
    <w:rsid w:val="00421EE2"/>
    <w:rsid w:val="00421F63"/>
    <w:rsid w:val="00422105"/>
    <w:rsid w:val="004221EB"/>
    <w:rsid w:val="004222F4"/>
    <w:rsid w:val="0042231A"/>
    <w:rsid w:val="0042242B"/>
    <w:rsid w:val="00422431"/>
    <w:rsid w:val="00422517"/>
    <w:rsid w:val="00422540"/>
    <w:rsid w:val="004226D6"/>
    <w:rsid w:val="00422801"/>
    <w:rsid w:val="004228BB"/>
    <w:rsid w:val="00422A3A"/>
    <w:rsid w:val="00422CFD"/>
    <w:rsid w:val="00422E7A"/>
    <w:rsid w:val="00422E7C"/>
    <w:rsid w:val="00422FC8"/>
    <w:rsid w:val="00422FED"/>
    <w:rsid w:val="004230F1"/>
    <w:rsid w:val="00423173"/>
    <w:rsid w:val="0042317D"/>
    <w:rsid w:val="00423244"/>
    <w:rsid w:val="00423693"/>
    <w:rsid w:val="004236C0"/>
    <w:rsid w:val="004237EA"/>
    <w:rsid w:val="0042393C"/>
    <w:rsid w:val="00423944"/>
    <w:rsid w:val="00423AAE"/>
    <w:rsid w:val="00423B20"/>
    <w:rsid w:val="00423CB9"/>
    <w:rsid w:val="00423EB7"/>
    <w:rsid w:val="00423EBE"/>
    <w:rsid w:val="00423EF5"/>
    <w:rsid w:val="00424255"/>
    <w:rsid w:val="0042467D"/>
    <w:rsid w:val="004247E5"/>
    <w:rsid w:val="0042490A"/>
    <w:rsid w:val="00424C7B"/>
    <w:rsid w:val="0042501E"/>
    <w:rsid w:val="00425212"/>
    <w:rsid w:val="00425604"/>
    <w:rsid w:val="00425726"/>
    <w:rsid w:val="004258CC"/>
    <w:rsid w:val="00425989"/>
    <w:rsid w:val="00425E5B"/>
    <w:rsid w:val="00425EEB"/>
    <w:rsid w:val="004260D2"/>
    <w:rsid w:val="00426146"/>
    <w:rsid w:val="00426577"/>
    <w:rsid w:val="004265A9"/>
    <w:rsid w:val="004266B7"/>
    <w:rsid w:val="004266E6"/>
    <w:rsid w:val="00426760"/>
    <w:rsid w:val="004267B4"/>
    <w:rsid w:val="004269F8"/>
    <w:rsid w:val="00426AFF"/>
    <w:rsid w:val="00426FE8"/>
    <w:rsid w:val="00427117"/>
    <w:rsid w:val="00427369"/>
    <w:rsid w:val="004273A5"/>
    <w:rsid w:val="004274D5"/>
    <w:rsid w:val="00427900"/>
    <w:rsid w:val="0042794A"/>
    <w:rsid w:val="00427AA6"/>
    <w:rsid w:val="00427BB5"/>
    <w:rsid w:val="00427C79"/>
    <w:rsid w:val="00427EB9"/>
    <w:rsid w:val="00430795"/>
    <w:rsid w:val="00430882"/>
    <w:rsid w:val="00430ABC"/>
    <w:rsid w:val="00430B05"/>
    <w:rsid w:val="00430BB7"/>
    <w:rsid w:val="00430F05"/>
    <w:rsid w:val="00430FB8"/>
    <w:rsid w:val="00430FFD"/>
    <w:rsid w:val="004310BB"/>
    <w:rsid w:val="00431156"/>
    <w:rsid w:val="00431166"/>
    <w:rsid w:val="004313BC"/>
    <w:rsid w:val="004314AF"/>
    <w:rsid w:val="00431608"/>
    <w:rsid w:val="0043188C"/>
    <w:rsid w:val="00431C35"/>
    <w:rsid w:val="00431CCD"/>
    <w:rsid w:val="00431F9F"/>
    <w:rsid w:val="00432053"/>
    <w:rsid w:val="0043209B"/>
    <w:rsid w:val="004322BD"/>
    <w:rsid w:val="0043250D"/>
    <w:rsid w:val="004325DE"/>
    <w:rsid w:val="00432798"/>
    <w:rsid w:val="00432888"/>
    <w:rsid w:val="004328CD"/>
    <w:rsid w:val="004329C3"/>
    <w:rsid w:val="004329FA"/>
    <w:rsid w:val="00432AEB"/>
    <w:rsid w:val="00432D72"/>
    <w:rsid w:val="00432E0A"/>
    <w:rsid w:val="00432EFE"/>
    <w:rsid w:val="004333AE"/>
    <w:rsid w:val="004333B3"/>
    <w:rsid w:val="00433488"/>
    <w:rsid w:val="00433528"/>
    <w:rsid w:val="00433557"/>
    <w:rsid w:val="0043376C"/>
    <w:rsid w:val="004337A8"/>
    <w:rsid w:val="00433862"/>
    <w:rsid w:val="004338C7"/>
    <w:rsid w:val="00433989"/>
    <w:rsid w:val="004339D8"/>
    <w:rsid w:val="00433BAB"/>
    <w:rsid w:val="00433DA2"/>
    <w:rsid w:val="00433F8B"/>
    <w:rsid w:val="004340E8"/>
    <w:rsid w:val="00434177"/>
    <w:rsid w:val="00434614"/>
    <w:rsid w:val="0043463F"/>
    <w:rsid w:val="0043474D"/>
    <w:rsid w:val="004347C3"/>
    <w:rsid w:val="00434807"/>
    <w:rsid w:val="004349F7"/>
    <w:rsid w:val="00434AD0"/>
    <w:rsid w:val="00434B45"/>
    <w:rsid w:val="00434DF4"/>
    <w:rsid w:val="00434E06"/>
    <w:rsid w:val="00434ECA"/>
    <w:rsid w:val="00434F4A"/>
    <w:rsid w:val="00434FDA"/>
    <w:rsid w:val="00435280"/>
    <w:rsid w:val="0043543D"/>
    <w:rsid w:val="004354A1"/>
    <w:rsid w:val="0043559E"/>
    <w:rsid w:val="004357D6"/>
    <w:rsid w:val="00435875"/>
    <w:rsid w:val="00435C7F"/>
    <w:rsid w:val="00435D20"/>
    <w:rsid w:val="00435E0F"/>
    <w:rsid w:val="00435EAA"/>
    <w:rsid w:val="00435F83"/>
    <w:rsid w:val="004360D7"/>
    <w:rsid w:val="0043615A"/>
    <w:rsid w:val="0043627F"/>
    <w:rsid w:val="004362F0"/>
    <w:rsid w:val="004362F2"/>
    <w:rsid w:val="00436312"/>
    <w:rsid w:val="0043634D"/>
    <w:rsid w:val="004366B7"/>
    <w:rsid w:val="00436745"/>
    <w:rsid w:val="0043699E"/>
    <w:rsid w:val="00436A31"/>
    <w:rsid w:val="00436BE3"/>
    <w:rsid w:val="00436C4E"/>
    <w:rsid w:val="00436F0B"/>
    <w:rsid w:val="00436FE2"/>
    <w:rsid w:val="0043725A"/>
    <w:rsid w:val="004372D6"/>
    <w:rsid w:val="0043748F"/>
    <w:rsid w:val="0043749C"/>
    <w:rsid w:val="0043771D"/>
    <w:rsid w:val="00437759"/>
    <w:rsid w:val="00437A82"/>
    <w:rsid w:val="00437AB0"/>
    <w:rsid w:val="00437B50"/>
    <w:rsid w:val="00437B82"/>
    <w:rsid w:val="00437B98"/>
    <w:rsid w:val="00437C90"/>
    <w:rsid w:val="00437C93"/>
    <w:rsid w:val="0044009C"/>
    <w:rsid w:val="00440581"/>
    <w:rsid w:val="004405C4"/>
    <w:rsid w:val="00440746"/>
    <w:rsid w:val="0044077E"/>
    <w:rsid w:val="004408C3"/>
    <w:rsid w:val="0044092C"/>
    <w:rsid w:val="00440A24"/>
    <w:rsid w:val="00440C3B"/>
    <w:rsid w:val="00440C95"/>
    <w:rsid w:val="00440F56"/>
    <w:rsid w:val="00440FDA"/>
    <w:rsid w:val="00441264"/>
    <w:rsid w:val="00441298"/>
    <w:rsid w:val="00441353"/>
    <w:rsid w:val="00441580"/>
    <w:rsid w:val="00441616"/>
    <w:rsid w:val="00441637"/>
    <w:rsid w:val="004417AD"/>
    <w:rsid w:val="00441868"/>
    <w:rsid w:val="00441953"/>
    <w:rsid w:val="00441C2E"/>
    <w:rsid w:val="00441D91"/>
    <w:rsid w:val="00441E32"/>
    <w:rsid w:val="00442009"/>
    <w:rsid w:val="0044205B"/>
    <w:rsid w:val="004421BE"/>
    <w:rsid w:val="004422A6"/>
    <w:rsid w:val="00442362"/>
    <w:rsid w:val="00442441"/>
    <w:rsid w:val="0044244D"/>
    <w:rsid w:val="00442652"/>
    <w:rsid w:val="00442676"/>
    <w:rsid w:val="00442850"/>
    <w:rsid w:val="00442950"/>
    <w:rsid w:val="0044299C"/>
    <w:rsid w:val="00442A2B"/>
    <w:rsid w:val="00442B3B"/>
    <w:rsid w:val="00442BD0"/>
    <w:rsid w:val="00442E42"/>
    <w:rsid w:val="00442F16"/>
    <w:rsid w:val="00443106"/>
    <w:rsid w:val="00443144"/>
    <w:rsid w:val="004431BF"/>
    <w:rsid w:val="0044325B"/>
    <w:rsid w:val="004432D9"/>
    <w:rsid w:val="004433D9"/>
    <w:rsid w:val="00443439"/>
    <w:rsid w:val="0044359B"/>
    <w:rsid w:val="00443735"/>
    <w:rsid w:val="0044386A"/>
    <w:rsid w:val="00443F39"/>
    <w:rsid w:val="004440F8"/>
    <w:rsid w:val="0044444C"/>
    <w:rsid w:val="00444508"/>
    <w:rsid w:val="00444621"/>
    <w:rsid w:val="00444628"/>
    <w:rsid w:val="00444C2C"/>
    <w:rsid w:val="00444D7E"/>
    <w:rsid w:val="00444E07"/>
    <w:rsid w:val="00444F5A"/>
    <w:rsid w:val="004450DE"/>
    <w:rsid w:val="0044528D"/>
    <w:rsid w:val="004452EF"/>
    <w:rsid w:val="0044553E"/>
    <w:rsid w:val="004457FA"/>
    <w:rsid w:val="00445869"/>
    <w:rsid w:val="0044588E"/>
    <w:rsid w:val="00445AE4"/>
    <w:rsid w:val="00445B18"/>
    <w:rsid w:val="00445F04"/>
    <w:rsid w:val="00446025"/>
    <w:rsid w:val="004460DF"/>
    <w:rsid w:val="004463FA"/>
    <w:rsid w:val="00446507"/>
    <w:rsid w:val="00446567"/>
    <w:rsid w:val="004465EA"/>
    <w:rsid w:val="0044669D"/>
    <w:rsid w:val="004467BF"/>
    <w:rsid w:val="00446800"/>
    <w:rsid w:val="004468F2"/>
    <w:rsid w:val="00446BAA"/>
    <w:rsid w:val="00446C00"/>
    <w:rsid w:val="00446C0C"/>
    <w:rsid w:val="00446D83"/>
    <w:rsid w:val="00446EF2"/>
    <w:rsid w:val="00446F1A"/>
    <w:rsid w:val="00446F3F"/>
    <w:rsid w:val="004470FF"/>
    <w:rsid w:val="0044711C"/>
    <w:rsid w:val="0044721C"/>
    <w:rsid w:val="004472E8"/>
    <w:rsid w:val="00447352"/>
    <w:rsid w:val="004473A4"/>
    <w:rsid w:val="004473F9"/>
    <w:rsid w:val="0044744D"/>
    <w:rsid w:val="004474BF"/>
    <w:rsid w:val="00447665"/>
    <w:rsid w:val="00447688"/>
    <w:rsid w:val="004476A4"/>
    <w:rsid w:val="00447759"/>
    <w:rsid w:val="00447825"/>
    <w:rsid w:val="00447990"/>
    <w:rsid w:val="00447A05"/>
    <w:rsid w:val="00447C05"/>
    <w:rsid w:val="00447CC4"/>
    <w:rsid w:val="00447D8A"/>
    <w:rsid w:val="00447DFB"/>
    <w:rsid w:val="00447E9D"/>
    <w:rsid w:val="00447F49"/>
    <w:rsid w:val="00450060"/>
    <w:rsid w:val="004501A0"/>
    <w:rsid w:val="004501EC"/>
    <w:rsid w:val="00450259"/>
    <w:rsid w:val="00450493"/>
    <w:rsid w:val="004504CE"/>
    <w:rsid w:val="0045052D"/>
    <w:rsid w:val="00450621"/>
    <w:rsid w:val="00450803"/>
    <w:rsid w:val="0045081B"/>
    <w:rsid w:val="00450A48"/>
    <w:rsid w:val="00450B88"/>
    <w:rsid w:val="00450FA2"/>
    <w:rsid w:val="00451380"/>
    <w:rsid w:val="004513A4"/>
    <w:rsid w:val="0045150E"/>
    <w:rsid w:val="004516C2"/>
    <w:rsid w:val="00451976"/>
    <w:rsid w:val="00451BA8"/>
    <w:rsid w:val="00451BBB"/>
    <w:rsid w:val="00451C14"/>
    <w:rsid w:val="00451C41"/>
    <w:rsid w:val="00451D0F"/>
    <w:rsid w:val="004523ED"/>
    <w:rsid w:val="00452500"/>
    <w:rsid w:val="00452A59"/>
    <w:rsid w:val="00452C13"/>
    <w:rsid w:val="00452F04"/>
    <w:rsid w:val="00453099"/>
    <w:rsid w:val="004530AD"/>
    <w:rsid w:val="004530EA"/>
    <w:rsid w:val="0045310B"/>
    <w:rsid w:val="00453228"/>
    <w:rsid w:val="004534D2"/>
    <w:rsid w:val="00453575"/>
    <w:rsid w:val="00453657"/>
    <w:rsid w:val="00453970"/>
    <w:rsid w:val="00453A1F"/>
    <w:rsid w:val="00453A68"/>
    <w:rsid w:val="00453AC1"/>
    <w:rsid w:val="00453C28"/>
    <w:rsid w:val="00453C6D"/>
    <w:rsid w:val="00453CD5"/>
    <w:rsid w:val="00453D35"/>
    <w:rsid w:val="00453EAF"/>
    <w:rsid w:val="00453EB7"/>
    <w:rsid w:val="00453FF0"/>
    <w:rsid w:val="004540BD"/>
    <w:rsid w:val="004541F8"/>
    <w:rsid w:val="00454222"/>
    <w:rsid w:val="0045449D"/>
    <w:rsid w:val="00454597"/>
    <w:rsid w:val="004545FA"/>
    <w:rsid w:val="00454681"/>
    <w:rsid w:val="00454BA9"/>
    <w:rsid w:val="00454C79"/>
    <w:rsid w:val="00454D42"/>
    <w:rsid w:val="00454E22"/>
    <w:rsid w:val="00454E6D"/>
    <w:rsid w:val="00454F39"/>
    <w:rsid w:val="00455466"/>
    <w:rsid w:val="00455471"/>
    <w:rsid w:val="004554E8"/>
    <w:rsid w:val="00455537"/>
    <w:rsid w:val="00455649"/>
    <w:rsid w:val="0045577D"/>
    <w:rsid w:val="004558C6"/>
    <w:rsid w:val="00455960"/>
    <w:rsid w:val="00455B04"/>
    <w:rsid w:val="00455EFE"/>
    <w:rsid w:val="00455FC7"/>
    <w:rsid w:val="00455FD4"/>
    <w:rsid w:val="00455FF1"/>
    <w:rsid w:val="00456082"/>
    <w:rsid w:val="004560C9"/>
    <w:rsid w:val="00456529"/>
    <w:rsid w:val="004565F7"/>
    <w:rsid w:val="0045674B"/>
    <w:rsid w:val="00456971"/>
    <w:rsid w:val="004569F2"/>
    <w:rsid w:val="00456B7A"/>
    <w:rsid w:val="00456B9C"/>
    <w:rsid w:val="00456E2A"/>
    <w:rsid w:val="00456E33"/>
    <w:rsid w:val="00456E7A"/>
    <w:rsid w:val="00456EA0"/>
    <w:rsid w:val="00457530"/>
    <w:rsid w:val="00457660"/>
    <w:rsid w:val="00457A0C"/>
    <w:rsid w:val="00457C9E"/>
    <w:rsid w:val="00457CD0"/>
    <w:rsid w:val="00457CDC"/>
    <w:rsid w:val="00457EE3"/>
    <w:rsid w:val="0046018E"/>
    <w:rsid w:val="004601A7"/>
    <w:rsid w:val="0046026A"/>
    <w:rsid w:val="00460467"/>
    <w:rsid w:val="0046060A"/>
    <w:rsid w:val="00460655"/>
    <w:rsid w:val="0046083F"/>
    <w:rsid w:val="004609BE"/>
    <w:rsid w:val="00460A97"/>
    <w:rsid w:val="00460BD0"/>
    <w:rsid w:val="00460DB8"/>
    <w:rsid w:val="00461101"/>
    <w:rsid w:val="0046121F"/>
    <w:rsid w:val="00461360"/>
    <w:rsid w:val="004613EA"/>
    <w:rsid w:val="0046143A"/>
    <w:rsid w:val="004617FE"/>
    <w:rsid w:val="0046195A"/>
    <w:rsid w:val="00461A33"/>
    <w:rsid w:val="00461CFF"/>
    <w:rsid w:val="00461D3B"/>
    <w:rsid w:val="00461D71"/>
    <w:rsid w:val="00462091"/>
    <w:rsid w:val="0046242C"/>
    <w:rsid w:val="0046255D"/>
    <w:rsid w:val="004625FF"/>
    <w:rsid w:val="0046287E"/>
    <w:rsid w:val="00462998"/>
    <w:rsid w:val="00462A17"/>
    <w:rsid w:val="00462A26"/>
    <w:rsid w:val="00462E58"/>
    <w:rsid w:val="00462ED1"/>
    <w:rsid w:val="00462F77"/>
    <w:rsid w:val="00462F91"/>
    <w:rsid w:val="00462FB9"/>
    <w:rsid w:val="004631A5"/>
    <w:rsid w:val="00463209"/>
    <w:rsid w:val="0046361D"/>
    <w:rsid w:val="004636A4"/>
    <w:rsid w:val="00463A32"/>
    <w:rsid w:val="00463A60"/>
    <w:rsid w:val="00463B40"/>
    <w:rsid w:val="00463CEF"/>
    <w:rsid w:val="00463D0D"/>
    <w:rsid w:val="00463DC7"/>
    <w:rsid w:val="00463DDD"/>
    <w:rsid w:val="00463E00"/>
    <w:rsid w:val="00463F48"/>
    <w:rsid w:val="00463FDD"/>
    <w:rsid w:val="00464257"/>
    <w:rsid w:val="00464271"/>
    <w:rsid w:val="0046428C"/>
    <w:rsid w:val="00464310"/>
    <w:rsid w:val="0046461B"/>
    <w:rsid w:val="00464632"/>
    <w:rsid w:val="00464780"/>
    <w:rsid w:val="004648D8"/>
    <w:rsid w:val="004648D9"/>
    <w:rsid w:val="00464E10"/>
    <w:rsid w:val="00464E3B"/>
    <w:rsid w:val="00464E42"/>
    <w:rsid w:val="00465068"/>
    <w:rsid w:val="0046513C"/>
    <w:rsid w:val="00465162"/>
    <w:rsid w:val="0046519C"/>
    <w:rsid w:val="004653F0"/>
    <w:rsid w:val="00465415"/>
    <w:rsid w:val="00465442"/>
    <w:rsid w:val="0046547C"/>
    <w:rsid w:val="00465510"/>
    <w:rsid w:val="00465561"/>
    <w:rsid w:val="00465668"/>
    <w:rsid w:val="00465798"/>
    <w:rsid w:val="00465800"/>
    <w:rsid w:val="00465818"/>
    <w:rsid w:val="00465930"/>
    <w:rsid w:val="00465C02"/>
    <w:rsid w:val="00465DB1"/>
    <w:rsid w:val="00465F78"/>
    <w:rsid w:val="00466153"/>
    <w:rsid w:val="004662F6"/>
    <w:rsid w:val="0046645A"/>
    <w:rsid w:val="00466749"/>
    <w:rsid w:val="004668CE"/>
    <w:rsid w:val="00466D4B"/>
    <w:rsid w:val="00466E7F"/>
    <w:rsid w:val="00466F60"/>
    <w:rsid w:val="004670D1"/>
    <w:rsid w:val="004671D9"/>
    <w:rsid w:val="004672B7"/>
    <w:rsid w:val="004673E9"/>
    <w:rsid w:val="00467447"/>
    <w:rsid w:val="00467499"/>
    <w:rsid w:val="00467634"/>
    <w:rsid w:val="004676FA"/>
    <w:rsid w:val="00467802"/>
    <w:rsid w:val="00467906"/>
    <w:rsid w:val="00467933"/>
    <w:rsid w:val="00467961"/>
    <w:rsid w:val="004679DE"/>
    <w:rsid w:val="00467C27"/>
    <w:rsid w:val="00467CEB"/>
    <w:rsid w:val="00467FBD"/>
    <w:rsid w:val="004701D5"/>
    <w:rsid w:val="004702BF"/>
    <w:rsid w:val="004703FD"/>
    <w:rsid w:val="004704AD"/>
    <w:rsid w:val="004704B9"/>
    <w:rsid w:val="00470509"/>
    <w:rsid w:val="00470554"/>
    <w:rsid w:val="0047058C"/>
    <w:rsid w:val="004705D7"/>
    <w:rsid w:val="00470BDE"/>
    <w:rsid w:val="00470C58"/>
    <w:rsid w:val="00470D47"/>
    <w:rsid w:val="00470EF1"/>
    <w:rsid w:val="00470FAC"/>
    <w:rsid w:val="00470FB6"/>
    <w:rsid w:val="004710A9"/>
    <w:rsid w:val="004713EB"/>
    <w:rsid w:val="004716D3"/>
    <w:rsid w:val="004717EF"/>
    <w:rsid w:val="0047185E"/>
    <w:rsid w:val="00471A0B"/>
    <w:rsid w:val="00471F40"/>
    <w:rsid w:val="00472004"/>
    <w:rsid w:val="00472175"/>
    <w:rsid w:val="00472183"/>
    <w:rsid w:val="004721DD"/>
    <w:rsid w:val="0047221E"/>
    <w:rsid w:val="004722B8"/>
    <w:rsid w:val="0047232F"/>
    <w:rsid w:val="004723F4"/>
    <w:rsid w:val="004724DE"/>
    <w:rsid w:val="00472768"/>
    <w:rsid w:val="00472894"/>
    <w:rsid w:val="004728F0"/>
    <w:rsid w:val="00472A57"/>
    <w:rsid w:val="00472AC9"/>
    <w:rsid w:val="00472F72"/>
    <w:rsid w:val="00473017"/>
    <w:rsid w:val="004730DF"/>
    <w:rsid w:val="004732CA"/>
    <w:rsid w:val="0047335C"/>
    <w:rsid w:val="0047343A"/>
    <w:rsid w:val="00473BC1"/>
    <w:rsid w:val="00473CCA"/>
    <w:rsid w:val="00473D8E"/>
    <w:rsid w:val="00473F38"/>
    <w:rsid w:val="00473FBA"/>
    <w:rsid w:val="00473FD9"/>
    <w:rsid w:val="00474296"/>
    <w:rsid w:val="004743D3"/>
    <w:rsid w:val="004744F0"/>
    <w:rsid w:val="004747AB"/>
    <w:rsid w:val="00474830"/>
    <w:rsid w:val="00474AE1"/>
    <w:rsid w:val="00474B15"/>
    <w:rsid w:val="00474C2F"/>
    <w:rsid w:val="00474CEB"/>
    <w:rsid w:val="00474CF8"/>
    <w:rsid w:val="00474D8B"/>
    <w:rsid w:val="00474DD4"/>
    <w:rsid w:val="00474E10"/>
    <w:rsid w:val="004751B6"/>
    <w:rsid w:val="00475411"/>
    <w:rsid w:val="00475414"/>
    <w:rsid w:val="00475553"/>
    <w:rsid w:val="0047562E"/>
    <w:rsid w:val="004758B8"/>
    <w:rsid w:val="00475980"/>
    <w:rsid w:val="00475AA7"/>
    <w:rsid w:val="00475EBE"/>
    <w:rsid w:val="00475F91"/>
    <w:rsid w:val="00476038"/>
    <w:rsid w:val="0047625D"/>
    <w:rsid w:val="004762EF"/>
    <w:rsid w:val="00476392"/>
    <w:rsid w:val="00476449"/>
    <w:rsid w:val="0047656A"/>
    <w:rsid w:val="00476577"/>
    <w:rsid w:val="004767E9"/>
    <w:rsid w:val="00476875"/>
    <w:rsid w:val="00476878"/>
    <w:rsid w:val="00476C2A"/>
    <w:rsid w:val="00476C64"/>
    <w:rsid w:val="00476ECC"/>
    <w:rsid w:val="00476EEB"/>
    <w:rsid w:val="00476F68"/>
    <w:rsid w:val="0047716A"/>
    <w:rsid w:val="00477332"/>
    <w:rsid w:val="004773FE"/>
    <w:rsid w:val="00477496"/>
    <w:rsid w:val="004774A4"/>
    <w:rsid w:val="00477A3E"/>
    <w:rsid w:val="00477D7E"/>
    <w:rsid w:val="00477DA9"/>
    <w:rsid w:val="00480143"/>
    <w:rsid w:val="00480197"/>
    <w:rsid w:val="004801AE"/>
    <w:rsid w:val="004802AE"/>
    <w:rsid w:val="004802C8"/>
    <w:rsid w:val="00480447"/>
    <w:rsid w:val="00480495"/>
    <w:rsid w:val="004804DF"/>
    <w:rsid w:val="004806A9"/>
    <w:rsid w:val="004807D4"/>
    <w:rsid w:val="004808E8"/>
    <w:rsid w:val="004809AD"/>
    <w:rsid w:val="00480A25"/>
    <w:rsid w:val="00480AAF"/>
    <w:rsid w:val="00480B44"/>
    <w:rsid w:val="00480CE2"/>
    <w:rsid w:val="00480DA4"/>
    <w:rsid w:val="00480EA1"/>
    <w:rsid w:val="00480F5F"/>
    <w:rsid w:val="00481004"/>
    <w:rsid w:val="004811D8"/>
    <w:rsid w:val="004813AC"/>
    <w:rsid w:val="004813BA"/>
    <w:rsid w:val="00481423"/>
    <w:rsid w:val="0048185C"/>
    <w:rsid w:val="004818BB"/>
    <w:rsid w:val="00481907"/>
    <w:rsid w:val="00481909"/>
    <w:rsid w:val="0048193B"/>
    <w:rsid w:val="004819C6"/>
    <w:rsid w:val="00481B17"/>
    <w:rsid w:val="00481DAE"/>
    <w:rsid w:val="00481E11"/>
    <w:rsid w:val="00481E14"/>
    <w:rsid w:val="00481E79"/>
    <w:rsid w:val="00481FBE"/>
    <w:rsid w:val="004820D4"/>
    <w:rsid w:val="00482517"/>
    <w:rsid w:val="004825B0"/>
    <w:rsid w:val="004825D1"/>
    <w:rsid w:val="004826BB"/>
    <w:rsid w:val="0048271C"/>
    <w:rsid w:val="00482740"/>
    <w:rsid w:val="004827C1"/>
    <w:rsid w:val="00482940"/>
    <w:rsid w:val="0048298D"/>
    <w:rsid w:val="00482B4E"/>
    <w:rsid w:val="00482D67"/>
    <w:rsid w:val="00483076"/>
    <w:rsid w:val="0048311E"/>
    <w:rsid w:val="00483268"/>
    <w:rsid w:val="004832AD"/>
    <w:rsid w:val="004834A0"/>
    <w:rsid w:val="00483564"/>
    <w:rsid w:val="00483787"/>
    <w:rsid w:val="00483B13"/>
    <w:rsid w:val="00483C52"/>
    <w:rsid w:val="00483FA4"/>
    <w:rsid w:val="00483FA8"/>
    <w:rsid w:val="0048401A"/>
    <w:rsid w:val="00484146"/>
    <w:rsid w:val="00484323"/>
    <w:rsid w:val="00484940"/>
    <w:rsid w:val="004849AC"/>
    <w:rsid w:val="00484AB2"/>
    <w:rsid w:val="00484BDA"/>
    <w:rsid w:val="00484CEE"/>
    <w:rsid w:val="00484D6C"/>
    <w:rsid w:val="00484D78"/>
    <w:rsid w:val="00484DD1"/>
    <w:rsid w:val="00484F62"/>
    <w:rsid w:val="00485293"/>
    <w:rsid w:val="004852A4"/>
    <w:rsid w:val="00485390"/>
    <w:rsid w:val="0048539E"/>
    <w:rsid w:val="00485778"/>
    <w:rsid w:val="004857C0"/>
    <w:rsid w:val="004857FA"/>
    <w:rsid w:val="00485B86"/>
    <w:rsid w:val="00485BFF"/>
    <w:rsid w:val="00486110"/>
    <w:rsid w:val="0048615D"/>
    <w:rsid w:val="00486172"/>
    <w:rsid w:val="004862F9"/>
    <w:rsid w:val="004863A0"/>
    <w:rsid w:val="0048643B"/>
    <w:rsid w:val="00486758"/>
    <w:rsid w:val="00486781"/>
    <w:rsid w:val="004867B3"/>
    <w:rsid w:val="00486828"/>
    <w:rsid w:val="00486A81"/>
    <w:rsid w:val="00486C18"/>
    <w:rsid w:val="00486C65"/>
    <w:rsid w:val="00486EB8"/>
    <w:rsid w:val="00486F33"/>
    <w:rsid w:val="0048703C"/>
    <w:rsid w:val="004873C5"/>
    <w:rsid w:val="004873D1"/>
    <w:rsid w:val="004874EC"/>
    <w:rsid w:val="00487522"/>
    <w:rsid w:val="00487612"/>
    <w:rsid w:val="00487675"/>
    <w:rsid w:val="004876FB"/>
    <w:rsid w:val="004877C2"/>
    <w:rsid w:val="00487AE5"/>
    <w:rsid w:val="00487B80"/>
    <w:rsid w:val="00487C78"/>
    <w:rsid w:val="00487D6A"/>
    <w:rsid w:val="00487E3F"/>
    <w:rsid w:val="00487E4B"/>
    <w:rsid w:val="00490165"/>
    <w:rsid w:val="0049020B"/>
    <w:rsid w:val="00490327"/>
    <w:rsid w:val="004903EF"/>
    <w:rsid w:val="00490424"/>
    <w:rsid w:val="00490502"/>
    <w:rsid w:val="004905DC"/>
    <w:rsid w:val="00490882"/>
    <w:rsid w:val="004909AB"/>
    <w:rsid w:val="00490A8C"/>
    <w:rsid w:val="00490BE5"/>
    <w:rsid w:val="00490D6E"/>
    <w:rsid w:val="00490D74"/>
    <w:rsid w:val="00490E64"/>
    <w:rsid w:val="00490EB1"/>
    <w:rsid w:val="00490EEF"/>
    <w:rsid w:val="00491001"/>
    <w:rsid w:val="004911D6"/>
    <w:rsid w:val="004911FA"/>
    <w:rsid w:val="004915D5"/>
    <w:rsid w:val="0049171C"/>
    <w:rsid w:val="00491A3F"/>
    <w:rsid w:val="00491A6D"/>
    <w:rsid w:val="00491AB7"/>
    <w:rsid w:val="00491B11"/>
    <w:rsid w:val="00491BBA"/>
    <w:rsid w:val="00491C37"/>
    <w:rsid w:val="00491F0E"/>
    <w:rsid w:val="004921B4"/>
    <w:rsid w:val="00492372"/>
    <w:rsid w:val="00492736"/>
    <w:rsid w:val="00492773"/>
    <w:rsid w:val="00492844"/>
    <w:rsid w:val="00492910"/>
    <w:rsid w:val="0049293F"/>
    <w:rsid w:val="00492993"/>
    <w:rsid w:val="004929F5"/>
    <w:rsid w:val="00492AC1"/>
    <w:rsid w:val="00492AE6"/>
    <w:rsid w:val="00492E80"/>
    <w:rsid w:val="00492E96"/>
    <w:rsid w:val="0049300D"/>
    <w:rsid w:val="00493040"/>
    <w:rsid w:val="0049325A"/>
    <w:rsid w:val="00493357"/>
    <w:rsid w:val="0049340A"/>
    <w:rsid w:val="004934C9"/>
    <w:rsid w:val="004935E3"/>
    <w:rsid w:val="00493995"/>
    <w:rsid w:val="004939AC"/>
    <w:rsid w:val="004939CF"/>
    <w:rsid w:val="00493C93"/>
    <w:rsid w:val="00493EA4"/>
    <w:rsid w:val="00493FA2"/>
    <w:rsid w:val="00494004"/>
    <w:rsid w:val="00494010"/>
    <w:rsid w:val="00494334"/>
    <w:rsid w:val="0049436E"/>
    <w:rsid w:val="00494504"/>
    <w:rsid w:val="004946E2"/>
    <w:rsid w:val="004948B2"/>
    <w:rsid w:val="004948B6"/>
    <w:rsid w:val="00494B41"/>
    <w:rsid w:val="00494CCA"/>
    <w:rsid w:val="00494EF0"/>
    <w:rsid w:val="00494F63"/>
    <w:rsid w:val="00494F75"/>
    <w:rsid w:val="0049509B"/>
    <w:rsid w:val="0049516D"/>
    <w:rsid w:val="004951D9"/>
    <w:rsid w:val="00495331"/>
    <w:rsid w:val="00495727"/>
    <w:rsid w:val="0049577D"/>
    <w:rsid w:val="004957DB"/>
    <w:rsid w:val="00495830"/>
    <w:rsid w:val="00495CF6"/>
    <w:rsid w:val="00495FFA"/>
    <w:rsid w:val="0049615B"/>
    <w:rsid w:val="0049615D"/>
    <w:rsid w:val="004961D2"/>
    <w:rsid w:val="00496353"/>
    <w:rsid w:val="0049636E"/>
    <w:rsid w:val="00496404"/>
    <w:rsid w:val="00496598"/>
    <w:rsid w:val="0049679C"/>
    <w:rsid w:val="00496A4C"/>
    <w:rsid w:val="00496C13"/>
    <w:rsid w:val="00496E3A"/>
    <w:rsid w:val="00496FFF"/>
    <w:rsid w:val="00497055"/>
    <w:rsid w:val="0049709D"/>
    <w:rsid w:val="0049719E"/>
    <w:rsid w:val="004971E6"/>
    <w:rsid w:val="00497237"/>
    <w:rsid w:val="00497257"/>
    <w:rsid w:val="004972E0"/>
    <w:rsid w:val="0049734B"/>
    <w:rsid w:val="0049737F"/>
    <w:rsid w:val="00497477"/>
    <w:rsid w:val="004977F8"/>
    <w:rsid w:val="00497906"/>
    <w:rsid w:val="004979E9"/>
    <w:rsid w:val="00497AB8"/>
    <w:rsid w:val="00497CA8"/>
    <w:rsid w:val="00497CEF"/>
    <w:rsid w:val="00497E48"/>
    <w:rsid w:val="00497F49"/>
    <w:rsid w:val="004A0107"/>
    <w:rsid w:val="004A02D7"/>
    <w:rsid w:val="004A0344"/>
    <w:rsid w:val="004A0394"/>
    <w:rsid w:val="004A03E6"/>
    <w:rsid w:val="004A03FA"/>
    <w:rsid w:val="004A05F3"/>
    <w:rsid w:val="004A0685"/>
    <w:rsid w:val="004A06E6"/>
    <w:rsid w:val="004A07A1"/>
    <w:rsid w:val="004A07BC"/>
    <w:rsid w:val="004A0A8C"/>
    <w:rsid w:val="004A0B9A"/>
    <w:rsid w:val="004A0BFC"/>
    <w:rsid w:val="004A0C2D"/>
    <w:rsid w:val="004A0D90"/>
    <w:rsid w:val="004A0E94"/>
    <w:rsid w:val="004A0F1E"/>
    <w:rsid w:val="004A0F33"/>
    <w:rsid w:val="004A10F7"/>
    <w:rsid w:val="004A1133"/>
    <w:rsid w:val="004A124E"/>
    <w:rsid w:val="004A127E"/>
    <w:rsid w:val="004A1469"/>
    <w:rsid w:val="004A154D"/>
    <w:rsid w:val="004A158C"/>
    <w:rsid w:val="004A18D7"/>
    <w:rsid w:val="004A1A4A"/>
    <w:rsid w:val="004A1A6C"/>
    <w:rsid w:val="004A1AB7"/>
    <w:rsid w:val="004A1B1C"/>
    <w:rsid w:val="004A1C8F"/>
    <w:rsid w:val="004A1D7C"/>
    <w:rsid w:val="004A1D90"/>
    <w:rsid w:val="004A1E98"/>
    <w:rsid w:val="004A2034"/>
    <w:rsid w:val="004A2079"/>
    <w:rsid w:val="004A2083"/>
    <w:rsid w:val="004A223C"/>
    <w:rsid w:val="004A255F"/>
    <w:rsid w:val="004A259A"/>
    <w:rsid w:val="004A26F5"/>
    <w:rsid w:val="004A276E"/>
    <w:rsid w:val="004A292A"/>
    <w:rsid w:val="004A2984"/>
    <w:rsid w:val="004A2A3A"/>
    <w:rsid w:val="004A2CFB"/>
    <w:rsid w:val="004A2D69"/>
    <w:rsid w:val="004A2E4F"/>
    <w:rsid w:val="004A2F4F"/>
    <w:rsid w:val="004A31CD"/>
    <w:rsid w:val="004A3380"/>
    <w:rsid w:val="004A3400"/>
    <w:rsid w:val="004A34DC"/>
    <w:rsid w:val="004A35E5"/>
    <w:rsid w:val="004A3711"/>
    <w:rsid w:val="004A3728"/>
    <w:rsid w:val="004A3933"/>
    <w:rsid w:val="004A3987"/>
    <w:rsid w:val="004A39A0"/>
    <w:rsid w:val="004A3A0D"/>
    <w:rsid w:val="004A3BD8"/>
    <w:rsid w:val="004A3C4B"/>
    <w:rsid w:val="004A3FD5"/>
    <w:rsid w:val="004A40B8"/>
    <w:rsid w:val="004A41CE"/>
    <w:rsid w:val="004A4375"/>
    <w:rsid w:val="004A442A"/>
    <w:rsid w:val="004A44CA"/>
    <w:rsid w:val="004A45A5"/>
    <w:rsid w:val="004A46E0"/>
    <w:rsid w:val="004A4954"/>
    <w:rsid w:val="004A4A4E"/>
    <w:rsid w:val="004A4A5C"/>
    <w:rsid w:val="004A4AA2"/>
    <w:rsid w:val="004A4F06"/>
    <w:rsid w:val="004A4F78"/>
    <w:rsid w:val="004A525F"/>
    <w:rsid w:val="004A534E"/>
    <w:rsid w:val="004A53DA"/>
    <w:rsid w:val="004A53F7"/>
    <w:rsid w:val="004A54DE"/>
    <w:rsid w:val="004A59B2"/>
    <w:rsid w:val="004A5B46"/>
    <w:rsid w:val="004A5D3B"/>
    <w:rsid w:val="004A5F95"/>
    <w:rsid w:val="004A608B"/>
    <w:rsid w:val="004A6253"/>
    <w:rsid w:val="004A63A9"/>
    <w:rsid w:val="004A6462"/>
    <w:rsid w:val="004A64EE"/>
    <w:rsid w:val="004A657B"/>
    <w:rsid w:val="004A6638"/>
    <w:rsid w:val="004A6738"/>
    <w:rsid w:val="004A67C7"/>
    <w:rsid w:val="004A6863"/>
    <w:rsid w:val="004A6B89"/>
    <w:rsid w:val="004A6CA3"/>
    <w:rsid w:val="004A6E3A"/>
    <w:rsid w:val="004A6EDF"/>
    <w:rsid w:val="004A6EF3"/>
    <w:rsid w:val="004A7293"/>
    <w:rsid w:val="004A753D"/>
    <w:rsid w:val="004A77FD"/>
    <w:rsid w:val="004A7A3A"/>
    <w:rsid w:val="004A7AF1"/>
    <w:rsid w:val="004A7BA1"/>
    <w:rsid w:val="004A7CE9"/>
    <w:rsid w:val="004A7E48"/>
    <w:rsid w:val="004A7FA3"/>
    <w:rsid w:val="004A7FB5"/>
    <w:rsid w:val="004B0034"/>
    <w:rsid w:val="004B00B2"/>
    <w:rsid w:val="004B011A"/>
    <w:rsid w:val="004B021E"/>
    <w:rsid w:val="004B0553"/>
    <w:rsid w:val="004B056E"/>
    <w:rsid w:val="004B06B9"/>
    <w:rsid w:val="004B0730"/>
    <w:rsid w:val="004B07A6"/>
    <w:rsid w:val="004B0811"/>
    <w:rsid w:val="004B0A45"/>
    <w:rsid w:val="004B0DFA"/>
    <w:rsid w:val="004B0E0B"/>
    <w:rsid w:val="004B11E2"/>
    <w:rsid w:val="004B1292"/>
    <w:rsid w:val="004B12A2"/>
    <w:rsid w:val="004B13BA"/>
    <w:rsid w:val="004B14A2"/>
    <w:rsid w:val="004B1768"/>
    <w:rsid w:val="004B183C"/>
    <w:rsid w:val="004B1BD1"/>
    <w:rsid w:val="004B1C42"/>
    <w:rsid w:val="004B1CE4"/>
    <w:rsid w:val="004B24C7"/>
    <w:rsid w:val="004B2573"/>
    <w:rsid w:val="004B2BDE"/>
    <w:rsid w:val="004B2D4C"/>
    <w:rsid w:val="004B2F73"/>
    <w:rsid w:val="004B305A"/>
    <w:rsid w:val="004B32A3"/>
    <w:rsid w:val="004B3454"/>
    <w:rsid w:val="004B36A5"/>
    <w:rsid w:val="004B375F"/>
    <w:rsid w:val="004B3BB9"/>
    <w:rsid w:val="004B3C72"/>
    <w:rsid w:val="004B3D71"/>
    <w:rsid w:val="004B3DCA"/>
    <w:rsid w:val="004B40C9"/>
    <w:rsid w:val="004B41BD"/>
    <w:rsid w:val="004B42E2"/>
    <w:rsid w:val="004B4520"/>
    <w:rsid w:val="004B4528"/>
    <w:rsid w:val="004B45F4"/>
    <w:rsid w:val="004B4825"/>
    <w:rsid w:val="004B48B7"/>
    <w:rsid w:val="004B48C2"/>
    <w:rsid w:val="004B48F9"/>
    <w:rsid w:val="004B4E24"/>
    <w:rsid w:val="004B4E2B"/>
    <w:rsid w:val="004B4F87"/>
    <w:rsid w:val="004B4FC1"/>
    <w:rsid w:val="004B5028"/>
    <w:rsid w:val="004B50A6"/>
    <w:rsid w:val="004B5256"/>
    <w:rsid w:val="004B5944"/>
    <w:rsid w:val="004B599A"/>
    <w:rsid w:val="004B5B15"/>
    <w:rsid w:val="004B5BB2"/>
    <w:rsid w:val="004B5CC9"/>
    <w:rsid w:val="004B5CD6"/>
    <w:rsid w:val="004B5DF6"/>
    <w:rsid w:val="004B5ECD"/>
    <w:rsid w:val="004B5F0B"/>
    <w:rsid w:val="004B6096"/>
    <w:rsid w:val="004B627A"/>
    <w:rsid w:val="004B62A3"/>
    <w:rsid w:val="004B64F7"/>
    <w:rsid w:val="004B6633"/>
    <w:rsid w:val="004B663F"/>
    <w:rsid w:val="004B6680"/>
    <w:rsid w:val="004B6683"/>
    <w:rsid w:val="004B681C"/>
    <w:rsid w:val="004B686C"/>
    <w:rsid w:val="004B69E6"/>
    <w:rsid w:val="004B6C42"/>
    <w:rsid w:val="004B6CAB"/>
    <w:rsid w:val="004B72B4"/>
    <w:rsid w:val="004B7430"/>
    <w:rsid w:val="004B75D0"/>
    <w:rsid w:val="004B75DF"/>
    <w:rsid w:val="004B7684"/>
    <w:rsid w:val="004B76D0"/>
    <w:rsid w:val="004B7919"/>
    <w:rsid w:val="004B7970"/>
    <w:rsid w:val="004B7A3A"/>
    <w:rsid w:val="004B7A58"/>
    <w:rsid w:val="004B7A7E"/>
    <w:rsid w:val="004B7AED"/>
    <w:rsid w:val="004B7F2A"/>
    <w:rsid w:val="004C0122"/>
    <w:rsid w:val="004C015B"/>
    <w:rsid w:val="004C01FB"/>
    <w:rsid w:val="004C0215"/>
    <w:rsid w:val="004C0472"/>
    <w:rsid w:val="004C04CE"/>
    <w:rsid w:val="004C04FB"/>
    <w:rsid w:val="004C05E8"/>
    <w:rsid w:val="004C0667"/>
    <w:rsid w:val="004C0689"/>
    <w:rsid w:val="004C07B9"/>
    <w:rsid w:val="004C0845"/>
    <w:rsid w:val="004C0901"/>
    <w:rsid w:val="004C094A"/>
    <w:rsid w:val="004C09AB"/>
    <w:rsid w:val="004C0A68"/>
    <w:rsid w:val="004C0AE8"/>
    <w:rsid w:val="004C0BB2"/>
    <w:rsid w:val="004C0DAE"/>
    <w:rsid w:val="004C0E17"/>
    <w:rsid w:val="004C1226"/>
    <w:rsid w:val="004C12EA"/>
    <w:rsid w:val="004C13A1"/>
    <w:rsid w:val="004C1516"/>
    <w:rsid w:val="004C151E"/>
    <w:rsid w:val="004C1546"/>
    <w:rsid w:val="004C1547"/>
    <w:rsid w:val="004C1697"/>
    <w:rsid w:val="004C17A3"/>
    <w:rsid w:val="004C1829"/>
    <w:rsid w:val="004C1904"/>
    <w:rsid w:val="004C1B6E"/>
    <w:rsid w:val="004C1C7F"/>
    <w:rsid w:val="004C201E"/>
    <w:rsid w:val="004C23EF"/>
    <w:rsid w:val="004C278F"/>
    <w:rsid w:val="004C2843"/>
    <w:rsid w:val="004C28EE"/>
    <w:rsid w:val="004C2C30"/>
    <w:rsid w:val="004C2C42"/>
    <w:rsid w:val="004C2C7B"/>
    <w:rsid w:val="004C2C97"/>
    <w:rsid w:val="004C2E46"/>
    <w:rsid w:val="004C2EFC"/>
    <w:rsid w:val="004C2F17"/>
    <w:rsid w:val="004C2FFC"/>
    <w:rsid w:val="004C315D"/>
    <w:rsid w:val="004C3337"/>
    <w:rsid w:val="004C36AC"/>
    <w:rsid w:val="004C36CB"/>
    <w:rsid w:val="004C3860"/>
    <w:rsid w:val="004C38BF"/>
    <w:rsid w:val="004C39B6"/>
    <w:rsid w:val="004C41A3"/>
    <w:rsid w:val="004C41C4"/>
    <w:rsid w:val="004C4382"/>
    <w:rsid w:val="004C469E"/>
    <w:rsid w:val="004C46AC"/>
    <w:rsid w:val="004C4709"/>
    <w:rsid w:val="004C478F"/>
    <w:rsid w:val="004C4959"/>
    <w:rsid w:val="004C4B16"/>
    <w:rsid w:val="004C4BE7"/>
    <w:rsid w:val="004C4DD3"/>
    <w:rsid w:val="004C4E03"/>
    <w:rsid w:val="004C524E"/>
    <w:rsid w:val="004C529E"/>
    <w:rsid w:val="004C5868"/>
    <w:rsid w:val="004C593E"/>
    <w:rsid w:val="004C5956"/>
    <w:rsid w:val="004C5AE7"/>
    <w:rsid w:val="004C5D67"/>
    <w:rsid w:val="004C5F24"/>
    <w:rsid w:val="004C5FA7"/>
    <w:rsid w:val="004C610F"/>
    <w:rsid w:val="004C6243"/>
    <w:rsid w:val="004C62E9"/>
    <w:rsid w:val="004C62FB"/>
    <w:rsid w:val="004C6508"/>
    <w:rsid w:val="004C6510"/>
    <w:rsid w:val="004C657B"/>
    <w:rsid w:val="004C6662"/>
    <w:rsid w:val="004C6713"/>
    <w:rsid w:val="004C695A"/>
    <w:rsid w:val="004C6A04"/>
    <w:rsid w:val="004C6B7B"/>
    <w:rsid w:val="004C6C94"/>
    <w:rsid w:val="004C6CB4"/>
    <w:rsid w:val="004C6DC2"/>
    <w:rsid w:val="004C71C6"/>
    <w:rsid w:val="004C7495"/>
    <w:rsid w:val="004C7527"/>
    <w:rsid w:val="004C7535"/>
    <w:rsid w:val="004C75C6"/>
    <w:rsid w:val="004C7603"/>
    <w:rsid w:val="004C7ACD"/>
    <w:rsid w:val="004C7DC5"/>
    <w:rsid w:val="004C7DD3"/>
    <w:rsid w:val="004C7E37"/>
    <w:rsid w:val="004D0008"/>
    <w:rsid w:val="004D023F"/>
    <w:rsid w:val="004D0255"/>
    <w:rsid w:val="004D02B8"/>
    <w:rsid w:val="004D030B"/>
    <w:rsid w:val="004D04D2"/>
    <w:rsid w:val="004D052C"/>
    <w:rsid w:val="004D0543"/>
    <w:rsid w:val="004D05B9"/>
    <w:rsid w:val="004D0888"/>
    <w:rsid w:val="004D09F4"/>
    <w:rsid w:val="004D0A00"/>
    <w:rsid w:val="004D0AE3"/>
    <w:rsid w:val="004D0AEF"/>
    <w:rsid w:val="004D0C44"/>
    <w:rsid w:val="004D0D19"/>
    <w:rsid w:val="004D0E43"/>
    <w:rsid w:val="004D0F4B"/>
    <w:rsid w:val="004D12FB"/>
    <w:rsid w:val="004D130C"/>
    <w:rsid w:val="004D157A"/>
    <w:rsid w:val="004D16E5"/>
    <w:rsid w:val="004D1759"/>
    <w:rsid w:val="004D1770"/>
    <w:rsid w:val="004D182B"/>
    <w:rsid w:val="004D1851"/>
    <w:rsid w:val="004D18E2"/>
    <w:rsid w:val="004D1A14"/>
    <w:rsid w:val="004D1B86"/>
    <w:rsid w:val="004D1D87"/>
    <w:rsid w:val="004D1F03"/>
    <w:rsid w:val="004D204F"/>
    <w:rsid w:val="004D2189"/>
    <w:rsid w:val="004D221F"/>
    <w:rsid w:val="004D2625"/>
    <w:rsid w:val="004D29E6"/>
    <w:rsid w:val="004D2A2C"/>
    <w:rsid w:val="004D2ABB"/>
    <w:rsid w:val="004D2ADE"/>
    <w:rsid w:val="004D2CA1"/>
    <w:rsid w:val="004D2CA3"/>
    <w:rsid w:val="004D2EDD"/>
    <w:rsid w:val="004D2F2D"/>
    <w:rsid w:val="004D2F93"/>
    <w:rsid w:val="004D3039"/>
    <w:rsid w:val="004D33B2"/>
    <w:rsid w:val="004D3436"/>
    <w:rsid w:val="004D34D9"/>
    <w:rsid w:val="004D3595"/>
    <w:rsid w:val="004D35E1"/>
    <w:rsid w:val="004D3619"/>
    <w:rsid w:val="004D3627"/>
    <w:rsid w:val="004D3716"/>
    <w:rsid w:val="004D38EC"/>
    <w:rsid w:val="004D391C"/>
    <w:rsid w:val="004D3923"/>
    <w:rsid w:val="004D3AEC"/>
    <w:rsid w:val="004D3C00"/>
    <w:rsid w:val="004D3C23"/>
    <w:rsid w:val="004D3C98"/>
    <w:rsid w:val="004D3F44"/>
    <w:rsid w:val="004D4173"/>
    <w:rsid w:val="004D42E7"/>
    <w:rsid w:val="004D43B1"/>
    <w:rsid w:val="004D43F1"/>
    <w:rsid w:val="004D46A8"/>
    <w:rsid w:val="004D46CA"/>
    <w:rsid w:val="004D46E8"/>
    <w:rsid w:val="004D4700"/>
    <w:rsid w:val="004D48D3"/>
    <w:rsid w:val="004D48ED"/>
    <w:rsid w:val="004D48EF"/>
    <w:rsid w:val="004D4989"/>
    <w:rsid w:val="004D4C4C"/>
    <w:rsid w:val="004D4DB0"/>
    <w:rsid w:val="004D4E1A"/>
    <w:rsid w:val="004D4E27"/>
    <w:rsid w:val="004D4E3E"/>
    <w:rsid w:val="004D4E55"/>
    <w:rsid w:val="004D4E7E"/>
    <w:rsid w:val="004D509D"/>
    <w:rsid w:val="004D5185"/>
    <w:rsid w:val="004D52D9"/>
    <w:rsid w:val="004D552D"/>
    <w:rsid w:val="004D57A1"/>
    <w:rsid w:val="004D599D"/>
    <w:rsid w:val="004D59DF"/>
    <w:rsid w:val="004D59EF"/>
    <w:rsid w:val="004D5A78"/>
    <w:rsid w:val="004D5A88"/>
    <w:rsid w:val="004D5B03"/>
    <w:rsid w:val="004D5B15"/>
    <w:rsid w:val="004D5C81"/>
    <w:rsid w:val="004D5D18"/>
    <w:rsid w:val="004D5D85"/>
    <w:rsid w:val="004D5E03"/>
    <w:rsid w:val="004D5E05"/>
    <w:rsid w:val="004D6305"/>
    <w:rsid w:val="004D6345"/>
    <w:rsid w:val="004D6425"/>
    <w:rsid w:val="004D6764"/>
    <w:rsid w:val="004D6881"/>
    <w:rsid w:val="004D6984"/>
    <w:rsid w:val="004D69DB"/>
    <w:rsid w:val="004D69F7"/>
    <w:rsid w:val="004D6A10"/>
    <w:rsid w:val="004D6ABE"/>
    <w:rsid w:val="004D6D12"/>
    <w:rsid w:val="004D6E77"/>
    <w:rsid w:val="004D6E96"/>
    <w:rsid w:val="004D72C6"/>
    <w:rsid w:val="004D7602"/>
    <w:rsid w:val="004D778A"/>
    <w:rsid w:val="004D7884"/>
    <w:rsid w:val="004D78CC"/>
    <w:rsid w:val="004D7A73"/>
    <w:rsid w:val="004D7CFC"/>
    <w:rsid w:val="004D7DA1"/>
    <w:rsid w:val="004D7F47"/>
    <w:rsid w:val="004D7FB6"/>
    <w:rsid w:val="004E018A"/>
    <w:rsid w:val="004E0227"/>
    <w:rsid w:val="004E03AF"/>
    <w:rsid w:val="004E04DB"/>
    <w:rsid w:val="004E053F"/>
    <w:rsid w:val="004E0649"/>
    <w:rsid w:val="004E0659"/>
    <w:rsid w:val="004E065D"/>
    <w:rsid w:val="004E06CF"/>
    <w:rsid w:val="004E0827"/>
    <w:rsid w:val="004E08E1"/>
    <w:rsid w:val="004E0A7B"/>
    <w:rsid w:val="004E0B1C"/>
    <w:rsid w:val="004E0BEB"/>
    <w:rsid w:val="004E0D79"/>
    <w:rsid w:val="004E0EC9"/>
    <w:rsid w:val="004E0F12"/>
    <w:rsid w:val="004E104A"/>
    <w:rsid w:val="004E1532"/>
    <w:rsid w:val="004E1761"/>
    <w:rsid w:val="004E1850"/>
    <w:rsid w:val="004E18E6"/>
    <w:rsid w:val="004E1D6D"/>
    <w:rsid w:val="004E1E5B"/>
    <w:rsid w:val="004E1FD7"/>
    <w:rsid w:val="004E2087"/>
    <w:rsid w:val="004E23CF"/>
    <w:rsid w:val="004E2653"/>
    <w:rsid w:val="004E28B5"/>
    <w:rsid w:val="004E2A74"/>
    <w:rsid w:val="004E2E28"/>
    <w:rsid w:val="004E2EDA"/>
    <w:rsid w:val="004E319F"/>
    <w:rsid w:val="004E31D0"/>
    <w:rsid w:val="004E31D5"/>
    <w:rsid w:val="004E37A7"/>
    <w:rsid w:val="004E3818"/>
    <w:rsid w:val="004E39A2"/>
    <w:rsid w:val="004E3AB2"/>
    <w:rsid w:val="004E3B8A"/>
    <w:rsid w:val="004E3C1C"/>
    <w:rsid w:val="004E3CA0"/>
    <w:rsid w:val="004E3CAD"/>
    <w:rsid w:val="004E3DCA"/>
    <w:rsid w:val="004E3DD1"/>
    <w:rsid w:val="004E3E1E"/>
    <w:rsid w:val="004E40B7"/>
    <w:rsid w:val="004E40BC"/>
    <w:rsid w:val="004E4174"/>
    <w:rsid w:val="004E4269"/>
    <w:rsid w:val="004E440D"/>
    <w:rsid w:val="004E4427"/>
    <w:rsid w:val="004E4533"/>
    <w:rsid w:val="004E45D7"/>
    <w:rsid w:val="004E487D"/>
    <w:rsid w:val="004E48C2"/>
    <w:rsid w:val="004E4C64"/>
    <w:rsid w:val="004E4CE1"/>
    <w:rsid w:val="004E4CFC"/>
    <w:rsid w:val="004E4F29"/>
    <w:rsid w:val="004E4F42"/>
    <w:rsid w:val="004E503C"/>
    <w:rsid w:val="004E50CD"/>
    <w:rsid w:val="004E513A"/>
    <w:rsid w:val="004E52B0"/>
    <w:rsid w:val="004E5379"/>
    <w:rsid w:val="004E58DE"/>
    <w:rsid w:val="004E5DFF"/>
    <w:rsid w:val="004E5E2F"/>
    <w:rsid w:val="004E5FF3"/>
    <w:rsid w:val="004E6012"/>
    <w:rsid w:val="004E6030"/>
    <w:rsid w:val="004E6052"/>
    <w:rsid w:val="004E6128"/>
    <w:rsid w:val="004E617C"/>
    <w:rsid w:val="004E6208"/>
    <w:rsid w:val="004E6296"/>
    <w:rsid w:val="004E6337"/>
    <w:rsid w:val="004E633F"/>
    <w:rsid w:val="004E6396"/>
    <w:rsid w:val="004E6814"/>
    <w:rsid w:val="004E6C20"/>
    <w:rsid w:val="004E6C34"/>
    <w:rsid w:val="004E6CD2"/>
    <w:rsid w:val="004E6DC6"/>
    <w:rsid w:val="004E6DD8"/>
    <w:rsid w:val="004E6E23"/>
    <w:rsid w:val="004E6EB0"/>
    <w:rsid w:val="004E6F06"/>
    <w:rsid w:val="004E705F"/>
    <w:rsid w:val="004E70CE"/>
    <w:rsid w:val="004E7118"/>
    <w:rsid w:val="004E7159"/>
    <w:rsid w:val="004E7233"/>
    <w:rsid w:val="004E7564"/>
    <w:rsid w:val="004E77BD"/>
    <w:rsid w:val="004E7A17"/>
    <w:rsid w:val="004E7A81"/>
    <w:rsid w:val="004E7B33"/>
    <w:rsid w:val="004E7BFC"/>
    <w:rsid w:val="004E7FD0"/>
    <w:rsid w:val="004F0032"/>
    <w:rsid w:val="004F0174"/>
    <w:rsid w:val="004F0202"/>
    <w:rsid w:val="004F0342"/>
    <w:rsid w:val="004F0959"/>
    <w:rsid w:val="004F0991"/>
    <w:rsid w:val="004F0AF6"/>
    <w:rsid w:val="004F0B70"/>
    <w:rsid w:val="004F0F2C"/>
    <w:rsid w:val="004F100F"/>
    <w:rsid w:val="004F11C3"/>
    <w:rsid w:val="004F1443"/>
    <w:rsid w:val="004F1472"/>
    <w:rsid w:val="004F16DF"/>
    <w:rsid w:val="004F1722"/>
    <w:rsid w:val="004F1775"/>
    <w:rsid w:val="004F1783"/>
    <w:rsid w:val="004F18EC"/>
    <w:rsid w:val="004F1A31"/>
    <w:rsid w:val="004F1B09"/>
    <w:rsid w:val="004F1BA3"/>
    <w:rsid w:val="004F1C1C"/>
    <w:rsid w:val="004F1D59"/>
    <w:rsid w:val="004F1FF7"/>
    <w:rsid w:val="004F21C2"/>
    <w:rsid w:val="004F21DF"/>
    <w:rsid w:val="004F2362"/>
    <w:rsid w:val="004F28D3"/>
    <w:rsid w:val="004F295E"/>
    <w:rsid w:val="004F29FD"/>
    <w:rsid w:val="004F2B2E"/>
    <w:rsid w:val="004F2CDF"/>
    <w:rsid w:val="004F2D04"/>
    <w:rsid w:val="004F2D33"/>
    <w:rsid w:val="004F2D9B"/>
    <w:rsid w:val="004F2F84"/>
    <w:rsid w:val="004F2FD3"/>
    <w:rsid w:val="004F30BA"/>
    <w:rsid w:val="004F3149"/>
    <w:rsid w:val="004F3243"/>
    <w:rsid w:val="004F331B"/>
    <w:rsid w:val="004F35DC"/>
    <w:rsid w:val="004F364F"/>
    <w:rsid w:val="004F390B"/>
    <w:rsid w:val="004F3A72"/>
    <w:rsid w:val="004F3BFB"/>
    <w:rsid w:val="004F3D50"/>
    <w:rsid w:val="004F4019"/>
    <w:rsid w:val="004F4139"/>
    <w:rsid w:val="004F420C"/>
    <w:rsid w:val="004F423A"/>
    <w:rsid w:val="004F4314"/>
    <w:rsid w:val="004F44D0"/>
    <w:rsid w:val="004F45AA"/>
    <w:rsid w:val="004F4676"/>
    <w:rsid w:val="004F46C9"/>
    <w:rsid w:val="004F478A"/>
    <w:rsid w:val="004F48A8"/>
    <w:rsid w:val="004F497A"/>
    <w:rsid w:val="004F4FDF"/>
    <w:rsid w:val="004F5016"/>
    <w:rsid w:val="004F5370"/>
    <w:rsid w:val="004F5411"/>
    <w:rsid w:val="004F558C"/>
    <w:rsid w:val="004F59A9"/>
    <w:rsid w:val="004F5A4A"/>
    <w:rsid w:val="004F5A8D"/>
    <w:rsid w:val="004F5B25"/>
    <w:rsid w:val="004F5B38"/>
    <w:rsid w:val="004F5B51"/>
    <w:rsid w:val="004F5C7D"/>
    <w:rsid w:val="004F5FA4"/>
    <w:rsid w:val="004F5FB4"/>
    <w:rsid w:val="004F5FC3"/>
    <w:rsid w:val="004F606D"/>
    <w:rsid w:val="004F6078"/>
    <w:rsid w:val="004F6147"/>
    <w:rsid w:val="004F626A"/>
    <w:rsid w:val="004F639C"/>
    <w:rsid w:val="004F63AE"/>
    <w:rsid w:val="004F64DE"/>
    <w:rsid w:val="004F6710"/>
    <w:rsid w:val="004F672A"/>
    <w:rsid w:val="004F6825"/>
    <w:rsid w:val="004F6862"/>
    <w:rsid w:val="004F68F6"/>
    <w:rsid w:val="004F6978"/>
    <w:rsid w:val="004F6AE5"/>
    <w:rsid w:val="004F6C91"/>
    <w:rsid w:val="004F6EA9"/>
    <w:rsid w:val="004F6EE0"/>
    <w:rsid w:val="004F73C0"/>
    <w:rsid w:val="004F7662"/>
    <w:rsid w:val="004F76BF"/>
    <w:rsid w:val="004F7A32"/>
    <w:rsid w:val="004F7B72"/>
    <w:rsid w:val="004F7C9A"/>
    <w:rsid w:val="004F7CB1"/>
    <w:rsid w:val="004F7DA8"/>
    <w:rsid w:val="004F7F22"/>
    <w:rsid w:val="00500088"/>
    <w:rsid w:val="0050016A"/>
    <w:rsid w:val="00500256"/>
    <w:rsid w:val="00500523"/>
    <w:rsid w:val="005006BD"/>
    <w:rsid w:val="00500888"/>
    <w:rsid w:val="00500B16"/>
    <w:rsid w:val="00500EB7"/>
    <w:rsid w:val="00501043"/>
    <w:rsid w:val="0050107C"/>
    <w:rsid w:val="005010F8"/>
    <w:rsid w:val="00501240"/>
    <w:rsid w:val="005012D2"/>
    <w:rsid w:val="00501664"/>
    <w:rsid w:val="00501732"/>
    <w:rsid w:val="0050177D"/>
    <w:rsid w:val="0050190A"/>
    <w:rsid w:val="00501940"/>
    <w:rsid w:val="00501AC6"/>
    <w:rsid w:val="00501B17"/>
    <w:rsid w:val="00501C9D"/>
    <w:rsid w:val="00501DDC"/>
    <w:rsid w:val="00501E4E"/>
    <w:rsid w:val="00501EC6"/>
    <w:rsid w:val="00502061"/>
    <w:rsid w:val="00502226"/>
    <w:rsid w:val="00502520"/>
    <w:rsid w:val="005026DE"/>
    <w:rsid w:val="00502BB1"/>
    <w:rsid w:val="00502C59"/>
    <w:rsid w:val="00502DB0"/>
    <w:rsid w:val="00502EE4"/>
    <w:rsid w:val="00502F0F"/>
    <w:rsid w:val="00502F1C"/>
    <w:rsid w:val="00503001"/>
    <w:rsid w:val="00503013"/>
    <w:rsid w:val="00503031"/>
    <w:rsid w:val="005031E3"/>
    <w:rsid w:val="0050335C"/>
    <w:rsid w:val="00503626"/>
    <w:rsid w:val="005036AE"/>
    <w:rsid w:val="0050390B"/>
    <w:rsid w:val="0050391D"/>
    <w:rsid w:val="00503997"/>
    <w:rsid w:val="00503C0E"/>
    <w:rsid w:val="00503C1B"/>
    <w:rsid w:val="00503FFE"/>
    <w:rsid w:val="005040AE"/>
    <w:rsid w:val="00504162"/>
    <w:rsid w:val="00504163"/>
    <w:rsid w:val="005042C0"/>
    <w:rsid w:val="00504340"/>
    <w:rsid w:val="00504353"/>
    <w:rsid w:val="00504846"/>
    <w:rsid w:val="00504875"/>
    <w:rsid w:val="00504914"/>
    <w:rsid w:val="00504A53"/>
    <w:rsid w:val="00504AC1"/>
    <w:rsid w:val="00504C05"/>
    <w:rsid w:val="00504C7E"/>
    <w:rsid w:val="00504E74"/>
    <w:rsid w:val="00504F7D"/>
    <w:rsid w:val="00504FD3"/>
    <w:rsid w:val="00504FF0"/>
    <w:rsid w:val="00505008"/>
    <w:rsid w:val="005051B8"/>
    <w:rsid w:val="005053C5"/>
    <w:rsid w:val="00505428"/>
    <w:rsid w:val="00505433"/>
    <w:rsid w:val="0050560E"/>
    <w:rsid w:val="0050566C"/>
    <w:rsid w:val="00505704"/>
    <w:rsid w:val="0050575C"/>
    <w:rsid w:val="005057AC"/>
    <w:rsid w:val="005059BF"/>
    <w:rsid w:val="005059DB"/>
    <w:rsid w:val="005059F7"/>
    <w:rsid w:val="00505DCC"/>
    <w:rsid w:val="00505E04"/>
    <w:rsid w:val="00505F4D"/>
    <w:rsid w:val="00505FD8"/>
    <w:rsid w:val="00506112"/>
    <w:rsid w:val="005061B1"/>
    <w:rsid w:val="005061D8"/>
    <w:rsid w:val="00506259"/>
    <w:rsid w:val="005063C4"/>
    <w:rsid w:val="005065CB"/>
    <w:rsid w:val="0050660B"/>
    <w:rsid w:val="00506647"/>
    <w:rsid w:val="0050685B"/>
    <w:rsid w:val="005068C1"/>
    <w:rsid w:val="00506DD4"/>
    <w:rsid w:val="00507043"/>
    <w:rsid w:val="00507116"/>
    <w:rsid w:val="005071F7"/>
    <w:rsid w:val="00507287"/>
    <w:rsid w:val="0050746D"/>
    <w:rsid w:val="0050747A"/>
    <w:rsid w:val="005074B4"/>
    <w:rsid w:val="00507604"/>
    <w:rsid w:val="00507863"/>
    <w:rsid w:val="005079A9"/>
    <w:rsid w:val="00507B11"/>
    <w:rsid w:val="00507C1A"/>
    <w:rsid w:val="00507CDB"/>
    <w:rsid w:val="00507DED"/>
    <w:rsid w:val="00507FDF"/>
    <w:rsid w:val="0051013A"/>
    <w:rsid w:val="005103E4"/>
    <w:rsid w:val="00510446"/>
    <w:rsid w:val="005105C0"/>
    <w:rsid w:val="0051081E"/>
    <w:rsid w:val="005108A5"/>
    <w:rsid w:val="00510BCE"/>
    <w:rsid w:val="00510D36"/>
    <w:rsid w:val="00510D89"/>
    <w:rsid w:val="00510E45"/>
    <w:rsid w:val="00511249"/>
    <w:rsid w:val="0051143C"/>
    <w:rsid w:val="0051156E"/>
    <w:rsid w:val="005115F0"/>
    <w:rsid w:val="00511695"/>
    <w:rsid w:val="005116DF"/>
    <w:rsid w:val="00511907"/>
    <w:rsid w:val="00511C8E"/>
    <w:rsid w:val="00511EEE"/>
    <w:rsid w:val="00511FED"/>
    <w:rsid w:val="0051208D"/>
    <w:rsid w:val="005123BD"/>
    <w:rsid w:val="00512442"/>
    <w:rsid w:val="00512599"/>
    <w:rsid w:val="005126AD"/>
    <w:rsid w:val="0051272A"/>
    <w:rsid w:val="00512933"/>
    <w:rsid w:val="00512A00"/>
    <w:rsid w:val="00512D71"/>
    <w:rsid w:val="00512E3B"/>
    <w:rsid w:val="00512F45"/>
    <w:rsid w:val="00512F94"/>
    <w:rsid w:val="00512FCD"/>
    <w:rsid w:val="005132B9"/>
    <w:rsid w:val="005132ED"/>
    <w:rsid w:val="00513403"/>
    <w:rsid w:val="0051343B"/>
    <w:rsid w:val="00513574"/>
    <w:rsid w:val="0051358D"/>
    <w:rsid w:val="00513681"/>
    <w:rsid w:val="005136A8"/>
    <w:rsid w:val="005139B2"/>
    <w:rsid w:val="00513A4E"/>
    <w:rsid w:val="00513AE2"/>
    <w:rsid w:val="00513B65"/>
    <w:rsid w:val="00513B9B"/>
    <w:rsid w:val="00513BB2"/>
    <w:rsid w:val="00513DF9"/>
    <w:rsid w:val="00513EB9"/>
    <w:rsid w:val="005140AB"/>
    <w:rsid w:val="0051440A"/>
    <w:rsid w:val="00514414"/>
    <w:rsid w:val="005144EB"/>
    <w:rsid w:val="00514629"/>
    <w:rsid w:val="0051476D"/>
    <w:rsid w:val="0051496C"/>
    <w:rsid w:val="00514E30"/>
    <w:rsid w:val="00515000"/>
    <w:rsid w:val="00515183"/>
    <w:rsid w:val="005151BD"/>
    <w:rsid w:val="0051549B"/>
    <w:rsid w:val="005154DC"/>
    <w:rsid w:val="005154FE"/>
    <w:rsid w:val="00515523"/>
    <w:rsid w:val="00515656"/>
    <w:rsid w:val="005157CF"/>
    <w:rsid w:val="00515957"/>
    <w:rsid w:val="00515ABD"/>
    <w:rsid w:val="00515C8A"/>
    <w:rsid w:val="00515EEC"/>
    <w:rsid w:val="00515F38"/>
    <w:rsid w:val="005162BD"/>
    <w:rsid w:val="00516557"/>
    <w:rsid w:val="005168DE"/>
    <w:rsid w:val="00516CD7"/>
    <w:rsid w:val="00516DC8"/>
    <w:rsid w:val="00516ED9"/>
    <w:rsid w:val="005170CD"/>
    <w:rsid w:val="005170D9"/>
    <w:rsid w:val="00517240"/>
    <w:rsid w:val="00517354"/>
    <w:rsid w:val="00517395"/>
    <w:rsid w:val="0051739A"/>
    <w:rsid w:val="005173A0"/>
    <w:rsid w:val="005174D4"/>
    <w:rsid w:val="00517562"/>
    <w:rsid w:val="005176A7"/>
    <w:rsid w:val="00517750"/>
    <w:rsid w:val="005179DE"/>
    <w:rsid w:val="00517AEA"/>
    <w:rsid w:val="00517CEB"/>
    <w:rsid w:val="00517D28"/>
    <w:rsid w:val="00517D3B"/>
    <w:rsid w:val="00517E7E"/>
    <w:rsid w:val="00517F5B"/>
    <w:rsid w:val="00517F79"/>
    <w:rsid w:val="005201AE"/>
    <w:rsid w:val="0052026F"/>
    <w:rsid w:val="00520477"/>
    <w:rsid w:val="00520971"/>
    <w:rsid w:val="005209C8"/>
    <w:rsid w:val="00520A4B"/>
    <w:rsid w:val="00520BDA"/>
    <w:rsid w:val="00520C8B"/>
    <w:rsid w:val="00520ECA"/>
    <w:rsid w:val="00520FDF"/>
    <w:rsid w:val="005210E3"/>
    <w:rsid w:val="00521388"/>
    <w:rsid w:val="005214C1"/>
    <w:rsid w:val="005214EB"/>
    <w:rsid w:val="00521614"/>
    <w:rsid w:val="005216BA"/>
    <w:rsid w:val="00521964"/>
    <w:rsid w:val="00521A20"/>
    <w:rsid w:val="00521A6D"/>
    <w:rsid w:val="00521AAA"/>
    <w:rsid w:val="00521E07"/>
    <w:rsid w:val="00521E9E"/>
    <w:rsid w:val="00521EAF"/>
    <w:rsid w:val="005220AE"/>
    <w:rsid w:val="0052219C"/>
    <w:rsid w:val="0052259E"/>
    <w:rsid w:val="00522763"/>
    <w:rsid w:val="005228A8"/>
    <w:rsid w:val="00522CAA"/>
    <w:rsid w:val="00522D83"/>
    <w:rsid w:val="00522E3F"/>
    <w:rsid w:val="00523022"/>
    <w:rsid w:val="00523157"/>
    <w:rsid w:val="0052334C"/>
    <w:rsid w:val="005233F6"/>
    <w:rsid w:val="00523430"/>
    <w:rsid w:val="0052344D"/>
    <w:rsid w:val="0052344E"/>
    <w:rsid w:val="00523495"/>
    <w:rsid w:val="00523977"/>
    <w:rsid w:val="00523981"/>
    <w:rsid w:val="005239A4"/>
    <w:rsid w:val="00523ECF"/>
    <w:rsid w:val="00524174"/>
    <w:rsid w:val="005242AB"/>
    <w:rsid w:val="005242CC"/>
    <w:rsid w:val="0052435E"/>
    <w:rsid w:val="0052444C"/>
    <w:rsid w:val="0052478A"/>
    <w:rsid w:val="005247A3"/>
    <w:rsid w:val="005247E2"/>
    <w:rsid w:val="00524912"/>
    <w:rsid w:val="00524A0D"/>
    <w:rsid w:val="00524A18"/>
    <w:rsid w:val="005250B6"/>
    <w:rsid w:val="0052519F"/>
    <w:rsid w:val="005252A9"/>
    <w:rsid w:val="005252EF"/>
    <w:rsid w:val="005253C6"/>
    <w:rsid w:val="00525507"/>
    <w:rsid w:val="00525880"/>
    <w:rsid w:val="00525A59"/>
    <w:rsid w:val="00525AE1"/>
    <w:rsid w:val="00525E7E"/>
    <w:rsid w:val="00525FC5"/>
    <w:rsid w:val="00525FC6"/>
    <w:rsid w:val="005263CE"/>
    <w:rsid w:val="0052649A"/>
    <w:rsid w:val="00526530"/>
    <w:rsid w:val="005265B1"/>
    <w:rsid w:val="005265BF"/>
    <w:rsid w:val="00526845"/>
    <w:rsid w:val="00526932"/>
    <w:rsid w:val="00526A1E"/>
    <w:rsid w:val="00526A7A"/>
    <w:rsid w:val="00526A84"/>
    <w:rsid w:val="00526DD8"/>
    <w:rsid w:val="005270BA"/>
    <w:rsid w:val="005271A4"/>
    <w:rsid w:val="005271B4"/>
    <w:rsid w:val="005271C2"/>
    <w:rsid w:val="005273B3"/>
    <w:rsid w:val="0052747D"/>
    <w:rsid w:val="005274DD"/>
    <w:rsid w:val="005275C0"/>
    <w:rsid w:val="005275EC"/>
    <w:rsid w:val="00527610"/>
    <w:rsid w:val="005276C0"/>
    <w:rsid w:val="0052770D"/>
    <w:rsid w:val="00527723"/>
    <w:rsid w:val="00527A17"/>
    <w:rsid w:val="00527AAF"/>
    <w:rsid w:val="00527BD9"/>
    <w:rsid w:val="00527C48"/>
    <w:rsid w:val="00527EE4"/>
    <w:rsid w:val="00527F25"/>
    <w:rsid w:val="00527FDE"/>
    <w:rsid w:val="0053008B"/>
    <w:rsid w:val="005300FE"/>
    <w:rsid w:val="0053011D"/>
    <w:rsid w:val="00530174"/>
    <w:rsid w:val="005302FA"/>
    <w:rsid w:val="00530317"/>
    <w:rsid w:val="0053044A"/>
    <w:rsid w:val="005304D0"/>
    <w:rsid w:val="005304D9"/>
    <w:rsid w:val="005304F1"/>
    <w:rsid w:val="005304FE"/>
    <w:rsid w:val="0053055B"/>
    <w:rsid w:val="0053057C"/>
    <w:rsid w:val="00530744"/>
    <w:rsid w:val="00530A1A"/>
    <w:rsid w:val="00530A81"/>
    <w:rsid w:val="00530AFA"/>
    <w:rsid w:val="00530D4F"/>
    <w:rsid w:val="00530E4D"/>
    <w:rsid w:val="00530E9A"/>
    <w:rsid w:val="00530F3C"/>
    <w:rsid w:val="00530FFD"/>
    <w:rsid w:val="005310A6"/>
    <w:rsid w:val="005310E2"/>
    <w:rsid w:val="00531326"/>
    <w:rsid w:val="00531463"/>
    <w:rsid w:val="005315D8"/>
    <w:rsid w:val="005316B2"/>
    <w:rsid w:val="005319A5"/>
    <w:rsid w:val="005319F8"/>
    <w:rsid w:val="00531A7A"/>
    <w:rsid w:val="00531CB6"/>
    <w:rsid w:val="00531E76"/>
    <w:rsid w:val="0053202A"/>
    <w:rsid w:val="00532232"/>
    <w:rsid w:val="0053231C"/>
    <w:rsid w:val="005323D1"/>
    <w:rsid w:val="00532449"/>
    <w:rsid w:val="005325F5"/>
    <w:rsid w:val="005326B4"/>
    <w:rsid w:val="005327F0"/>
    <w:rsid w:val="005328DA"/>
    <w:rsid w:val="00532902"/>
    <w:rsid w:val="00532CCE"/>
    <w:rsid w:val="00532E91"/>
    <w:rsid w:val="00532FC6"/>
    <w:rsid w:val="0053303F"/>
    <w:rsid w:val="00533130"/>
    <w:rsid w:val="00533174"/>
    <w:rsid w:val="00533198"/>
    <w:rsid w:val="005332FA"/>
    <w:rsid w:val="005333AD"/>
    <w:rsid w:val="005334F5"/>
    <w:rsid w:val="0053355F"/>
    <w:rsid w:val="005335F4"/>
    <w:rsid w:val="00533734"/>
    <w:rsid w:val="00533BFA"/>
    <w:rsid w:val="00533D9C"/>
    <w:rsid w:val="00533FE1"/>
    <w:rsid w:val="00534038"/>
    <w:rsid w:val="005344F5"/>
    <w:rsid w:val="00534891"/>
    <w:rsid w:val="005348C0"/>
    <w:rsid w:val="005348F7"/>
    <w:rsid w:val="00534A0D"/>
    <w:rsid w:val="00534B90"/>
    <w:rsid w:val="00534D01"/>
    <w:rsid w:val="0053506F"/>
    <w:rsid w:val="005351FE"/>
    <w:rsid w:val="00535212"/>
    <w:rsid w:val="0053528E"/>
    <w:rsid w:val="005354AB"/>
    <w:rsid w:val="00535532"/>
    <w:rsid w:val="00535A13"/>
    <w:rsid w:val="00535CD1"/>
    <w:rsid w:val="00535CDA"/>
    <w:rsid w:val="00535D2A"/>
    <w:rsid w:val="00535D4C"/>
    <w:rsid w:val="00535E40"/>
    <w:rsid w:val="00535F33"/>
    <w:rsid w:val="0053609E"/>
    <w:rsid w:val="005360BC"/>
    <w:rsid w:val="00536181"/>
    <w:rsid w:val="0053621C"/>
    <w:rsid w:val="005364BA"/>
    <w:rsid w:val="005364C3"/>
    <w:rsid w:val="005366BC"/>
    <w:rsid w:val="005366E8"/>
    <w:rsid w:val="00536757"/>
    <w:rsid w:val="00536B67"/>
    <w:rsid w:val="00536C3F"/>
    <w:rsid w:val="00536C9D"/>
    <w:rsid w:val="00536D17"/>
    <w:rsid w:val="00536D38"/>
    <w:rsid w:val="00536F61"/>
    <w:rsid w:val="0053726F"/>
    <w:rsid w:val="005375A8"/>
    <w:rsid w:val="0053772B"/>
    <w:rsid w:val="00537748"/>
    <w:rsid w:val="0053789C"/>
    <w:rsid w:val="00537C3F"/>
    <w:rsid w:val="00537C54"/>
    <w:rsid w:val="00537CA2"/>
    <w:rsid w:val="0054000D"/>
    <w:rsid w:val="0054002B"/>
    <w:rsid w:val="005400EF"/>
    <w:rsid w:val="00540264"/>
    <w:rsid w:val="00540372"/>
    <w:rsid w:val="00540534"/>
    <w:rsid w:val="00540565"/>
    <w:rsid w:val="005405C6"/>
    <w:rsid w:val="00540722"/>
    <w:rsid w:val="00540882"/>
    <w:rsid w:val="005408F9"/>
    <w:rsid w:val="00540A9C"/>
    <w:rsid w:val="00540CB7"/>
    <w:rsid w:val="00540DE0"/>
    <w:rsid w:val="00540EC8"/>
    <w:rsid w:val="00540F55"/>
    <w:rsid w:val="00540FD3"/>
    <w:rsid w:val="00541175"/>
    <w:rsid w:val="005411C0"/>
    <w:rsid w:val="005413D7"/>
    <w:rsid w:val="005413E8"/>
    <w:rsid w:val="005414BD"/>
    <w:rsid w:val="00541777"/>
    <w:rsid w:val="005417AE"/>
    <w:rsid w:val="0054195C"/>
    <w:rsid w:val="00541D33"/>
    <w:rsid w:val="00541F68"/>
    <w:rsid w:val="00541FAA"/>
    <w:rsid w:val="0054200E"/>
    <w:rsid w:val="005424AA"/>
    <w:rsid w:val="00542555"/>
    <w:rsid w:val="005425BB"/>
    <w:rsid w:val="00542711"/>
    <w:rsid w:val="0054288E"/>
    <w:rsid w:val="005428F9"/>
    <w:rsid w:val="00542AF6"/>
    <w:rsid w:val="00542AFB"/>
    <w:rsid w:val="00542D08"/>
    <w:rsid w:val="00542D57"/>
    <w:rsid w:val="00542D65"/>
    <w:rsid w:val="005431C3"/>
    <w:rsid w:val="005434A9"/>
    <w:rsid w:val="005434F3"/>
    <w:rsid w:val="005435A4"/>
    <w:rsid w:val="0054361A"/>
    <w:rsid w:val="0054362F"/>
    <w:rsid w:val="00543917"/>
    <w:rsid w:val="00543BA7"/>
    <w:rsid w:val="00543D0B"/>
    <w:rsid w:val="00544106"/>
    <w:rsid w:val="0054430F"/>
    <w:rsid w:val="00544375"/>
    <w:rsid w:val="00544684"/>
    <w:rsid w:val="0054469E"/>
    <w:rsid w:val="005448FC"/>
    <w:rsid w:val="00544921"/>
    <w:rsid w:val="00544CC1"/>
    <w:rsid w:val="00544D87"/>
    <w:rsid w:val="00544E07"/>
    <w:rsid w:val="00544EB6"/>
    <w:rsid w:val="005450FB"/>
    <w:rsid w:val="00545427"/>
    <w:rsid w:val="005454C7"/>
    <w:rsid w:val="005456FE"/>
    <w:rsid w:val="00545737"/>
    <w:rsid w:val="005457F6"/>
    <w:rsid w:val="005458FE"/>
    <w:rsid w:val="005459AB"/>
    <w:rsid w:val="00545CA1"/>
    <w:rsid w:val="00545DE6"/>
    <w:rsid w:val="00545E39"/>
    <w:rsid w:val="00545E9E"/>
    <w:rsid w:val="00545F8F"/>
    <w:rsid w:val="00546021"/>
    <w:rsid w:val="00546134"/>
    <w:rsid w:val="005461FA"/>
    <w:rsid w:val="00546210"/>
    <w:rsid w:val="005465A0"/>
    <w:rsid w:val="005469ED"/>
    <w:rsid w:val="00546EEB"/>
    <w:rsid w:val="00547185"/>
    <w:rsid w:val="005471FC"/>
    <w:rsid w:val="00547337"/>
    <w:rsid w:val="005474A6"/>
    <w:rsid w:val="00547625"/>
    <w:rsid w:val="00547946"/>
    <w:rsid w:val="00547A65"/>
    <w:rsid w:val="00547A8C"/>
    <w:rsid w:val="00547B5F"/>
    <w:rsid w:val="00547E54"/>
    <w:rsid w:val="0055006E"/>
    <w:rsid w:val="005500C3"/>
    <w:rsid w:val="0055016E"/>
    <w:rsid w:val="00550281"/>
    <w:rsid w:val="005503F0"/>
    <w:rsid w:val="0055040F"/>
    <w:rsid w:val="0055067C"/>
    <w:rsid w:val="00550977"/>
    <w:rsid w:val="0055097B"/>
    <w:rsid w:val="00550ABB"/>
    <w:rsid w:val="00550BEA"/>
    <w:rsid w:val="00550C14"/>
    <w:rsid w:val="00550F5B"/>
    <w:rsid w:val="0055104E"/>
    <w:rsid w:val="0055104F"/>
    <w:rsid w:val="00551114"/>
    <w:rsid w:val="00551419"/>
    <w:rsid w:val="00551543"/>
    <w:rsid w:val="005515ED"/>
    <w:rsid w:val="00551836"/>
    <w:rsid w:val="0055185A"/>
    <w:rsid w:val="0055196D"/>
    <w:rsid w:val="00551A5E"/>
    <w:rsid w:val="00551A61"/>
    <w:rsid w:val="00551B85"/>
    <w:rsid w:val="00551C03"/>
    <w:rsid w:val="00551C57"/>
    <w:rsid w:val="00551CB9"/>
    <w:rsid w:val="00551E4B"/>
    <w:rsid w:val="00551EDE"/>
    <w:rsid w:val="00551FCE"/>
    <w:rsid w:val="00552100"/>
    <w:rsid w:val="0055215D"/>
    <w:rsid w:val="005527CE"/>
    <w:rsid w:val="0055288B"/>
    <w:rsid w:val="00552918"/>
    <w:rsid w:val="00552A7E"/>
    <w:rsid w:val="00552A9A"/>
    <w:rsid w:val="00552EA7"/>
    <w:rsid w:val="00552EF8"/>
    <w:rsid w:val="00553057"/>
    <w:rsid w:val="005531A8"/>
    <w:rsid w:val="00553448"/>
    <w:rsid w:val="0055379E"/>
    <w:rsid w:val="0055385D"/>
    <w:rsid w:val="00553886"/>
    <w:rsid w:val="00553983"/>
    <w:rsid w:val="00553A80"/>
    <w:rsid w:val="00553BFC"/>
    <w:rsid w:val="00553FA5"/>
    <w:rsid w:val="0055422F"/>
    <w:rsid w:val="00554677"/>
    <w:rsid w:val="0055489C"/>
    <w:rsid w:val="00554943"/>
    <w:rsid w:val="005549AB"/>
    <w:rsid w:val="005549D1"/>
    <w:rsid w:val="00554AFC"/>
    <w:rsid w:val="00554D32"/>
    <w:rsid w:val="00554DF5"/>
    <w:rsid w:val="00554FC7"/>
    <w:rsid w:val="005550A2"/>
    <w:rsid w:val="005550C5"/>
    <w:rsid w:val="0055522F"/>
    <w:rsid w:val="0055553A"/>
    <w:rsid w:val="005555F2"/>
    <w:rsid w:val="005556C0"/>
    <w:rsid w:val="005557EE"/>
    <w:rsid w:val="0055583B"/>
    <w:rsid w:val="00555984"/>
    <w:rsid w:val="00555A3F"/>
    <w:rsid w:val="00555B04"/>
    <w:rsid w:val="00555BFF"/>
    <w:rsid w:val="00555C2D"/>
    <w:rsid w:val="00555F7B"/>
    <w:rsid w:val="00555FFB"/>
    <w:rsid w:val="00556161"/>
    <w:rsid w:val="0055630A"/>
    <w:rsid w:val="00556442"/>
    <w:rsid w:val="0055655B"/>
    <w:rsid w:val="00556796"/>
    <w:rsid w:val="00556AAD"/>
    <w:rsid w:val="00556CDA"/>
    <w:rsid w:val="00556D4F"/>
    <w:rsid w:val="00556D6D"/>
    <w:rsid w:val="00556EF9"/>
    <w:rsid w:val="00557145"/>
    <w:rsid w:val="00557218"/>
    <w:rsid w:val="0055782F"/>
    <w:rsid w:val="00557869"/>
    <w:rsid w:val="00557887"/>
    <w:rsid w:val="005578E7"/>
    <w:rsid w:val="005579D1"/>
    <w:rsid w:val="00557D3B"/>
    <w:rsid w:val="00557E21"/>
    <w:rsid w:val="00557E65"/>
    <w:rsid w:val="00560000"/>
    <w:rsid w:val="005605F8"/>
    <w:rsid w:val="00560683"/>
    <w:rsid w:val="00560719"/>
    <w:rsid w:val="0056074C"/>
    <w:rsid w:val="005608F3"/>
    <w:rsid w:val="00560981"/>
    <w:rsid w:val="005609FF"/>
    <w:rsid w:val="00560D2D"/>
    <w:rsid w:val="0056143F"/>
    <w:rsid w:val="00561615"/>
    <w:rsid w:val="0056174F"/>
    <w:rsid w:val="005618C8"/>
    <w:rsid w:val="00561AC0"/>
    <w:rsid w:val="00561BB2"/>
    <w:rsid w:val="00561C14"/>
    <w:rsid w:val="00561E9E"/>
    <w:rsid w:val="00561FF0"/>
    <w:rsid w:val="00562192"/>
    <w:rsid w:val="00562271"/>
    <w:rsid w:val="00562286"/>
    <w:rsid w:val="005624E8"/>
    <w:rsid w:val="00562597"/>
    <w:rsid w:val="005625BA"/>
    <w:rsid w:val="0056260C"/>
    <w:rsid w:val="005628D4"/>
    <w:rsid w:val="00562A06"/>
    <w:rsid w:val="00562A3F"/>
    <w:rsid w:val="00562DF0"/>
    <w:rsid w:val="00562E48"/>
    <w:rsid w:val="0056302A"/>
    <w:rsid w:val="00563072"/>
    <w:rsid w:val="0056313C"/>
    <w:rsid w:val="005631F0"/>
    <w:rsid w:val="00563525"/>
    <w:rsid w:val="005636AF"/>
    <w:rsid w:val="00563763"/>
    <w:rsid w:val="005637CF"/>
    <w:rsid w:val="005638C4"/>
    <w:rsid w:val="005638D8"/>
    <w:rsid w:val="00563AC8"/>
    <w:rsid w:val="00563C15"/>
    <w:rsid w:val="00563C32"/>
    <w:rsid w:val="00563E49"/>
    <w:rsid w:val="00563ED9"/>
    <w:rsid w:val="0056425E"/>
    <w:rsid w:val="005642D1"/>
    <w:rsid w:val="005643E5"/>
    <w:rsid w:val="0056456A"/>
    <w:rsid w:val="00564579"/>
    <w:rsid w:val="00564812"/>
    <w:rsid w:val="00564A22"/>
    <w:rsid w:val="00564B3B"/>
    <w:rsid w:val="00564B58"/>
    <w:rsid w:val="00564F74"/>
    <w:rsid w:val="0056500B"/>
    <w:rsid w:val="00565186"/>
    <w:rsid w:val="005651D7"/>
    <w:rsid w:val="0056529A"/>
    <w:rsid w:val="0056532D"/>
    <w:rsid w:val="00565404"/>
    <w:rsid w:val="0056599C"/>
    <w:rsid w:val="00565B45"/>
    <w:rsid w:val="00565C41"/>
    <w:rsid w:val="00565F63"/>
    <w:rsid w:val="00565FC8"/>
    <w:rsid w:val="00566261"/>
    <w:rsid w:val="00566499"/>
    <w:rsid w:val="00566693"/>
    <w:rsid w:val="00566863"/>
    <w:rsid w:val="005669FA"/>
    <w:rsid w:val="00566A97"/>
    <w:rsid w:val="00566BB9"/>
    <w:rsid w:val="00566BC0"/>
    <w:rsid w:val="00566E0D"/>
    <w:rsid w:val="005672F9"/>
    <w:rsid w:val="0056795A"/>
    <w:rsid w:val="00567A77"/>
    <w:rsid w:val="00567B5D"/>
    <w:rsid w:val="00567BC3"/>
    <w:rsid w:val="00567D31"/>
    <w:rsid w:val="00567D9A"/>
    <w:rsid w:val="00567DAC"/>
    <w:rsid w:val="00570140"/>
    <w:rsid w:val="005701BA"/>
    <w:rsid w:val="00570202"/>
    <w:rsid w:val="00570304"/>
    <w:rsid w:val="005705D3"/>
    <w:rsid w:val="00570605"/>
    <w:rsid w:val="0057078D"/>
    <w:rsid w:val="005707CF"/>
    <w:rsid w:val="00570D0F"/>
    <w:rsid w:val="00570D67"/>
    <w:rsid w:val="00570D91"/>
    <w:rsid w:val="00570FA4"/>
    <w:rsid w:val="00571168"/>
    <w:rsid w:val="005711AC"/>
    <w:rsid w:val="005711EB"/>
    <w:rsid w:val="00571277"/>
    <w:rsid w:val="005717C3"/>
    <w:rsid w:val="00571801"/>
    <w:rsid w:val="00571847"/>
    <w:rsid w:val="005719FC"/>
    <w:rsid w:val="00571CAC"/>
    <w:rsid w:val="00571DD7"/>
    <w:rsid w:val="00571F4A"/>
    <w:rsid w:val="00571FA7"/>
    <w:rsid w:val="00572018"/>
    <w:rsid w:val="00572276"/>
    <w:rsid w:val="005722C2"/>
    <w:rsid w:val="00572392"/>
    <w:rsid w:val="00572608"/>
    <w:rsid w:val="00572646"/>
    <w:rsid w:val="00572750"/>
    <w:rsid w:val="00572893"/>
    <w:rsid w:val="005728FD"/>
    <w:rsid w:val="00572B43"/>
    <w:rsid w:val="00572BB4"/>
    <w:rsid w:val="00572E34"/>
    <w:rsid w:val="00573229"/>
    <w:rsid w:val="00573447"/>
    <w:rsid w:val="005737BB"/>
    <w:rsid w:val="005737E0"/>
    <w:rsid w:val="00573933"/>
    <w:rsid w:val="005739E2"/>
    <w:rsid w:val="00573A22"/>
    <w:rsid w:val="00573AD9"/>
    <w:rsid w:val="00573DB5"/>
    <w:rsid w:val="005740E4"/>
    <w:rsid w:val="00574245"/>
    <w:rsid w:val="005742EA"/>
    <w:rsid w:val="0057430C"/>
    <w:rsid w:val="0057441A"/>
    <w:rsid w:val="005746E1"/>
    <w:rsid w:val="00574776"/>
    <w:rsid w:val="005747C3"/>
    <w:rsid w:val="0057484A"/>
    <w:rsid w:val="00574852"/>
    <w:rsid w:val="00574912"/>
    <w:rsid w:val="0057512D"/>
    <w:rsid w:val="0057520C"/>
    <w:rsid w:val="005754FE"/>
    <w:rsid w:val="00575563"/>
    <w:rsid w:val="0057559D"/>
    <w:rsid w:val="00575801"/>
    <w:rsid w:val="00575992"/>
    <w:rsid w:val="00575995"/>
    <w:rsid w:val="005759A8"/>
    <w:rsid w:val="00575CDA"/>
    <w:rsid w:val="00575FD2"/>
    <w:rsid w:val="0057607E"/>
    <w:rsid w:val="005761A3"/>
    <w:rsid w:val="00576377"/>
    <w:rsid w:val="0057646A"/>
    <w:rsid w:val="0057660C"/>
    <w:rsid w:val="00576712"/>
    <w:rsid w:val="00576860"/>
    <w:rsid w:val="005768BA"/>
    <w:rsid w:val="005768C5"/>
    <w:rsid w:val="00576CA5"/>
    <w:rsid w:val="00576D29"/>
    <w:rsid w:val="00576F34"/>
    <w:rsid w:val="00576F64"/>
    <w:rsid w:val="00576FF1"/>
    <w:rsid w:val="0057706C"/>
    <w:rsid w:val="00577203"/>
    <w:rsid w:val="0057720D"/>
    <w:rsid w:val="00577383"/>
    <w:rsid w:val="005773F4"/>
    <w:rsid w:val="00577732"/>
    <w:rsid w:val="0057783B"/>
    <w:rsid w:val="0057793E"/>
    <w:rsid w:val="00577A74"/>
    <w:rsid w:val="00577B19"/>
    <w:rsid w:val="00577BAD"/>
    <w:rsid w:val="00577D37"/>
    <w:rsid w:val="0058019A"/>
    <w:rsid w:val="0058023A"/>
    <w:rsid w:val="00580670"/>
    <w:rsid w:val="0058088C"/>
    <w:rsid w:val="00580991"/>
    <w:rsid w:val="00580A30"/>
    <w:rsid w:val="00580C05"/>
    <w:rsid w:val="00580CC4"/>
    <w:rsid w:val="005811BD"/>
    <w:rsid w:val="005811FE"/>
    <w:rsid w:val="00581286"/>
    <w:rsid w:val="005812A2"/>
    <w:rsid w:val="005814F3"/>
    <w:rsid w:val="005815C1"/>
    <w:rsid w:val="005815F3"/>
    <w:rsid w:val="00581668"/>
    <w:rsid w:val="0058171E"/>
    <w:rsid w:val="00581866"/>
    <w:rsid w:val="005818D7"/>
    <w:rsid w:val="0058194C"/>
    <w:rsid w:val="00581C95"/>
    <w:rsid w:val="00581D51"/>
    <w:rsid w:val="00581DC0"/>
    <w:rsid w:val="00582196"/>
    <w:rsid w:val="005821D3"/>
    <w:rsid w:val="00582278"/>
    <w:rsid w:val="0058228E"/>
    <w:rsid w:val="005824CA"/>
    <w:rsid w:val="00582547"/>
    <w:rsid w:val="005828A4"/>
    <w:rsid w:val="005829DA"/>
    <w:rsid w:val="00582AD0"/>
    <w:rsid w:val="0058314F"/>
    <w:rsid w:val="00583159"/>
    <w:rsid w:val="005831B2"/>
    <w:rsid w:val="0058325C"/>
    <w:rsid w:val="0058333B"/>
    <w:rsid w:val="0058340D"/>
    <w:rsid w:val="00583527"/>
    <w:rsid w:val="0058365F"/>
    <w:rsid w:val="00583A37"/>
    <w:rsid w:val="00583AD5"/>
    <w:rsid w:val="00583BEE"/>
    <w:rsid w:val="00583E7D"/>
    <w:rsid w:val="0058402E"/>
    <w:rsid w:val="00584048"/>
    <w:rsid w:val="005840C9"/>
    <w:rsid w:val="00584210"/>
    <w:rsid w:val="00584229"/>
    <w:rsid w:val="00584314"/>
    <w:rsid w:val="00584546"/>
    <w:rsid w:val="005845B0"/>
    <w:rsid w:val="0058464F"/>
    <w:rsid w:val="005846BE"/>
    <w:rsid w:val="00584865"/>
    <w:rsid w:val="00584B24"/>
    <w:rsid w:val="00584B59"/>
    <w:rsid w:val="00584B67"/>
    <w:rsid w:val="00584C02"/>
    <w:rsid w:val="00584CBF"/>
    <w:rsid w:val="00585072"/>
    <w:rsid w:val="0058518D"/>
    <w:rsid w:val="005851FB"/>
    <w:rsid w:val="005852D8"/>
    <w:rsid w:val="005852F9"/>
    <w:rsid w:val="0058549A"/>
    <w:rsid w:val="005854E3"/>
    <w:rsid w:val="00585531"/>
    <w:rsid w:val="00585744"/>
    <w:rsid w:val="00585B93"/>
    <w:rsid w:val="00585C98"/>
    <w:rsid w:val="00585CEC"/>
    <w:rsid w:val="00585CED"/>
    <w:rsid w:val="00585F2E"/>
    <w:rsid w:val="00585F4D"/>
    <w:rsid w:val="005862CC"/>
    <w:rsid w:val="005863FD"/>
    <w:rsid w:val="0058658A"/>
    <w:rsid w:val="005865A4"/>
    <w:rsid w:val="0058699E"/>
    <w:rsid w:val="00586A12"/>
    <w:rsid w:val="00586A46"/>
    <w:rsid w:val="00586ADA"/>
    <w:rsid w:val="00586FBF"/>
    <w:rsid w:val="00587045"/>
    <w:rsid w:val="005870B6"/>
    <w:rsid w:val="0058713D"/>
    <w:rsid w:val="0058718C"/>
    <w:rsid w:val="005873AA"/>
    <w:rsid w:val="0058771A"/>
    <w:rsid w:val="005877FD"/>
    <w:rsid w:val="00587859"/>
    <w:rsid w:val="005878C6"/>
    <w:rsid w:val="00587924"/>
    <w:rsid w:val="00587946"/>
    <w:rsid w:val="00587B2C"/>
    <w:rsid w:val="00587BD7"/>
    <w:rsid w:val="00587C29"/>
    <w:rsid w:val="00587C5F"/>
    <w:rsid w:val="00587CFC"/>
    <w:rsid w:val="005900B9"/>
    <w:rsid w:val="005900C3"/>
    <w:rsid w:val="00590121"/>
    <w:rsid w:val="0059020E"/>
    <w:rsid w:val="005902A0"/>
    <w:rsid w:val="0059038B"/>
    <w:rsid w:val="005904B9"/>
    <w:rsid w:val="005906C7"/>
    <w:rsid w:val="00590864"/>
    <w:rsid w:val="005909BC"/>
    <w:rsid w:val="00590D77"/>
    <w:rsid w:val="00591075"/>
    <w:rsid w:val="00591092"/>
    <w:rsid w:val="005911E3"/>
    <w:rsid w:val="0059151F"/>
    <w:rsid w:val="0059158A"/>
    <w:rsid w:val="005915B4"/>
    <w:rsid w:val="005917EC"/>
    <w:rsid w:val="0059198A"/>
    <w:rsid w:val="00591ABF"/>
    <w:rsid w:val="00591B76"/>
    <w:rsid w:val="00591F93"/>
    <w:rsid w:val="00591FC3"/>
    <w:rsid w:val="005921A0"/>
    <w:rsid w:val="005922AF"/>
    <w:rsid w:val="00592370"/>
    <w:rsid w:val="00592536"/>
    <w:rsid w:val="005926B0"/>
    <w:rsid w:val="005927F7"/>
    <w:rsid w:val="0059299D"/>
    <w:rsid w:val="00592A09"/>
    <w:rsid w:val="00592B4B"/>
    <w:rsid w:val="00592D66"/>
    <w:rsid w:val="0059304A"/>
    <w:rsid w:val="0059331F"/>
    <w:rsid w:val="00593509"/>
    <w:rsid w:val="00593803"/>
    <w:rsid w:val="00593AED"/>
    <w:rsid w:val="00593D3E"/>
    <w:rsid w:val="00593ED6"/>
    <w:rsid w:val="00593F23"/>
    <w:rsid w:val="00593F9A"/>
    <w:rsid w:val="00593FA6"/>
    <w:rsid w:val="005940DA"/>
    <w:rsid w:val="00594125"/>
    <w:rsid w:val="005942A6"/>
    <w:rsid w:val="0059441F"/>
    <w:rsid w:val="005944D4"/>
    <w:rsid w:val="0059451D"/>
    <w:rsid w:val="0059451F"/>
    <w:rsid w:val="00594887"/>
    <w:rsid w:val="005948D4"/>
    <w:rsid w:val="00594A02"/>
    <w:rsid w:val="00594EDD"/>
    <w:rsid w:val="00595238"/>
    <w:rsid w:val="0059534E"/>
    <w:rsid w:val="00595420"/>
    <w:rsid w:val="00595483"/>
    <w:rsid w:val="0059551C"/>
    <w:rsid w:val="005956B6"/>
    <w:rsid w:val="0059585D"/>
    <w:rsid w:val="00595A75"/>
    <w:rsid w:val="00595B3A"/>
    <w:rsid w:val="00595C50"/>
    <w:rsid w:val="00595D92"/>
    <w:rsid w:val="00595DDF"/>
    <w:rsid w:val="00595EA7"/>
    <w:rsid w:val="00595F0D"/>
    <w:rsid w:val="0059605D"/>
    <w:rsid w:val="005961F0"/>
    <w:rsid w:val="00596573"/>
    <w:rsid w:val="005965AD"/>
    <w:rsid w:val="005965FF"/>
    <w:rsid w:val="0059660C"/>
    <w:rsid w:val="00596614"/>
    <w:rsid w:val="0059663B"/>
    <w:rsid w:val="0059682F"/>
    <w:rsid w:val="00596D2F"/>
    <w:rsid w:val="00596E03"/>
    <w:rsid w:val="00596E6E"/>
    <w:rsid w:val="00596F53"/>
    <w:rsid w:val="00596FB4"/>
    <w:rsid w:val="0059704A"/>
    <w:rsid w:val="00597090"/>
    <w:rsid w:val="005971E0"/>
    <w:rsid w:val="00597439"/>
    <w:rsid w:val="00597548"/>
    <w:rsid w:val="00597695"/>
    <w:rsid w:val="0059799C"/>
    <w:rsid w:val="00597C24"/>
    <w:rsid w:val="00597C7F"/>
    <w:rsid w:val="00597DBD"/>
    <w:rsid w:val="005A002B"/>
    <w:rsid w:val="005A0226"/>
    <w:rsid w:val="005A02F7"/>
    <w:rsid w:val="005A0425"/>
    <w:rsid w:val="005A0458"/>
    <w:rsid w:val="005A0782"/>
    <w:rsid w:val="005A0799"/>
    <w:rsid w:val="005A0AEE"/>
    <w:rsid w:val="005A0B6E"/>
    <w:rsid w:val="005A0F85"/>
    <w:rsid w:val="005A11F0"/>
    <w:rsid w:val="005A13C7"/>
    <w:rsid w:val="005A1424"/>
    <w:rsid w:val="005A1702"/>
    <w:rsid w:val="005A1814"/>
    <w:rsid w:val="005A1921"/>
    <w:rsid w:val="005A19F5"/>
    <w:rsid w:val="005A1AAF"/>
    <w:rsid w:val="005A1AEE"/>
    <w:rsid w:val="005A1B19"/>
    <w:rsid w:val="005A1BB4"/>
    <w:rsid w:val="005A1BF0"/>
    <w:rsid w:val="005A1C29"/>
    <w:rsid w:val="005A1CAF"/>
    <w:rsid w:val="005A1D4E"/>
    <w:rsid w:val="005A1DF4"/>
    <w:rsid w:val="005A1E4D"/>
    <w:rsid w:val="005A1E58"/>
    <w:rsid w:val="005A1F75"/>
    <w:rsid w:val="005A201C"/>
    <w:rsid w:val="005A206F"/>
    <w:rsid w:val="005A22B1"/>
    <w:rsid w:val="005A22CA"/>
    <w:rsid w:val="005A234B"/>
    <w:rsid w:val="005A240E"/>
    <w:rsid w:val="005A26AB"/>
    <w:rsid w:val="005A26C5"/>
    <w:rsid w:val="005A27E2"/>
    <w:rsid w:val="005A2809"/>
    <w:rsid w:val="005A28B7"/>
    <w:rsid w:val="005A2AAC"/>
    <w:rsid w:val="005A2B5F"/>
    <w:rsid w:val="005A2C3A"/>
    <w:rsid w:val="005A2DC3"/>
    <w:rsid w:val="005A2EB7"/>
    <w:rsid w:val="005A2FAB"/>
    <w:rsid w:val="005A3017"/>
    <w:rsid w:val="005A306D"/>
    <w:rsid w:val="005A30B9"/>
    <w:rsid w:val="005A319B"/>
    <w:rsid w:val="005A32E3"/>
    <w:rsid w:val="005A39F4"/>
    <w:rsid w:val="005A3BD6"/>
    <w:rsid w:val="005A3C36"/>
    <w:rsid w:val="005A3CA6"/>
    <w:rsid w:val="005A3E87"/>
    <w:rsid w:val="005A4062"/>
    <w:rsid w:val="005A40A1"/>
    <w:rsid w:val="005A44C1"/>
    <w:rsid w:val="005A4665"/>
    <w:rsid w:val="005A4A1C"/>
    <w:rsid w:val="005A4D47"/>
    <w:rsid w:val="005A4DC9"/>
    <w:rsid w:val="005A4E2C"/>
    <w:rsid w:val="005A5150"/>
    <w:rsid w:val="005A5155"/>
    <w:rsid w:val="005A5238"/>
    <w:rsid w:val="005A52F5"/>
    <w:rsid w:val="005A5350"/>
    <w:rsid w:val="005A53D0"/>
    <w:rsid w:val="005A5495"/>
    <w:rsid w:val="005A554E"/>
    <w:rsid w:val="005A56A4"/>
    <w:rsid w:val="005A56DB"/>
    <w:rsid w:val="005A5870"/>
    <w:rsid w:val="005A5AA3"/>
    <w:rsid w:val="005A5AF4"/>
    <w:rsid w:val="005A5B34"/>
    <w:rsid w:val="005A5C5B"/>
    <w:rsid w:val="005A5D76"/>
    <w:rsid w:val="005A5E36"/>
    <w:rsid w:val="005A5F4E"/>
    <w:rsid w:val="005A5F6C"/>
    <w:rsid w:val="005A6039"/>
    <w:rsid w:val="005A62AC"/>
    <w:rsid w:val="005A638F"/>
    <w:rsid w:val="005A63D1"/>
    <w:rsid w:val="005A6502"/>
    <w:rsid w:val="005A6514"/>
    <w:rsid w:val="005A65E7"/>
    <w:rsid w:val="005A6618"/>
    <w:rsid w:val="005A66D2"/>
    <w:rsid w:val="005A686A"/>
    <w:rsid w:val="005A68D2"/>
    <w:rsid w:val="005A6991"/>
    <w:rsid w:val="005A6DE9"/>
    <w:rsid w:val="005A6F52"/>
    <w:rsid w:val="005A7100"/>
    <w:rsid w:val="005A7198"/>
    <w:rsid w:val="005A7268"/>
    <w:rsid w:val="005A72BF"/>
    <w:rsid w:val="005A739D"/>
    <w:rsid w:val="005A7890"/>
    <w:rsid w:val="005A798E"/>
    <w:rsid w:val="005A7AB8"/>
    <w:rsid w:val="005A7AD8"/>
    <w:rsid w:val="005A7D76"/>
    <w:rsid w:val="005A7F54"/>
    <w:rsid w:val="005A7FA7"/>
    <w:rsid w:val="005B02A0"/>
    <w:rsid w:val="005B0505"/>
    <w:rsid w:val="005B062F"/>
    <w:rsid w:val="005B0673"/>
    <w:rsid w:val="005B0B60"/>
    <w:rsid w:val="005B0B6C"/>
    <w:rsid w:val="005B0BA3"/>
    <w:rsid w:val="005B146A"/>
    <w:rsid w:val="005B1558"/>
    <w:rsid w:val="005B1598"/>
    <w:rsid w:val="005B1854"/>
    <w:rsid w:val="005B187D"/>
    <w:rsid w:val="005B19E6"/>
    <w:rsid w:val="005B1C27"/>
    <w:rsid w:val="005B1CEC"/>
    <w:rsid w:val="005B1D35"/>
    <w:rsid w:val="005B1F4C"/>
    <w:rsid w:val="005B1FB4"/>
    <w:rsid w:val="005B228A"/>
    <w:rsid w:val="005B22C3"/>
    <w:rsid w:val="005B236E"/>
    <w:rsid w:val="005B23BC"/>
    <w:rsid w:val="005B2540"/>
    <w:rsid w:val="005B2610"/>
    <w:rsid w:val="005B264C"/>
    <w:rsid w:val="005B2670"/>
    <w:rsid w:val="005B27AD"/>
    <w:rsid w:val="005B27DB"/>
    <w:rsid w:val="005B2982"/>
    <w:rsid w:val="005B2B78"/>
    <w:rsid w:val="005B2B86"/>
    <w:rsid w:val="005B2D30"/>
    <w:rsid w:val="005B32D0"/>
    <w:rsid w:val="005B33C2"/>
    <w:rsid w:val="005B358E"/>
    <w:rsid w:val="005B3679"/>
    <w:rsid w:val="005B3872"/>
    <w:rsid w:val="005B39DD"/>
    <w:rsid w:val="005B3AE2"/>
    <w:rsid w:val="005B3B2B"/>
    <w:rsid w:val="005B3D66"/>
    <w:rsid w:val="005B3EDE"/>
    <w:rsid w:val="005B4197"/>
    <w:rsid w:val="005B4556"/>
    <w:rsid w:val="005B459B"/>
    <w:rsid w:val="005B461D"/>
    <w:rsid w:val="005B49A7"/>
    <w:rsid w:val="005B49B7"/>
    <w:rsid w:val="005B4B22"/>
    <w:rsid w:val="005B4C0E"/>
    <w:rsid w:val="005B4CFD"/>
    <w:rsid w:val="005B4DF1"/>
    <w:rsid w:val="005B5027"/>
    <w:rsid w:val="005B5523"/>
    <w:rsid w:val="005B5565"/>
    <w:rsid w:val="005B577C"/>
    <w:rsid w:val="005B5C33"/>
    <w:rsid w:val="005B5F12"/>
    <w:rsid w:val="005B5F74"/>
    <w:rsid w:val="005B5FB9"/>
    <w:rsid w:val="005B64C4"/>
    <w:rsid w:val="005B65C6"/>
    <w:rsid w:val="005B680A"/>
    <w:rsid w:val="005B6AE8"/>
    <w:rsid w:val="005B6B69"/>
    <w:rsid w:val="005B6B8C"/>
    <w:rsid w:val="005B6D77"/>
    <w:rsid w:val="005B6FC9"/>
    <w:rsid w:val="005B702A"/>
    <w:rsid w:val="005B71A4"/>
    <w:rsid w:val="005B730F"/>
    <w:rsid w:val="005B732B"/>
    <w:rsid w:val="005B7384"/>
    <w:rsid w:val="005B739C"/>
    <w:rsid w:val="005B7507"/>
    <w:rsid w:val="005B751E"/>
    <w:rsid w:val="005B779E"/>
    <w:rsid w:val="005B7949"/>
    <w:rsid w:val="005B79E4"/>
    <w:rsid w:val="005B79FE"/>
    <w:rsid w:val="005B7C09"/>
    <w:rsid w:val="005B7CA2"/>
    <w:rsid w:val="005B7F4E"/>
    <w:rsid w:val="005C0766"/>
    <w:rsid w:val="005C078C"/>
    <w:rsid w:val="005C07C3"/>
    <w:rsid w:val="005C07F2"/>
    <w:rsid w:val="005C0874"/>
    <w:rsid w:val="005C08B6"/>
    <w:rsid w:val="005C0D02"/>
    <w:rsid w:val="005C0E6B"/>
    <w:rsid w:val="005C0F9C"/>
    <w:rsid w:val="005C0FF8"/>
    <w:rsid w:val="005C1239"/>
    <w:rsid w:val="005C1414"/>
    <w:rsid w:val="005C142A"/>
    <w:rsid w:val="005C160E"/>
    <w:rsid w:val="005C1758"/>
    <w:rsid w:val="005C18CF"/>
    <w:rsid w:val="005C18E4"/>
    <w:rsid w:val="005C1AD4"/>
    <w:rsid w:val="005C1D42"/>
    <w:rsid w:val="005C1EC7"/>
    <w:rsid w:val="005C1ED7"/>
    <w:rsid w:val="005C1F5C"/>
    <w:rsid w:val="005C20A2"/>
    <w:rsid w:val="005C21E4"/>
    <w:rsid w:val="005C2246"/>
    <w:rsid w:val="005C2273"/>
    <w:rsid w:val="005C22B8"/>
    <w:rsid w:val="005C22C7"/>
    <w:rsid w:val="005C2415"/>
    <w:rsid w:val="005C2421"/>
    <w:rsid w:val="005C2493"/>
    <w:rsid w:val="005C26B1"/>
    <w:rsid w:val="005C2842"/>
    <w:rsid w:val="005C29F6"/>
    <w:rsid w:val="005C2BB8"/>
    <w:rsid w:val="005C2C7D"/>
    <w:rsid w:val="005C2DEA"/>
    <w:rsid w:val="005C2E1B"/>
    <w:rsid w:val="005C3013"/>
    <w:rsid w:val="005C3462"/>
    <w:rsid w:val="005C34DD"/>
    <w:rsid w:val="005C355E"/>
    <w:rsid w:val="005C3565"/>
    <w:rsid w:val="005C368A"/>
    <w:rsid w:val="005C36CB"/>
    <w:rsid w:val="005C36E2"/>
    <w:rsid w:val="005C3795"/>
    <w:rsid w:val="005C38A5"/>
    <w:rsid w:val="005C3C84"/>
    <w:rsid w:val="005C3C95"/>
    <w:rsid w:val="005C3DC1"/>
    <w:rsid w:val="005C3E5B"/>
    <w:rsid w:val="005C403D"/>
    <w:rsid w:val="005C4057"/>
    <w:rsid w:val="005C40B3"/>
    <w:rsid w:val="005C42BD"/>
    <w:rsid w:val="005C434B"/>
    <w:rsid w:val="005C43F0"/>
    <w:rsid w:val="005C454E"/>
    <w:rsid w:val="005C45DF"/>
    <w:rsid w:val="005C4B15"/>
    <w:rsid w:val="005C4B66"/>
    <w:rsid w:val="005C4CA5"/>
    <w:rsid w:val="005C4D04"/>
    <w:rsid w:val="005C503D"/>
    <w:rsid w:val="005C533A"/>
    <w:rsid w:val="005C56A8"/>
    <w:rsid w:val="005C56E7"/>
    <w:rsid w:val="005C5789"/>
    <w:rsid w:val="005C59F8"/>
    <w:rsid w:val="005C5B76"/>
    <w:rsid w:val="005C5B9E"/>
    <w:rsid w:val="005C5BA8"/>
    <w:rsid w:val="005C5D55"/>
    <w:rsid w:val="005C5F28"/>
    <w:rsid w:val="005C6011"/>
    <w:rsid w:val="005C6088"/>
    <w:rsid w:val="005C60FC"/>
    <w:rsid w:val="005C60FE"/>
    <w:rsid w:val="005C6117"/>
    <w:rsid w:val="005C6145"/>
    <w:rsid w:val="005C61E5"/>
    <w:rsid w:val="005C621A"/>
    <w:rsid w:val="005C623E"/>
    <w:rsid w:val="005C6256"/>
    <w:rsid w:val="005C62A5"/>
    <w:rsid w:val="005C64A3"/>
    <w:rsid w:val="005C6549"/>
    <w:rsid w:val="005C6556"/>
    <w:rsid w:val="005C671F"/>
    <w:rsid w:val="005C67CE"/>
    <w:rsid w:val="005C693D"/>
    <w:rsid w:val="005C6A73"/>
    <w:rsid w:val="005C6ACE"/>
    <w:rsid w:val="005C6C8D"/>
    <w:rsid w:val="005C6DF3"/>
    <w:rsid w:val="005C6E9A"/>
    <w:rsid w:val="005C6F9C"/>
    <w:rsid w:val="005C7025"/>
    <w:rsid w:val="005C7065"/>
    <w:rsid w:val="005C71A3"/>
    <w:rsid w:val="005C721F"/>
    <w:rsid w:val="005C7436"/>
    <w:rsid w:val="005C75B7"/>
    <w:rsid w:val="005C780C"/>
    <w:rsid w:val="005C78BE"/>
    <w:rsid w:val="005C7937"/>
    <w:rsid w:val="005C793F"/>
    <w:rsid w:val="005C79C7"/>
    <w:rsid w:val="005C7AB4"/>
    <w:rsid w:val="005C7D1C"/>
    <w:rsid w:val="005C7D84"/>
    <w:rsid w:val="005C7E9D"/>
    <w:rsid w:val="005D01FD"/>
    <w:rsid w:val="005D0289"/>
    <w:rsid w:val="005D0659"/>
    <w:rsid w:val="005D0683"/>
    <w:rsid w:val="005D07B3"/>
    <w:rsid w:val="005D0828"/>
    <w:rsid w:val="005D0985"/>
    <w:rsid w:val="005D0AA1"/>
    <w:rsid w:val="005D0B6C"/>
    <w:rsid w:val="005D0B99"/>
    <w:rsid w:val="005D0C00"/>
    <w:rsid w:val="005D0C55"/>
    <w:rsid w:val="005D0DF7"/>
    <w:rsid w:val="005D0EFF"/>
    <w:rsid w:val="005D110C"/>
    <w:rsid w:val="005D1159"/>
    <w:rsid w:val="005D13FA"/>
    <w:rsid w:val="005D1595"/>
    <w:rsid w:val="005D1597"/>
    <w:rsid w:val="005D189B"/>
    <w:rsid w:val="005D19F3"/>
    <w:rsid w:val="005D1DBF"/>
    <w:rsid w:val="005D1EBE"/>
    <w:rsid w:val="005D1F53"/>
    <w:rsid w:val="005D21C7"/>
    <w:rsid w:val="005D261E"/>
    <w:rsid w:val="005D263E"/>
    <w:rsid w:val="005D284A"/>
    <w:rsid w:val="005D287B"/>
    <w:rsid w:val="005D2AD4"/>
    <w:rsid w:val="005D2B03"/>
    <w:rsid w:val="005D2B83"/>
    <w:rsid w:val="005D2BE0"/>
    <w:rsid w:val="005D2DC6"/>
    <w:rsid w:val="005D2F60"/>
    <w:rsid w:val="005D3114"/>
    <w:rsid w:val="005D32A6"/>
    <w:rsid w:val="005D33DC"/>
    <w:rsid w:val="005D34D0"/>
    <w:rsid w:val="005D3504"/>
    <w:rsid w:val="005D351A"/>
    <w:rsid w:val="005D3855"/>
    <w:rsid w:val="005D3BA8"/>
    <w:rsid w:val="005D3C00"/>
    <w:rsid w:val="005D3CA9"/>
    <w:rsid w:val="005D3CC9"/>
    <w:rsid w:val="005D3D10"/>
    <w:rsid w:val="005D3DB0"/>
    <w:rsid w:val="005D3FD0"/>
    <w:rsid w:val="005D400A"/>
    <w:rsid w:val="005D4358"/>
    <w:rsid w:val="005D4359"/>
    <w:rsid w:val="005D43C8"/>
    <w:rsid w:val="005D45E4"/>
    <w:rsid w:val="005D4676"/>
    <w:rsid w:val="005D469A"/>
    <w:rsid w:val="005D49BA"/>
    <w:rsid w:val="005D49F2"/>
    <w:rsid w:val="005D4C81"/>
    <w:rsid w:val="005D4EAA"/>
    <w:rsid w:val="005D4EDF"/>
    <w:rsid w:val="005D4F64"/>
    <w:rsid w:val="005D4F83"/>
    <w:rsid w:val="005D4FD3"/>
    <w:rsid w:val="005D5350"/>
    <w:rsid w:val="005D54B1"/>
    <w:rsid w:val="005D54BD"/>
    <w:rsid w:val="005D55BE"/>
    <w:rsid w:val="005D5709"/>
    <w:rsid w:val="005D5774"/>
    <w:rsid w:val="005D578C"/>
    <w:rsid w:val="005D57C9"/>
    <w:rsid w:val="005D57E1"/>
    <w:rsid w:val="005D580D"/>
    <w:rsid w:val="005D589D"/>
    <w:rsid w:val="005D5CD9"/>
    <w:rsid w:val="005D5D50"/>
    <w:rsid w:val="005D5DC2"/>
    <w:rsid w:val="005D5E89"/>
    <w:rsid w:val="005D6053"/>
    <w:rsid w:val="005D6057"/>
    <w:rsid w:val="005D6131"/>
    <w:rsid w:val="005D620A"/>
    <w:rsid w:val="005D632B"/>
    <w:rsid w:val="005D65C4"/>
    <w:rsid w:val="005D6787"/>
    <w:rsid w:val="005D681D"/>
    <w:rsid w:val="005D6FA3"/>
    <w:rsid w:val="005D7012"/>
    <w:rsid w:val="005D7039"/>
    <w:rsid w:val="005D70FD"/>
    <w:rsid w:val="005D7177"/>
    <w:rsid w:val="005D717F"/>
    <w:rsid w:val="005D729D"/>
    <w:rsid w:val="005D72CE"/>
    <w:rsid w:val="005D730D"/>
    <w:rsid w:val="005D731D"/>
    <w:rsid w:val="005D7351"/>
    <w:rsid w:val="005D7682"/>
    <w:rsid w:val="005D7686"/>
    <w:rsid w:val="005D7796"/>
    <w:rsid w:val="005D7A07"/>
    <w:rsid w:val="005D7A15"/>
    <w:rsid w:val="005D7A57"/>
    <w:rsid w:val="005D7BAB"/>
    <w:rsid w:val="005E020A"/>
    <w:rsid w:val="005E020B"/>
    <w:rsid w:val="005E03DB"/>
    <w:rsid w:val="005E080E"/>
    <w:rsid w:val="005E0926"/>
    <w:rsid w:val="005E099B"/>
    <w:rsid w:val="005E09D9"/>
    <w:rsid w:val="005E0A75"/>
    <w:rsid w:val="005E0A78"/>
    <w:rsid w:val="005E0B99"/>
    <w:rsid w:val="005E0D28"/>
    <w:rsid w:val="005E1198"/>
    <w:rsid w:val="005E132C"/>
    <w:rsid w:val="005E1417"/>
    <w:rsid w:val="005E14EF"/>
    <w:rsid w:val="005E151E"/>
    <w:rsid w:val="005E1536"/>
    <w:rsid w:val="005E16C8"/>
    <w:rsid w:val="005E176B"/>
    <w:rsid w:val="005E17BD"/>
    <w:rsid w:val="005E19F7"/>
    <w:rsid w:val="005E1A3A"/>
    <w:rsid w:val="005E1D97"/>
    <w:rsid w:val="005E1E42"/>
    <w:rsid w:val="005E2155"/>
    <w:rsid w:val="005E2376"/>
    <w:rsid w:val="005E2452"/>
    <w:rsid w:val="005E263C"/>
    <w:rsid w:val="005E27D8"/>
    <w:rsid w:val="005E2C00"/>
    <w:rsid w:val="005E2C19"/>
    <w:rsid w:val="005E2E2E"/>
    <w:rsid w:val="005E2EAB"/>
    <w:rsid w:val="005E355A"/>
    <w:rsid w:val="005E390E"/>
    <w:rsid w:val="005E3A82"/>
    <w:rsid w:val="005E3E3E"/>
    <w:rsid w:val="005E3EF9"/>
    <w:rsid w:val="005E3F07"/>
    <w:rsid w:val="005E3F60"/>
    <w:rsid w:val="005E3FAD"/>
    <w:rsid w:val="005E4276"/>
    <w:rsid w:val="005E431F"/>
    <w:rsid w:val="005E437D"/>
    <w:rsid w:val="005E43C2"/>
    <w:rsid w:val="005E43FA"/>
    <w:rsid w:val="005E45CA"/>
    <w:rsid w:val="005E46B8"/>
    <w:rsid w:val="005E479A"/>
    <w:rsid w:val="005E47AD"/>
    <w:rsid w:val="005E48CA"/>
    <w:rsid w:val="005E4A8B"/>
    <w:rsid w:val="005E4B5E"/>
    <w:rsid w:val="005E4CA3"/>
    <w:rsid w:val="005E4F78"/>
    <w:rsid w:val="005E4F89"/>
    <w:rsid w:val="005E5163"/>
    <w:rsid w:val="005E51E7"/>
    <w:rsid w:val="005E5463"/>
    <w:rsid w:val="005E5543"/>
    <w:rsid w:val="005E557D"/>
    <w:rsid w:val="005E58FC"/>
    <w:rsid w:val="005E5BCA"/>
    <w:rsid w:val="005E5BF3"/>
    <w:rsid w:val="005E5E92"/>
    <w:rsid w:val="005E5E9D"/>
    <w:rsid w:val="005E5FA0"/>
    <w:rsid w:val="005E600A"/>
    <w:rsid w:val="005E6114"/>
    <w:rsid w:val="005E617A"/>
    <w:rsid w:val="005E6193"/>
    <w:rsid w:val="005E6538"/>
    <w:rsid w:val="005E6670"/>
    <w:rsid w:val="005E67C8"/>
    <w:rsid w:val="005E6A34"/>
    <w:rsid w:val="005E6AC6"/>
    <w:rsid w:val="005E6AD7"/>
    <w:rsid w:val="005E6BEC"/>
    <w:rsid w:val="005E6DA5"/>
    <w:rsid w:val="005E6EA8"/>
    <w:rsid w:val="005E7175"/>
    <w:rsid w:val="005E732B"/>
    <w:rsid w:val="005E7352"/>
    <w:rsid w:val="005E7481"/>
    <w:rsid w:val="005E789C"/>
    <w:rsid w:val="005E799F"/>
    <w:rsid w:val="005E7A4B"/>
    <w:rsid w:val="005E7BD4"/>
    <w:rsid w:val="005E7E03"/>
    <w:rsid w:val="005E7F44"/>
    <w:rsid w:val="005F00A5"/>
    <w:rsid w:val="005F00B1"/>
    <w:rsid w:val="005F02DC"/>
    <w:rsid w:val="005F0311"/>
    <w:rsid w:val="005F049B"/>
    <w:rsid w:val="005F04DD"/>
    <w:rsid w:val="005F095D"/>
    <w:rsid w:val="005F0AFE"/>
    <w:rsid w:val="005F0B33"/>
    <w:rsid w:val="005F0C66"/>
    <w:rsid w:val="005F0CAF"/>
    <w:rsid w:val="005F0E2F"/>
    <w:rsid w:val="005F0E6D"/>
    <w:rsid w:val="005F0F1E"/>
    <w:rsid w:val="005F10E8"/>
    <w:rsid w:val="005F12EB"/>
    <w:rsid w:val="005F13D8"/>
    <w:rsid w:val="005F1478"/>
    <w:rsid w:val="005F14B6"/>
    <w:rsid w:val="005F1566"/>
    <w:rsid w:val="005F1754"/>
    <w:rsid w:val="005F176F"/>
    <w:rsid w:val="005F1779"/>
    <w:rsid w:val="005F1825"/>
    <w:rsid w:val="005F18E6"/>
    <w:rsid w:val="005F1928"/>
    <w:rsid w:val="005F1AC2"/>
    <w:rsid w:val="005F1AD2"/>
    <w:rsid w:val="005F1BF2"/>
    <w:rsid w:val="005F1DE0"/>
    <w:rsid w:val="005F1FDE"/>
    <w:rsid w:val="005F21B7"/>
    <w:rsid w:val="005F2293"/>
    <w:rsid w:val="005F2316"/>
    <w:rsid w:val="005F23E6"/>
    <w:rsid w:val="005F242A"/>
    <w:rsid w:val="005F2475"/>
    <w:rsid w:val="005F2B20"/>
    <w:rsid w:val="005F2BF6"/>
    <w:rsid w:val="005F2C73"/>
    <w:rsid w:val="005F2E7B"/>
    <w:rsid w:val="005F3057"/>
    <w:rsid w:val="005F30DC"/>
    <w:rsid w:val="005F326C"/>
    <w:rsid w:val="005F32B6"/>
    <w:rsid w:val="005F32C4"/>
    <w:rsid w:val="005F35B7"/>
    <w:rsid w:val="005F39C8"/>
    <w:rsid w:val="005F3A1A"/>
    <w:rsid w:val="005F3ACB"/>
    <w:rsid w:val="005F3C33"/>
    <w:rsid w:val="005F3C59"/>
    <w:rsid w:val="005F3CC4"/>
    <w:rsid w:val="005F4125"/>
    <w:rsid w:val="005F419D"/>
    <w:rsid w:val="005F4235"/>
    <w:rsid w:val="005F4273"/>
    <w:rsid w:val="005F43DB"/>
    <w:rsid w:val="005F45CC"/>
    <w:rsid w:val="005F45D9"/>
    <w:rsid w:val="005F469F"/>
    <w:rsid w:val="005F488E"/>
    <w:rsid w:val="005F4969"/>
    <w:rsid w:val="005F4B42"/>
    <w:rsid w:val="005F4DF7"/>
    <w:rsid w:val="005F5140"/>
    <w:rsid w:val="005F53B9"/>
    <w:rsid w:val="005F548A"/>
    <w:rsid w:val="005F5499"/>
    <w:rsid w:val="005F5687"/>
    <w:rsid w:val="005F57D8"/>
    <w:rsid w:val="005F5919"/>
    <w:rsid w:val="005F59FE"/>
    <w:rsid w:val="005F5DD1"/>
    <w:rsid w:val="005F5E43"/>
    <w:rsid w:val="005F5EE1"/>
    <w:rsid w:val="005F615C"/>
    <w:rsid w:val="005F6396"/>
    <w:rsid w:val="005F63C4"/>
    <w:rsid w:val="005F64CC"/>
    <w:rsid w:val="005F668C"/>
    <w:rsid w:val="005F6778"/>
    <w:rsid w:val="005F6795"/>
    <w:rsid w:val="005F67CD"/>
    <w:rsid w:val="005F6978"/>
    <w:rsid w:val="005F6BB4"/>
    <w:rsid w:val="005F6BE6"/>
    <w:rsid w:val="005F6C1C"/>
    <w:rsid w:val="005F70FC"/>
    <w:rsid w:val="005F7130"/>
    <w:rsid w:val="005F71F5"/>
    <w:rsid w:val="005F7C5A"/>
    <w:rsid w:val="005F7C93"/>
    <w:rsid w:val="005F7D11"/>
    <w:rsid w:val="005F7D36"/>
    <w:rsid w:val="005F7F43"/>
    <w:rsid w:val="00600074"/>
    <w:rsid w:val="006004B9"/>
    <w:rsid w:val="0060064B"/>
    <w:rsid w:val="0060064C"/>
    <w:rsid w:val="006007FE"/>
    <w:rsid w:val="006008D3"/>
    <w:rsid w:val="006008F5"/>
    <w:rsid w:val="0060097F"/>
    <w:rsid w:val="00600A32"/>
    <w:rsid w:val="00600BE9"/>
    <w:rsid w:val="00600E0C"/>
    <w:rsid w:val="00600FE6"/>
    <w:rsid w:val="006011A8"/>
    <w:rsid w:val="0060155B"/>
    <w:rsid w:val="006015EF"/>
    <w:rsid w:val="0060162D"/>
    <w:rsid w:val="00601631"/>
    <w:rsid w:val="00601681"/>
    <w:rsid w:val="00601787"/>
    <w:rsid w:val="0060179B"/>
    <w:rsid w:val="0060183E"/>
    <w:rsid w:val="00601A39"/>
    <w:rsid w:val="00601AF2"/>
    <w:rsid w:val="00601C8F"/>
    <w:rsid w:val="00601DBA"/>
    <w:rsid w:val="00601E3E"/>
    <w:rsid w:val="00602008"/>
    <w:rsid w:val="00602029"/>
    <w:rsid w:val="006020A0"/>
    <w:rsid w:val="00602194"/>
    <w:rsid w:val="0060229D"/>
    <w:rsid w:val="0060244E"/>
    <w:rsid w:val="00602495"/>
    <w:rsid w:val="0060272E"/>
    <w:rsid w:val="0060274D"/>
    <w:rsid w:val="00602CDA"/>
    <w:rsid w:val="0060306C"/>
    <w:rsid w:val="00603517"/>
    <w:rsid w:val="006035C5"/>
    <w:rsid w:val="00603663"/>
    <w:rsid w:val="0060377F"/>
    <w:rsid w:val="006037BE"/>
    <w:rsid w:val="006037DA"/>
    <w:rsid w:val="006038FA"/>
    <w:rsid w:val="00603C4E"/>
    <w:rsid w:val="00603DB9"/>
    <w:rsid w:val="00603EAF"/>
    <w:rsid w:val="00603EBA"/>
    <w:rsid w:val="006043EA"/>
    <w:rsid w:val="0060463D"/>
    <w:rsid w:val="0060466E"/>
    <w:rsid w:val="00604790"/>
    <w:rsid w:val="00604857"/>
    <w:rsid w:val="00604A06"/>
    <w:rsid w:val="00604AAB"/>
    <w:rsid w:val="00604F07"/>
    <w:rsid w:val="00604F97"/>
    <w:rsid w:val="0060534A"/>
    <w:rsid w:val="0060566F"/>
    <w:rsid w:val="00605903"/>
    <w:rsid w:val="006059CB"/>
    <w:rsid w:val="00605D6E"/>
    <w:rsid w:val="00605E61"/>
    <w:rsid w:val="00605F35"/>
    <w:rsid w:val="0060625E"/>
    <w:rsid w:val="0060648C"/>
    <w:rsid w:val="0060661E"/>
    <w:rsid w:val="00606742"/>
    <w:rsid w:val="006067EF"/>
    <w:rsid w:val="006068E6"/>
    <w:rsid w:val="00606A12"/>
    <w:rsid w:val="00606C93"/>
    <w:rsid w:val="0060719C"/>
    <w:rsid w:val="00607303"/>
    <w:rsid w:val="0060775A"/>
    <w:rsid w:val="006079AD"/>
    <w:rsid w:val="00607A92"/>
    <w:rsid w:val="00607A93"/>
    <w:rsid w:val="00607BA5"/>
    <w:rsid w:val="00607C68"/>
    <w:rsid w:val="00607CDC"/>
    <w:rsid w:val="006100CB"/>
    <w:rsid w:val="0061036C"/>
    <w:rsid w:val="0061064C"/>
    <w:rsid w:val="0061081E"/>
    <w:rsid w:val="00610A9D"/>
    <w:rsid w:val="00610AA5"/>
    <w:rsid w:val="00610AC6"/>
    <w:rsid w:val="00610AF7"/>
    <w:rsid w:val="00610AFA"/>
    <w:rsid w:val="00610B8C"/>
    <w:rsid w:val="00610CF8"/>
    <w:rsid w:val="00610DA5"/>
    <w:rsid w:val="00610F2C"/>
    <w:rsid w:val="00611013"/>
    <w:rsid w:val="006110B2"/>
    <w:rsid w:val="00611113"/>
    <w:rsid w:val="00611120"/>
    <w:rsid w:val="00611451"/>
    <w:rsid w:val="006114DE"/>
    <w:rsid w:val="006116B7"/>
    <w:rsid w:val="006116DF"/>
    <w:rsid w:val="006117CF"/>
    <w:rsid w:val="006117FB"/>
    <w:rsid w:val="0061185D"/>
    <w:rsid w:val="006119F4"/>
    <w:rsid w:val="00611A4E"/>
    <w:rsid w:val="00611C6C"/>
    <w:rsid w:val="00612092"/>
    <w:rsid w:val="00612177"/>
    <w:rsid w:val="0061218C"/>
    <w:rsid w:val="006123BA"/>
    <w:rsid w:val="006123F8"/>
    <w:rsid w:val="006124FC"/>
    <w:rsid w:val="00612540"/>
    <w:rsid w:val="006125DB"/>
    <w:rsid w:val="006127DF"/>
    <w:rsid w:val="006128AD"/>
    <w:rsid w:val="00612999"/>
    <w:rsid w:val="006129E3"/>
    <w:rsid w:val="00612A13"/>
    <w:rsid w:val="00612B25"/>
    <w:rsid w:val="00612B4A"/>
    <w:rsid w:val="00612B76"/>
    <w:rsid w:val="00612B9D"/>
    <w:rsid w:val="00612CC2"/>
    <w:rsid w:val="00612E5D"/>
    <w:rsid w:val="00612FD1"/>
    <w:rsid w:val="006131B3"/>
    <w:rsid w:val="006131C6"/>
    <w:rsid w:val="006134C7"/>
    <w:rsid w:val="006134EF"/>
    <w:rsid w:val="00613601"/>
    <w:rsid w:val="00613798"/>
    <w:rsid w:val="00613803"/>
    <w:rsid w:val="00613831"/>
    <w:rsid w:val="00613889"/>
    <w:rsid w:val="00613C5B"/>
    <w:rsid w:val="00613CD7"/>
    <w:rsid w:val="00613E27"/>
    <w:rsid w:val="006141B1"/>
    <w:rsid w:val="00614308"/>
    <w:rsid w:val="00614351"/>
    <w:rsid w:val="006143D9"/>
    <w:rsid w:val="0061456F"/>
    <w:rsid w:val="00614699"/>
    <w:rsid w:val="006146D7"/>
    <w:rsid w:val="00614867"/>
    <w:rsid w:val="00614C36"/>
    <w:rsid w:val="00614CCE"/>
    <w:rsid w:val="00614CD4"/>
    <w:rsid w:val="00614D24"/>
    <w:rsid w:val="00614F3C"/>
    <w:rsid w:val="00614F9C"/>
    <w:rsid w:val="006150D5"/>
    <w:rsid w:val="00615279"/>
    <w:rsid w:val="00615570"/>
    <w:rsid w:val="0061557F"/>
    <w:rsid w:val="00615707"/>
    <w:rsid w:val="006158FF"/>
    <w:rsid w:val="006159B0"/>
    <w:rsid w:val="006159C3"/>
    <w:rsid w:val="00615C7A"/>
    <w:rsid w:val="00615D68"/>
    <w:rsid w:val="00615D6E"/>
    <w:rsid w:val="00615FED"/>
    <w:rsid w:val="006161A1"/>
    <w:rsid w:val="0061640A"/>
    <w:rsid w:val="0061667B"/>
    <w:rsid w:val="006168B7"/>
    <w:rsid w:val="006168CD"/>
    <w:rsid w:val="00616971"/>
    <w:rsid w:val="00616B65"/>
    <w:rsid w:val="00616BD4"/>
    <w:rsid w:val="00616C90"/>
    <w:rsid w:val="00616F0D"/>
    <w:rsid w:val="0061700E"/>
    <w:rsid w:val="006170C6"/>
    <w:rsid w:val="006170C8"/>
    <w:rsid w:val="006170EC"/>
    <w:rsid w:val="006170F2"/>
    <w:rsid w:val="0061734D"/>
    <w:rsid w:val="0061741B"/>
    <w:rsid w:val="0061776A"/>
    <w:rsid w:val="006178B4"/>
    <w:rsid w:val="00617A02"/>
    <w:rsid w:val="00617AEE"/>
    <w:rsid w:val="00617CB4"/>
    <w:rsid w:val="00617E11"/>
    <w:rsid w:val="00617EEB"/>
    <w:rsid w:val="0062012A"/>
    <w:rsid w:val="00620391"/>
    <w:rsid w:val="006208A8"/>
    <w:rsid w:val="0062098E"/>
    <w:rsid w:val="0062099C"/>
    <w:rsid w:val="00620A59"/>
    <w:rsid w:val="00620B84"/>
    <w:rsid w:val="00620DEE"/>
    <w:rsid w:val="00620EAC"/>
    <w:rsid w:val="00620ED0"/>
    <w:rsid w:val="00620FBF"/>
    <w:rsid w:val="00620FD2"/>
    <w:rsid w:val="00621025"/>
    <w:rsid w:val="00621053"/>
    <w:rsid w:val="006210B3"/>
    <w:rsid w:val="006211ED"/>
    <w:rsid w:val="00621451"/>
    <w:rsid w:val="00621492"/>
    <w:rsid w:val="00621507"/>
    <w:rsid w:val="00621723"/>
    <w:rsid w:val="0062193D"/>
    <w:rsid w:val="00621981"/>
    <w:rsid w:val="00621D4B"/>
    <w:rsid w:val="00622062"/>
    <w:rsid w:val="00622115"/>
    <w:rsid w:val="0062212F"/>
    <w:rsid w:val="00622362"/>
    <w:rsid w:val="00622535"/>
    <w:rsid w:val="00622661"/>
    <w:rsid w:val="0062277A"/>
    <w:rsid w:val="0062294F"/>
    <w:rsid w:val="006229A8"/>
    <w:rsid w:val="00622A64"/>
    <w:rsid w:val="00622A75"/>
    <w:rsid w:val="00622ABD"/>
    <w:rsid w:val="00622BF5"/>
    <w:rsid w:val="00622CDB"/>
    <w:rsid w:val="006230AB"/>
    <w:rsid w:val="00623470"/>
    <w:rsid w:val="00623516"/>
    <w:rsid w:val="006235A0"/>
    <w:rsid w:val="006235AB"/>
    <w:rsid w:val="0062375E"/>
    <w:rsid w:val="00623869"/>
    <w:rsid w:val="006239B1"/>
    <w:rsid w:val="00623A5E"/>
    <w:rsid w:val="00623A9E"/>
    <w:rsid w:val="00623D6F"/>
    <w:rsid w:val="00623FAC"/>
    <w:rsid w:val="00623FDF"/>
    <w:rsid w:val="00624233"/>
    <w:rsid w:val="006243FE"/>
    <w:rsid w:val="00624693"/>
    <w:rsid w:val="00624AE8"/>
    <w:rsid w:val="00624AEB"/>
    <w:rsid w:val="00624B82"/>
    <w:rsid w:val="00624CB0"/>
    <w:rsid w:val="00624E91"/>
    <w:rsid w:val="0062514C"/>
    <w:rsid w:val="006254A7"/>
    <w:rsid w:val="006254E0"/>
    <w:rsid w:val="00625510"/>
    <w:rsid w:val="006257A7"/>
    <w:rsid w:val="0062591F"/>
    <w:rsid w:val="006259E3"/>
    <w:rsid w:val="00625AFD"/>
    <w:rsid w:val="00625C26"/>
    <w:rsid w:val="00625E84"/>
    <w:rsid w:val="00625FAE"/>
    <w:rsid w:val="0062605A"/>
    <w:rsid w:val="00626286"/>
    <w:rsid w:val="006263F6"/>
    <w:rsid w:val="006265D6"/>
    <w:rsid w:val="0062660C"/>
    <w:rsid w:val="00626784"/>
    <w:rsid w:val="0062681B"/>
    <w:rsid w:val="006268A8"/>
    <w:rsid w:val="00626C14"/>
    <w:rsid w:val="00626EB2"/>
    <w:rsid w:val="006270E7"/>
    <w:rsid w:val="0062710E"/>
    <w:rsid w:val="00627622"/>
    <w:rsid w:val="006277F3"/>
    <w:rsid w:val="00627806"/>
    <w:rsid w:val="00627838"/>
    <w:rsid w:val="00627D44"/>
    <w:rsid w:val="00627DAD"/>
    <w:rsid w:val="00627E40"/>
    <w:rsid w:val="00627F3C"/>
    <w:rsid w:val="00627FB4"/>
    <w:rsid w:val="00630131"/>
    <w:rsid w:val="00630169"/>
    <w:rsid w:val="006301C4"/>
    <w:rsid w:val="0063034D"/>
    <w:rsid w:val="006303D2"/>
    <w:rsid w:val="00630569"/>
    <w:rsid w:val="006306C8"/>
    <w:rsid w:val="006309C6"/>
    <w:rsid w:val="00630AD8"/>
    <w:rsid w:val="00630CBA"/>
    <w:rsid w:val="00630D22"/>
    <w:rsid w:val="00630D3E"/>
    <w:rsid w:val="00630E80"/>
    <w:rsid w:val="00630F24"/>
    <w:rsid w:val="0063107B"/>
    <w:rsid w:val="00631105"/>
    <w:rsid w:val="00631176"/>
    <w:rsid w:val="006312A3"/>
    <w:rsid w:val="00631A7E"/>
    <w:rsid w:val="00631AF0"/>
    <w:rsid w:val="00631B4B"/>
    <w:rsid w:val="00631C48"/>
    <w:rsid w:val="00631D24"/>
    <w:rsid w:val="00631D88"/>
    <w:rsid w:val="0063203E"/>
    <w:rsid w:val="00632067"/>
    <w:rsid w:val="0063209D"/>
    <w:rsid w:val="00632155"/>
    <w:rsid w:val="006323C7"/>
    <w:rsid w:val="0063243E"/>
    <w:rsid w:val="006324CD"/>
    <w:rsid w:val="006324DE"/>
    <w:rsid w:val="00632642"/>
    <w:rsid w:val="006327B6"/>
    <w:rsid w:val="0063296C"/>
    <w:rsid w:val="0063299F"/>
    <w:rsid w:val="00632A99"/>
    <w:rsid w:val="00632AC8"/>
    <w:rsid w:val="00632BFD"/>
    <w:rsid w:val="00632CD2"/>
    <w:rsid w:val="00632E23"/>
    <w:rsid w:val="00632FEF"/>
    <w:rsid w:val="00633057"/>
    <w:rsid w:val="0063309E"/>
    <w:rsid w:val="006330EF"/>
    <w:rsid w:val="00633200"/>
    <w:rsid w:val="00633314"/>
    <w:rsid w:val="006333E9"/>
    <w:rsid w:val="0063366C"/>
    <w:rsid w:val="006336B6"/>
    <w:rsid w:val="006337F8"/>
    <w:rsid w:val="00633868"/>
    <w:rsid w:val="006339A4"/>
    <w:rsid w:val="006339E7"/>
    <w:rsid w:val="00633B61"/>
    <w:rsid w:val="00633D70"/>
    <w:rsid w:val="006340D6"/>
    <w:rsid w:val="0063422F"/>
    <w:rsid w:val="00634454"/>
    <w:rsid w:val="006346FE"/>
    <w:rsid w:val="006347B3"/>
    <w:rsid w:val="006347C9"/>
    <w:rsid w:val="00634A9F"/>
    <w:rsid w:val="00634D43"/>
    <w:rsid w:val="00634E8D"/>
    <w:rsid w:val="00635063"/>
    <w:rsid w:val="006350E4"/>
    <w:rsid w:val="006350EC"/>
    <w:rsid w:val="0063517B"/>
    <w:rsid w:val="006352DE"/>
    <w:rsid w:val="006353F8"/>
    <w:rsid w:val="00635757"/>
    <w:rsid w:val="00635931"/>
    <w:rsid w:val="006359A6"/>
    <w:rsid w:val="00635A3F"/>
    <w:rsid w:val="00635B62"/>
    <w:rsid w:val="00635BED"/>
    <w:rsid w:val="00635BF8"/>
    <w:rsid w:val="00635D9A"/>
    <w:rsid w:val="00635E97"/>
    <w:rsid w:val="00635EAF"/>
    <w:rsid w:val="00636063"/>
    <w:rsid w:val="00636347"/>
    <w:rsid w:val="0063636A"/>
    <w:rsid w:val="00636484"/>
    <w:rsid w:val="00636725"/>
    <w:rsid w:val="00636979"/>
    <w:rsid w:val="006369D5"/>
    <w:rsid w:val="00636A8F"/>
    <w:rsid w:val="00636DC4"/>
    <w:rsid w:val="00636E15"/>
    <w:rsid w:val="00636EE8"/>
    <w:rsid w:val="0063702F"/>
    <w:rsid w:val="006371DA"/>
    <w:rsid w:val="00637268"/>
    <w:rsid w:val="00637534"/>
    <w:rsid w:val="00637764"/>
    <w:rsid w:val="00637D71"/>
    <w:rsid w:val="00637DF3"/>
    <w:rsid w:val="00637EE4"/>
    <w:rsid w:val="00637F20"/>
    <w:rsid w:val="006401FA"/>
    <w:rsid w:val="00640379"/>
    <w:rsid w:val="006403AE"/>
    <w:rsid w:val="0064063E"/>
    <w:rsid w:val="00640666"/>
    <w:rsid w:val="006407E5"/>
    <w:rsid w:val="006408A2"/>
    <w:rsid w:val="00640B31"/>
    <w:rsid w:val="00640BC7"/>
    <w:rsid w:val="00640C53"/>
    <w:rsid w:val="00640D94"/>
    <w:rsid w:val="00640DB3"/>
    <w:rsid w:val="00640DF6"/>
    <w:rsid w:val="006410E7"/>
    <w:rsid w:val="00641106"/>
    <w:rsid w:val="006415E4"/>
    <w:rsid w:val="0064179A"/>
    <w:rsid w:val="006418DB"/>
    <w:rsid w:val="00641C55"/>
    <w:rsid w:val="00641D2F"/>
    <w:rsid w:val="00641E2F"/>
    <w:rsid w:val="00641E3D"/>
    <w:rsid w:val="00641F4E"/>
    <w:rsid w:val="00642074"/>
    <w:rsid w:val="0064218C"/>
    <w:rsid w:val="00642319"/>
    <w:rsid w:val="00642438"/>
    <w:rsid w:val="00642582"/>
    <w:rsid w:val="0064265A"/>
    <w:rsid w:val="006427F6"/>
    <w:rsid w:val="006428CD"/>
    <w:rsid w:val="006429FE"/>
    <w:rsid w:val="00642CD0"/>
    <w:rsid w:val="00642E34"/>
    <w:rsid w:val="00642F69"/>
    <w:rsid w:val="00643012"/>
    <w:rsid w:val="0064316B"/>
    <w:rsid w:val="00643186"/>
    <w:rsid w:val="006433B9"/>
    <w:rsid w:val="00643405"/>
    <w:rsid w:val="006435D9"/>
    <w:rsid w:val="00643629"/>
    <w:rsid w:val="006438B8"/>
    <w:rsid w:val="006438F6"/>
    <w:rsid w:val="006439AD"/>
    <w:rsid w:val="00643A96"/>
    <w:rsid w:val="00643AB2"/>
    <w:rsid w:val="00643AD2"/>
    <w:rsid w:val="00643B22"/>
    <w:rsid w:val="00643B4F"/>
    <w:rsid w:val="00643BA2"/>
    <w:rsid w:val="00643D18"/>
    <w:rsid w:val="00643DEB"/>
    <w:rsid w:val="00643E14"/>
    <w:rsid w:val="00643F35"/>
    <w:rsid w:val="0064431A"/>
    <w:rsid w:val="006443E5"/>
    <w:rsid w:val="00644480"/>
    <w:rsid w:val="00644612"/>
    <w:rsid w:val="006449B9"/>
    <w:rsid w:val="00644AAE"/>
    <w:rsid w:val="00644AD1"/>
    <w:rsid w:val="00644E65"/>
    <w:rsid w:val="00644F72"/>
    <w:rsid w:val="006450D1"/>
    <w:rsid w:val="00645124"/>
    <w:rsid w:val="00645257"/>
    <w:rsid w:val="00645479"/>
    <w:rsid w:val="006456F2"/>
    <w:rsid w:val="0064575C"/>
    <w:rsid w:val="0064585B"/>
    <w:rsid w:val="0064585F"/>
    <w:rsid w:val="00645998"/>
    <w:rsid w:val="006459F6"/>
    <w:rsid w:val="00645BA2"/>
    <w:rsid w:val="00645D32"/>
    <w:rsid w:val="00645E8B"/>
    <w:rsid w:val="00645F8D"/>
    <w:rsid w:val="00646025"/>
    <w:rsid w:val="0064606B"/>
    <w:rsid w:val="00646204"/>
    <w:rsid w:val="00646424"/>
    <w:rsid w:val="0064655B"/>
    <w:rsid w:val="0064668F"/>
    <w:rsid w:val="006466A1"/>
    <w:rsid w:val="00646726"/>
    <w:rsid w:val="006467BE"/>
    <w:rsid w:val="00646BA1"/>
    <w:rsid w:val="00646EF5"/>
    <w:rsid w:val="00647022"/>
    <w:rsid w:val="0064706E"/>
    <w:rsid w:val="00647137"/>
    <w:rsid w:val="0064734D"/>
    <w:rsid w:val="006473F3"/>
    <w:rsid w:val="00647463"/>
    <w:rsid w:val="00647650"/>
    <w:rsid w:val="00647685"/>
    <w:rsid w:val="00647C41"/>
    <w:rsid w:val="00647D87"/>
    <w:rsid w:val="00647DDB"/>
    <w:rsid w:val="00647DEA"/>
    <w:rsid w:val="00647EF6"/>
    <w:rsid w:val="00650055"/>
    <w:rsid w:val="006500BB"/>
    <w:rsid w:val="006500BF"/>
    <w:rsid w:val="00650131"/>
    <w:rsid w:val="00650221"/>
    <w:rsid w:val="0065025A"/>
    <w:rsid w:val="00650274"/>
    <w:rsid w:val="00650289"/>
    <w:rsid w:val="00650538"/>
    <w:rsid w:val="006505EE"/>
    <w:rsid w:val="0065064E"/>
    <w:rsid w:val="00650969"/>
    <w:rsid w:val="00650A57"/>
    <w:rsid w:val="00650BB9"/>
    <w:rsid w:val="00650BE6"/>
    <w:rsid w:val="00650D25"/>
    <w:rsid w:val="00650E81"/>
    <w:rsid w:val="00650ED5"/>
    <w:rsid w:val="00650FCD"/>
    <w:rsid w:val="00651548"/>
    <w:rsid w:val="006515C2"/>
    <w:rsid w:val="006516BD"/>
    <w:rsid w:val="00651759"/>
    <w:rsid w:val="006517A2"/>
    <w:rsid w:val="00651821"/>
    <w:rsid w:val="00651A00"/>
    <w:rsid w:val="00651C37"/>
    <w:rsid w:val="00651CC9"/>
    <w:rsid w:val="00651E3E"/>
    <w:rsid w:val="0065202A"/>
    <w:rsid w:val="006520AF"/>
    <w:rsid w:val="006521AE"/>
    <w:rsid w:val="00652364"/>
    <w:rsid w:val="00652B1E"/>
    <w:rsid w:val="00652C97"/>
    <w:rsid w:val="00652CAA"/>
    <w:rsid w:val="00652E2D"/>
    <w:rsid w:val="00652E8B"/>
    <w:rsid w:val="00653105"/>
    <w:rsid w:val="00653132"/>
    <w:rsid w:val="006532D7"/>
    <w:rsid w:val="00653302"/>
    <w:rsid w:val="0065343D"/>
    <w:rsid w:val="00653493"/>
    <w:rsid w:val="0065353C"/>
    <w:rsid w:val="0065356B"/>
    <w:rsid w:val="0065362C"/>
    <w:rsid w:val="0065370B"/>
    <w:rsid w:val="0065374D"/>
    <w:rsid w:val="0065381E"/>
    <w:rsid w:val="00653879"/>
    <w:rsid w:val="00653898"/>
    <w:rsid w:val="00653DF3"/>
    <w:rsid w:val="00653DFB"/>
    <w:rsid w:val="00653E06"/>
    <w:rsid w:val="00653EC4"/>
    <w:rsid w:val="00653ECB"/>
    <w:rsid w:val="00653F03"/>
    <w:rsid w:val="0065404B"/>
    <w:rsid w:val="00654067"/>
    <w:rsid w:val="00654090"/>
    <w:rsid w:val="006540C9"/>
    <w:rsid w:val="00654212"/>
    <w:rsid w:val="0065433E"/>
    <w:rsid w:val="00654475"/>
    <w:rsid w:val="006544FB"/>
    <w:rsid w:val="0065459C"/>
    <w:rsid w:val="006547B8"/>
    <w:rsid w:val="006547C0"/>
    <w:rsid w:val="00654BAE"/>
    <w:rsid w:val="00654BEB"/>
    <w:rsid w:val="00654DF2"/>
    <w:rsid w:val="00654DFF"/>
    <w:rsid w:val="00654E28"/>
    <w:rsid w:val="00654FB5"/>
    <w:rsid w:val="00655177"/>
    <w:rsid w:val="00655216"/>
    <w:rsid w:val="0065531D"/>
    <w:rsid w:val="00655396"/>
    <w:rsid w:val="00655469"/>
    <w:rsid w:val="00655491"/>
    <w:rsid w:val="0065571B"/>
    <w:rsid w:val="00655B38"/>
    <w:rsid w:val="00655CB9"/>
    <w:rsid w:val="00655D6D"/>
    <w:rsid w:val="00655EA5"/>
    <w:rsid w:val="006560DE"/>
    <w:rsid w:val="006560F3"/>
    <w:rsid w:val="006562A0"/>
    <w:rsid w:val="0065630B"/>
    <w:rsid w:val="0065652A"/>
    <w:rsid w:val="00656651"/>
    <w:rsid w:val="00656652"/>
    <w:rsid w:val="00656771"/>
    <w:rsid w:val="00656A96"/>
    <w:rsid w:val="00656ABE"/>
    <w:rsid w:val="00656BFC"/>
    <w:rsid w:val="00656F14"/>
    <w:rsid w:val="00656F47"/>
    <w:rsid w:val="0065718D"/>
    <w:rsid w:val="00657238"/>
    <w:rsid w:val="006573C3"/>
    <w:rsid w:val="006573D9"/>
    <w:rsid w:val="006573E2"/>
    <w:rsid w:val="006574AA"/>
    <w:rsid w:val="00657509"/>
    <w:rsid w:val="0065756C"/>
    <w:rsid w:val="00657690"/>
    <w:rsid w:val="00657771"/>
    <w:rsid w:val="00657891"/>
    <w:rsid w:val="00657921"/>
    <w:rsid w:val="0065795B"/>
    <w:rsid w:val="00657A1A"/>
    <w:rsid w:val="00657A1E"/>
    <w:rsid w:val="00657C4A"/>
    <w:rsid w:val="00657D1D"/>
    <w:rsid w:val="00657F6C"/>
    <w:rsid w:val="0066005A"/>
    <w:rsid w:val="006600CB"/>
    <w:rsid w:val="006600CC"/>
    <w:rsid w:val="00660180"/>
    <w:rsid w:val="0066028A"/>
    <w:rsid w:val="006605A0"/>
    <w:rsid w:val="006606F5"/>
    <w:rsid w:val="0066084A"/>
    <w:rsid w:val="00660882"/>
    <w:rsid w:val="00660964"/>
    <w:rsid w:val="00660A7D"/>
    <w:rsid w:val="00660ABB"/>
    <w:rsid w:val="00660ACA"/>
    <w:rsid w:val="00660ACF"/>
    <w:rsid w:val="00660BA6"/>
    <w:rsid w:val="00660BEE"/>
    <w:rsid w:val="00661282"/>
    <w:rsid w:val="0066132A"/>
    <w:rsid w:val="0066145F"/>
    <w:rsid w:val="006616C8"/>
    <w:rsid w:val="006618EB"/>
    <w:rsid w:val="00661BE6"/>
    <w:rsid w:val="00661C92"/>
    <w:rsid w:val="00662103"/>
    <w:rsid w:val="0066215F"/>
    <w:rsid w:val="006623C3"/>
    <w:rsid w:val="006623DF"/>
    <w:rsid w:val="006625E9"/>
    <w:rsid w:val="0066265D"/>
    <w:rsid w:val="00662AB5"/>
    <w:rsid w:val="00662DB0"/>
    <w:rsid w:val="00662F50"/>
    <w:rsid w:val="006630C6"/>
    <w:rsid w:val="0066311E"/>
    <w:rsid w:val="00663230"/>
    <w:rsid w:val="006632AC"/>
    <w:rsid w:val="00663342"/>
    <w:rsid w:val="0066335C"/>
    <w:rsid w:val="006633DB"/>
    <w:rsid w:val="00663681"/>
    <w:rsid w:val="0066384D"/>
    <w:rsid w:val="006638C7"/>
    <w:rsid w:val="006638E5"/>
    <w:rsid w:val="00663A73"/>
    <w:rsid w:val="00663A9F"/>
    <w:rsid w:val="00663CA5"/>
    <w:rsid w:val="00663E6F"/>
    <w:rsid w:val="00663EFD"/>
    <w:rsid w:val="0066401B"/>
    <w:rsid w:val="0066438E"/>
    <w:rsid w:val="006643A8"/>
    <w:rsid w:val="006644E0"/>
    <w:rsid w:val="00664672"/>
    <w:rsid w:val="006646DE"/>
    <w:rsid w:val="00664743"/>
    <w:rsid w:val="0066474E"/>
    <w:rsid w:val="00664B04"/>
    <w:rsid w:val="00664B51"/>
    <w:rsid w:val="00664D63"/>
    <w:rsid w:val="00664D8B"/>
    <w:rsid w:val="00665219"/>
    <w:rsid w:val="0066521D"/>
    <w:rsid w:val="0066524B"/>
    <w:rsid w:val="00665340"/>
    <w:rsid w:val="0066546B"/>
    <w:rsid w:val="00665922"/>
    <w:rsid w:val="00665A13"/>
    <w:rsid w:val="00665DE7"/>
    <w:rsid w:val="00665E01"/>
    <w:rsid w:val="00665E14"/>
    <w:rsid w:val="00665F7B"/>
    <w:rsid w:val="00665F80"/>
    <w:rsid w:val="0066623B"/>
    <w:rsid w:val="00666274"/>
    <w:rsid w:val="0066627F"/>
    <w:rsid w:val="006662DD"/>
    <w:rsid w:val="0066631F"/>
    <w:rsid w:val="0066645A"/>
    <w:rsid w:val="006664D8"/>
    <w:rsid w:val="0066677B"/>
    <w:rsid w:val="0066683F"/>
    <w:rsid w:val="00666A7A"/>
    <w:rsid w:val="00666ABA"/>
    <w:rsid w:val="00666C6B"/>
    <w:rsid w:val="00666EE4"/>
    <w:rsid w:val="00666F18"/>
    <w:rsid w:val="00667055"/>
    <w:rsid w:val="006671FF"/>
    <w:rsid w:val="006675E3"/>
    <w:rsid w:val="0066760E"/>
    <w:rsid w:val="00667656"/>
    <w:rsid w:val="006676AB"/>
    <w:rsid w:val="006676C2"/>
    <w:rsid w:val="00667745"/>
    <w:rsid w:val="00667BE5"/>
    <w:rsid w:val="00667C29"/>
    <w:rsid w:val="00667D71"/>
    <w:rsid w:val="00667E81"/>
    <w:rsid w:val="00667F3A"/>
    <w:rsid w:val="00667FF5"/>
    <w:rsid w:val="00670015"/>
    <w:rsid w:val="006700A2"/>
    <w:rsid w:val="00670391"/>
    <w:rsid w:val="006704C4"/>
    <w:rsid w:val="006705EE"/>
    <w:rsid w:val="00670641"/>
    <w:rsid w:val="0067077B"/>
    <w:rsid w:val="00670783"/>
    <w:rsid w:val="00670798"/>
    <w:rsid w:val="00670944"/>
    <w:rsid w:val="0067098A"/>
    <w:rsid w:val="006709F6"/>
    <w:rsid w:val="00670ACD"/>
    <w:rsid w:val="006710E1"/>
    <w:rsid w:val="006710F0"/>
    <w:rsid w:val="00671255"/>
    <w:rsid w:val="0067131A"/>
    <w:rsid w:val="00671621"/>
    <w:rsid w:val="0067181F"/>
    <w:rsid w:val="0067197B"/>
    <w:rsid w:val="00671A51"/>
    <w:rsid w:val="00671A91"/>
    <w:rsid w:val="00671CB0"/>
    <w:rsid w:val="00671D36"/>
    <w:rsid w:val="00671D5F"/>
    <w:rsid w:val="00671D63"/>
    <w:rsid w:val="00671D68"/>
    <w:rsid w:val="00671D87"/>
    <w:rsid w:val="00671EC1"/>
    <w:rsid w:val="00672061"/>
    <w:rsid w:val="0067235E"/>
    <w:rsid w:val="0067244B"/>
    <w:rsid w:val="00672630"/>
    <w:rsid w:val="00672660"/>
    <w:rsid w:val="0067271F"/>
    <w:rsid w:val="0067284B"/>
    <w:rsid w:val="00672C8A"/>
    <w:rsid w:val="00672D3B"/>
    <w:rsid w:val="00672DA2"/>
    <w:rsid w:val="00672FCA"/>
    <w:rsid w:val="00673127"/>
    <w:rsid w:val="0067332C"/>
    <w:rsid w:val="00673391"/>
    <w:rsid w:val="006733A0"/>
    <w:rsid w:val="006734E1"/>
    <w:rsid w:val="00673588"/>
    <w:rsid w:val="0067358D"/>
    <w:rsid w:val="00673AF4"/>
    <w:rsid w:val="00673D58"/>
    <w:rsid w:val="00673EA9"/>
    <w:rsid w:val="00674260"/>
    <w:rsid w:val="00674505"/>
    <w:rsid w:val="00674506"/>
    <w:rsid w:val="0067486C"/>
    <w:rsid w:val="00674998"/>
    <w:rsid w:val="00674AEB"/>
    <w:rsid w:val="00674B58"/>
    <w:rsid w:val="00674E1B"/>
    <w:rsid w:val="00674E50"/>
    <w:rsid w:val="00674E8F"/>
    <w:rsid w:val="00674F23"/>
    <w:rsid w:val="00675156"/>
    <w:rsid w:val="00675192"/>
    <w:rsid w:val="00675268"/>
    <w:rsid w:val="006753A6"/>
    <w:rsid w:val="00675480"/>
    <w:rsid w:val="006754C9"/>
    <w:rsid w:val="00675663"/>
    <w:rsid w:val="00675956"/>
    <w:rsid w:val="00675A12"/>
    <w:rsid w:val="00675B9F"/>
    <w:rsid w:val="00675C4C"/>
    <w:rsid w:val="00675C66"/>
    <w:rsid w:val="00675DCF"/>
    <w:rsid w:val="006760E1"/>
    <w:rsid w:val="006760FA"/>
    <w:rsid w:val="0067615B"/>
    <w:rsid w:val="006761CB"/>
    <w:rsid w:val="00676243"/>
    <w:rsid w:val="006767A4"/>
    <w:rsid w:val="006767EC"/>
    <w:rsid w:val="006769D6"/>
    <w:rsid w:val="00676A0D"/>
    <w:rsid w:val="00676C55"/>
    <w:rsid w:val="00676E6F"/>
    <w:rsid w:val="00676F9D"/>
    <w:rsid w:val="0067706E"/>
    <w:rsid w:val="00677358"/>
    <w:rsid w:val="00677507"/>
    <w:rsid w:val="00677782"/>
    <w:rsid w:val="006779DE"/>
    <w:rsid w:val="00677BCC"/>
    <w:rsid w:val="00677BFC"/>
    <w:rsid w:val="00677C34"/>
    <w:rsid w:val="00677CEF"/>
    <w:rsid w:val="00677DF6"/>
    <w:rsid w:val="00677FE6"/>
    <w:rsid w:val="006800F0"/>
    <w:rsid w:val="00680253"/>
    <w:rsid w:val="0068026D"/>
    <w:rsid w:val="00680281"/>
    <w:rsid w:val="00680318"/>
    <w:rsid w:val="00680460"/>
    <w:rsid w:val="00680915"/>
    <w:rsid w:val="00680987"/>
    <w:rsid w:val="00680B18"/>
    <w:rsid w:val="00680D0B"/>
    <w:rsid w:val="00680D41"/>
    <w:rsid w:val="00680DA6"/>
    <w:rsid w:val="00681017"/>
    <w:rsid w:val="0068130E"/>
    <w:rsid w:val="00681324"/>
    <w:rsid w:val="0068162A"/>
    <w:rsid w:val="006816CF"/>
    <w:rsid w:val="0068187E"/>
    <w:rsid w:val="0068197D"/>
    <w:rsid w:val="00681A62"/>
    <w:rsid w:val="00681B10"/>
    <w:rsid w:val="00681C69"/>
    <w:rsid w:val="00682147"/>
    <w:rsid w:val="006822DB"/>
    <w:rsid w:val="00682300"/>
    <w:rsid w:val="00682307"/>
    <w:rsid w:val="0068231D"/>
    <w:rsid w:val="006823DA"/>
    <w:rsid w:val="00682486"/>
    <w:rsid w:val="006824B9"/>
    <w:rsid w:val="00682632"/>
    <w:rsid w:val="006826BA"/>
    <w:rsid w:val="006826D3"/>
    <w:rsid w:val="0068282D"/>
    <w:rsid w:val="00682837"/>
    <w:rsid w:val="00682B5D"/>
    <w:rsid w:val="00682B9C"/>
    <w:rsid w:val="00682BB4"/>
    <w:rsid w:val="00682C75"/>
    <w:rsid w:val="00682E26"/>
    <w:rsid w:val="00682E74"/>
    <w:rsid w:val="00682E8B"/>
    <w:rsid w:val="00682EE6"/>
    <w:rsid w:val="00683006"/>
    <w:rsid w:val="00683045"/>
    <w:rsid w:val="0068325A"/>
    <w:rsid w:val="006837D9"/>
    <w:rsid w:val="006839ED"/>
    <w:rsid w:val="00683F38"/>
    <w:rsid w:val="0068407A"/>
    <w:rsid w:val="00684136"/>
    <w:rsid w:val="0068422B"/>
    <w:rsid w:val="006843D7"/>
    <w:rsid w:val="00684412"/>
    <w:rsid w:val="006845A6"/>
    <w:rsid w:val="00684648"/>
    <w:rsid w:val="00684868"/>
    <w:rsid w:val="00684A16"/>
    <w:rsid w:val="00684A3E"/>
    <w:rsid w:val="00684C7B"/>
    <w:rsid w:val="00684CEC"/>
    <w:rsid w:val="00684DD1"/>
    <w:rsid w:val="00684E3F"/>
    <w:rsid w:val="00684E78"/>
    <w:rsid w:val="00685011"/>
    <w:rsid w:val="0068507D"/>
    <w:rsid w:val="00685084"/>
    <w:rsid w:val="006850C7"/>
    <w:rsid w:val="00685166"/>
    <w:rsid w:val="00685174"/>
    <w:rsid w:val="006851B1"/>
    <w:rsid w:val="006851DD"/>
    <w:rsid w:val="00685257"/>
    <w:rsid w:val="006853C1"/>
    <w:rsid w:val="00685539"/>
    <w:rsid w:val="006855A9"/>
    <w:rsid w:val="006857E9"/>
    <w:rsid w:val="00685DA8"/>
    <w:rsid w:val="00686008"/>
    <w:rsid w:val="00686169"/>
    <w:rsid w:val="006861BA"/>
    <w:rsid w:val="006861BD"/>
    <w:rsid w:val="00686200"/>
    <w:rsid w:val="00686215"/>
    <w:rsid w:val="00686469"/>
    <w:rsid w:val="006866D8"/>
    <w:rsid w:val="00686728"/>
    <w:rsid w:val="0068680C"/>
    <w:rsid w:val="00686CB8"/>
    <w:rsid w:val="00686CE6"/>
    <w:rsid w:val="00686E70"/>
    <w:rsid w:val="00686EFE"/>
    <w:rsid w:val="00687199"/>
    <w:rsid w:val="006872EC"/>
    <w:rsid w:val="006873FB"/>
    <w:rsid w:val="006875AF"/>
    <w:rsid w:val="00687942"/>
    <w:rsid w:val="006879D1"/>
    <w:rsid w:val="00687ECD"/>
    <w:rsid w:val="00687FE6"/>
    <w:rsid w:val="00690298"/>
    <w:rsid w:val="006903E9"/>
    <w:rsid w:val="00690634"/>
    <w:rsid w:val="00690862"/>
    <w:rsid w:val="00690987"/>
    <w:rsid w:val="00690A27"/>
    <w:rsid w:val="00690B07"/>
    <w:rsid w:val="00690BF3"/>
    <w:rsid w:val="00690F18"/>
    <w:rsid w:val="00691133"/>
    <w:rsid w:val="0069124B"/>
    <w:rsid w:val="006914A7"/>
    <w:rsid w:val="00691565"/>
    <w:rsid w:val="006915B1"/>
    <w:rsid w:val="006916E4"/>
    <w:rsid w:val="006919AC"/>
    <w:rsid w:val="006919FC"/>
    <w:rsid w:val="00691A00"/>
    <w:rsid w:val="00691A09"/>
    <w:rsid w:val="00691A56"/>
    <w:rsid w:val="00691B14"/>
    <w:rsid w:val="00691BE5"/>
    <w:rsid w:val="00691CB0"/>
    <w:rsid w:val="00691D76"/>
    <w:rsid w:val="00691E51"/>
    <w:rsid w:val="00692009"/>
    <w:rsid w:val="00692119"/>
    <w:rsid w:val="006921AC"/>
    <w:rsid w:val="0069227A"/>
    <w:rsid w:val="00692567"/>
    <w:rsid w:val="006926EB"/>
    <w:rsid w:val="00692744"/>
    <w:rsid w:val="006928F1"/>
    <w:rsid w:val="00692954"/>
    <w:rsid w:val="006929B3"/>
    <w:rsid w:val="00692BC2"/>
    <w:rsid w:val="00692C4A"/>
    <w:rsid w:val="00692CA3"/>
    <w:rsid w:val="00692D8A"/>
    <w:rsid w:val="00692E6A"/>
    <w:rsid w:val="00692EA4"/>
    <w:rsid w:val="00693104"/>
    <w:rsid w:val="006931C9"/>
    <w:rsid w:val="0069322D"/>
    <w:rsid w:val="00693293"/>
    <w:rsid w:val="006932F1"/>
    <w:rsid w:val="0069335B"/>
    <w:rsid w:val="0069344A"/>
    <w:rsid w:val="006934BD"/>
    <w:rsid w:val="006934F5"/>
    <w:rsid w:val="006937B8"/>
    <w:rsid w:val="0069390E"/>
    <w:rsid w:val="00693BA5"/>
    <w:rsid w:val="00693C1C"/>
    <w:rsid w:val="00693C70"/>
    <w:rsid w:val="00693CAF"/>
    <w:rsid w:val="006942B2"/>
    <w:rsid w:val="006942C1"/>
    <w:rsid w:val="00694596"/>
    <w:rsid w:val="00694649"/>
    <w:rsid w:val="006946B0"/>
    <w:rsid w:val="00694C65"/>
    <w:rsid w:val="00694D72"/>
    <w:rsid w:val="00694FC1"/>
    <w:rsid w:val="006950BB"/>
    <w:rsid w:val="006950D5"/>
    <w:rsid w:val="00695106"/>
    <w:rsid w:val="006951AC"/>
    <w:rsid w:val="006951B5"/>
    <w:rsid w:val="006951D3"/>
    <w:rsid w:val="00695269"/>
    <w:rsid w:val="00695272"/>
    <w:rsid w:val="006952AF"/>
    <w:rsid w:val="0069530E"/>
    <w:rsid w:val="00695434"/>
    <w:rsid w:val="006954E8"/>
    <w:rsid w:val="006956BE"/>
    <w:rsid w:val="006956D0"/>
    <w:rsid w:val="00695732"/>
    <w:rsid w:val="006959C1"/>
    <w:rsid w:val="00695BE7"/>
    <w:rsid w:val="00695CBD"/>
    <w:rsid w:val="00695D28"/>
    <w:rsid w:val="00695F37"/>
    <w:rsid w:val="0069606E"/>
    <w:rsid w:val="00696730"/>
    <w:rsid w:val="00696735"/>
    <w:rsid w:val="0069675E"/>
    <w:rsid w:val="006967DC"/>
    <w:rsid w:val="0069681D"/>
    <w:rsid w:val="00696828"/>
    <w:rsid w:val="00696997"/>
    <w:rsid w:val="00696D96"/>
    <w:rsid w:val="00696ECB"/>
    <w:rsid w:val="00696F6C"/>
    <w:rsid w:val="00696F75"/>
    <w:rsid w:val="00697178"/>
    <w:rsid w:val="00697226"/>
    <w:rsid w:val="0069722C"/>
    <w:rsid w:val="0069731A"/>
    <w:rsid w:val="0069740D"/>
    <w:rsid w:val="0069748D"/>
    <w:rsid w:val="006975B6"/>
    <w:rsid w:val="00697A70"/>
    <w:rsid w:val="00697C86"/>
    <w:rsid w:val="00697CD6"/>
    <w:rsid w:val="00697E8E"/>
    <w:rsid w:val="006A072C"/>
    <w:rsid w:val="006A08FE"/>
    <w:rsid w:val="006A09CC"/>
    <w:rsid w:val="006A0A30"/>
    <w:rsid w:val="006A0C3B"/>
    <w:rsid w:val="006A0C89"/>
    <w:rsid w:val="006A0DF3"/>
    <w:rsid w:val="006A105A"/>
    <w:rsid w:val="006A105E"/>
    <w:rsid w:val="006A1219"/>
    <w:rsid w:val="006A134F"/>
    <w:rsid w:val="006A165A"/>
    <w:rsid w:val="006A173F"/>
    <w:rsid w:val="006A1759"/>
    <w:rsid w:val="006A17DC"/>
    <w:rsid w:val="006A1968"/>
    <w:rsid w:val="006A1E74"/>
    <w:rsid w:val="006A1E87"/>
    <w:rsid w:val="006A1EDA"/>
    <w:rsid w:val="006A1EF1"/>
    <w:rsid w:val="006A1FE2"/>
    <w:rsid w:val="006A2301"/>
    <w:rsid w:val="006A2423"/>
    <w:rsid w:val="006A24AE"/>
    <w:rsid w:val="006A24BF"/>
    <w:rsid w:val="006A2543"/>
    <w:rsid w:val="006A2780"/>
    <w:rsid w:val="006A29DE"/>
    <w:rsid w:val="006A2C25"/>
    <w:rsid w:val="006A2C3C"/>
    <w:rsid w:val="006A2CFB"/>
    <w:rsid w:val="006A2D44"/>
    <w:rsid w:val="006A2EF1"/>
    <w:rsid w:val="006A3001"/>
    <w:rsid w:val="006A30D6"/>
    <w:rsid w:val="006A324B"/>
    <w:rsid w:val="006A324D"/>
    <w:rsid w:val="006A33A5"/>
    <w:rsid w:val="006A342B"/>
    <w:rsid w:val="006A3536"/>
    <w:rsid w:val="006A374D"/>
    <w:rsid w:val="006A3750"/>
    <w:rsid w:val="006A3862"/>
    <w:rsid w:val="006A3B21"/>
    <w:rsid w:val="006A3DA6"/>
    <w:rsid w:val="006A40DF"/>
    <w:rsid w:val="006A426F"/>
    <w:rsid w:val="006A4304"/>
    <w:rsid w:val="006A4408"/>
    <w:rsid w:val="006A4439"/>
    <w:rsid w:val="006A44B0"/>
    <w:rsid w:val="006A454E"/>
    <w:rsid w:val="006A469C"/>
    <w:rsid w:val="006A4816"/>
    <w:rsid w:val="006A4987"/>
    <w:rsid w:val="006A4AD7"/>
    <w:rsid w:val="006A4C0C"/>
    <w:rsid w:val="006A4D55"/>
    <w:rsid w:val="006A4EC1"/>
    <w:rsid w:val="006A4F5D"/>
    <w:rsid w:val="006A525A"/>
    <w:rsid w:val="006A5448"/>
    <w:rsid w:val="006A5519"/>
    <w:rsid w:val="006A580A"/>
    <w:rsid w:val="006A58E6"/>
    <w:rsid w:val="006A5904"/>
    <w:rsid w:val="006A5AA4"/>
    <w:rsid w:val="006A5B49"/>
    <w:rsid w:val="006A5CB7"/>
    <w:rsid w:val="006A5CE2"/>
    <w:rsid w:val="006A6137"/>
    <w:rsid w:val="006A642C"/>
    <w:rsid w:val="006A64B0"/>
    <w:rsid w:val="006A64D7"/>
    <w:rsid w:val="006A6564"/>
    <w:rsid w:val="006A67D3"/>
    <w:rsid w:val="006A6877"/>
    <w:rsid w:val="006A68D4"/>
    <w:rsid w:val="006A6A73"/>
    <w:rsid w:val="006A6BF8"/>
    <w:rsid w:val="006A6BFD"/>
    <w:rsid w:val="006A6D4E"/>
    <w:rsid w:val="006A6E45"/>
    <w:rsid w:val="006A6EF2"/>
    <w:rsid w:val="006A7033"/>
    <w:rsid w:val="006A7038"/>
    <w:rsid w:val="006A70AB"/>
    <w:rsid w:val="006A7244"/>
    <w:rsid w:val="006A726E"/>
    <w:rsid w:val="006A7454"/>
    <w:rsid w:val="006A74E4"/>
    <w:rsid w:val="006A76CB"/>
    <w:rsid w:val="006A7952"/>
    <w:rsid w:val="006A79C4"/>
    <w:rsid w:val="006A7B33"/>
    <w:rsid w:val="006A7C10"/>
    <w:rsid w:val="006A7C7F"/>
    <w:rsid w:val="006A7D26"/>
    <w:rsid w:val="006A7DA6"/>
    <w:rsid w:val="006A7F8C"/>
    <w:rsid w:val="006A7FB7"/>
    <w:rsid w:val="006B0002"/>
    <w:rsid w:val="006B006C"/>
    <w:rsid w:val="006B0255"/>
    <w:rsid w:val="006B034E"/>
    <w:rsid w:val="006B0359"/>
    <w:rsid w:val="006B037A"/>
    <w:rsid w:val="006B03FD"/>
    <w:rsid w:val="006B04C7"/>
    <w:rsid w:val="006B04D6"/>
    <w:rsid w:val="006B057F"/>
    <w:rsid w:val="006B058B"/>
    <w:rsid w:val="006B063F"/>
    <w:rsid w:val="006B0974"/>
    <w:rsid w:val="006B0A6E"/>
    <w:rsid w:val="006B0B44"/>
    <w:rsid w:val="006B0BB5"/>
    <w:rsid w:val="006B0D55"/>
    <w:rsid w:val="006B0D81"/>
    <w:rsid w:val="006B0ECD"/>
    <w:rsid w:val="006B10D8"/>
    <w:rsid w:val="006B14A6"/>
    <w:rsid w:val="006B1528"/>
    <w:rsid w:val="006B15C1"/>
    <w:rsid w:val="006B16BB"/>
    <w:rsid w:val="006B16DA"/>
    <w:rsid w:val="006B1707"/>
    <w:rsid w:val="006B1794"/>
    <w:rsid w:val="006B1815"/>
    <w:rsid w:val="006B1A7A"/>
    <w:rsid w:val="006B1AAA"/>
    <w:rsid w:val="006B1AF8"/>
    <w:rsid w:val="006B1EB2"/>
    <w:rsid w:val="006B1F91"/>
    <w:rsid w:val="006B20DB"/>
    <w:rsid w:val="006B214C"/>
    <w:rsid w:val="006B215D"/>
    <w:rsid w:val="006B2179"/>
    <w:rsid w:val="006B218A"/>
    <w:rsid w:val="006B231A"/>
    <w:rsid w:val="006B232D"/>
    <w:rsid w:val="006B2381"/>
    <w:rsid w:val="006B255C"/>
    <w:rsid w:val="006B2711"/>
    <w:rsid w:val="006B285D"/>
    <w:rsid w:val="006B293E"/>
    <w:rsid w:val="006B2A2C"/>
    <w:rsid w:val="006B2A37"/>
    <w:rsid w:val="006B2D76"/>
    <w:rsid w:val="006B2FE9"/>
    <w:rsid w:val="006B2FEB"/>
    <w:rsid w:val="006B2FEC"/>
    <w:rsid w:val="006B2FEF"/>
    <w:rsid w:val="006B3114"/>
    <w:rsid w:val="006B31D7"/>
    <w:rsid w:val="006B327D"/>
    <w:rsid w:val="006B344E"/>
    <w:rsid w:val="006B37E8"/>
    <w:rsid w:val="006B3942"/>
    <w:rsid w:val="006B39E8"/>
    <w:rsid w:val="006B3A61"/>
    <w:rsid w:val="006B3AD1"/>
    <w:rsid w:val="006B3C84"/>
    <w:rsid w:val="006B417C"/>
    <w:rsid w:val="006B41E1"/>
    <w:rsid w:val="006B4266"/>
    <w:rsid w:val="006B43BF"/>
    <w:rsid w:val="006B44E8"/>
    <w:rsid w:val="006B4739"/>
    <w:rsid w:val="006B483B"/>
    <w:rsid w:val="006B484F"/>
    <w:rsid w:val="006B48CC"/>
    <w:rsid w:val="006B4A2D"/>
    <w:rsid w:val="006B4BC7"/>
    <w:rsid w:val="006B4C2A"/>
    <w:rsid w:val="006B4E07"/>
    <w:rsid w:val="006B4E11"/>
    <w:rsid w:val="006B5123"/>
    <w:rsid w:val="006B52E5"/>
    <w:rsid w:val="006B5379"/>
    <w:rsid w:val="006B54BF"/>
    <w:rsid w:val="006B54FA"/>
    <w:rsid w:val="006B559C"/>
    <w:rsid w:val="006B5684"/>
    <w:rsid w:val="006B569A"/>
    <w:rsid w:val="006B57F7"/>
    <w:rsid w:val="006B581F"/>
    <w:rsid w:val="006B5C31"/>
    <w:rsid w:val="006B5D44"/>
    <w:rsid w:val="006B5F6A"/>
    <w:rsid w:val="006B618B"/>
    <w:rsid w:val="006B61FF"/>
    <w:rsid w:val="006B621B"/>
    <w:rsid w:val="006B62E7"/>
    <w:rsid w:val="006B6675"/>
    <w:rsid w:val="006B68AE"/>
    <w:rsid w:val="006B69AA"/>
    <w:rsid w:val="006B69CC"/>
    <w:rsid w:val="006B6B9B"/>
    <w:rsid w:val="006B70D4"/>
    <w:rsid w:val="006B71A1"/>
    <w:rsid w:val="006B744D"/>
    <w:rsid w:val="006B7500"/>
    <w:rsid w:val="006B76AA"/>
    <w:rsid w:val="006B7869"/>
    <w:rsid w:val="006B786D"/>
    <w:rsid w:val="006B7BE3"/>
    <w:rsid w:val="006B7C0D"/>
    <w:rsid w:val="006B7CEE"/>
    <w:rsid w:val="006B7D1F"/>
    <w:rsid w:val="006B7E60"/>
    <w:rsid w:val="006B7FF3"/>
    <w:rsid w:val="006C007E"/>
    <w:rsid w:val="006C0100"/>
    <w:rsid w:val="006C0191"/>
    <w:rsid w:val="006C0265"/>
    <w:rsid w:val="006C03A0"/>
    <w:rsid w:val="006C041A"/>
    <w:rsid w:val="006C0569"/>
    <w:rsid w:val="006C099E"/>
    <w:rsid w:val="006C0CBB"/>
    <w:rsid w:val="006C0E2A"/>
    <w:rsid w:val="006C0FE9"/>
    <w:rsid w:val="006C14DD"/>
    <w:rsid w:val="006C1527"/>
    <w:rsid w:val="006C15DF"/>
    <w:rsid w:val="006C160C"/>
    <w:rsid w:val="006C18DF"/>
    <w:rsid w:val="006C19F4"/>
    <w:rsid w:val="006C1B9B"/>
    <w:rsid w:val="006C1F09"/>
    <w:rsid w:val="006C2003"/>
    <w:rsid w:val="006C2036"/>
    <w:rsid w:val="006C2193"/>
    <w:rsid w:val="006C23BB"/>
    <w:rsid w:val="006C2408"/>
    <w:rsid w:val="006C24BD"/>
    <w:rsid w:val="006C25B1"/>
    <w:rsid w:val="006C264C"/>
    <w:rsid w:val="006C2742"/>
    <w:rsid w:val="006C28A9"/>
    <w:rsid w:val="006C2A98"/>
    <w:rsid w:val="006C2D18"/>
    <w:rsid w:val="006C300E"/>
    <w:rsid w:val="006C301D"/>
    <w:rsid w:val="006C3261"/>
    <w:rsid w:val="006C32BD"/>
    <w:rsid w:val="006C3423"/>
    <w:rsid w:val="006C3551"/>
    <w:rsid w:val="006C360B"/>
    <w:rsid w:val="006C3619"/>
    <w:rsid w:val="006C37B2"/>
    <w:rsid w:val="006C37CE"/>
    <w:rsid w:val="006C3873"/>
    <w:rsid w:val="006C3883"/>
    <w:rsid w:val="006C3885"/>
    <w:rsid w:val="006C38B9"/>
    <w:rsid w:val="006C39B4"/>
    <w:rsid w:val="006C3A51"/>
    <w:rsid w:val="006C3A69"/>
    <w:rsid w:val="006C3BD2"/>
    <w:rsid w:val="006C3C22"/>
    <w:rsid w:val="006C3D84"/>
    <w:rsid w:val="006C3DE3"/>
    <w:rsid w:val="006C40A9"/>
    <w:rsid w:val="006C40E0"/>
    <w:rsid w:val="006C40EE"/>
    <w:rsid w:val="006C4123"/>
    <w:rsid w:val="006C4419"/>
    <w:rsid w:val="006C4435"/>
    <w:rsid w:val="006C45A5"/>
    <w:rsid w:val="006C45E9"/>
    <w:rsid w:val="006C4737"/>
    <w:rsid w:val="006C4812"/>
    <w:rsid w:val="006C4959"/>
    <w:rsid w:val="006C4AFE"/>
    <w:rsid w:val="006C4BC8"/>
    <w:rsid w:val="006C4C92"/>
    <w:rsid w:val="006C509E"/>
    <w:rsid w:val="006C515D"/>
    <w:rsid w:val="006C529D"/>
    <w:rsid w:val="006C5496"/>
    <w:rsid w:val="006C5524"/>
    <w:rsid w:val="006C559A"/>
    <w:rsid w:val="006C5607"/>
    <w:rsid w:val="006C5626"/>
    <w:rsid w:val="006C56E6"/>
    <w:rsid w:val="006C5780"/>
    <w:rsid w:val="006C5841"/>
    <w:rsid w:val="006C5873"/>
    <w:rsid w:val="006C58F4"/>
    <w:rsid w:val="006C5907"/>
    <w:rsid w:val="006C59AF"/>
    <w:rsid w:val="006C5C4A"/>
    <w:rsid w:val="006C5DC4"/>
    <w:rsid w:val="006C5DE6"/>
    <w:rsid w:val="006C6109"/>
    <w:rsid w:val="006C633B"/>
    <w:rsid w:val="006C6346"/>
    <w:rsid w:val="006C65C0"/>
    <w:rsid w:val="006C6611"/>
    <w:rsid w:val="006C681F"/>
    <w:rsid w:val="006C68E5"/>
    <w:rsid w:val="006C6AD2"/>
    <w:rsid w:val="006C6BD7"/>
    <w:rsid w:val="006C70CA"/>
    <w:rsid w:val="006C70E5"/>
    <w:rsid w:val="006C717A"/>
    <w:rsid w:val="006C71BC"/>
    <w:rsid w:val="006C71F7"/>
    <w:rsid w:val="006C7249"/>
    <w:rsid w:val="006C737C"/>
    <w:rsid w:val="006C74EA"/>
    <w:rsid w:val="006C755D"/>
    <w:rsid w:val="006C7601"/>
    <w:rsid w:val="006C763E"/>
    <w:rsid w:val="006C76C1"/>
    <w:rsid w:val="006C76D7"/>
    <w:rsid w:val="006C7944"/>
    <w:rsid w:val="006C796F"/>
    <w:rsid w:val="006C79AC"/>
    <w:rsid w:val="006C7A1E"/>
    <w:rsid w:val="006C7D7E"/>
    <w:rsid w:val="006C7F22"/>
    <w:rsid w:val="006C7F66"/>
    <w:rsid w:val="006D005E"/>
    <w:rsid w:val="006D011C"/>
    <w:rsid w:val="006D01CF"/>
    <w:rsid w:val="006D025A"/>
    <w:rsid w:val="006D03CD"/>
    <w:rsid w:val="006D0580"/>
    <w:rsid w:val="006D0825"/>
    <w:rsid w:val="006D0B5B"/>
    <w:rsid w:val="006D0FCE"/>
    <w:rsid w:val="006D1093"/>
    <w:rsid w:val="006D10AA"/>
    <w:rsid w:val="006D118F"/>
    <w:rsid w:val="006D1191"/>
    <w:rsid w:val="006D1474"/>
    <w:rsid w:val="006D149D"/>
    <w:rsid w:val="006D14BF"/>
    <w:rsid w:val="006D14CD"/>
    <w:rsid w:val="006D14EB"/>
    <w:rsid w:val="006D1681"/>
    <w:rsid w:val="006D173F"/>
    <w:rsid w:val="006D1F20"/>
    <w:rsid w:val="006D202A"/>
    <w:rsid w:val="006D22D0"/>
    <w:rsid w:val="006D22E1"/>
    <w:rsid w:val="006D244D"/>
    <w:rsid w:val="006D25DF"/>
    <w:rsid w:val="006D261D"/>
    <w:rsid w:val="006D2765"/>
    <w:rsid w:val="006D27AE"/>
    <w:rsid w:val="006D2814"/>
    <w:rsid w:val="006D2982"/>
    <w:rsid w:val="006D299C"/>
    <w:rsid w:val="006D2B09"/>
    <w:rsid w:val="006D2CC1"/>
    <w:rsid w:val="006D2CD0"/>
    <w:rsid w:val="006D2E5B"/>
    <w:rsid w:val="006D2E7D"/>
    <w:rsid w:val="006D2EB5"/>
    <w:rsid w:val="006D2F03"/>
    <w:rsid w:val="006D2F77"/>
    <w:rsid w:val="006D31B6"/>
    <w:rsid w:val="006D3245"/>
    <w:rsid w:val="006D324D"/>
    <w:rsid w:val="006D3298"/>
    <w:rsid w:val="006D34A0"/>
    <w:rsid w:val="006D34EC"/>
    <w:rsid w:val="006D3AB9"/>
    <w:rsid w:val="006D3AD3"/>
    <w:rsid w:val="006D3B69"/>
    <w:rsid w:val="006D3D1A"/>
    <w:rsid w:val="006D40C2"/>
    <w:rsid w:val="006D40E5"/>
    <w:rsid w:val="006D40F3"/>
    <w:rsid w:val="006D4133"/>
    <w:rsid w:val="006D41C5"/>
    <w:rsid w:val="006D426F"/>
    <w:rsid w:val="006D47C0"/>
    <w:rsid w:val="006D47E5"/>
    <w:rsid w:val="006D487F"/>
    <w:rsid w:val="006D4937"/>
    <w:rsid w:val="006D4C96"/>
    <w:rsid w:val="006D4D98"/>
    <w:rsid w:val="006D4E1B"/>
    <w:rsid w:val="006D4FD3"/>
    <w:rsid w:val="006D4FD7"/>
    <w:rsid w:val="006D5051"/>
    <w:rsid w:val="006D50BE"/>
    <w:rsid w:val="006D5114"/>
    <w:rsid w:val="006D52E4"/>
    <w:rsid w:val="006D56D7"/>
    <w:rsid w:val="006D578A"/>
    <w:rsid w:val="006D5903"/>
    <w:rsid w:val="006D59A4"/>
    <w:rsid w:val="006D5A45"/>
    <w:rsid w:val="006D6335"/>
    <w:rsid w:val="006D65B0"/>
    <w:rsid w:val="006D661E"/>
    <w:rsid w:val="006D665C"/>
    <w:rsid w:val="006D67CE"/>
    <w:rsid w:val="006D688B"/>
    <w:rsid w:val="006D6ABB"/>
    <w:rsid w:val="006D6AE9"/>
    <w:rsid w:val="006D6DFF"/>
    <w:rsid w:val="006D6FE8"/>
    <w:rsid w:val="006D70C5"/>
    <w:rsid w:val="006D7170"/>
    <w:rsid w:val="006D7185"/>
    <w:rsid w:val="006D7270"/>
    <w:rsid w:val="006D737A"/>
    <w:rsid w:val="006D738E"/>
    <w:rsid w:val="006D7527"/>
    <w:rsid w:val="006D7541"/>
    <w:rsid w:val="006D754A"/>
    <w:rsid w:val="006D755D"/>
    <w:rsid w:val="006D7886"/>
    <w:rsid w:val="006D79B3"/>
    <w:rsid w:val="006D7B41"/>
    <w:rsid w:val="006D7D11"/>
    <w:rsid w:val="006D7F67"/>
    <w:rsid w:val="006E0160"/>
    <w:rsid w:val="006E03F8"/>
    <w:rsid w:val="006E043A"/>
    <w:rsid w:val="006E044F"/>
    <w:rsid w:val="006E0790"/>
    <w:rsid w:val="006E07BB"/>
    <w:rsid w:val="006E0914"/>
    <w:rsid w:val="006E0933"/>
    <w:rsid w:val="006E0AD0"/>
    <w:rsid w:val="006E0EC0"/>
    <w:rsid w:val="006E0EC7"/>
    <w:rsid w:val="006E1060"/>
    <w:rsid w:val="006E1111"/>
    <w:rsid w:val="006E113F"/>
    <w:rsid w:val="006E117F"/>
    <w:rsid w:val="006E1271"/>
    <w:rsid w:val="006E15FF"/>
    <w:rsid w:val="006E173F"/>
    <w:rsid w:val="006E1851"/>
    <w:rsid w:val="006E188A"/>
    <w:rsid w:val="006E1E61"/>
    <w:rsid w:val="006E2117"/>
    <w:rsid w:val="006E22C7"/>
    <w:rsid w:val="006E27A0"/>
    <w:rsid w:val="006E28D5"/>
    <w:rsid w:val="006E2A9A"/>
    <w:rsid w:val="006E2C44"/>
    <w:rsid w:val="006E2DEC"/>
    <w:rsid w:val="006E2E3C"/>
    <w:rsid w:val="006E2F89"/>
    <w:rsid w:val="006E2FAC"/>
    <w:rsid w:val="006E31C5"/>
    <w:rsid w:val="006E3359"/>
    <w:rsid w:val="006E376C"/>
    <w:rsid w:val="006E39C1"/>
    <w:rsid w:val="006E3C05"/>
    <w:rsid w:val="006E3D51"/>
    <w:rsid w:val="006E3FE9"/>
    <w:rsid w:val="006E4326"/>
    <w:rsid w:val="006E4567"/>
    <w:rsid w:val="006E4600"/>
    <w:rsid w:val="006E46EF"/>
    <w:rsid w:val="006E4A5A"/>
    <w:rsid w:val="006E4B70"/>
    <w:rsid w:val="006E4B80"/>
    <w:rsid w:val="006E4BDC"/>
    <w:rsid w:val="006E4F66"/>
    <w:rsid w:val="006E506B"/>
    <w:rsid w:val="006E511B"/>
    <w:rsid w:val="006E5194"/>
    <w:rsid w:val="006E5258"/>
    <w:rsid w:val="006E531A"/>
    <w:rsid w:val="006E532B"/>
    <w:rsid w:val="006E5352"/>
    <w:rsid w:val="006E54D0"/>
    <w:rsid w:val="006E553E"/>
    <w:rsid w:val="006E5659"/>
    <w:rsid w:val="006E5852"/>
    <w:rsid w:val="006E58BB"/>
    <w:rsid w:val="006E59C7"/>
    <w:rsid w:val="006E5A46"/>
    <w:rsid w:val="006E5AAD"/>
    <w:rsid w:val="006E5C34"/>
    <w:rsid w:val="006E5CD7"/>
    <w:rsid w:val="006E5CF2"/>
    <w:rsid w:val="006E5E70"/>
    <w:rsid w:val="006E5F32"/>
    <w:rsid w:val="006E5F58"/>
    <w:rsid w:val="006E63B1"/>
    <w:rsid w:val="006E647C"/>
    <w:rsid w:val="006E67D8"/>
    <w:rsid w:val="006E67FC"/>
    <w:rsid w:val="006E688C"/>
    <w:rsid w:val="006E68AD"/>
    <w:rsid w:val="006E6A6E"/>
    <w:rsid w:val="006E6D01"/>
    <w:rsid w:val="006E6D8F"/>
    <w:rsid w:val="006E6E1E"/>
    <w:rsid w:val="006E6F35"/>
    <w:rsid w:val="006E753A"/>
    <w:rsid w:val="006E75BC"/>
    <w:rsid w:val="006E764D"/>
    <w:rsid w:val="006E79A7"/>
    <w:rsid w:val="006E7A17"/>
    <w:rsid w:val="006E7C13"/>
    <w:rsid w:val="006E7E20"/>
    <w:rsid w:val="006E7F49"/>
    <w:rsid w:val="006F01F1"/>
    <w:rsid w:val="006F02D7"/>
    <w:rsid w:val="006F03E9"/>
    <w:rsid w:val="006F0524"/>
    <w:rsid w:val="006F08CF"/>
    <w:rsid w:val="006F0B59"/>
    <w:rsid w:val="006F0C61"/>
    <w:rsid w:val="006F0C9D"/>
    <w:rsid w:val="006F0F46"/>
    <w:rsid w:val="006F1691"/>
    <w:rsid w:val="006F190E"/>
    <w:rsid w:val="006F1B82"/>
    <w:rsid w:val="006F1BAE"/>
    <w:rsid w:val="006F1D75"/>
    <w:rsid w:val="006F1DFF"/>
    <w:rsid w:val="006F1F53"/>
    <w:rsid w:val="006F2133"/>
    <w:rsid w:val="006F224E"/>
    <w:rsid w:val="006F2550"/>
    <w:rsid w:val="006F2553"/>
    <w:rsid w:val="006F26AD"/>
    <w:rsid w:val="006F279C"/>
    <w:rsid w:val="006F296A"/>
    <w:rsid w:val="006F2B11"/>
    <w:rsid w:val="006F2B13"/>
    <w:rsid w:val="006F2B2A"/>
    <w:rsid w:val="006F2CC8"/>
    <w:rsid w:val="006F2F29"/>
    <w:rsid w:val="006F2F7A"/>
    <w:rsid w:val="006F2F98"/>
    <w:rsid w:val="006F3176"/>
    <w:rsid w:val="006F321B"/>
    <w:rsid w:val="006F3248"/>
    <w:rsid w:val="006F3495"/>
    <w:rsid w:val="006F352A"/>
    <w:rsid w:val="006F3564"/>
    <w:rsid w:val="006F35C5"/>
    <w:rsid w:val="006F35EC"/>
    <w:rsid w:val="006F365A"/>
    <w:rsid w:val="006F3A2D"/>
    <w:rsid w:val="006F3A36"/>
    <w:rsid w:val="006F3A9D"/>
    <w:rsid w:val="006F3B8B"/>
    <w:rsid w:val="006F3C6E"/>
    <w:rsid w:val="006F3D00"/>
    <w:rsid w:val="006F3FEA"/>
    <w:rsid w:val="006F4350"/>
    <w:rsid w:val="006F43D4"/>
    <w:rsid w:val="006F470D"/>
    <w:rsid w:val="006F4759"/>
    <w:rsid w:val="006F47A2"/>
    <w:rsid w:val="006F47C0"/>
    <w:rsid w:val="006F4C06"/>
    <w:rsid w:val="006F4DF8"/>
    <w:rsid w:val="006F515B"/>
    <w:rsid w:val="006F532D"/>
    <w:rsid w:val="006F5654"/>
    <w:rsid w:val="006F5A8D"/>
    <w:rsid w:val="006F5B8E"/>
    <w:rsid w:val="006F5E79"/>
    <w:rsid w:val="006F5EFF"/>
    <w:rsid w:val="006F5F94"/>
    <w:rsid w:val="006F5FAF"/>
    <w:rsid w:val="006F6322"/>
    <w:rsid w:val="006F64B1"/>
    <w:rsid w:val="006F64CE"/>
    <w:rsid w:val="006F687E"/>
    <w:rsid w:val="006F6941"/>
    <w:rsid w:val="006F6A29"/>
    <w:rsid w:val="006F6D7B"/>
    <w:rsid w:val="006F6E61"/>
    <w:rsid w:val="006F6EA5"/>
    <w:rsid w:val="006F7103"/>
    <w:rsid w:val="006F7320"/>
    <w:rsid w:val="006F7363"/>
    <w:rsid w:val="006F73F6"/>
    <w:rsid w:val="006F7431"/>
    <w:rsid w:val="006F7570"/>
    <w:rsid w:val="006F7645"/>
    <w:rsid w:val="006F766E"/>
    <w:rsid w:val="006F78EC"/>
    <w:rsid w:val="006F79E6"/>
    <w:rsid w:val="006F7A57"/>
    <w:rsid w:val="006F7A66"/>
    <w:rsid w:val="006F7B73"/>
    <w:rsid w:val="006F7BBE"/>
    <w:rsid w:val="006F7C04"/>
    <w:rsid w:val="006F7D0E"/>
    <w:rsid w:val="006F7D50"/>
    <w:rsid w:val="006F7E0B"/>
    <w:rsid w:val="006F7F1E"/>
    <w:rsid w:val="006F7F85"/>
    <w:rsid w:val="00700057"/>
    <w:rsid w:val="0070022E"/>
    <w:rsid w:val="0070026D"/>
    <w:rsid w:val="00700399"/>
    <w:rsid w:val="00700531"/>
    <w:rsid w:val="0070054D"/>
    <w:rsid w:val="0070086B"/>
    <w:rsid w:val="007008BE"/>
    <w:rsid w:val="0070093C"/>
    <w:rsid w:val="00700A71"/>
    <w:rsid w:val="00700B72"/>
    <w:rsid w:val="00700DEB"/>
    <w:rsid w:val="007010F7"/>
    <w:rsid w:val="007011C0"/>
    <w:rsid w:val="00701205"/>
    <w:rsid w:val="007012B2"/>
    <w:rsid w:val="007013F2"/>
    <w:rsid w:val="007014A9"/>
    <w:rsid w:val="007014E6"/>
    <w:rsid w:val="00701648"/>
    <w:rsid w:val="00701757"/>
    <w:rsid w:val="007018AD"/>
    <w:rsid w:val="00701973"/>
    <w:rsid w:val="00701B37"/>
    <w:rsid w:val="00701BBF"/>
    <w:rsid w:val="00701D9C"/>
    <w:rsid w:val="00701E59"/>
    <w:rsid w:val="00701E9A"/>
    <w:rsid w:val="00701F77"/>
    <w:rsid w:val="00701FB1"/>
    <w:rsid w:val="0070213C"/>
    <w:rsid w:val="0070247E"/>
    <w:rsid w:val="007025BA"/>
    <w:rsid w:val="0070289A"/>
    <w:rsid w:val="00702914"/>
    <w:rsid w:val="00702A63"/>
    <w:rsid w:val="00702ABC"/>
    <w:rsid w:val="00702AD3"/>
    <w:rsid w:val="00702CD9"/>
    <w:rsid w:val="00702CDF"/>
    <w:rsid w:val="00702D5C"/>
    <w:rsid w:val="00702F46"/>
    <w:rsid w:val="00702F4A"/>
    <w:rsid w:val="0070303E"/>
    <w:rsid w:val="007030C7"/>
    <w:rsid w:val="007030D7"/>
    <w:rsid w:val="007031C8"/>
    <w:rsid w:val="0070333D"/>
    <w:rsid w:val="007033AD"/>
    <w:rsid w:val="007034EB"/>
    <w:rsid w:val="00703504"/>
    <w:rsid w:val="00703654"/>
    <w:rsid w:val="007037C7"/>
    <w:rsid w:val="00703A30"/>
    <w:rsid w:val="00703DC2"/>
    <w:rsid w:val="00703F11"/>
    <w:rsid w:val="00703F69"/>
    <w:rsid w:val="00703F7C"/>
    <w:rsid w:val="00704207"/>
    <w:rsid w:val="00704321"/>
    <w:rsid w:val="00704330"/>
    <w:rsid w:val="007043CA"/>
    <w:rsid w:val="0070461B"/>
    <w:rsid w:val="007046B8"/>
    <w:rsid w:val="007047BB"/>
    <w:rsid w:val="007047C7"/>
    <w:rsid w:val="0070481A"/>
    <w:rsid w:val="0070491A"/>
    <w:rsid w:val="0070493C"/>
    <w:rsid w:val="00704B16"/>
    <w:rsid w:val="00704BD7"/>
    <w:rsid w:val="00704C4D"/>
    <w:rsid w:val="00704F4A"/>
    <w:rsid w:val="00704F7F"/>
    <w:rsid w:val="00704FAC"/>
    <w:rsid w:val="00704FD9"/>
    <w:rsid w:val="007051B4"/>
    <w:rsid w:val="0070543D"/>
    <w:rsid w:val="00705467"/>
    <w:rsid w:val="00705621"/>
    <w:rsid w:val="00705635"/>
    <w:rsid w:val="007056A2"/>
    <w:rsid w:val="007056A5"/>
    <w:rsid w:val="00705806"/>
    <w:rsid w:val="00705A16"/>
    <w:rsid w:val="00705CC7"/>
    <w:rsid w:val="00705D33"/>
    <w:rsid w:val="00705EBB"/>
    <w:rsid w:val="00705F0B"/>
    <w:rsid w:val="00706000"/>
    <w:rsid w:val="0070607F"/>
    <w:rsid w:val="007060B1"/>
    <w:rsid w:val="00706224"/>
    <w:rsid w:val="007063CB"/>
    <w:rsid w:val="007063FA"/>
    <w:rsid w:val="0070643A"/>
    <w:rsid w:val="007064AF"/>
    <w:rsid w:val="00706756"/>
    <w:rsid w:val="007067C4"/>
    <w:rsid w:val="00706849"/>
    <w:rsid w:val="00706919"/>
    <w:rsid w:val="007069FE"/>
    <w:rsid w:val="00706A52"/>
    <w:rsid w:val="00706CB8"/>
    <w:rsid w:val="00706DED"/>
    <w:rsid w:val="00706E30"/>
    <w:rsid w:val="00706F7F"/>
    <w:rsid w:val="007073B4"/>
    <w:rsid w:val="007073F2"/>
    <w:rsid w:val="0070744C"/>
    <w:rsid w:val="0070763A"/>
    <w:rsid w:val="00707987"/>
    <w:rsid w:val="00707B5A"/>
    <w:rsid w:val="00707C8C"/>
    <w:rsid w:val="00707CDE"/>
    <w:rsid w:val="00707F06"/>
    <w:rsid w:val="007100A4"/>
    <w:rsid w:val="0071021F"/>
    <w:rsid w:val="0071035C"/>
    <w:rsid w:val="007103A6"/>
    <w:rsid w:val="0071049B"/>
    <w:rsid w:val="007105A8"/>
    <w:rsid w:val="0071070F"/>
    <w:rsid w:val="0071076E"/>
    <w:rsid w:val="007107E8"/>
    <w:rsid w:val="00710A93"/>
    <w:rsid w:val="00710C49"/>
    <w:rsid w:val="00710CE4"/>
    <w:rsid w:val="00710F1B"/>
    <w:rsid w:val="0071128F"/>
    <w:rsid w:val="00711528"/>
    <w:rsid w:val="00711562"/>
    <w:rsid w:val="007115CF"/>
    <w:rsid w:val="007116BA"/>
    <w:rsid w:val="0071171F"/>
    <w:rsid w:val="007117AB"/>
    <w:rsid w:val="00711A35"/>
    <w:rsid w:val="00711AB8"/>
    <w:rsid w:val="00711D32"/>
    <w:rsid w:val="00711D9B"/>
    <w:rsid w:val="00711EBF"/>
    <w:rsid w:val="00711F6C"/>
    <w:rsid w:val="0071214A"/>
    <w:rsid w:val="00712444"/>
    <w:rsid w:val="00712910"/>
    <w:rsid w:val="00712A0C"/>
    <w:rsid w:val="00712A93"/>
    <w:rsid w:val="00712C7A"/>
    <w:rsid w:val="00712C86"/>
    <w:rsid w:val="00712CC0"/>
    <w:rsid w:val="00712EFF"/>
    <w:rsid w:val="00713086"/>
    <w:rsid w:val="007130D8"/>
    <w:rsid w:val="00713151"/>
    <w:rsid w:val="00713180"/>
    <w:rsid w:val="007135CE"/>
    <w:rsid w:val="007137A3"/>
    <w:rsid w:val="0071381A"/>
    <w:rsid w:val="00713833"/>
    <w:rsid w:val="00713940"/>
    <w:rsid w:val="00713A1C"/>
    <w:rsid w:val="00713A76"/>
    <w:rsid w:val="00713C55"/>
    <w:rsid w:val="00713D8A"/>
    <w:rsid w:val="00713E2C"/>
    <w:rsid w:val="007141B5"/>
    <w:rsid w:val="007144B0"/>
    <w:rsid w:val="00714721"/>
    <w:rsid w:val="007148DD"/>
    <w:rsid w:val="00714952"/>
    <w:rsid w:val="00714ACD"/>
    <w:rsid w:val="00714B7E"/>
    <w:rsid w:val="00714F59"/>
    <w:rsid w:val="007150B9"/>
    <w:rsid w:val="00715174"/>
    <w:rsid w:val="00715336"/>
    <w:rsid w:val="00715363"/>
    <w:rsid w:val="0071538C"/>
    <w:rsid w:val="007155B1"/>
    <w:rsid w:val="007156CB"/>
    <w:rsid w:val="00715712"/>
    <w:rsid w:val="0071576D"/>
    <w:rsid w:val="00715805"/>
    <w:rsid w:val="00715A4B"/>
    <w:rsid w:val="00715A98"/>
    <w:rsid w:val="00715BB5"/>
    <w:rsid w:val="00715C5B"/>
    <w:rsid w:val="007160E2"/>
    <w:rsid w:val="007161C2"/>
    <w:rsid w:val="007163DF"/>
    <w:rsid w:val="0071645B"/>
    <w:rsid w:val="0071646B"/>
    <w:rsid w:val="00716504"/>
    <w:rsid w:val="00716557"/>
    <w:rsid w:val="00716562"/>
    <w:rsid w:val="007165E3"/>
    <w:rsid w:val="0071686B"/>
    <w:rsid w:val="00716B13"/>
    <w:rsid w:val="00716C28"/>
    <w:rsid w:val="00716C5B"/>
    <w:rsid w:val="00716E26"/>
    <w:rsid w:val="00716E92"/>
    <w:rsid w:val="00716FA8"/>
    <w:rsid w:val="00716FF3"/>
    <w:rsid w:val="00717080"/>
    <w:rsid w:val="00717434"/>
    <w:rsid w:val="00717797"/>
    <w:rsid w:val="00717A87"/>
    <w:rsid w:val="00717D17"/>
    <w:rsid w:val="00720009"/>
    <w:rsid w:val="00720323"/>
    <w:rsid w:val="007203EE"/>
    <w:rsid w:val="007203FF"/>
    <w:rsid w:val="007204D1"/>
    <w:rsid w:val="0072073D"/>
    <w:rsid w:val="00720789"/>
    <w:rsid w:val="007207D5"/>
    <w:rsid w:val="00720862"/>
    <w:rsid w:val="00720E23"/>
    <w:rsid w:val="00720E29"/>
    <w:rsid w:val="00720E4E"/>
    <w:rsid w:val="00720F7F"/>
    <w:rsid w:val="00720F97"/>
    <w:rsid w:val="00721291"/>
    <w:rsid w:val="0072158B"/>
    <w:rsid w:val="00721659"/>
    <w:rsid w:val="00721689"/>
    <w:rsid w:val="00721844"/>
    <w:rsid w:val="00721854"/>
    <w:rsid w:val="007218F3"/>
    <w:rsid w:val="00721A10"/>
    <w:rsid w:val="00721B7C"/>
    <w:rsid w:val="00721C32"/>
    <w:rsid w:val="00721DAD"/>
    <w:rsid w:val="00721E77"/>
    <w:rsid w:val="00721E7B"/>
    <w:rsid w:val="00721FE3"/>
    <w:rsid w:val="0072211C"/>
    <w:rsid w:val="00722247"/>
    <w:rsid w:val="00722413"/>
    <w:rsid w:val="0072245C"/>
    <w:rsid w:val="00722607"/>
    <w:rsid w:val="00722727"/>
    <w:rsid w:val="0072281E"/>
    <w:rsid w:val="0072282D"/>
    <w:rsid w:val="00722877"/>
    <w:rsid w:val="00722CD0"/>
    <w:rsid w:val="00722D63"/>
    <w:rsid w:val="00722FFC"/>
    <w:rsid w:val="007231D5"/>
    <w:rsid w:val="00723265"/>
    <w:rsid w:val="00723351"/>
    <w:rsid w:val="00723388"/>
    <w:rsid w:val="007233A8"/>
    <w:rsid w:val="0072345D"/>
    <w:rsid w:val="007234E7"/>
    <w:rsid w:val="00723571"/>
    <w:rsid w:val="0072362C"/>
    <w:rsid w:val="0072367C"/>
    <w:rsid w:val="007236BF"/>
    <w:rsid w:val="0072373B"/>
    <w:rsid w:val="0072378E"/>
    <w:rsid w:val="00723795"/>
    <w:rsid w:val="007239D1"/>
    <w:rsid w:val="00723A27"/>
    <w:rsid w:val="00723B0F"/>
    <w:rsid w:val="00723F79"/>
    <w:rsid w:val="0072412C"/>
    <w:rsid w:val="00724483"/>
    <w:rsid w:val="00724789"/>
    <w:rsid w:val="00724971"/>
    <w:rsid w:val="007249EE"/>
    <w:rsid w:val="00724A42"/>
    <w:rsid w:val="00724AD0"/>
    <w:rsid w:val="00724B39"/>
    <w:rsid w:val="00724BAE"/>
    <w:rsid w:val="00724D95"/>
    <w:rsid w:val="00724E21"/>
    <w:rsid w:val="00724F45"/>
    <w:rsid w:val="00724F46"/>
    <w:rsid w:val="0072502F"/>
    <w:rsid w:val="0072548E"/>
    <w:rsid w:val="0072577D"/>
    <w:rsid w:val="0072579E"/>
    <w:rsid w:val="007259C7"/>
    <w:rsid w:val="007259EE"/>
    <w:rsid w:val="00725BC9"/>
    <w:rsid w:val="00725E50"/>
    <w:rsid w:val="00725E72"/>
    <w:rsid w:val="00725EC2"/>
    <w:rsid w:val="0072604D"/>
    <w:rsid w:val="0072610B"/>
    <w:rsid w:val="00726117"/>
    <w:rsid w:val="007262BB"/>
    <w:rsid w:val="0072642F"/>
    <w:rsid w:val="007264C4"/>
    <w:rsid w:val="007264D5"/>
    <w:rsid w:val="007264ED"/>
    <w:rsid w:val="007268DC"/>
    <w:rsid w:val="0072699E"/>
    <w:rsid w:val="00726AEE"/>
    <w:rsid w:val="00726B63"/>
    <w:rsid w:val="00726B69"/>
    <w:rsid w:val="00726BC8"/>
    <w:rsid w:val="00726D03"/>
    <w:rsid w:val="00726D5C"/>
    <w:rsid w:val="00726FB2"/>
    <w:rsid w:val="00727053"/>
    <w:rsid w:val="00727168"/>
    <w:rsid w:val="00727248"/>
    <w:rsid w:val="00727536"/>
    <w:rsid w:val="0072764F"/>
    <w:rsid w:val="007276B7"/>
    <w:rsid w:val="0072773E"/>
    <w:rsid w:val="00727858"/>
    <w:rsid w:val="00727864"/>
    <w:rsid w:val="0072788E"/>
    <w:rsid w:val="0072793A"/>
    <w:rsid w:val="00727AF2"/>
    <w:rsid w:val="00727D9B"/>
    <w:rsid w:val="00727F10"/>
    <w:rsid w:val="0073000C"/>
    <w:rsid w:val="007304FC"/>
    <w:rsid w:val="00730505"/>
    <w:rsid w:val="0073055A"/>
    <w:rsid w:val="00730790"/>
    <w:rsid w:val="00730A31"/>
    <w:rsid w:val="00730B13"/>
    <w:rsid w:val="00730B71"/>
    <w:rsid w:val="00730C91"/>
    <w:rsid w:val="00730D28"/>
    <w:rsid w:val="00730D8B"/>
    <w:rsid w:val="00731137"/>
    <w:rsid w:val="0073143A"/>
    <w:rsid w:val="007314A7"/>
    <w:rsid w:val="007317CC"/>
    <w:rsid w:val="007317DB"/>
    <w:rsid w:val="00731823"/>
    <w:rsid w:val="00731856"/>
    <w:rsid w:val="0073188E"/>
    <w:rsid w:val="00731A11"/>
    <w:rsid w:val="00731A7B"/>
    <w:rsid w:val="00731A87"/>
    <w:rsid w:val="00731B65"/>
    <w:rsid w:val="00731C01"/>
    <w:rsid w:val="00731D30"/>
    <w:rsid w:val="00731DB0"/>
    <w:rsid w:val="00731FAF"/>
    <w:rsid w:val="00731FC6"/>
    <w:rsid w:val="0073203A"/>
    <w:rsid w:val="00732151"/>
    <w:rsid w:val="0073215A"/>
    <w:rsid w:val="0073232B"/>
    <w:rsid w:val="00732336"/>
    <w:rsid w:val="00732454"/>
    <w:rsid w:val="0073275A"/>
    <w:rsid w:val="007328CD"/>
    <w:rsid w:val="007328EE"/>
    <w:rsid w:val="00732926"/>
    <w:rsid w:val="00732941"/>
    <w:rsid w:val="007329EC"/>
    <w:rsid w:val="00732A77"/>
    <w:rsid w:val="00732ACB"/>
    <w:rsid w:val="00732D44"/>
    <w:rsid w:val="00732FEF"/>
    <w:rsid w:val="00732FFC"/>
    <w:rsid w:val="0073301C"/>
    <w:rsid w:val="00733161"/>
    <w:rsid w:val="00733400"/>
    <w:rsid w:val="00733776"/>
    <w:rsid w:val="0073381D"/>
    <w:rsid w:val="0073398E"/>
    <w:rsid w:val="007339DF"/>
    <w:rsid w:val="00733CEE"/>
    <w:rsid w:val="00733DC3"/>
    <w:rsid w:val="00733E59"/>
    <w:rsid w:val="00733EEA"/>
    <w:rsid w:val="00733FFB"/>
    <w:rsid w:val="007342AD"/>
    <w:rsid w:val="007343AD"/>
    <w:rsid w:val="00734503"/>
    <w:rsid w:val="0073450A"/>
    <w:rsid w:val="00734530"/>
    <w:rsid w:val="0073464F"/>
    <w:rsid w:val="007348FC"/>
    <w:rsid w:val="007349AC"/>
    <w:rsid w:val="007353DD"/>
    <w:rsid w:val="007354DE"/>
    <w:rsid w:val="00735D12"/>
    <w:rsid w:val="00735E05"/>
    <w:rsid w:val="00735FA4"/>
    <w:rsid w:val="00736001"/>
    <w:rsid w:val="0073607F"/>
    <w:rsid w:val="007361CC"/>
    <w:rsid w:val="0073637B"/>
    <w:rsid w:val="007364D5"/>
    <w:rsid w:val="00736508"/>
    <w:rsid w:val="0073650A"/>
    <w:rsid w:val="00736676"/>
    <w:rsid w:val="007367EF"/>
    <w:rsid w:val="007368CA"/>
    <w:rsid w:val="00736A42"/>
    <w:rsid w:val="00736A58"/>
    <w:rsid w:val="00736A8F"/>
    <w:rsid w:val="00736AE2"/>
    <w:rsid w:val="00736B4F"/>
    <w:rsid w:val="00736D04"/>
    <w:rsid w:val="00736DA8"/>
    <w:rsid w:val="00736E94"/>
    <w:rsid w:val="00736F58"/>
    <w:rsid w:val="00736F7F"/>
    <w:rsid w:val="00736FB2"/>
    <w:rsid w:val="0073704E"/>
    <w:rsid w:val="0073711F"/>
    <w:rsid w:val="00737302"/>
    <w:rsid w:val="007374FA"/>
    <w:rsid w:val="00737552"/>
    <w:rsid w:val="007378EB"/>
    <w:rsid w:val="0073794C"/>
    <w:rsid w:val="00737B31"/>
    <w:rsid w:val="00737B99"/>
    <w:rsid w:val="00737F6B"/>
    <w:rsid w:val="00740274"/>
    <w:rsid w:val="00740319"/>
    <w:rsid w:val="00740804"/>
    <w:rsid w:val="00740898"/>
    <w:rsid w:val="00740BA8"/>
    <w:rsid w:val="00740F2A"/>
    <w:rsid w:val="007411C0"/>
    <w:rsid w:val="0074128D"/>
    <w:rsid w:val="00741646"/>
    <w:rsid w:val="00741839"/>
    <w:rsid w:val="007418B9"/>
    <w:rsid w:val="007418E1"/>
    <w:rsid w:val="00741932"/>
    <w:rsid w:val="007419C5"/>
    <w:rsid w:val="00741CC4"/>
    <w:rsid w:val="00741E58"/>
    <w:rsid w:val="00741E83"/>
    <w:rsid w:val="00741FC9"/>
    <w:rsid w:val="007421DD"/>
    <w:rsid w:val="00742201"/>
    <w:rsid w:val="0074221F"/>
    <w:rsid w:val="00742370"/>
    <w:rsid w:val="0074241C"/>
    <w:rsid w:val="0074244E"/>
    <w:rsid w:val="00742475"/>
    <w:rsid w:val="007425BB"/>
    <w:rsid w:val="00742924"/>
    <w:rsid w:val="0074294E"/>
    <w:rsid w:val="00742A84"/>
    <w:rsid w:val="00742E41"/>
    <w:rsid w:val="00742F34"/>
    <w:rsid w:val="00742F99"/>
    <w:rsid w:val="0074311D"/>
    <w:rsid w:val="00743122"/>
    <w:rsid w:val="00743197"/>
    <w:rsid w:val="0074326B"/>
    <w:rsid w:val="007432E2"/>
    <w:rsid w:val="007433DD"/>
    <w:rsid w:val="007434BE"/>
    <w:rsid w:val="00743545"/>
    <w:rsid w:val="0074360D"/>
    <w:rsid w:val="0074378E"/>
    <w:rsid w:val="0074394B"/>
    <w:rsid w:val="00743CA7"/>
    <w:rsid w:val="00743DF6"/>
    <w:rsid w:val="0074434E"/>
    <w:rsid w:val="007443AE"/>
    <w:rsid w:val="007443CA"/>
    <w:rsid w:val="00744455"/>
    <w:rsid w:val="007449E3"/>
    <w:rsid w:val="00744C05"/>
    <w:rsid w:val="00744E43"/>
    <w:rsid w:val="00744E91"/>
    <w:rsid w:val="00744F3E"/>
    <w:rsid w:val="00744FED"/>
    <w:rsid w:val="0074528D"/>
    <w:rsid w:val="007453DF"/>
    <w:rsid w:val="00745492"/>
    <w:rsid w:val="00745703"/>
    <w:rsid w:val="007458C2"/>
    <w:rsid w:val="00745A78"/>
    <w:rsid w:val="00745A90"/>
    <w:rsid w:val="00745B64"/>
    <w:rsid w:val="00745D4C"/>
    <w:rsid w:val="00745F36"/>
    <w:rsid w:val="00746072"/>
    <w:rsid w:val="00746314"/>
    <w:rsid w:val="007465D6"/>
    <w:rsid w:val="0074661B"/>
    <w:rsid w:val="00746662"/>
    <w:rsid w:val="00746734"/>
    <w:rsid w:val="00746828"/>
    <w:rsid w:val="007468C2"/>
    <w:rsid w:val="00746907"/>
    <w:rsid w:val="00746A90"/>
    <w:rsid w:val="00747009"/>
    <w:rsid w:val="0074713F"/>
    <w:rsid w:val="00747211"/>
    <w:rsid w:val="00747285"/>
    <w:rsid w:val="007473CB"/>
    <w:rsid w:val="00747848"/>
    <w:rsid w:val="00747858"/>
    <w:rsid w:val="00747883"/>
    <w:rsid w:val="007478DB"/>
    <w:rsid w:val="00747D01"/>
    <w:rsid w:val="00747E9E"/>
    <w:rsid w:val="00747EA1"/>
    <w:rsid w:val="00747EAD"/>
    <w:rsid w:val="00747FAC"/>
    <w:rsid w:val="00750143"/>
    <w:rsid w:val="0075017A"/>
    <w:rsid w:val="007501E6"/>
    <w:rsid w:val="00750205"/>
    <w:rsid w:val="00750297"/>
    <w:rsid w:val="0075044B"/>
    <w:rsid w:val="00750450"/>
    <w:rsid w:val="0075049E"/>
    <w:rsid w:val="00750520"/>
    <w:rsid w:val="0075075C"/>
    <w:rsid w:val="00750850"/>
    <w:rsid w:val="00750978"/>
    <w:rsid w:val="00750AE3"/>
    <w:rsid w:val="00750C2F"/>
    <w:rsid w:val="00750E34"/>
    <w:rsid w:val="0075101C"/>
    <w:rsid w:val="0075119D"/>
    <w:rsid w:val="007511AA"/>
    <w:rsid w:val="00751389"/>
    <w:rsid w:val="00751648"/>
    <w:rsid w:val="00751AA0"/>
    <w:rsid w:val="00751D1C"/>
    <w:rsid w:val="00751ECB"/>
    <w:rsid w:val="00751F31"/>
    <w:rsid w:val="00752264"/>
    <w:rsid w:val="00752618"/>
    <w:rsid w:val="0075261F"/>
    <w:rsid w:val="0075264C"/>
    <w:rsid w:val="00752CB6"/>
    <w:rsid w:val="00752D78"/>
    <w:rsid w:val="00752DFF"/>
    <w:rsid w:val="00752FF6"/>
    <w:rsid w:val="00753092"/>
    <w:rsid w:val="00753286"/>
    <w:rsid w:val="007535C8"/>
    <w:rsid w:val="00753E91"/>
    <w:rsid w:val="00753F49"/>
    <w:rsid w:val="0075402A"/>
    <w:rsid w:val="00754046"/>
    <w:rsid w:val="0075407E"/>
    <w:rsid w:val="00754103"/>
    <w:rsid w:val="007542AB"/>
    <w:rsid w:val="007544C0"/>
    <w:rsid w:val="007546EE"/>
    <w:rsid w:val="00754708"/>
    <w:rsid w:val="007547D0"/>
    <w:rsid w:val="00754953"/>
    <w:rsid w:val="0075497C"/>
    <w:rsid w:val="007549A9"/>
    <w:rsid w:val="00754A89"/>
    <w:rsid w:val="00754A99"/>
    <w:rsid w:val="00754AA8"/>
    <w:rsid w:val="00754B48"/>
    <w:rsid w:val="00754D36"/>
    <w:rsid w:val="00754E98"/>
    <w:rsid w:val="00754EDE"/>
    <w:rsid w:val="00754EE7"/>
    <w:rsid w:val="007550BD"/>
    <w:rsid w:val="0075567A"/>
    <w:rsid w:val="007557BF"/>
    <w:rsid w:val="0075585E"/>
    <w:rsid w:val="00755BA6"/>
    <w:rsid w:val="00755CCB"/>
    <w:rsid w:val="00755CE1"/>
    <w:rsid w:val="00756268"/>
    <w:rsid w:val="007562F1"/>
    <w:rsid w:val="00756400"/>
    <w:rsid w:val="00756474"/>
    <w:rsid w:val="00756634"/>
    <w:rsid w:val="007566F0"/>
    <w:rsid w:val="0075672E"/>
    <w:rsid w:val="00756760"/>
    <w:rsid w:val="00756B30"/>
    <w:rsid w:val="00756B45"/>
    <w:rsid w:val="0075707E"/>
    <w:rsid w:val="007570A2"/>
    <w:rsid w:val="00757167"/>
    <w:rsid w:val="00757192"/>
    <w:rsid w:val="0075722F"/>
    <w:rsid w:val="00757321"/>
    <w:rsid w:val="0075739C"/>
    <w:rsid w:val="00757404"/>
    <w:rsid w:val="00757573"/>
    <w:rsid w:val="007575E3"/>
    <w:rsid w:val="0075777E"/>
    <w:rsid w:val="007577FC"/>
    <w:rsid w:val="00757888"/>
    <w:rsid w:val="00757930"/>
    <w:rsid w:val="007579BC"/>
    <w:rsid w:val="00757A55"/>
    <w:rsid w:val="00757C00"/>
    <w:rsid w:val="00757C8C"/>
    <w:rsid w:val="00757E37"/>
    <w:rsid w:val="00757E4D"/>
    <w:rsid w:val="00757F8A"/>
    <w:rsid w:val="00760057"/>
    <w:rsid w:val="0076005A"/>
    <w:rsid w:val="0076012B"/>
    <w:rsid w:val="00760138"/>
    <w:rsid w:val="0076026C"/>
    <w:rsid w:val="007604BB"/>
    <w:rsid w:val="00760504"/>
    <w:rsid w:val="0076061E"/>
    <w:rsid w:val="007606CA"/>
    <w:rsid w:val="00760852"/>
    <w:rsid w:val="007608FA"/>
    <w:rsid w:val="007609B0"/>
    <w:rsid w:val="00760B29"/>
    <w:rsid w:val="00760BA6"/>
    <w:rsid w:val="00761016"/>
    <w:rsid w:val="0076110F"/>
    <w:rsid w:val="0076116B"/>
    <w:rsid w:val="00761202"/>
    <w:rsid w:val="0076140B"/>
    <w:rsid w:val="00761639"/>
    <w:rsid w:val="0076177E"/>
    <w:rsid w:val="00761879"/>
    <w:rsid w:val="007618DD"/>
    <w:rsid w:val="007619A6"/>
    <w:rsid w:val="00761BF2"/>
    <w:rsid w:val="00761E03"/>
    <w:rsid w:val="00761E9A"/>
    <w:rsid w:val="00761EDE"/>
    <w:rsid w:val="00761F93"/>
    <w:rsid w:val="00761F98"/>
    <w:rsid w:val="00762017"/>
    <w:rsid w:val="007621BC"/>
    <w:rsid w:val="007622C8"/>
    <w:rsid w:val="007626A4"/>
    <w:rsid w:val="00762716"/>
    <w:rsid w:val="00762B91"/>
    <w:rsid w:val="00762DB5"/>
    <w:rsid w:val="00762F4C"/>
    <w:rsid w:val="00762FC2"/>
    <w:rsid w:val="0076301D"/>
    <w:rsid w:val="0076329B"/>
    <w:rsid w:val="007633C3"/>
    <w:rsid w:val="0076345D"/>
    <w:rsid w:val="00763576"/>
    <w:rsid w:val="007637A0"/>
    <w:rsid w:val="007639F0"/>
    <w:rsid w:val="00763B46"/>
    <w:rsid w:val="00763D6E"/>
    <w:rsid w:val="0076414B"/>
    <w:rsid w:val="00764168"/>
    <w:rsid w:val="007641E0"/>
    <w:rsid w:val="007641FD"/>
    <w:rsid w:val="00764280"/>
    <w:rsid w:val="007642E8"/>
    <w:rsid w:val="007644FE"/>
    <w:rsid w:val="0076454D"/>
    <w:rsid w:val="007646DA"/>
    <w:rsid w:val="0076470F"/>
    <w:rsid w:val="00764937"/>
    <w:rsid w:val="00764960"/>
    <w:rsid w:val="00764B55"/>
    <w:rsid w:val="00764C27"/>
    <w:rsid w:val="00764DEE"/>
    <w:rsid w:val="00764FB7"/>
    <w:rsid w:val="00765005"/>
    <w:rsid w:val="00765372"/>
    <w:rsid w:val="0076540D"/>
    <w:rsid w:val="00765570"/>
    <w:rsid w:val="007656A1"/>
    <w:rsid w:val="00765910"/>
    <w:rsid w:val="007659CE"/>
    <w:rsid w:val="00765A9B"/>
    <w:rsid w:val="00765CF8"/>
    <w:rsid w:val="00765F5B"/>
    <w:rsid w:val="00766033"/>
    <w:rsid w:val="0076613D"/>
    <w:rsid w:val="0076615F"/>
    <w:rsid w:val="00766350"/>
    <w:rsid w:val="0076652F"/>
    <w:rsid w:val="00766562"/>
    <w:rsid w:val="007666C4"/>
    <w:rsid w:val="00766AB4"/>
    <w:rsid w:val="00766ACF"/>
    <w:rsid w:val="00766DAE"/>
    <w:rsid w:val="00766DCC"/>
    <w:rsid w:val="00766E5B"/>
    <w:rsid w:val="00766EF7"/>
    <w:rsid w:val="00766F38"/>
    <w:rsid w:val="00766FD3"/>
    <w:rsid w:val="0076711D"/>
    <w:rsid w:val="007671A0"/>
    <w:rsid w:val="007672CD"/>
    <w:rsid w:val="0076739E"/>
    <w:rsid w:val="0076743F"/>
    <w:rsid w:val="0076749D"/>
    <w:rsid w:val="007674B7"/>
    <w:rsid w:val="007677F2"/>
    <w:rsid w:val="0076782F"/>
    <w:rsid w:val="0076789B"/>
    <w:rsid w:val="00767933"/>
    <w:rsid w:val="00767A58"/>
    <w:rsid w:val="00767AFE"/>
    <w:rsid w:val="00767BAA"/>
    <w:rsid w:val="00767CAA"/>
    <w:rsid w:val="00767D88"/>
    <w:rsid w:val="00767EC7"/>
    <w:rsid w:val="00767EDC"/>
    <w:rsid w:val="007700D3"/>
    <w:rsid w:val="007701F7"/>
    <w:rsid w:val="00770593"/>
    <w:rsid w:val="007705A1"/>
    <w:rsid w:val="00770784"/>
    <w:rsid w:val="007708E7"/>
    <w:rsid w:val="0077095C"/>
    <w:rsid w:val="00770A49"/>
    <w:rsid w:val="00770B80"/>
    <w:rsid w:val="00770BC1"/>
    <w:rsid w:val="00770D90"/>
    <w:rsid w:val="00770EB0"/>
    <w:rsid w:val="00770FE2"/>
    <w:rsid w:val="0077103D"/>
    <w:rsid w:val="0077109B"/>
    <w:rsid w:val="00771254"/>
    <w:rsid w:val="0077130A"/>
    <w:rsid w:val="007713C8"/>
    <w:rsid w:val="00771527"/>
    <w:rsid w:val="00771617"/>
    <w:rsid w:val="00771763"/>
    <w:rsid w:val="007717BF"/>
    <w:rsid w:val="00771978"/>
    <w:rsid w:val="00771A19"/>
    <w:rsid w:val="00771A98"/>
    <w:rsid w:val="00771A99"/>
    <w:rsid w:val="00771AA1"/>
    <w:rsid w:val="00771B5D"/>
    <w:rsid w:val="00771BEF"/>
    <w:rsid w:val="00771C29"/>
    <w:rsid w:val="00771E6F"/>
    <w:rsid w:val="00771FA8"/>
    <w:rsid w:val="00772047"/>
    <w:rsid w:val="007721AD"/>
    <w:rsid w:val="0077232E"/>
    <w:rsid w:val="0077242E"/>
    <w:rsid w:val="0077257B"/>
    <w:rsid w:val="0077264E"/>
    <w:rsid w:val="00772680"/>
    <w:rsid w:val="00772786"/>
    <w:rsid w:val="00772805"/>
    <w:rsid w:val="007728CC"/>
    <w:rsid w:val="007728FB"/>
    <w:rsid w:val="00772A3A"/>
    <w:rsid w:val="00772A45"/>
    <w:rsid w:val="00772B18"/>
    <w:rsid w:val="00772BE0"/>
    <w:rsid w:val="00772CBF"/>
    <w:rsid w:val="00772D07"/>
    <w:rsid w:val="00772F4E"/>
    <w:rsid w:val="00773260"/>
    <w:rsid w:val="007732C2"/>
    <w:rsid w:val="007732F1"/>
    <w:rsid w:val="00773372"/>
    <w:rsid w:val="007734B0"/>
    <w:rsid w:val="007734F0"/>
    <w:rsid w:val="00773871"/>
    <w:rsid w:val="00773967"/>
    <w:rsid w:val="00773B2A"/>
    <w:rsid w:val="00773B42"/>
    <w:rsid w:val="00773B80"/>
    <w:rsid w:val="00773BCE"/>
    <w:rsid w:val="00773C40"/>
    <w:rsid w:val="00773CC7"/>
    <w:rsid w:val="00773DE6"/>
    <w:rsid w:val="00773E63"/>
    <w:rsid w:val="00773F8F"/>
    <w:rsid w:val="00774008"/>
    <w:rsid w:val="007740D5"/>
    <w:rsid w:val="00774152"/>
    <w:rsid w:val="00774266"/>
    <w:rsid w:val="007743FF"/>
    <w:rsid w:val="0077447A"/>
    <w:rsid w:val="007744AE"/>
    <w:rsid w:val="007744F7"/>
    <w:rsid w:val="007746A8"/>
    <w:rsid w:val="00774750"/>
    <w:rsid w:val="00774817"/>
    <w:rsid w:val="0077487B"/>
    <w:rsid w:val="00774AE2"/>
    <w:rsid w:val="00775019"/>
    <w:rsid w:val="0077506E"/>
    <w:rsid w:val="007751A2"/>
    <w:rsid w:val="007751CF"/>
    <w:rsid w:val="0077557A"/>
    <w:rsid w:val="007756D3"/>
    <w:rsid w:val="007757E9"/>
    <w:rsid w:val="0077588C"/>
    <w:rsid w:val="007759CA"/>
    <w:rsid w:val="00775A00"/>
    <w:rsid w:val="00775A53"/>
    <w:rsid w:val="00775AAF"/>
    <w:rsid w:val="00775B38"/>
    <w:rsid w:val="00775C75"/>
    <w:rsid w:val="00775D38"/>
    <w:rsid w:val="00775E39"/>
    <w:rsid w:val="00775E59"/>
    <w:rsid w:val="007760AE"/>
    <w:rsid w:val="00776255"/>
    <w:rsid w:val="007762AF"/>
    <w:rsid w:val="007763F4"/>
    <w:rsid w:val="00776403"/>
    <w:rsid w:val="007764AE"/>
    <w:rsid w:val="0077654F"/>
    <w:rsid w:val="00776555"/>
    <w:rsid w:val="007765C2"/>
    <w:rsid w:val="00776688"/>
    <w:rsid w:val="0077698E"/>
    <w:rsid w:val="007769BF"/>
    <w:rsid w:val="00776BF2"/>
    <w:rsid w:val="00776CB6"/>
    <w:rsid w:val="00776DD7"/>
    <w:rsid w:val="00776FA0"/>
    <w:rsid w:val="00776FFB"/>
    <w:rsid w:val="00777242"/>
    <w:rsid w:val="0077729E"/>
    <w:rsid w:val="00777399"/>
    <w:rsid w:val="00777495"/>
    <w:rsid w:val="007774C6"/>
    <w:rsid w:val="007774FA"/>
    <w:rsid w:val="00777525"/>
    <w:rsid w:val="00777527"/>
    <w:rsid w:val="0077770C"/>
    <w:rsid w:val="007777E7"/>
    <w:rsid w:val="00777A60"/>
    <w:rsid w:val="00777AB6"/>
    <w:rsid w:val="00777ACD"/>
    <w:rsid w:val="00777B8D"/>
    <w:rsid w:val="00777C0C"/>
    <w:rsid w:val="00777C39"/>
    <w:rsid w:val="00777C5B"/>
    <w:rsid w:val="00777D68"/>
    <w:rsid w:val="00777D9B"/>
    <w:rsid w:val="00777F71"/>
    <w:rsid w:val="00780177"/>
    <w:rsid w:val="007801B2"/>
    <w:rsid w:val="007801D3"/>
    <w:rsid w:val="007802C4"/>
    <w:rsid w:val="00780526"/>
    <w:rsid w:val="007805BC"/>
    <w:rsid w:val="007808B1"/>
    <w:rsid w:val="0078094F"/>
    <w:rsid w:val="00780AD8"/>
    <w:rsid w:val="00780AE0"/>
    <w:rsid w:val="00780C2D"/>
    <w:rsid w:val="00780CFD"/>
    <w:rsid w:val="00780E94"/>
    <w:rsid w:val="00781024"/>
    <w:rsid w:val="00781043"/>
    <w:rsid w:val="007813C2"/>
    <w:rsid w:val="00781631"/>
    <w:rsid w:val="00781739"/>
    <w:rsid w:val="007818FD"/>
    <w:rsid w:val="00781AF0"/>
    <w:rsid w:val="00781D46"/>
    <w:rsid w:val="00781FE8"/>
    <w:rsid w:val="007820E0"/>
    <w:rsid w:val="00782258"/>
    <w:rsid w:val="007822D6"/>
    <w:rsid w:val="00782314"/>
    <w:rsid w:val="00782680"/>
    <w:rsid w:val="0078268C"/>
    <w:rsid w:val="00782733"/>
    <w:rsid w:val="00782737"/>
    <w:rsid w:val="00782B50"/>
    <w:rsid w:val="00782D5F"/>
    <w:rsid w:val="00782DBD"/>
    <w:rsid w:val="00782E2C"/>
    <w:rsid w:val="00782F03"/>
    <w:rsid w:val="0078319D"/>
    <w:rsid w:val="0078328A"/>
    <w:rsid w:val="0078335B"/>
    <w:rsid w:val="00783443"/>
    <w:rsid w:val="007837BB"/>
    <w:rsid w:val="007837DB"/>
    <w:rsid w:val="00783CD3"/>
    <w:rsid w:val="00783D19"/>
    <w:rsid w:val="00783D85"/>
    <w:rsid w:val="00783FBF"/>
    <w:rsid w:val="00784056"/>
    <w:rsid w:val="00784300"/>
    <w:rsid w:val="00784481"/>
    <w:rsid w:val="00784660"/>
    <w:rsid w:val="007846D6"/>
    <w:rsid w:val="0078485A"/>
    <w:rsid w:val="00784965"/>
    <w:rsid w:val="00784EBC"/>
    <w:rsid w:val="00784F8B"/>
    <w:rsid w:val="00784FA4"/>
    <w:rsid w:val="0078505C"/>
    <w:rsid w:val="007850C3"/>
    <w:rsid w:val="0078534B"/>
    <w:rsid w:val="00785403"/>
    <w:rsid w:val="00785549"/>
    <w:rsid w:val="0078566C"/>
    <w:rsid w:val="00785718"/>
    <w:rsid w:val="0078572F"/>
    <w:rsid w:val="00785823"/>
    <w:rsid w:val="00785891"/>
    <w:rsid w:val="00785B9A"/>
    <w:rsid w:val="00785BA2"/>
    <w:rsid w:val="00785BA4"/>
    <w:rsid w:val="00785E0A"/>
    <w:rsid w:val="00785ED7"/>
    <w:rsid w:val="00785FCD"/>
    <w:rsid w:val="00786260"/>
    <w:rsid w:val="007863BD"/>
    <w:rsid w:val="00786425"/>
    <w:rsid w:val="007864B1"/>
    <w:rsid w:val="0078674F"/>
    <w:rsid w:val="00786754"/>
    <w:rsid w:val="007867FE"/>
    <w:rsid w:val="00786890"/>
    <w:rsid w:val="00786A4E"/>
    <w:rsid w:val="00786DFE"/>
    <w:rsid w:val="00786F1A"/>
    <w:rsid w:val="007870B6"/>
    <w:rsid w:val="00787199"/>
    <w:rsid w:val="007871F8"/>
    <w:rsid w:val="0078723C"/>
    <w:rsid w:val="00787388"/>
    <w:rsid w:val="0078743D"/>
    <w:rsid w:val="007875EB"/>
    <w:rsid w:val="00787694"/>
    <w:rsid w:val="00787C1D"/>
    <w:rsid w:val="00787DE3"/>
    <w:rsid w:val="00787E82"/>
    <w:rsid w:val="0079000A"/>
    <w:rsid w:val="00790071"/>
    <w:rsid w:val="00790280"/>
    <w:rsid w:val="0079044C"/>
    <w:rsid w:val="0079056A"/>
    <w:rsid w:val="00790A8E"/>
    <w:rsid w:val="00790BDA"/>
    <w:rsid w:val="00790C32"/>
    <w:rsid w:val="00790DE4"/>
    <w:rsid w:val="007910B2"/>
    <w:rsid w:val="00791149"/>
    <w:rsid w:val="00791252"/>
    <w:rsid w:val="00791289"/>
    <w:rsid w:val="00791371"/>
    <w:rsid w:val="007913FA"/>
    <w:rsid w:val="007917FC"/>
    <w:rsid w:val="00791B16"/>
    <w:rsid w:val="00791EF2"/>
    <w:rsid w:val="00792269"/>
    <w:rsid w:val="007922DD"/>
    <w:rsid w:val="0079232A"/>
    <w:rsid w:val="0079233F"/>
    <w:rsid w:val="007924B4"/>
    <w:rsid w:val="00792629"/>
    <w:rsid w:val="0079273B"/>
    <w:rsid w:val="007929E7"/>
    <w:rsid w:val="00792A24"/>
    <w:rsid w:val="00792E4B"/>
    <w:rsid w:val="00792F3B"/>
    <w:rsid w:val="00793101"/>
    <w:rsid w:val="00793118"/>
    <w:rsid w:val="0079328F"/>
    <w:rsid w:val="007933B3"/>
    <w:rsid w:val="007934A1"/>
    <w:rsid w:val="007936DA"/>
    <w:rsid w:val="0079375E"/>
    <w:rsid w:val="0079384F"/>
    <w:rsid w:val="00793869"/>
    <w:rsid w:val="00793944"/>
    <w:rsid w:val="007939A2"/>
    <w:rsid w:val="00793A0E"/>
    <w:rsid w:val="00793AE3"/>
    <w:rsid w:val="00794067"/>
    <w:rsid w:val="007942F5"/>
    <w:rsid w:val="00794312"/>
    <w:rsid w:val="00794592"/>
    <w:rsid w:val="0079466C"/>
    <w:rsid w:val="007946DF"/>
    <w:rsid w:val="00794A96"/>
    <w:rsid w:val="00794BB1"/>
    <w:rsid w:val="00794C3E"/>
    <w:rsid w:val="00794C83"/>
    <w:rsid w:val="00794D64"/>
    <w:rsid w:val="00794EFD"/>
    <w:rsid w:val="00795035"/>
    <w:rsid w:val="0079533B"/>
    <w:rsid w:val="007953F8"/>
    <w:rsid w:val="00795418"/>
    <w:rsid w:val="00795492"/>
    <w:rsid w:val="007954C4"/>
    <w:rsid w:val="0079564D"/>
    <w:rsid w:val="00795C4D"/>
    <w:rsid w:val="00795ED9"/>
    <w:rsid w:val="00795F58"/>
    <w:rsid w:val="00795FA1"/>
    <w:rsid w:val="00795FE0"/>
    <w:rsid w:val="00796068"/>
    <w:rsid w:val="00796107"/>
    <w:rsid w:val="007961F6"/>
    <w:rsid w:val="007962B7"/>
    <w:rsid w:val="007964FD"/>
    <w:rsid w:val="0079696A"/>
    <w:rsid w:val="007969DB"/>
    <w:rsid w:val="00796A1F"/>
    <w:rsid w:val="00796B1A"/>
    <w:rsid w:val="00796BB0"/>
    <w:rsid w:val="00796D26"/>
    <w:rsid w:val="007970E3"/>
    <w:rsid w:val="007973DE"/>
    <w:rsid w:val="007975BA"/>
    <w:rsid w:val="007978C9"/>
    <w:rsid w:val="00797910"/>
    <w:rsid w:val="00797AC3"/>
    <w:rsid w:val="00797B74"/>
    <w:rsid w:val="00797BFF"/>
    <w:rsid w:val="00797D6E"/>
    <w:rsid w:val="007A0036"/>
    <w:rsid w:val="007A01E1"/>
    <w:rsid w:val="007A0224"/>
    <w:rsid w:val="007A0632"/>
    <w:rsid w:val="007A07FF"/>
    <w:rsid w:val="007A0823"/>
    <w:rsid w:val="007A08A2"/>
    <w:rsid w:val="007A0A54"/>
    <w:rsid w:val="007A0BA7"/>
    <w:rsid w:val="007A0CA9"/>
    <w:rsid w:val="007A0D86"/>
    <w:rsid w:val="007A0DB2"/>
    <w:rsid w:val="007A0E8E"/>
    <w:rsid w:val="007A1072"/>
    <w:rsid w:val="007A12AA"/>
    <w:rsid w:val="007A12DF"/>
    <w:rsid w:val="007A143F"/>
    <w:rsid w:val="007A16E6"/>
    <w:rsid w:val="007A171E"/>
    <w:rsid w:val="007A1726"/>
    <w:rsid w:val="007A1865"/>
    <w:rsid w:val="007A1C17"/>
    <w:rsid w:val="007A1E18"/>
    <w:rsid w:val="007A1F0E"/>
    <w:rsid w:val="007A1F19"/>
    <w:rsid w:val="007A20B4"/>
    <w:rsid w:val="007A20CC"/>
    <w:rsid w:val="007A255B"/>
    <w:rsid w:val="007A25CC"/>
    <w:rsid w:val="007A287C"/>
    <w:rsid w:val="007A28B5"/>
    <w:rsid w:val="007A28BD"/>
    <w:rsid w:val="007A2943"/>
    <w:rsid w:val="007A2A01"/>
    <w:rsid w:val="007A2B6E"/>
    <w:rsid w:val="007A2CEC"/>
    <w:rsid w:val="007A30BC"/>
    <w:rsid w:val="007A335E"/>
    <w:rsid w:val="007A345B"/>
    <w:rsid w:val="007A34A8"/>
    <w:rsid w:val="007A35DD"/>
    <w:rsid w:val="007A36D9"/>
    <w:rsid w:val="007A3922"/>
    <w:rsid w:val="007A4014"/>
    <w:rsid w:val="007A408E"/>
    <w:rsid w:val="007A4090"/>
    <w:rsid w:val="007A40DB"/>
    <w:rsid w:val="007A410D"/>
    <w:rsid w:val="007A437A"/>
    <w:rsid w:val="007A44A5"/>
    <w:rsid w:val="007A47AA"/>
    <w:rsid w:val="007A4909"/>
    <w:rsid w:val="007A49FE"/>
    <w:rsid w:val="007A4A42"/>
    <w:rsid w:val="007A4A5D"/>
    <w:rsid w:val="007A4A9D"/>
    <w:rsid w:val="007A4CF2"/>
    <w:rsid w:val="007A4D5D"/>
    <w:rsid w:val="007A4E4A"/>
    <w:rsid w:val="007A4F83"/>
    <w:rsid w:val="007A5218"/>
    <w:rsid w:val="007A541E"/>
    <w:rsid w:val="007A55D2"/>
    <w:rsid w:val="007A56CE"/>
    <w:rsid w:val="007A56E2"/>
    <w:rsid w:val="007A56F9"/>
    <w:rsid w:val="007A59A1"/>
    <w:rsid w:val="007A5D44"/>
    <w:rsid w:val="007A5D67"/>
    <w:rsid w:val="007A6113"/>
    <w:rsid w:val="007A6316"/>
    <w:rsid w:val="007A6425"/>
    <w:rsid w:val="007A650C"/>
    <w:rsid w:val="007A6526"/>
    <w:rsid w:val="007A68BC"/>
    <w:rsid w:val="007A69D3"/>
    <w:rsid w:val="007A6A3E"/>
    <w:rsid w:val="007A6A48"/>
    <w:rsid w:val="007A6A63"/>
    <w:rsid w:val="007A6B93"/>
    <w:rsid w:val="007A6BAF"/>
    <w:rsid w:val="007A6C73"/>
    <w:rsid w:val="007A6C80"/>
    <w:rsid w:val="007A6EC6"/>
    <w:rsid w:val="007A6F15"/>
    <w:rsid w:val="007A6F9F"/>
    <w:rsid w:val="007A6FFF"/>
    <w:rsid w:val="007A7053"/>
    <w:rsid w:val="007A7123"/>
    <w:rsid w:val="007A735A"/>
    <w:rsid w:val="007A7641"/>
    <w:rsid w:val="007A7774"/>
    <w:rsid w:val="007A783B"/>
    <w:rsid w:val="007A79CB"/>
    <w:rsid w:val="007A79E9"/>
    <w:rsid w:val="007A7A5E"/>
    <w:rsid w:val="007A7AFF"/>
    <w:rsid w:val="007A7B7A"/>
    <w:rsid w:val="007A7B8D"/>
    <w:rsid w:val="007A7F32"/>
    <w:rsid w:val="007B0047"/>
    <w:rsid w:val="007B01DE"/>
    <w:rsid w:val="007B02E1"/>
    <w:rsid w:val="007B0327"/>
    <w:rsid w:val="007B0344"/>
    <w:rsid w:val="007B0355"/>
    <w:rsid w:val="007B035F"/>
    <w:rsid w:val="007B0533"/>
    <w:rsid w:val="007B06F1"/>
    <w:rsid w:val="007B077D"/>
    <w:rsid w:val="007B078A"/>
    <w:rsid w:val="007B0C9A"/>
    <w:rsid w:val="007B0CEC"/>
    <w:rsid w:val="007B0E1A"/>
    <w:rsid w:val="007B0FA7"/>
    <w:rsid w:val="007B0FA9"/>
    <w:rsid w:val="007B1383"/>
    <w:rsid w:val="007B153D"/>
    <w:rsid w:val="007B1558"/>
    <w:rsid w:val="007B15CA"/>
    <w:rsid w:val="007B165C"/>
    <w:rsid w:val="007B17E5"/>
    <w:rsid w:val="007B184E"/>
    <w:rsid w:val="007B187F"/>
    <w:rsid w:val="007B18AD"/>
    <w:rsid w:val="007B1927"/>
    <w:rsid w:val="007B19A2"/>
    <w:rsid w:val="007B1D28"/>
    <w:rsid w:val="007B1EAA"/>
    <w:rsid w:val="007B22C7"/>
    <w:rsid w:val="007B237F"/>
    <w:rsid w:val="007B2559"/>
    <w:rsid w:val="007B259F"/>
    <w:rsid w:val="007B2748"/>
    <w:rsid w:val="007B27CA"/>
    <w:rsid w:val="007B29F4"/>
    <w:rsid w:val="007B32D6"/>
    <w:rsid w:val="007B3488"/>
    <w:rsid w:val="007B3724"/>
    <w:rsid w:val="007B37E1"/>
    <w:rsid w:val="007B3882"/>
    <w:rsid w:val="007B3F61"/>
    <w:rsid w:val="007B460F"/>
    <w:rsid w:val="007B461B"/>
    <w:rsid w:val="007B4A3F"/>
    <w:rsid w:val="007B4A72"/>
    <w:rsid w:val="007B4F46"/>
    <w:rsid w:val="007B5078"/>
    <w:rsid w:val="007B51A5"/>
    <w:rsid w:val="007B5347"/>
    <w:rsid w:val="007B539C"/>
    <w:rsid w:val="007B542D"/>
    <w:rsid w:val="007B553B"/>
    <w:rsid w:val="007B553C"/>
    <w:rsid w:val="007B575F"/>
    <w:rsid w:val="007B5AD3"/>
    <w:rsid w:val="007B5D76"/>
    <w:rsid w:val="007B5D8A"/>
    <w:rsid w:val="007B5F3E"/>
    <w:rsid w:val="007B60AB"/>
    <w:rsid w:val="007B61BE"/>
    <w:rsid w:val="007B62C4"/>
    <w:rsid w:val="007B66C1"/>
    <w:rsid w:val="007B66C3"/>
    <w:rsid w:val="007B6757"/>
    <w:rsid w:val="007B678B"/>
    <w:rsid w:val="007B6B26"/>
    <w:rsid w:val="007B6B72"/>
    <w:rsid w:val="007B6BC7"/>
    <w:rsid w:val="007B6C7C"/>
    <w:rsid w:val="007B6D08"/>
    <w:rsid w:val="007B6DC6"/>
    <w:rsid w:val="007B6EB4"/>
    <w:rsid w:val="007B6EBF"/>
    <w:rsid w:val="007B7156"/>
    <w:rsid w:val="007B7359"/>
    <w:rsid w:val="007B7547"/>
    <w:rsid w:val="007B77E8"/>
    <w:rsid w:val="007B7A3F"/>
    <w:rsid w:val="007B7B9D"/>
    <w:rsid w:val="007B7C5C"/>
    <w:rsid w:val="007B7C7F"/>
    <w:rsid w:val="007B7CC9"/>
    <w:rsid w:val="007B7CFB"/>
    <w:rsid w:val="007B7F01"/>
    <w:rsid w:val="007C02D1"/>
    <w:rsid w:val="007C038B"/>
    <w:rsid w:val="007C043D"/>
    <w:rsid w:val="007C0742"/>
    <w:rsid w:val="007C079F"/>
    <w:rsid w:val="007C08C9"/>
    <w:rsid w:val="007C099B"/>
    <w:rsid w:val="007C0CB5"/>
    <w:rsid w:val="007C0D7F"/>
    <w:rsid w:val="007C0E82"/>
    <w:rsid w:val="007C0FE4"/>
    <w:rsid w:val="007C1049"/>
    <w:rsid w:val="007C1357"/>
    <w:rsid w:val="007C135A"/>
    <w:rsid w:val="007C1409"/>
    <w:rsid w:val="007C175E"/>
    <w:rsid w:val="007C1790"/>
    <w:rsid w:val="007C1947"/>
    <w:rsid w:val="007C1CCA"/>
    <w:rsid w:val="007C1D34"/>
    <w:rsid w:val="007C1D72"/>
    <w:rsid w:val="007C1EF9"/>
    <w:rsid w:val="007C1F71"/>
    <w:rsid w:val="007C1FE4"/>
    <w:rsid w:val="007C20F8"/>
    <w:rsid w:val="007C222C"/>
    <w:rsid w:val="007C23A6"/>
    <w:rsid w:val="007C23B0"/>
    <w:rsid w:val="007C257C"/>
    <w:rsid w:val="007C259F"/>
    <w:rsid w:val="007C285F"/>
    <w:rsid w:val="007C2BA2"/>
    <w:rsid w:val="007C2BD5"/>
    <w:rsid w:val="007C2C33"/>
    <w:rsid w:val="007C2F03"/>
    <w:rsid w:val="007C31A0"/>
    <w:rsid w:val="007C3481"/>
    <w:rsid w:val="007C34B2"/>
    <w:rsid w:val="007C34C3"/>
    <w:rsid w:val="007C36BC"/>
    <w:rsid w:val="007C375B"/>
    <w:rsid w:val="007C37BC"/>
    <w:rsid w:val="007C37E7"/>
    <w:rsid w:val="007C3957"/>
    <w:rsid w:val="007C39C6"/>
    <w:rsid w:val="007C3CB3"/>
    <w:rsid w:val="007C3D02"/>
    <w:rsid w:val="007C3D2D"/>
    <w:rsid w:val="007C3DF4"/>
    <w:rsid w:val="007C3E29"/>
    <w:rsid w:val="007C3E2C"/>
    <w:rsid w:val="007C3E9E"/>
    <w:rsid w:val="007C3EC4"/>
    <w:rsid w:val="007C3EF4"/>
    <w:rsid w:val="007C3F97"/>
    <w:rsid w:val="007C3FC5"/>
    <w:rsid w:val="007C4067"/>
    <w:rsid w:val="007C4186"/>
    <w:rsid w:val="007C41E1"/>
    <w:rsid w:val="007C4292"/>
    <w:rsid w:val="007C4316"/>
    <w:rsid w:val="007C434A"/>
    <w:rsid w:val="007C4677"/>
    <w:rsid w:val="007C4974"/>
    <w:rsid w:val="007C4B5F"/>
    <w:rsid w:val="007C4C0F"/>
    <w:rsid w:val="007C4E51"/>
    <w:rsid w:val="007C4F2A"/>
    <w:rsid w:val="007C4FD8"/>
    <w:rsid w:val="007C52D0"/>
    <w:rsid w:val="007C5478"/>
    <w:rsid w:val="007C559A"/>
    <w:rsid w:val="007C5631"/>
    <w:rsid w:val="007C59BD"/>
    <w:rsid w:val="007C5AF9"/>
    <w:rsid w:val="007C5F59"/>
    <w:rsid w:val="007C5FED"/>
    <w:rsid w:val="007C6139"/>
    <w:rsid w:val="007C62CF"/>
    <w:rsid w:val="007C62EC"/>
    <w:rsid w:val="007C6504"/>
    <w:rsid w:val="007C6586"/>
    <w:rsid w:val="007C65CE"/>
    <w:rsid w:val="007C66C9"/>
    <w:rsid w:val="007C6B45"/>
    <w:rsid w:val="007C6C2E"/>
    <w:rsid w:val="007C6DB7"/>
    <w:rsid w:val="007C6DFD"/>
    <w:rsid w:val="007C6FCF"/>
    <w:rsid w:val="007C7206"/>
    <w:rsid w:val="007C726C"/>
    <w:rsid w:val="007C7282"/>
    <w:rsid w:val="007C729E"/>
    <w:rsid w:val="007C7509"/>
    <w:rsid w:val="007C77F7"/>
    <w:rsid w:val="007C7918"/>
    <w:rsid w:val="007C79FB"/>
    <w:rsid w:val="007C7A5A"/>
    <w:rsid w:val="007C7CF0"/>
    <w:rsid w:val="007C7F01"/>
    <w:rsid w:val="007C7FD3"/>
    <w:rsid w:val="007D0094"/>
    <w:rsid w:val="007D00C7"/>
    <w:rsid w:val="007D027E"/>
    <w:rsid w:val="007D02F5"/>
    <w:rsid w:val="007D0382"/>
    <w:rsid w:val="007D03A0"/>
    <w:rsid w:val="007D0400"/>
    <w:rsid w:val="007D07FA"/>
    <w:rsid w:val="007D089F"/>
    <w:rsid w:val="007D08DD"/>
    <w:rsid w:val="007D0AAA"/>
    <w:rsid w:val="007D0DAA"/>
    <w:rsid w:val="007D0FD3"/>
    <w:rsid w:val="007D1011"/>
    <w:rsid w:val="007D1121"/>
    <w:rsid w:val="007D117F"/>
    <w:rsid w:val="007D11FD"/>
    <w:rsid w:val="007D1368"/>
    <w:rsid w:val="007D1454"/>
    <w:rsid w:val="007D14E3"/>
    <w:rsid w:val="007D14EC"/>
    <w:rsid w:val="007D16B5"/>
    <w:rsid w:val="007D1771"/>
    <w:rsid w:val="007D17C0"/>
    <w:rsid w:val="007D17CF"/>
    <w:rsid w:val="007D1831"/>
    <w:rsid w:val="007D1C98"/>
    <w:rsid w:val="007D1FBB"/>
    <w:rsid w:val="007D1FD9"/>
    <w:rsid w:val="007D2055"/>
    <w:rsid w:val="007D23DC"/>
    <w:rsid w:val="007D2567"/>
    <w:rsid w:val="007D25C7"/>
    <w:rsid w:val="007D29BE"/>
    <w:rsid w:val="007D2A8F"/>
    <w:rsid w:val="007D2B3F"/>
    <w:rsid w:val="007D2B6D"/>
    <w:rsid w:val="007D2C68"/>
    <w:rsid w:val="007D2CD0"/>
    <w:rsid w:val="007D3073"/>
    <w:rsid w:val="007D3295"/>
    <w:rsid w:val="007D32C0"/>
    <w:rsid w:val="007D3337"/>
    <w:rsid w:val="007D3430"/>
    <w:rsid w:val="007D35F9"/>
    <w:rsid w:val="007D3845"/>
    <w:rsid w:val="007D38B4"/>
    <w:rsid w:val="007D3AC1"/>
    <w:rsid w:val="007D3BCF"/>
    <w:rsid w:val="007D3C1C"/>
    <w:rsid w:val="007D3CB7"/>
    <w:rsid w:val="007D4180"/>
    <w:rsid w:val="007D41EA"/>
    <w:rsid w:val="007D41F7"/>
    <w:rsid w:val="007D4243"/>
    <w:rsid w:val="007D42A6"/>
    <w:rsid w:val="007D4353"/>
    <w:rsid w:val="007D452B"/>
    <w:rsid w:val="007D45C5"/>
    <w:rsid w:val="007D46D6"/>
    <w:rsid w:val="007D4750"/>
    <w:rsid w:val="007D47D6"/>
    <w:rsid w:val="007D4828"/>
    <w:rsid w:val="007D48CB"/>
    <w:rsid w:val="007D4E65"/>
    <w:rsid w:val="007D4FCD"/>
    <w:rsid w:val="007D5040"/>
    <w:rsid w:val="007D50A6"/>
    <w:rsid w:val="007D52EC"/>
    <w:rsid w:val="007D5342"/>
    <w:rsid w:val="007D5419"/>
    <w:rsid w:val="007D5442"/>
    <w:rsid w:val="007D5545"/>
    <w:rsid w:val="007D570C"/>
    <w:rsid w:val="007D5765"/>
    <w:rsid w:val="007D57FB"/>
    <w:rsid w:val="007D5826"/>
    <w:rsid w:val="007D5847"/>
    <w:rsid w:val="007D5873"/>
    <w:rsid w:val="007D598A"/>
    <w:rsid w:val="007D5B59"/>
    <w:rsid w:val="007D5BE5"/>
    <w:rsid w:val="007D5D8C"/>
    <w:rsid w:val="007D5E48"/>
    <w:rsid w:val="007D5EDB"/>
    <w:rsid w:val="007D5EE7"/>
    <w:rsid w:val="007D5FF0"/>
    <w:rsid w:val="007D5FFE"/>
    <w:rsid w:val="007D60EB"/>
    <w:rsid w:val="007D6107"/>
    <w:rsid w:val="007D621E"/>
    <w:rsid w:val="007D6512"/>
    <w:rsid w:val="007D662F"/>
    <w:rsid w:val="007D679E"/>
    <w:rsid w:val="007D6A8D"/>
    <w:rsid w:val="007D6AA6"/>
    <w:rsid w:val="007D6C90"/>
    <w:rsid w:val="007D6D63"/>
    <w:rsid w:val="007D6E3D"/>
    <w:rsid w:val="007D6E83"/>
    <w:rsid w:val="007D6EF4"/>
    <w:rsid w:val="007D6F98"/>
    <w:rsid w:val="007D799A"/>
    <w:rsid w:val="007D79B9"/>
    <w:rsid w:val="007D7BFD"/>
    <w:rsid w:val="007D7CC5"/>
    <w:rsid w:val="007D7D0D"/>
    <w:rsid w:val="007D7D14"/>
    <w:rsid w:val="007D7E02"/>
    <w:rsid w:val="007D7E13"/>
    <w:rsid w:val="007D7E67"/>
    <w:rsid w:val="007D7F42"/>
    <w:rsid w:val="007E016A"/>
    <w:rsid w:val="007E0354"/>
    <w:rsid w:val="007E05C9"/>
    <w:rsid w:val="007E0710"/>
    <w:rsid w:val="007E09BD"/>
    <w:rsid w:val="007E0B13"/>
    <w:rsid w:val="007E0C1D"/>
    <w:rsid w:val="007E0D91"/>
    <w:rsid w:val="007E0F53"/>
    <w:rsid w:val="007E0F8B"/>
    <w:rsid w:val="007E11E8"/>
    <w:rsid w:val="007E135A"/>
    <w:rsid w:val="007E1363"/>
    <w:rsid w:val="007E1407"/>
    <w:rsid w:val="007E1412"/>
    <w:rsid w:val="007E142C"/>
    <w:rsid w:val="007E154E"/>
    <w:rsid w:val="007E15EB"/>
    <w:rsid w:val="007E166A"/>
    <w:rsid w:val="007E1894"/>
    <w:rsid w:val="007E18A6"/>
    <w:rsid w:val="007E19D8"/>
    <w:rsid w:val="007E1BB0"/>
    <w:rsid w:val="007E1C5D"/>
    <w:rsid w:val="007E1CFF"/>
    <w:rsid w:val="007E1D94"/>
    <w:rsid w:val="007E1DFF"/>
    <w:rsid w:val="007E209F"/>
    <w:rsid w:val="007E261E"/>
    <w:rsid w:val="007E2770"/>
    <w:rsid w:val="007E2795"/>
    <w:rsid w:val="007E28AA"/>
    <w:rsid w:val="007E2B20"/>
    <w:rsid w:val="007E2B64"/>
    <w:rsid w:val="007E2BAF"/>
    <w:rsid w:val="007E2E3D"/>
    <w:rsid w:val="007E2E75"/>
    <w:rsid w:val="007E2E9F"/>
    <w:rsid w:val="007E2EDC"/>
    <w:rsid w:val="007E2F45"/>
    <w:rsid w:val="007E3031"/>
    <w:rsid w:val="007E35C2"/>
    <w:rsid w:val="007E36D7"/>
    <w:rsid w:val="007E3733"/>
    <w:rsid w:val="007E39AD"/>
    <w:rsid w:val="007E3A84"/>
    <w:rsid w:val="007E3CF5"/>
    <w:rsid w:val="007E424C"/>
    <w:rsid w:val="007E4925"/>
    <w:rsid w:val="007E4A34"/>
    <w:rsid w:val="007E4D2B"/>
    <w:rsid w:val="007E4E0A"/>
    <w:rsid w:val="007E4EF3"/>
    <w:rsid w:val="007E5147"/>
    <w:rsid w:val="007E5326"/>
    <w:rsid w:val="007E5475"/>
    <w:rsid w:val="007E54CD"/>
    <w:rsid w:val="007E5611"/>
    <w:rsid w:val="007E5A75"/>
    <w:rsid w:val="007E5A8E"/>
    <w:rsid w:val="007E5E03"/>
    <w:rsid w:val="007E5EFB"/>
    <w:rsid w:val="007E6094"/>
    <w:rsid w:val="007E6160"/>
    <w:rsid w:val="007E62D1"/>
    <w:rsid w:val="007E6553"/>
    <w:rsid w:val="007E673D"/>
    <w:rsid w:val="007E6893"/>
    <w:rsid w:val="007E6910"/>
    <w:rsid w:val="007E691E"/>
    <w:rsid w:val="007E693A"/>
    <w:rsid w:val="007E6AA0"/>
    <w:rsid w:val="007E6AB7"/>
    <w:rsid w:val="007E6EC4"/>
    <w:rsid w:val="007E7138"/>
    <w:rsid w:val="007E738B"/>
    <w:rsid w:val="007E74A5"/>
    <w:rsid w:val="007E74B1"/>
    <w:rsid w:val="007E76A3"/>
    <w:rsid w:val="007E7738"/>
    <w:rsid w:val="007E78A9"/>
    <w:rsid w:val="007E7918"/>
    <w:rsid w:val="007E7A65"/>
    <w:rsid w:val="007E7B77"/>
    <w:rsid w:val="007E7BD8"/>
    <w:rsid w:val="007E7DE8"/>
    <w:rsid w:val="007E7E79"/>
    <w:rsid w:val="007E7E92"/>
    <w:rsid w:val="007F019D"/>
    <w:rsid w:val="007F01CD"/>
    <w:rsid w:val="007F0262"/>
    <w:rsid w:val="007F041D"/>
    <w:rsid w:val="007F04AC"/>
    <w:rsid w:val="007F04FD"/>
    <w:rsid w:val="007F075E"/>
    <w:rsid w:val="007F0826"/>
    <w:rsid w:val="007F0AE9"/>
    <w:rsid w:val="007F0B64"/>
    <w:rsid w:val="007F0D6F"/>
    <w:rsid w:val="007F0DC4"/>
    <w:rsid w:val="007F0E94"/>
    <w:rsid w:val="007F0F3F"/>
    <w:rsid w:val="007F135C"/>
    <w:rsid w:val="007F145C"/>
    <w:rsid w:val="007F14DB"/>
    <w:rsid w:val="007F158F"/>
    <w:rsid w:val="007F15AE"/>
    <w:rsid w:val="007F16CD"/>
    <w:rsid w:val="007F174B"/>
    <w:rsid w:val="007F1857"/>
    <w:rsid w:val="007F18AF"/>
    <w:rsid w:val="007F1A18"/>
    <w:rsid w:val="007F1A6C"/>
    <w:rsid w:val="007F1B3A"/>
    <w:rsid w:val="007F1C84"/>
    <w:rsid w:val="007F1DB4"/>
    <w:rsid w:val="007F1EB1"/>
    <w:rsid w:val="007F1ED4"/>
    <w:rsid w:val="007F20FC"/>
    <w:rsid w:val="007F22DF"/>
    <w:rsid w:val="007F23A8"/>
    <w:rsid w:val="007F24A6"/>
    <w:rsid w:val="007F2837"/>
    <w:rsid w:val="007F28D5"/>
    <w:rsid w:val="007F2B10"/>
    <w:rsid w:val="007F2B71"/>
    <w:rsid w:val="007F2C30"/>
    <w:rsid w:val="007F30BA"/>
    <w:rsid w:val="007F327B"/>
    <w:rsid w:val="007F32EA"/>
    <w:rsid w:val="007F37B1"/>
    <w:rsid w:val="007F3875"/>
    <w:rsid w:val="007F3A39"/>
    <w:rsid w:val="007F3B8D"/>
    <w:rsid w:val="007F3C21"/>
    <w:rsid w:val="007F3DC6"/>
    <w:rsid w:val="007F49B4"/>
    <w:rsid w:val="007F4A78"/>
    <w:rsid w:val="007F4F86"/>
    <w:rsid w:val="007F524E"/>
    <w:rsid w:val="007F5525"/>
    <w:rsid w:val="007F58E0"/>
    <w:rsid w:val="007F5BA4"/>
    <w:rsid w:val="007F5D13"/>
    <w:rsid w:val="007F5DBC"/>
    <w:rsid w:val="007F5DCD"/>
    <w:rsid w:val="007F5E0E"/>
    <w:rsid w:val="007F5FAA"/>
    <w:rsid w:val="007F6010"/>
    <w:rsid w:val="007F61BE"/>
    <w:rsid w:val="007F62F3"/>
    <w:rsid w:val="007F6339"/>
    <w:rsid w:val="007F64BB"/>
    <w:rsid w:val="007F6606"/>
    <w:rsid w:val="007F67B9"/>
    <w:rsid w:val="007F6BEA"/>
    <w:rsid w:val="007F6D83"/>
    <w:rsid w:val="007F6DDB"/>
    <w:rsid w:val="007F6F93"/>
    <w:rsid w:val="007F70C0"/>
    <w:rsid w:val="007F7465"/>
    <w:rsid w:val="007F74BF"/>
    <w:rsid w:val="007F7545"/>
    <w:rsid w:val="007F7577"/>
    <w:rsid w:val="007F7817"/>
    <w:rsid w:val="007F78D8"/>
    <w:rsid w:val="007F7B5E"/>
    <w:rsid w:val="007F7B8D"/>
    <w:rsid w:val="007F7ED9"/>
    <w:rsid w:val="007F7F18"/>
    <w:rsid w:val="00800135"/>
    <w:rsid w:val="008001CA"/>
    <w:rsid w:val="008002B8"/>
    <w:rsid w:val="008006FD"/>
    <w:rsid w:val="008007A6"/>
    <w:rsid w:val="0080086E"/>
    <w:rsid w:val="00800922"/>
    <w:rsid w:val="00800CEB"/>
    <w:rsid w:val="00800FD7"/>
    <w:rsid w:val="0080119E"/>
    <w:rsid w:val="008011EE"/>
    <w:rsid w:val="00801215"/>
    <w:rsid w:val="00801242"/>
    <w:rsid w:val="00801317"/>
    <w:rsid w:val="008014BA"/>
    <w:rsid w:val="008015C5"/>
    <w:rsid w:val="008015CC"/>
    <w:rsid w:val="008016AF"/>
    <w:rsid w:val="00801803"/>
    <w:rsid w:val="00801B67"/>
    <w:rsid w:val="00801C4A"/>
    <w:rsid w:val="00801D53"/>
    <w:rsid w:val="00801DBD"/>
    <w:rsid w:val="00801E03"/>
    <w:rsid w:val="00801E7F"/>
    <w:rsid w:val="008021E3"/>
    <w:rsid w:val="00802208"/>
    <w:rsid w:val="008023C8"/>
    <w:rsid w:val="00802516"/>
    <w:rsid w:val="008025A7"/>
    <w:rsid w:val="008025B6"/>
    <w:rsid w:val="008026D1"/>
    <w:rsid w:val="00802791"/>
    <w:rsid w:val="008027F9"/>
    <w:rsid w:val="0080286F"/>
    <w:rsid w:val="008028A1"/>
    <w:rsid w:val="00802901"/>
    <w:rsid w:val="00802AE8"/>
    <w:rsid w:val="00802F30"/>
    <w:rsid w:val="00802FC2"/>
    <w:rsid w:val="008032D6"/>
    <w:rsid w:val="0080344D"/>
    <w:rsid w:val="0080365F"/>
    <w:rsid w:val="008038E2"/>
    <w:rsid w:val="008039FA"/>
    <w:rsid w:val="00803B03"/>
    <w:rsid w:val="00803B7A"/>
    <w:rsid w:val="0080401E"/>
    <w:rsid w:val="00804173"/>
    <w:rsid w:val="008042FA"/>
    <w:rsid w:val="00804475"/>
    <w:rsid w:val="00804617"/>
    <w:rsid w:val="00804A25"/>
    <w:rsid w:val="00804B24"/>
    <w:rsid w:val="00804C8A"/>
    <w:rsid w:val="00804CF8"/>
    <w:rsid w:val="00804F1C"/>
    <w:rsid w:val="0080509A"/>
    <w:rsid w:val="00805247"/>
    <w:rsid w:val="008055DC"/>
    <w:rsid w:val="008055FB"/>
    <w:rsid w:val="0080564E"/>
    <w:rsid w:val="00805752"/>
    <w:rsid w:val="008057EA"/>
    <w:rsid w:val="00805B1D"/>
    <w:rsid w:val="00805B72"/>
    <w:rsid w:val="00805C16"/>
    <w:rsid w:val="00805CFD"/>
    <w:rsid w:val="00805D22"/>
    <w:rsid w:val="00805F4E"/>
    <w:rsid w:val="00805FC5"/>
    <w:rsid w:val="0080602B"/>
    <w:rsid w:val="00806226"/>
    <w:rsid w:val="00806439"/>
    <w:rsid w:val="008066BA"/>
    <w:rsid w:val="008066EC"/>
    <w:rsid w:val="00806B6C"/>
    <w:rsid w:val="00806C40"/>
    <w:rsid w:val="00806CFE"/>
    <w:rsid w:val="00806E37"/>
    <w:rsid w:val="00806E86"/>
    <w:rsid w:val="00806F33"/>
    <w:rsid w:val="00806F80"/>
    <w:rsid w:val="0080709F"/>
    <w:rsid w:val="00807134"/>
    <w:rsid w:val="00807140"/>
    <w:rsid w:val="008073FB"/>
    <w:rsid w:val="00807729"/>
    <w:rsid w:val="008079C6"/>
    <w:rsid w:val="00807C8D"/>
    <w:rsid w:val="00807DC1"/>
    <w:rsid w:val="00807DD8"/>
    <w:rsid w:val="00807DFE"/>
    <w:rsid w:val="0081001D"/>
    <w:rsid w:val="008101C4"/>
    <w:rsid w:val="008103FD"/>
    <w:rsid w:val="00810699"/>
    <w:rsid w:val="0081071C"/>
    <w:rsid w:val="00810839"/>
    <w:rsid w:val="008109A7"/>
    <w:rsid w:val="008109CC"/>
    <w:rsid w:val="00810B50"/>
    <w:rsid w:val="00810B73"/>
    <w:rsid w:val="00810D35"/>
    <w:rsid w:val="00810E31"/>
    <w:rsid w:val="00811031"/>
    <w:rsid w:val="008110BE"/>
    <w:rsid w:val="008110C6"/>
    <w:rsid w:val="008112C4"/>
    <w:rsid w:val="008113A4"/>
    <w:rsid w:val="0081159E"/>
    <w:rsid w:val="00811665"/>
    <w:rsid w:val="00811817"/>
    <w:rsid w:val="0081188F"/>
    <w:rsid w:val="00811909"/>
    <w:rsid w:val="00811977"/>
    <w:rsid w:val="008119A4"/>
    <w:rsid w:val="00811A70"/>
    <w:rsid w:val="00811A8E"/>
    <w:rsid w:val="00811B2F"/>
    <w:rsid w:val="00811B64"/>
    <w:rsid w:val="00811B6E"/>
    <w:rsid w:val="00811BC5"/>
    <w:rsid w:val="00811BC8"/>
    <w:rsid w:val="00811D88"/>
    <w:rsid w:val="00811DDE"/>
    <w:rsid w:val="00811E16"/>
    <w:rsid w:val="00812096"/>
    <w:rsid w:val="0081214A"/>
    <w:rsid w:val="008121BE"/>
    <w:rsid w:val="008122A8"/>
    <w:rsid w:val="0081230D"/>
    <w:rsid w:val="00812380"/>
    <w:rsid w:val="0081240D"/>
    <w:rsid w:val="0081243D"/>
    <w:rsid w:val="00812469"/>
    <w:rsid w:val="008126E3"/>
    <w:rsid w:val="008126EF"/>
    <w:rsid w:val="00812787"/>
    <w:rsid w:val="008127DC"/>
    <w:rsid w:val="00812AF0"/>
    <w:rsid w:val="00812C07"/>
    <w:rsid w:val="00812D54"/>
    <w:rsid w:val="00812D98"/>
    <w:rsid w:val="00812E9D"/>
    <w:rsid w:val="00812F0E"/>
    <w:rsid w:val="00813508"/>
    <w:rsid w:val="00813622"/>
    <w:rsid w:val="008137CE"/>
    <w:rsid w:val="00813A19"/>
    <w:rsid w:val="00813D1E"/>
    <w:rsid w:val="00813FEF"/>
    <w:rsid w:val="00814098"/>
    <w:rsid w:val="00814249"/>
    <w:rsid w:val="00814419"/>
    <w:rsid w:val="008144AA"/>
    <w:rsid w:val="0081452A"/>
    <w:rsid w:val="00814592"/>
    <w:rsid w:val="00814680"/>
    <w:rsid w:val="008146CA"/>
    <w:rsid w:val="00814912"/>
    <w:rsid w:val="00814CC5"/>
    <w:rsid w:val="00814E82"/>
    <w:rsid w:val="00814EBC"/>
    <w:rsid w:val="008152C0"/>
    <w:rsid w:val="0081535C"/>
    <w:rsid w:val="008155D5"/>
    <w:rsid w:val="00815771"/>
    <w:rsid w:val="0081580D"/>
    <w:rsid w:val="00815A3C"/>
    <w:rsid w:val="00815B26"/>
    <w:rsid w:val="00815C0E"/>
    <w:rsid w:val="00815DA8"/>
    <w:rsid w:val="00815DB2"/>
    <w:rsid w:val="0081606F"/>
    <w:rsid w:val="0081607A"/>
    <w:rsid w:val="0081631A"/>
    <w:rsid w:val="00816532"/>
    <w:rsid w:val="00816538"/>
    <w:rsid w:val="008165CF"/>
    <w:rsid w:val="008166AA"/>
    <w:rsid w:val="008166C2"/>
    <w:rsid w:val="008167E0"/>
    <w:rsid w:val="00816AFA"/>
    <w:rsid w:val="00816E31"/>
    <w:rsid w:val="00816E8D"/>
    <w:rsid w:val="0081710C"/>
    <w:rsid w:val="008173E8"/>
    <w:rsid w:val="00817428"/>
    <w:rsid w:val="008174A2"/>
    <w:rsid w:val="00817522"/>
    <w:rsid w:val="00817D35"/>
    <w:rsid w:val="00817F7F"/>
    <w:rsid w:val="00817FB3"/>
    <w:rsid w:val="00817FF8"/>
    <w:rsid w:val="0082005A"/>
    <w:rsid w:val="00820255"/>
    <w:rsid w:val="00820341"/>
    <w:rsid w:val="00820480"/>
    <w:rsid w:val="0082059A"/>
    <w:rsid w:val="0082078B"/>
    <w:rsid w:val="008207D1"/>
    <w:rsid w:val="00820B54"/>
    <w:rsid w:val="00820BA5"/>
    <w:rsid w:val="00820C1F"/>
    <w:rsid w:val="00820EB2"/>
    <w:rsid w:val="00820FB4"/>
    <w:rsid w:val="008210C2"/>
    <w:rsid w:val="00821289"/>
    <w:rsid w:val="00821332"/>
    <w:rsid w:val="0082133C"/>
    <w:rsid w:val="008213BE"/>
    <w:rsid w:val="008213C9"/>
    <w:rsid w:val="008218ED"/>
    <w:rsid w:val="0082193C"/>
    <w:rsid w:val="00821B89"/>
    <w:rsid w:val="00821BFE"/>
    <w:rsid w:val="00821C68"/>
    <w:rsid w:val="00821DBE"/>
    <w:rsid w:val="00822039"/>
    <w:rsid w:val="008222E8"/>
    <w:rsid w:val="0082261A"/>
    <w:rsid w:val="00822733"/>
    <w:rsid w:val="008227D0"/>
    <w:rsid w:val="0082289A"/>
    <w:rsid w:val="00822CF4"/>
    <w:rsid w:val="00822DD3"/>
    <w:rsid w:val="00822F41"/>
    <w:rsid w:val="00822F91"/>
    <w:rsid w:val="00822F99"/>
    <w:rsid w:val="00823068"/>
    <w:rsid w:val="008231E2"/>
    <w:rsid w:val="00823401"/>
    <w:rsid w:val="00823481"/>
    <w:rsid w:val="00823640"/>
    <w:rsid w:val="00823762"/>
    <w:rsid w:val="00823773"/>
    <w:rsid w:val="008237CF"/>
    <w:rsid w:val="008237E7"/>
    <w:rsid w:val="008238CD"/>
    <w:rsid w:val="00823BB1"/>
    <w:rsid w:val="00823E29"/>
    <w:rsid w:val="008243B9"/>
    <w:rsid w:val="008244C4"/>
    <w:rsid w:val="00824502"/>
    <w:rsid w:val="0082458C"/>
    <w:rsid w:val="00824597"/>
    <w:rsid w:val="008245DE"/>
    <w:rsid w:val="00824717"/>
    <w:rsid w:val="0082487C"/>
    <w:rsid w:val="00824A31"/>
    <w:rsid w:val="00824C5E"/>
    <w:rsid w:val="00824E4D"/>
    <w:rsid w:val="00824FF2"/>
    <w:rsid w:val="00825037"/>
    <w:rsid w:val="00825060"/>
    <w:rsid w:val="008250DC"/>
    <w:rsid w:val="00825215"/>
    <w:rsid w:val="00825229"/>
    <w:rsid w:val="008252CF"/>
    <w:rsid w:val="008253ED"/>
    <w:rsid w:val="008253FF"/>
    <w:rsid w:val="008254DE"/>
    <w:rsid w:val="0082564D"/>
    <w:rsid w:val="0082583D"/>
    <w:rsid w:val="00825990"/>
    <w:rsid w:val="00825B09"/>
    <w:rsid w:val="00825B50"/>
    <w:rsid w:val="00825E39"/>
    <w:rsid w:val="00825EEB"/>
    <w:rsid w:val="00825EF9"/>
    <w:rsid w:val="0082604F"/>
    <w:rsid w:val="008260FD"/>
    <w:rsid w:val="008264F5"/>
    <w:rsid w:val="008266E7"/>
    <w:rsid w:val="0082687E"/>
    <w:rsid w:val="0082689D"/>
    <w:rsid w:val="008268D1"/>
    <w:rsid w:val="00826A01"/>
    <w:rsid w:val="00826FBC"/>
    <w:rsid w:val="0082719C"/>
    <w:rsid w:val="00827484"/>
    <w:rsid w:val="008274BA"/>
    <w:rsid w:val="0082756D"/>
    <w:rsid w:val="00827740"/>
    <w:rsid w:val="00827842"/>
    <w:rsid w:val="00827B18"/>
    <w:rsid w:val="00827CB9"/>
    <w:rsid w:val="00827D35"/>
    <w:rsid w:val="00827F15"/>
    <w:rsid w:val="00827F56"/>
    <w:rsid w:val="00830010"/>
    <w:rsid w:val="008300EA"/>
    <w:rsid w:val="0083027D"/>
    <w:rsid w:val="00830386"/>
    <w:rsid w:val="0083041A"/>
    <w:rsid w:val="008304E6"/>
    <w:rsid w:val="0083065B"/>
    <w:rsid w:val="008306C3"/>
    <w:rsid w:val="008308B1"/>
    <w:rsid w:val="008309CE"/>
    <w:rsid w:val="00830A67"/>
    <w:rsid w:val="00831089"/>
    <w:rsid w:val="008310D0"/>
    <w:rsid w:val="00831331"/>
    <w:rsid w:val="008313EC"/>
    <w:rsid w:val="008314C0"/>
    <w:rsid w:val="00831811"/>
    <w:rsid w:val="00831884"/>
    <w:rsid w:val="008318D0"/>
    <w:rsid w:val="008319AF"/>
    <w:rsid w:val="00831AD3"/>
    <w:rsid w:val="00831CFB"/>
    <w:rsid w:val="00831D8C"/>
    <w:rsid w:val="00831FC3"/>
    <w:rsid w:val="00832179"/>
    <w:rsid w:val="008323B3"/>
    <w:rsid w:val="008323B6"/>
    <w:rsid w:val="008324C6"/>
    <w:rsid w:val="008325B8"/>
    <w:rsid w:val="0083275C"/>
    <w:rsid w:val="00832BE5"/>
    <w:rsid w:val="00832DE7"/>
    <w:rsid w:val="00832EAB"/>
    <w:rsid w:val="008330F0"/>
    <w:rsid w:val="0083319C"/>
    <w:rsid w:val="008332A0"/>
    <w:rsid w:val="00833436"/>
    <w:rsid w:val="0083344A"/>
    <w:rsid w:val="00833517"/>
    <w:rsid w:val="00833548"/>
    <w:rsid w:val="00833693"/>
    <w:rsid w:val="0083396F"/>
    <w:rsid w:val="00833B6D"/>
    <w:rsid w:val="00833CAC"/>
    <w:rsid w:val="00833CD7"/>
    <w:rsid w:val="00833E46"/>
    <w:rsid w:val="00833F33"/>
    <w:rsid w:val="00834143"/>
    <w:rsid w:val="0083420B"/>
    <w:rsid w:val="008345AC"/>
    <w:rsid w:val="00834658"/>
    <w:rsid w:val="00834A71"/>
    <w:rsid w:val="00834A8A"/>
    <w:rsid w:val="00834C4B"/>
    <w:rsid w:val="00834DE8"/>
    <w:rsid w:val="008350A0"/>
    <w:rsid w:val="008353A0"/>
    <w:rsid w:val="0083576D"/>
    <w:rsid w:val="00835ACF"/>
    <w:rsid w:val="00835B4D"/>
    <w:rsid w:val="00835BD9"/>
    <w:rsid w:val="00835C7A"/>
    <w:rsid w:val="00835D2B"/>
    <w:rsid w:val="0083612A"/>
    <w:rsid w:val="008363A4"/>
    <w:rsid w:val="0083640A"/>
    <w:rsid w:val="00836588"/>
    <w:rsid w:val="00836803"/>
    <w:rsid w:val="008368B9"/>
    <w:rsid w:val="00836B85"/>
    <w:rsid w:val="00836B9C"/>
    <w:rsid w:val="00836BB1"/>
    <w:rsid w:val="00836CB9"/>
    <w:rsid w:val="00836CF9"/>
    <w:rsid w:val="00836E5B"/>
    <w:rsid w:val="00836E74"/>
    <w:rsid w:val="00836EA1"/>
    <w:rsid w:val="00836F9C"/>
    <w:rsid w:val="00837023"/>
    <w:rsid w:val="00837029"/>
    <w:rsid w:val="008374EE"/>
    <w:rsid w:val="0083761B"/>
    <w:rsid w:val="008376BB"/>
    <w:rsid w:val="008378D1"/>
    <w:rsid w:val="00837933"/>
    <w:rsid w:val="00837C8F"/>
    <w:rsid w:val="00837E7B"/>
    <w:rsid w:val="0084007F"/>
    <w:rsid w:val="008400C9"/>
    <w:rsid w:val="008401D1"/>
    <w:rsid w:val="0084047E"/>
    <w:rsid w:val="008406A1"/>
    <w:rsid w:val="008407BE"/>
    <w:rsid w:val="008407E1"/>
    <w:rsid w:val="00840814"/>
    <w:rsid w:val="00840E1C"/>
    <w:rsid w:val="00840F8B"/>
    <w:rsid w:val="00841115"/>
    <w:rsid w:val="008411B2"/>
    <w:rsid w:val="00841393"/>
    <w:rsid w:val="008415AF"/>
    <w:rsid w:val="00841946"/>
    <w:rsid w:val="008419D6"/>
    <w:rsid w:val="00841A05"/>
    <w:rsid w:val="00841BB1"/>
    <w:rsid w:val="00841CB2"/>
    <w:rsid w:val="008420EA"/>
    <w:rsid w:val="008420EF"/>
    <w:rsid w:val="00842166"/>
    <w:rsid w:val="0084218F"/>
    <w:rsid w:val="00842480"/>
    <w:rsid w:val="008424E7"/>
    <w:rsid w:val="0084250D"/>
    <w:rsid w:val="0084253E"/>
    <w:rsid w:val="0084263B"/>
    <w:rsid w:val="00842710"/>
    <w:rsid w:val="00842ABB"/>
    <w:rsid w:val="00842B39"/>
    <w:rsid w:val="00842CD7"/>
    <w:rsid w:val="00842DFF"/>
    <w:rsid w:val="00842E6F"/>
    <w:rsid w:val="00842E8C"/>
    <w:rsid w:val="008430C4"/>
    <w:rsid w:val="0084325C"/>
    <w:rsid w:val="00843374"/>
    <w:rsid w:val="00843779"/>
    <w:rsid w:val="00843795"/>
    <w:rsid w:val="0084384D"/>
    <w:rsid w:val="00843958"/>
    <w:rsid w:val="00843ACE"/>
    <w:rsid w:val="00843AD5"/>
    <w:rsid w:val="00843B26"/>
    <w:rsid w:val="00843BF1"/>
    <w:rsid w:val="00843E0F"/>
    <w:rsid w:val="00843E4A"/>
    <w:rsid w:val="00843F04"/>
    <w:rsid w:val="0084425D"/>
    <w:rsid w:val="0084428B"/>
    <w:rsid w:val="008442BB"/>
    <w:rsid w:val="00844516"/>
    <w:rsid w:val="00844556"/>
    <w:rsid w:val="0084462E"/>
    <w:rsid w:val="008446C5"/>
    <w:rsid w:val="0084475B"/>
    <w:rsid w:val="008447B6"/>
    <w:rsid w:val="00844817"/>
    <w:rsid w:val="00844D7B"/>
    <w:rsid w:val="00844D9F"/>
    <w:rsid w:val="00844E63"/>
    <w:rsid w:val="00844F98"/>
    <w:rsid w:val="00845202"/>
    <w:rsid w:val="0084532F"/>
    <w:rsid w:val="0084566B"/>
    <w:rsid w:val="00845761"/>
    <w:rsid w:val="00845953"/>
    <w:rsid w:val="00845AAF"/>
    <w:rsid w:val="00845AC8"/>
    <w:rsid w:val="00845B4C"/>
    <w:rsid w:val="00845BE1"/>
    <w:rsid w:val="00845CAA"/>
    <w:rsid w:val="00845DCC"/>
    <w:rsid w:val="008461BF"/>
    <w:rsid w:val="00846566"/>
    <w:rsid w:val="00846596"/>
    <w:rsid w:val="00846753"/>
    <w:rsid w:val="00846811"/>
    <w:rsid w:val="00846C0A"/>
    <w:rsid w:val="00846D3D"/>
    <w:rsid w:val="00846D73"/>
    <w:rsid w:val="00846E5C"/>
    <w:rsid w:val="00846EFC"/>
    <w:rsid w:val="00846F16"/>
    <w:rsid w:val="00846F28"/>
    <w:rsid w:val="00846F4C"/>
    <w:rsid w:val="00847955"/>
    <w:rsid w:val="008479C5"/>
    <w:rsid w:val="00847BA6"/>
    <w:rsid w:val="00847BA8"/>
    <w:rsid w:val="00847C9F"/>
    <w:rsid w:val="00847DB8"/>
    <w:rsid w:val="00847ED4"/>
    <w:rsid w:val="00847EF6"/>
    <w:rsid w:val="00847F12"/>
    <w:rsid w:val="00847FA8"/>
    <w:rsid w:val="0085006E"/>
    <w:rsid w:val="0085011E"/>
    <w:rsid w:val="00850139"/>
    <w:rsid w:val="00850244"/>
    <w:rsid w:val="0085034F"/>
    <w:rsid w:val="00850662"/>
    <w:rsid w:val="008507E2"/>
    <w:rsid w:val="00850869"/>
    <w:rsid w:val="008509C9"/>
    <w:rsid w:val="00850A45"/>
    <w:rsid w:val="00850BC5"/>
    <w:rsid w:val="00850C02"/>
    <w:rsid w:val="00850CCD"/>
    <w:rsid w:val="00850EA1"/>
    <w:rsid w:val="00851166"/>
    <w:rsid w:val="00851188"/>
    <w:rsid w:val="00851193"/>
    <w:rsid w:val="008512DD"/>
    <w:rsid w:val="00851320"/>
    <w:rsid w:val="008517D4"/>
    <w:rsid w:val="008517F1"/>
    <w:rsid w:val="00851910"/>
    <w:rsid w:val="00851935"/>
    <w:rsid w:val="00851A3B"/>
    <w:rsid w:val="00851B7A"/>
    <w:rsid w:val="00851CFB"/>
    <w:rsid w:val="00851E4A"/>
    <w:rsid w:val="00851E73"/>
    <w:rsid w:val="00851E81"/>
    <w:rsid w:val="00851EC5"/>
    <w:rsid w:val="00851F3D"/>
    <w:rsid w:val="0085212E"/>
    <w:rsid w:val="00852301"/>
    <w:rsid w:val="00852426"/>
    <w:rsid w:val="008527B0"/>
    <w:rsid w:val="0085292B"/>
    <w:rsid w:val="008529E4"/>
    <w:rsid w:val="00852A82"/>
    <w:rsid w:val="00852C03"/>
    <w:rsid w:val="00852CD3"/>
    <w:rsid w:val="00852DF8"/>
    <w:rsid w:val="00852E64"/>
    <w:rsid w:val="00852EBC"/>
    <w:rsid w:val="00852EF0"/>
    <w:rsid w:val="0085309B"/>
    <w:rsid w:val="008531AA"/>
    <w:rsid w:val="0085323C"/>
    <w:rsid w:val="0085332C"/>
    <w:rsid w:val="00853787"/>
    <w:rsid w:val="008537EC"/>
    <w:rsid w:val="00853908"/>
    <w:rsid w:val="00853AA3"/>
    <w:rsid w:val="00853EEE"/>
    <w:rsid w:val="008540E7"/>
    <w:rsid w:val="008543B9"/>
    <w:rsid w:val="008548A4"/>
    <w:rsid w:val="00854A9B"/>
    <w:rsid w:val="00854D69"/>
    <w:rsid w:val="00854EA7"/>
    <w:rsid w:val="008550DF"/>
    <w:rsid w:val="00855106"/>
    <w:rsid w:val="00855704"/>
    <w:rsid w:val="00855780"/>
    <w:rsid w:val="00855795"/>
    <w:rsid w:val="00855C05"/>
    <w:rsid w:val="00855EB7"/>
    <w:rsid w:val="0085607C"/>
    <w:rsid w:val="0085612D"/>
    <w:rsid w:val="00856186"/>
    <w:rsid w:val="00856208"/>
    <w:rsid w:val="008562E9"/>
    <w:rsid w:val="00856359"/>
    <w:rsid w:val="008563AF"/>
    <w:rsid w:val="008564D3"/>
    <w:rsid w:val="008566E3"/>
    <w:rsid w:val="00856A21"/>
    <w:rsid w:val="00856A79"/>
    <w:rsid w:val="00856B08"/>
    <w:rsid w:val="00856C09"/>
    <w:rsid w:val="00856C3B"/>
    <w:rsid w:val="00857034"/>
    <w:rsid w:val="00857078"/>
    <w:rsid w:val="008570E6"/>
    <w:rsid w:val="00857111"/>
    <w:rsid w:val="00857195"/>
    <w:rsid w:val="008571DD"/>
    <w:rsid w:val="0085740A"/>
    <w:rsid w:val="008574E2"/>
    <w:rsid w:val="00857BEB"/>
    <w:rsid w:val="00857BFB"/>
    <w:rsid w:val="00857CDC"/>
    <w:rsid w:val="00857E90"/>
    <w:rsid w:val="00860025"/>
    <w:rsid w:val="008602E1"/>
    <w:rsid w:val="0086035D"/>
    <w:rsid w:val="008603FC"/>
    <w:rsid w:val="00860805"/>
    <w:rsid w:val="00860809"/>
    <w:rsid w:val="008608E7"/>
    <w:rsid w:val="00860BDC"/>
    <w:rsid w:val="00860C84"/>
    <w:rsid w:val="00860F73"/>
    <w:rsid w:val="00860FE6"/>
    <w:rsid w:val="00861455"/>
    <w:rsid w:val="008615A7"/>
    <w:rsid w:val="00861648"/>
    <w:rsid w:val="0086178D"/>
    <w:rsid w:val="00861820"/>
    <w:rsid w:val="0086182D"/>
    <w:rsid w:val="008618C0"/>
    <w:rsid w:val="0086196D"/>
    <w:rsid w:val="00861A2A"/>
    <w:rsid w:val="00861ACD"/>
    <w:rsid w:val="00861DF9"/>
    <w:rsid w:val="00861E6C"/>
    <w:rsid w:val="00862056"/>
    <w:rsid w:val="008620F4"/>
    <w:rsid w:val="00862123"/>
    <w:rsid w:val="0086214C"/>
    <w:rsid w:val="008621C9"/>
    <w:rsid w:val="00862279"/>
    <w:rsid w:val="00862286"/>
    <w:rsid w:val="0086235B"/>
    <w:rsid w:val="0086249D"/>
    <w:rsid w:val="008626C3"/>
    <w:rsid w:val="008626CD"/>
    <w:rsid w:val="0086274D"/>
    <w:rsid w:val="00862826"/>
    <w:rsid w:val="00862904"/>
    <w:rsid w:val="008629D3"/>
    <w:rsid w:val="00862F2F"/>
    <w:rsid w:val="008631F8"/>
    <w:rsid w:val="008632D3"/>
    <w:rsid w:val="00863398"/>
    <w:rsid w:val="008634E9"/>
    <w:rsid w:val="0086352D"/>
    <w:rsid w:val="008635C2"/>
    <w:rsid w:val="00863608"/>
    <w:rsid w:val="00863774"/>
    <w:rsid w:val="008637BB"/>
    <w:rsid w:val="00863ABF"/>
    <w:rsid w:val="00863CA5"/>
    <w:rsid w:val="00863D0A"/>
    <w:rsid w:val="00863D19"/>
    <w:rsid w:val="00863F0E"/>
    <w:rsid w:val="00863F6A"/>
    <w:rsid w:val="00864027"/>
    <w:rsid w:val="00864038"/>
    <w:rsid w:val="0086413C"/>
    <w:rsid w:val="00864149"/>
    <w:rsid w:val="0086431F"/>
    <w:rsid w:val="00864363"/>
    <w:rsid w:val="008646E8"/>
    <w:rsid w:val="008647E4"/>
    <w:rsid w:val="0086498B"/>
    <w:rsid w:val="008649A8"/>
    <w:rsid w:val="00864C71"/>
    <w:rsid w:val="00864D41"/>
    <w:rsid w:val="00864DC3"/>
    <w:rsid w:val="0086501B"/>
    <w:rsid w:val="00865433"/>
    <w:rsid w:val="008654D1"/>
    <w:rsid w:val="0086571A"/>
    <w:rsid w:val="008658F2"/>
    <w:rsid w:val="00865CCC"/>
    <w:rsid w:val="00865D00"/>
    <w:rsid w:val="00865D5B"/>
    <w:rsid w:val="00866075"/>
    <w:rsid w:val="00866083"/>
    <w:rsid w:val="0086612B"/>
    <w:rsid w:val="008664FB"/>
    <w:rsid w:val="00866593"/>
    <w:rsid w:val="008665B6"/>
    <w:rsid w:val="00866889"/>
    <w:rsid w:val="0086699B"/>
    <w:rsid w:val="00866A22"/>
    <w:rsid w:val="00866B85"/>
    <w:rsid w:val="00866C60"/>
    <w:rsid w:val="00866E6B"/>
    <w:rsid w:val="00866F31"/>
    <w:rsid w:val="00866F4C"/>
    <w:rsid w:val="00866F53"/>
    <w:rsid w:val="00866F82"/>
    <w:rsid w:val="008673AC"/>
    <w:rsid w:val="00867417"/>
    <w:rsid w:val="00867615"/>
    <w:rsid w:val="00867805"/>
    <w:rsid w:val="00867811"/>
    <w:rsid w:val="0086786B"/>
    <w:rsid w:val="0086789E"/>
    <w:rsid w:val="008679E3"/>
    <w:rsid w:val="00867B03"/>
    <w:rsid w:val="00867B36"/>
    <w:rsid w:val="00867CDA"/>
    <w:rsid w:val="00867D31"/>
    <w:rsid w:val="00867D91"/>
    <w:rsid w:val="00867E09"/>
    <w:rsid w:val="00867E2C"/>
    <w:rsid w:val="00867E66"/>
    <w:rsid w:val="008703E9"/>
    <w:rsid w:val="008705D6"/>
    <w:rsid w:val="008705FB"/>
    <w:rsid w:val="008706E0"/>
    <w:rsid w:val="00870727"/>
    <w:rsid w:val="008707BB"/>
    <w:rsid w:val="00870C22"/>
    <w:rsid w:val="00870C8D"/>
    <w:rsid w:val="00870CCD"/>
    <w:rsid w:val="00870D1F"/>
    <w:rsid w:val="00871176"/>
    <w:rsid w:val="00871177"/>
    <w:rsid w:val="008711CB"/>
    <w:rsid w:val="00871256"/>
    <w:rsid w:val="008713C0"/>
    <w:rsid w:val="008715D3"/>
    <w:rsid w:val="00871660"/>
    <w:rsid w:val="008717EC"/>
    <w:rsid w:val="008718C1"/>
    <w:rsid w:val="00871C71"/>
    <w:rsid w:val="00871CCF"/>
    <w:rsid w:val="00871D7A"/>
    <w:rsid w:val="00871EAD"/>
    <w:rsid w:val="00872069"/>
    <w:rsid w:val="00872141"/>
    <w:rsid w:val="008721DD"/>
    <w:rsid w:val="00872251"/>
    <w:rsid w:val="00872336"/>
    <w:rsid w:val="00872374"/>
    <w:rsid w:val="008726ED"/>
    <w:rsid w:val="00872AA5"/>
    <w:rsid w:val="00872C4E"/>
    <w:rsid w:val="00872C5E"/>
    <w:rsid w:val="00872C77"/>
    <w:rsid w:val="00872CC6"/>
    <w:rsid w:val="00872D52"/>
    <w:rsid w:val="00872E2E"/>
    <w:rsid w:val="00872FB2"/>
    <w:rsid w:val="008732C4"/>
    <w:rsid w:val="008735D5"/>
    <w:rsid w:val="008735E7"/>
    <w:rsid w:val="0087362B"/>
    <w:rsid w:val="008736CD"/>
    <w:rsid w:val="008738DD"/>
    <w:rsid w:val="00873CAE"/>
    <w:rsid w:val="00873DB9"/>
    <w:rsid w:val="00873E2D"/>
    <w:rsid w:val="00873EDB"/>
    <w:rsid w:val="00874068"/>
    <w:rsid w:val="0087412E"/>
    <w:rsid w:val="0087444F"/>
    <w:rsid w:val="00874480"/>
    <w:rsid w:val="0087448F"/>
    <w:rsid w:val="008745E7"/>
    <w:rsid w:val="008747B5"/>
    <w:rsid w:val="00874C5F"/>
    <w:rsid w:val="00874CDA"/>
    <w:rsid w:val="00874D04"/>
    <w:rsid w:val="0087506B"/>
    <w:rsid w:val="00875113"/>
    <w:rsid w:val="00875189"/>
    <w:rsid w:val="008751AB"/>
    <w:rsid w:val="00875495"/>
    <w:rsid w:val="00875637"/>
    <w:rsid w:val="00875857"/>
    <w:rsid w:val="00875A4A"/>
    <w:rsid w:val="00875B29"/>
    <w:rsid w:val="00875C65"/>
    <w:rsid w:val="00876057"/>
    <w:rsid w:val="008761C2"/>
    <w:rsid w:val="008761D5"/>
    <w:rsid w:val="00876289"/>
    <w:rsid w:val="008769B7"/>
    <w:rsid w:val="00876A25"/>
    <w:rsid w:val="00876A59"/>
    <w:rsid w:val="00876B73"/>
    <w:rsid w:val="00876B80"/>
    <w:rsid w:val="00876E02"/>
    <w:rsid w:val="00876FFA"/>
    <w:rsid w:val="00877053"/>
    <w:rsid w:val="0087722C"/>
    <w:rsid w:val="008772AA"/>
    <w:rsid w:val="008772BF"/>
    <w:rsid w:val="008772D7"/>
    <w:rsid w:val="0087746F"/>
    <w:rsid w:val="00877474"/>
    <w:rsid w:val="00877559"/>
    <w:rsid w:val="00877825"/>
    <w:rsid w:val="0087783B"/>
    <w:rsid w:val="0087786F"/>
    <w:rsid w:val="00877A4B"/>
    <w:rsid w:val="00877B2E"/>
    <w:rsid w:val="00877B9A"/>
    <w:rsid w:val="00877CBA"/>
    <w:rsid w:val="00877D79"/>
    <w:rsid w:val="00877D8C"/>
    <w:rsid w:val="00877EA9"/>
    <w:rsid w:val="00877FD9"/>
    <w:rsid w:val="0088026B"/>
    <w:rsid w:val="00880278"/>
    <w:rsid w:val="00880291"/>
    <w:rsid w:val="008806C4"/>
    <w:rsid w:val="0088090F"/>
    <w:rsid w:val="00880931"/>
    <w:rsid w:val="00880968"/>
    <w:rsid w:val="008809BD"/>
    <w:rsid w:val="00880E0B"/>
    <w:rsid w:val="00880FA8"/>
    <w:rsid w:val="008811DB"/>
    <w:rsid w:val="0088128C"/>
    <w:rsid w:val="008813E6"/>
    <w:rsid w:val="008813FC"/>
    <w:rsid w:val="00881462"/>
    <w:rsid w:val="0088149A"/>
    <w:rsid w:val="0088152D"/>
    <w:rsid w:val="008815EA"/>
    <w:rsid w:val="008818A6"/>
    <w:rsid w:val="008819E2"/>
    <w:rsid w:val="00881A6B"/>
    <w:rsid w:val="00881C94"/>
    <w:rsid w:val="00881CEC"/>
    <w:rsid w:val="0088261C"/>
    <w:rsid w:val="00882677"/>
    <w:rsid w:val="008826C1"/>
    <w:rsid w:val="00882739"/>
    <w:rsid w:val="0088288C"/>
    <w:rsid w:val="008828E8"/>
    <w:rsid w:val="00882A8F"/>
    <w:rsid w:val="00882B5B"/>
    <w:rsid w:val="00882BFB"/>
    <w:rsid w:val="00882D52"/>
    <w:rsid w:val="00882D63"/>
    <w:rsid w:val="00882EEE"/>
    <w:rsid w:val="00883225"/>
    <w:rsid w:val="0088354A"/>
    <w:rsid w:val="008837AF"/>
    <w:rsid w:val="00883A0C"/>
    <w:rsid w:val="00883A10"/>
    <w:rsid w:val="00883BE1"/>
    <w:rsid w:val="00883C66"/>
    <w:rsid w:val="00883CB2"/>
    <w:rsid w:val="00883D00"/>
    <w:rsid w:val="00883D98"/>
    <w:rsid w:val="00883F09"/>
    <w:rsid w:val="008842CD"/>
    <w:rsid w:val="00884331"/>
    <w:rsid w:val="00884399"/>
    <w:rsid w:val="008843A7"/>
    <w:rsid w:val="0088447E"/>
    <w:rsid w:val="00884580"/>
    <w:rsid w:val="008845F2"/>
    <w:rsid w:val="00884677"/>
    <w:rsid w:val="0088493D"/>
    <w:rsid w:val="00884A38"/>
    <w:rsid w:val="0088500E"/>
    <w:rsid w:val="0088504B"/>
    <w:rsid w:val="00885120"/>
    <w:rsid w:val="0088529F"/>
    <w:rsid w:val="0088547D"/>
    <w:rsid w:val="008854EB"/>
    <w:rsid w:val="0088566E"/>
    <w:rsid w:val="00885766"/>
    <w:rsid w:val="008857D4"/>
    <w:rsid w:val="0088586C"/>
    <w:rsid w:val="00885B21"/>
    <w:rsid w:val="00885E58"/>
    <w:rsid w:val="00886ADE"/>
    <w:rsid w:val="00886B0F"/>
    <w:rsid w:val="00886C28"/>
    <w:rsid w:val="00886CF8"/>
    <w:rsid w:val="00886D47"/>
    <w:rsid w:val="00887130"/>
    <w:rsid w:val="00887252"/>
    <w:rsid w:val="008872DE"/>
    <w:rsid w:val="008873D2"/>
    <w:rsid w:val="00887451"/>
    <w:rsid w:val="0088748D"/>
    <w:rsid w:val="008874DE"/>
    <w:rsid w:val="008875DF"/>
    <w:rsid w:val="008876F3"/>
    <w:rsid w:val="00887841"/>
    <w:rsid w:val="008878DB"/>
    <w:rsid w:val="00887EF5"/>
    <w:rsid w:val="00887EF9"/>
    <w:rsid w:val="0089007D"/>
    <w:rsid w:val="0089032E"/>
    <w:rsid w:val="00890414"/>
    <w:rsid w:val="00890457"/>
    <w:rsid w:val="00890522"/>
    <w:rsid w:val="00890644"/>
    <w:rsid w:val="008907FC"/>
    <w:rsid w:val="00890823"/>
    <w:rsid w:val="008908AB"/>
    <w:rsid w:val="00890CA5"/>
    <w:rsid w:val="00890CD9"/>
    <w:rsid w:val="00890D42"/>
    <w:rsid w:val="00890DA1"/>
    <w:rsid w:val="00890E24"/>
    <w:rsid w:val="00890E99"/>
    <w:rsid w:val="00890FC3"/>
    <w:rsid w:val="008910A1"/>
    <w:rsid w:val="008911F8"/>
    <w:rsid w:val="0089125F"/>
    <w:rsid w:val="0089128B"/>
    <w:rsid w:val="00891503"/>
    <w:rsid w:val="00891540"/>
    <w:rsid w:val="00891547"/>
    <w:rsid w:val="0089154A"/>
    <w:rsid w:val="00891584"/>
    <w:rsid w:val="0089185F"/>
    <w:rsid w:val="0089192B"/>
    <w:rsid w:val="00891982"/>
    <w:rsid w:val="008919D2"/>
    <w:rsid w:val="00891B35"/>
    <w:rsid w:val="00891BB4"/>
    <w:rsid w:val="00891CE4"/>
    <w:rsid w:val="0089211A"/>
    <w:rsid w:val="00892384"/>
    <w:rsid w:val="008924E6"/>
    <w:rsid w:val="00892646"/>
    <w:rsid w:val="008926FB"/>
    <w:rsid w:val="00892859"/>
    <w:rsid w:val="00892940"/>
    <w:rsid w:val="00892A09"/>
    <w:rsid w:val="00892B04"/>
    <w:rsid w:val="00892BB5"/>
    <w:rsid w:val="00892C18"/>
    <w:rsid w:val="00892CEA"/>
    <w:rsid w:val="00892E1A"/>
    <w:rsid w:val="00892F73"/>
    <w:rsid w:val="00893057"/>
    <w:rsid w:val="0089311D"/>
    <w:rsid w:val="00893192"/>
    <w:rsid w:val="00893324"/>
    <w:rsid w:val="00893363"/>
    <w:rsid w:val="008933BA"/>
    <w:rsid w:val="008936D0"/>
    <w:rsid w:val="008936E1"/>
    <w:rsid w:val="0089377C"/>
    <w:rsid w:val="00893B8C"/>
    <w:rsid w:val="00893F7C"/>
    <w:rsid w:val="00894475"/>
    <w:rsid w:val="00894512"/>
    <w:rsid w:val="00894A5C"/>
    <w:rsid w:val="00894B58"/>
    <w:rsid w:val="00894C7A"/>
    <w:rsid w:val="00894E4F"/>
    <w:rsid w:val="00894F4F"/>
    <w:rsid w:val="00895113"/>
    <w:rsid w:val="0089518B"/>
    <w:rsid w:val="00895580"/>
    <w:rsid w:val="00895597"/>
    <w:rsid w:val="0089560D"/>
    <w:rsid w:val="0089562E"/>
    <w:rsid w:val="0089570D"/>
    <w:rsid w:val="008957F8"/>
    <w:rsid w:val="00895E0E"/>
    <w:rsid w:val="00895E62"/>
    <w:rsid w:val="00895E72"/>
    <w:rsid w:val="00895ED5"/>
    <w:rsid w:val="00895F6D"/>
    <w:rsid w:val="00896054"/>
    <w:rsid w:val="0089608E"/>
    <w:rsid w:val="008963F1"/>
    <w:rsid w:val="0089649A"/>
    <w:rsid w:val="008965CA"/>
    <w:rsid w:val="00896654"/>
    <w:rsid w:val="0089670A"/>
    <w:rsid w:val="0089682E"/>
    <w:rsid w:val="00896C89"/>
    <w:rsid w:val="00896DA6"/>
    <w:rsid w:val="00896DDC"/>
    <w:rsid w:val="00896E48"/>
    <w:rsid w:val="008970CB"/>
    <w:rsid w:val="008970CF"/>
    <w:rsid w:val="0089720C"/>
    <w:rsid w:val="00897394"/>
    <w:rsid w:val="00897563"/>
    <w:rsid w:val="00897666"/>
    <w:rsid w:val="008976D5"/>
    <w:rsid w:val="008976E3"/>
    <w:rsid w:val="00897704"/>
    <w:rsid w:val="00897898"/>
    <w:rsid w:val="008978BC"/>
    <w:rsid w:val="0089792C"/>
    <w:rsid w:val="0089794C"/>
    <w:rsid w:val="00897962"/>
    <w:rsid w:val="00897A66"/>
    <w:rsid w:val="00897B2C"/>
    <w:rsid w:val="00897C0B"/>
    <w:rsid w:val="00897C44"/>
    <w:rsid w:val="00897D12"/>
    <w:rsid w:val="00897D29"/>
    <w:rsid w:val="00897EC2"/>
    <w:rsid w:val="008A0116"/>
    <w:rsid w:val="008A0467"/>
    <w:rsid w:val="008A0835"/>
    <w:rsid w:val="008A08E0"/>
    <w:rsid w:val="008A0930"/>
    <w:rsid w:val="008A0986"/>
    <w:rsid w:val="008A0BDD"/>
    <w:rsid w:val="008A0C58"/>
    <w:rsid w:val="008A0CE2"/>
    <w:rsid w:val="008A1262"/>
    <w:rsid w:val="008A14EB"/>
    <w:rsid w:val="008A150B"/>
    <w:rsid w:val="008A1942"/>
    <w:rsid w:val="008A1972"/>
    <w:rsid w:val="008A19F1"/>
    <w:rsid w:val="008A1ABE"/>
    <w:rsid w:val="008A1DEE"/>
    <w:rsid w:val="008A22CA"/>
    <w:rsid w:val="008A2520"/>
    <w:rsid w:val="008A2561"/>
    <w:rsid w:val="008A262F"/>
    <w:rsid w:val="008A2646"/>
    <w:rsid w:val="008A2991"/>
    <w:rsid w:val="008A2A63"/>
    <w:rsid w:val="008A2ACB"/>
    <w:rsid w:val="008A2AD3"/>
    <w:rsid w:val="008A2ADB"/>
    <w:rsid w:val="008A2B05"/>
    <w:rsid w:val="008A2B0C"/>
    <w:rsid w:val="008A2BE4"/>
    <w:rsid w:val="008A2C61"/>
    <w:rsid w:val="008A2DE7"/>
    <w:rsid w:val="008A2E90"/>
    <w:rsid w:val="008A2E9E"/>
    <w:rsid w:val="008A31AB"/>
    <w:rsid w:val="008A324B"/>
    <w:rsid w:val="008A344A"/>
    <w:rsid w:val="008A3479"/>
    <w:rsid w:val="008A34FD"/>
    <w:rsid w:val="008A36C0"/>
    <w:rsid w:val="008A36DF"/>
    <w:rsid w:val="008A3931"/>
    <w:rsid w:val="008A39BF"/>
    <w:rsid w:val="008A3A30"/>
    <w:rsid w:val="008A3A9D"/>
    <w:rsid w:val="008A3B93"/>
    <w:rsid w:val="008A3BE7"/>
    <w:rsid w:val="008A3FBB"/>
    <w:rsid w:val="008A416E"/>
    <w:rsid w:val="008A433C"/>
    <w:rsid w:val="008A43BE"/>
    <w:rsid w:val="008A441B"/>
    <w:rsid w:val="008A45CD"/>
    <w:rsid w:val="008A4766"/>
    <w:rsid w:val="008A47F7"/>
    <w:rsid w:val="008A489E"/>
    <w:rsid w:val="008A4933"/>
    <w:rsid w:val="008A4A24"/>
    <w:rsid w:val="008A4E75"/>
    <w:rsid w:val="008A4EB5"/>
    <w:rsid w:val="008A4FAF"/>
    <w:rsid w:val="008A5072"/>
    <w:rsid w:val="008A520A"/>
    <w:rsid w:val="008A53E2"/>
    <w:rsid w:val="008A54FE"/>
    <w:rsid w:val="008A56EC"/>
    <w:rsid w:val="008A5846"/>
    <w:rsid w:val="008A59AD"/>
    <w:rsid w:val="008A5AB1"/>
    <w:rsid w:val="008A5AD7"/>
    <w:rsid w:val="008A5DDA"/>
    <w:rsid w:val="008A5E04"/>
    <w:rsid w:val="008A5E20"/>
    <w:rsid w:val="008A602E"/>
    <w:rsid w:val="008A612C"/>
    <w:rsid w:val="008A619E"/>
    <w:rsid w:val="008A621B"/>
    <w:rsid w:val="008A679C"/>
    <w:rsid w:val="008A694D"/>
    <w:rsid w:val="008A69A5"/>
    <w:rsid w:val="008A6BCE"/>
    <w:rsid w:val="008A6C23"/>
    <w:rsid w:val="008A6DB3"/>
    <w:rsid w:val="008A6E16"/>
    <w:rsid w:val="008A7098"/>
    <w:rsid w:val="008A730C"/>
    <w:rsid w:val="008A7680"/>
    <w:rsid w:val="008A76C4"/>
    <w:rsid w:val="008A771E"/>
    <w:rsid w:val="008A7859"/>
    <w:rsid w:val="008A7942"/>
    <w:rsid w:val="008A79E2"/>
    <w:rsid w:val="008A79E8"/>
    <w:rsid w:val="008A7C1E"/>
    <w:rsid w:val="008A7D7E"/>
    <w:rsid w:val="008A7EEA"/>
    <w:rsid w:val="008B01B0"/>
    <w:rsid w:val="008B0415"/>
    <w:rsid w:val="008B0537"/>
    <w:rsid w:val="008B069B"/>
    <w:rsid w:val="008B06FB"/>
    <w:rsid w:val="008B0EAC"/>
    <w:rsid w:val="008B0EC7"/>
    <w:rsid w:val="008B0EEF"/>
    <w:rsid w:val="008B0F45"/>
    <w:rsid w:val="008B0F67"/>
    <w:rsid w:val="008B0F6E"/>
    <w:rsid w:val="008B10B6"/>
    <w:rsid w:val="008B1162"/>
    <w:rsid w:val="008B11F0"/>
    <w:rsid w:val="008B126F"/>
    <w:rsid w:val="008B132C"/>
    <w:rsid w:val="008B1384"/>
    <w:rsid w:val="008B1741"/>
    <w:rsid w:val="008B1764"/>
    <w:rsid w:val="008B176B"/>
    <w:rsid w:val="008B1843"/>
    <w:rsid w:val="008B1A00"/>
    <w:rsid w:val="008B1C9E"/>
    <w:rsid w:val="008B1E44"/>
    <w:rsid w:val="008B2156"/>
    <w:rsid w:val="008B2322"/>
    <w:rsid w:val="008B25B6"/>
    <w:rsid w:val="008B25BC"/>
    <w:rsid w:val="008B25C6"/>
    <w:rsid w:val="008B2771"/>
    <w:rsid w:val="008B289A"/>
    <w:rsid w:val="008B2907"/>
    <w:rsid w:val="008B2B76"/>
    <w:rsid w:val="008B2B99"/>
    <w:rsid w:val="008B2B9E"/>
    <w:rsid w:val="008B2BA4"/>
    <w:rsid w:val="008B2DCA"/>
    <w:rsid w:val="008B2F00"/>
    <w:rsid w:val="008B3050"/>
    <w:rsid w:val="008B31D3"/>
    <w:rsid w:val="008B32CA"/>
    <w:rsid w:val="008B3375"/>
    <w:rsid w:val="008B33AD"/>
    <w:rsid w:val="008B3682"/>
    <w:rsid w:val="008B36EE"/>
    <w:rsid w:val="008B397E"/>
    <w:rsid w:val="008B3ABA"/>
    <w:rsid w:val="008B3AE4"/>
    <w:rsid w:val="008B3B60"/>
    <w:rsid w:val="008B3B77"/>
    <w:rsid w:val="008B3B87"/>
    <w:rsid w:val="008B3D51"/>
    <w:rsid w:val="008B3D88"/>
    <w:rsid w:val="008B3F74"/>
    <w:rsid w:val="008B4017"/>
    <w:rsid w:val="008B42C7"/>
    <w:rsid w:val="008B44BE"/>
    <w:rsid w:val="008B474B"/>
    <w:rsid w:val="008B48E3"/>
    <w:rsid w:val="008B496A"/>
    <w:rsid w:val="008B4C17"/>
    <w:rsid w:val="008B4C42"/>
    <w:rsid w:val="008B4CB3"/>
    <w:rsid w:val="008B4CFF"/>
    <w:rsid w:val="008B4ECC"/>
    <w:rsid w:val="008B4FB3"/>
    <w:rsid w:val="008B523B"/>
    <w:rsid w:val="008B54C8"/>
    <w:rsid w:val="008B5572"/>
    <w:rsid w:val="008B5868"/>
    <w:rsid w:val="008B5A03"/>
    <w:rsid w:val="008B5A0B"/>
    <w:rsid w:val="008B5B15"/>
    <w:rsid w:val="008B5C53"/>
    <w:rsid w:val="008B5D4E"/>
    <w:rsid w:val="008B5E6C"/>
    <w:rsid w:val="008B5EAC"/>
    <w:rsid w:val="008B638E"/>
    <w:rsid w:val="008B6614"/>
    <w:rsid w:val="008B6624"/>
    <w:rsid w:val="008B6829"/>
    <w:rsid w:val="008B68C1"/>
    <w:rsid w:val="008B6B0D"/>
    <w:rsid w:val="008B6C59"/>
    <w:rsid w:val="008B6D11"/>
    <w:rsid w:val="008B6D63"/>
    <w:rsid w:val="008B6F0D"/>
    <w:rsid w:val="008B768B"/>
    <w:rsid w:val="008B77D8"/>
    <w:rsid w:val="008B7881"/>
    <w:rsid w:val="008B7A5A"/>
    <w:rsid w:val="008B7C6A"/>
    <w:rsid w:val="008B7CC2"/>
    <w:rsid w:val="008B7DCF"/>
    <w:rsid w:val="008B7E17"/>
    <w:rsid w:val="008B7E2F"/>
    <w:rsid w:val="008B7E46"/>
    <w:rsid w:val="008C002B"/>
    <w:rsid w:val="008C0224"/>
    <w:rsid w:val="008C0274"/>
    <w:rsid w:val="008C02D0"/>
    <w:rsid w:val="008C05D9"/>
    <w:rsid w:val="008C0645"/>
    <w:rsid w:val="008C0711"/>
    <w:rsid w:val="008C07F8"/>
    <w:rsid w:val="008C07FE"/>
    <w:rsid w:val="008C0A04"/>
    <w:rsid w:val="008C0A95"/>
    <w:rsid w:val="008C0CDD"/>
    <w:rsid w:val="008C0D2E"/>
    <w:rsid w:val="008C0E09"/>
    <w:rsid w:val="008C0EEE"/>
    <w:rsid w:val="008C0F6E"/>
    <w:rsid w:val="008C0FA6"/>
    <w:rsid w:val="008C106B"/>
    <w:rsid w:val="008C1092"/>
    <w:rsid w:val="008C10E8"/>
    <w:rsid w:val="008C120E"/>
    <w:rsid w:val="008C1249"/>
    <w:rsid w:val="008C138E"/>
    <w:rsid w:val="008C14D7"/>
    <w:rsid w:val="008C1554"/>
    <w:rsid w:val="008C1AC0"/>
    <w:rsid w:val="008C1CA2"/>
    <w:rsid w:val="008C1E6A"/>
    <w:rsid w:val="008C1ED6"/>
    <w:rsid w:val="008C202A"/>
    <w:rsid w:val="008C2229"/>
    <w:rsid w:val="008C2454"/>
    <w:rsid w:val="008C24D1"/>
    <w:rsid w:val="008C260D"/>
    <w:rsid w:val="008C2610"/>
    <w:rsid w:val="008C26B4"/>
    <w:rsid w:val="008C27D4"/>
    <w:rsid w:val="008C2821"/>
    <w:rsid w:val="008C2922"/>
    <w:rsid w:val="008C29C8"/>
    <w:rsid w:val="008C2EB1"/>
    <w:rsid w:val="008C2EC0"/>
    <w:rsid w:val="008C309F"/>
    <w:rsid w:val="008C30F4"/>
    <w:rsid w:val="008C31C8"/>
    <w:rsid w:val="008C3239"/>
    <w:rsid w:val="008C3283"/>
    <w:rsid w:val="008C3655"/>
    <w:rsid w:val="008C3672"/>
    <w:rsid w:val="008C369D"/>
    <w:rsid w:val="008C370E"/>
    <w:rsid w:val="008C38DB"/>
    <w:rsid w:val="008C3963"/>
    <w:rsid w:val="008C39A3"/>
    <w:rsid w:val="008C39A4"/>
    <w:rsid w:val="008C3AAA"/>
    <w:rsid w:val="008C3AD8"/>
    <w:rsid w:val="008C3B76"/>
    <w:rsid w:val="008C3E30"/>
    <w:rsid w:val="008C42BE"/>
    <w:rsid w:val="008C42F4"/>
    <w:rsid w:val="008C4446"/>
    <w:rsid w:val="008C44E3"/>
    <w:rsid w:val="008C4533"/>
    <w:rsid w:val="008C45CB"/>
    <w:rsid w:val="008C46A2"/>
    <w:rsid w:val="008C46BE"/>
    <w:rsid w:val="008C470E"/>
    <w:rsid w:val="008C49C9"/>
    <w:rsid w:val="008C4A59"/>
    <w:rsid w:val="008C4CD2"/>
    <w:rsid w:val="008C4D86"/>
    <w:rsid w:val="008C4DFB"/>
    <w:rsid w:val="008C510C"/>
    <w:rsid w:val="008C52B8"/>
    <w:rsid w:val="008C5493"/>
    <w:rsid w:val="008C553C"/>
    <w:rsid w:val="008C56AF"/>
    <w:rsid w:val="008C591E"/>
    <w:rsid w:val="008C5AC7"/>
    <w:rsid w:val="008C5CC2"/>
    <w:rsid w:val="008C5D0C"/>
    <w:rsid w:val="008C5D52"/>
    <w:rsid w:val="008C5ECA"/>
    <w:rsid w:val="008C603B"/>
    <w:rsid w:val="008C62F2"/>
    <w:rsid w:val="008C661F"/>
    <w:rsid w:val="008C6679"/>
    <w:rsid w:val="008C67B2"/>
    <w:rsid w:val="008C682C"/>
    <w:rsid w:val="008C6855"/>
    <w:rsid w:val="008C68BB"/>
    <w:rsid w:val="008C6A7A"/>
    <w:rsid w:val="008C6AD9"/>
    <w:rsid w:val="008C6BA0"/>
    <w:rsid w:val="008C6C0E"/>
    <w:rsid w:val="008C6EB4"/>
    <w:rsid w:val="008C6FE5"/>
    <w:rsid w:val="008C720B"/>
    <w:rsid w:val="008C72CB"/>
    <w:rsid w:val="008C7308"/>
    <w:rsid w:val="008C73EB"/>
    <w:rsid w:val="008C763A"/>
    <w:rsid w:val="008C7715"/>
    <w:rsid w:val="008C779F"/>
    <w:rsid w:val="008C79F7"/>
    <w:rsid w:val="008C7C6C"/>
    <w:rsid w:val="008C7D21"/>
    <w:rsid w:val="008C7D42"/>
    <w:rsid w:val="008C7E0A"/>
    <w:rsid w:val="008D01BD"/>
    <w:rsid w:val="008D0312"/>
    <w:rsid w:val="008D06BF"/>
    <w:rsid w:val="008D08FC"/>
    <w:rsid w:val="008D0940"/>
    <w:rsid w:val="008D0998"/>
    <w:rsid w:val="008D0A0A"/>
    <w:rsid w:val="008D0A14"/>
    <w:rsid w:val="008D0D0F"/>
    <w:rsid w:val="008D0EAF"/>
    <w:rsid w:val="008D0F38"/>
    <w:rsid w:val="008D0F41"/>
    <w:rsid w:val="008D10A2"/>
    <w:rsid w:val="008D1182"/>
    <w:rsid w:val="008D1336"/>
    <w:rsid w:val="008D163C"/>
    <w:rsid w:val="008D1703"/>
    <w:rsid w:val="008D1719"/>
    <w:rsid w:val="008D1831"/>
    <w:rsid w:val="008D185E"/>
    <w:rsid w:val="008D1895"/>
    <w:rsid w:val="008D18E4"/>
    <w:rsid w:val="008D19E7"/>
    <w:rsid w:val="008D1B1A"/>
    <w:rsid w:val="008D1B68"/>
    <w:rsid w:val="008D1C32"/>
    <w:rsid w:val="008D1E6C"/>
    <w:rsid w:val="008D2062"/>
    <w:rsid w:val="008D2316"/>
    <w:rsid w:val="008D2444"/>
    <w:rsid w:val="008D2660"/>
    <w:rsid w:val="008D2842"/>
    <w:rsid w:val="008D2B33"/>
    <w:rsid w:val="008D2C25"/>
    <w:rsid w:val="008D2D73"/>
    <w:rsid w:val="008D2EE5"/>
    <w:rsid w:val="008D2F75"/>
    <w:rsid w:val="008D300A"/>
    <w:rsid w:val="008D31CD"/>
    <w:rsid w:val="008D33D9"/>
    <w:rsid w:val="008D36E0"/>
    <w:rsid w:val="008D3755"/>
    <w:rsid w:val="008D39A1"/>
    <w:rsid w:val="008D3CA6"/>
    <w:rsid w:val="008D3D46"/>
    <w:rsid w:val="008D3D9E"/>
    <w:rsid w:val="008D3DDD"/>
    <w:rsid w:val="008D3E9B"/>
    <w:rsid w:val="008D3EA5"/>
    <w:rsid w:val="008D3F64"/>
    <w:rsid w:val="008D3F66"/>
    <w:rsid w:val="008D3FDD"/>
    <w:rsid w:val="008D4000"/>
    <w:rsid w:val="008D402C"/>
    <w:rsid w:val="008D403F"/>
    <w:rsid w:val="008D4249"/>
    <w:rsid w:val="008D42EF"/>
    <w:rsid w:val="008D49D5"/>
    <w:rsid w:val="008D4B28"/>
    <w:rsid w:val="008D4DDF"/>
    <w:rsid w:val="008D4F9E"/>
    <w:rsid w:val="008D4FD3"/>
    <w:rsid w:val="008D50E6"/>
    <w:rsid w:val="008D5142"/>
    <w:rsid w:val="008D5531"/>
    <w:rsid w:val="008D5A21"/>
    <w:rsid w:val="008D5A58"/>
    <w:rsid w:val="008D5B04"/>
    <w:rsid w:val="008D5D5B"/>
    <w:rsid w:val="008D5DE2"/>
    <w:rsid w:val="008D5DEE"/>
    <w:rsid w:val="008D5E64"/>
    <w:rsid w:val="008D5F80"/>
    <w:rsid w:val="008D60F0"/>
    <w:rsid w:val="008D6137"/>
    <w:rsid w:val="008D61C8"/>
    <w:rsid w:val="008D61E7"/>
    <w:rsid w:val="008D64C8"/>
    <w:rsid w:val="008D6565"/>
    <w:rsid w:val="008D65C3"/>
    <w:rsid w:val="008D66F1"/>
    <w:rsid w:val="008D6721"/>
    <w:rsid w:val="008D67AE"/>
    <w:rsid w:val="008D6970"/>
    <w:rsid w:val="008D69BB"/>
    <w:rsid w:val="008D6A5A"/>
    <w:rsid w:val="008D6AD6"/>
    <w:rsid w:val="008D6B32"/>
    <w:rsid w:val="008D6B90"/>
    <w:rsid w:val="008D6CDE"/>
    <w:rsid w:val="008D6EDF"/>
    <w:rsid w:val="008D70D9"/>
    <w:rsid w:val="008D7158"/>
    <w:rsid w:val="008D732B"/>
    <w:rsid w:val="008D737E"/>
    <w:rsid w:val="008D7576"/>
    <w:rsid w:val="008D759A"/>
    <w:rsid w:val="008D7A3C"/>
    <w:rsid w:val="008D7A46"/>
    <w:rsid w:val="008D7A8F"/>
    <w:rsid w:val="008D7AC1"/>
    <w:rsid w:val="008D7B23"/>
    <w:rsid w:val="008D7B61"/>
    <w:rsid w:val="008D7D3F"/>
    <w:rsid w:val="008D7F1E"/>
    <w:rsid w:val="008E00C4"/>
    <w:rsid w:val="008E0124"/>
    <w:rsid w:val="008E01FB"/>
    <w:rsid w:val="008E02EA"/>
    <w:rsid w:val="008E0475"/>
    <w:rsid w:val="008E059F"/>
    <w:rsid w:val="008E0615"/>
    <w:rsid w:val="008E0825"/>
    <w:rsid w:val="008E085B"/>
    <w:rsid w:val="008E0984"/>
    <w:rsid w:val="008E09EC"/>
    <w:rsid w:val="008E0D5F"/>
    <w:rsid w:val="008E0F03"/>
    <w:rsid w:val="008E1032"/>
    <w:rsid w:val="008E10A4"/>
    <w:rsid w:val="008E10D4"/>
    <w:rsid w:val="008E1191"/>
    <w:rsid w:val="008E131B"/>
    <w:rsid w:val="008E147E"/>
    <w:rsid w:val="008E1486"/>
    <w:rsid w:val="008E148B"/>
    <w:rsid w:val="008E174C"/>
    <w:rsid w:val="008E1A6C"/>
    <w:rsid w:val="008E1AEA"/>
    <w:rsid w:val="008E1BA8"/>
    <w:rsid w:val="008E1C36"/>
    <w:rsid w:val="008E1C52"/>
    <w:rsid w:val="008E1F1F"/>
    <w:rsid w:val="008E1F25"/>
    <w:rsid w:val="008E1F98"/>
    <w:rsid w:val="008E21A4"/>
    <w:rsid w:val="008E2442"/>
    <w:rsid w:val="008E2532"/>
    <w:rsid w:val="008E2570"/>
    <w:rsid w:val="008E25C1"/>
    <w:rsid w:val="008E26F2"/>
    <w:rsid w:val="008E28F3"/>
    <w:rsid w:val="008E2981"/>
    <w:rsid w:val="008E2AAD"/>
    <w:rsid w:val="008E2B7F"/>
    <w:rsid w:val="008E2C80"/>
    <w:rsid w:val="008E2D71"/>
    <w:rsid w:val="008E2E3E"/>
    <w:rsid w:val="008E2E40"/>
    <w:rsid w:val="008E2EBA"/>
    <w:rsid w:val="008E2FE3"/>
    <w:rsid w:val="008E31F2"/>
    <w:rsid w:val="008E35CE"/>
    <w:rsid w:val="008E3703"/>
    <w:rsid w:val="008E3892"/>
    <w:rsid w:val="008E3896"/>
    <w:rsid w:val="008E38C0"/>
    <w:rsid w:val="008E3902"/>
    <w:rsid w:val="008E39C2"/>
    <w:rsid w:val="008E39F0"/>
    <w:rsid w:val="008E39F2"/>
    <w:rsid w:val="008E3B22"/>
    <w:rsid w:val="008E3F5C"/>
    <w:rsid w:val="008E434B"/>
    <w:rsid w:val="008E43F9"/>
    <w:rsid w:val="008E45AC"/>
    <w:rsid w:val="008E4619"/>
    <w:rsid w:val="008E4817"/>
    <w:rsid w:val="008E48C9"/>
    <w:rsid w:val="008E4A05"/>
    <w:rsid w:val="008E4A74"/>
    <w:rsid w:val="008E4A9C"/>
    <w:rsid w:val="008E4AC7"/>
    <w:rsid w:val="008E4BA5"/>
    <w:rsid w:val="008E4C89"/>
    <w:rsid w:val="008E4EB4"/>
    <w:rsid w:val="008E516B"/>
    <w:rsid w:val="008E521B"/>
    <w:rsid w:val="008E529C"/>
    <w:rsid w:val="008E5385"/>
    <w:rsid w:val="008E5392"/>
    <w:rsid w:val="008E5556"/>
    <w:rsid w:val="008E56A6"/>
    <w:rsid w:val="008E573E"/>
    <w:rsid w:val="008E5764"/>
    <w:rsid w:val="008E596A"/>
    <w:rsid w:val="008E5EEA"/>
    <w:rsid w:val="008E5FD3"/>
    <w:rsid w:val="008E627A"/>
    <w:rsid w:val="008E6328"/>
    <w:rsid w:val="008E653D"/>
    <w:rsid w:val="008E661D"/>
    <w:rsid w:val="008E67A4"/>
    <w:rsid w:val="008E67AE"/>
    <w:rsid w:val="008E68C0"/>
    <w:rsid w:val="008E6C37"/>
    <w:rsid w:val="008E6DFA"/>
    <w:rsid w:val="008E6E33"/>
    <w:rsid w:val="008E6E71"/>
    <w:rsid w:val="008E6EF1"/>
    <w:rsid w:val="008E71B0"/>
    <w:rsid w:val="008E722C"/>
    <w:rsid w:val="008E728B"/>
    <w:rsid w:val="008E72AC"/>
    <w:rsid w:val="008E746D"/>
    <w:rsid w:val="008E749E"/>
    <w:rsid w:val="008E77DF"/>
    <w:rsid w:val="008E7842"/>
    <w:rsid w:val="008E7A51"/>
    <w:rsid w:val="008E7CEC"/>
    <w:rsid w:val="008E7D95"/>
    <w:rsid w:val="008E7E38"/>
    <w:rsid w:val="008F014D"/>
    <w:rsid w:val="008F022B"/>
    <w:rsid w:val="008F04E2"/>
    <w:rsid w:val="008F053B"/>
    <w:rsid w:val="008F070E"/>
    <w:rsid w:val="008F0871"/>
    <w:rsid w:val="008F0BE2"/>
    <w:rsid w:val="008F0CE9"/>
    <w:rsid w:val="008F0CF8"/>
    <w:rsid w:val="008F0D6A"/>
    <w:rsid w:val="008F0D80"/>
    <w:rsid w:val="008F0E2A"/>
    <w:rsid w:val="008F0FBB"/>
    <w:rsid w:val="008F105A"/>
    <w:rsid w:val="008F118D"/>
    <w:rsid w:val="008F11B8"/>
    <w:rsid w:val="008F122D"/>
    <w:rsid w:val="008F1355"/>
    <w:rsid w:val="008F14AE"/>
    <w:rsid w:val="008F1900"/>
    <w:rsid w:val="008F1927"/>
    <w:rsid w:val="008F1936"/>
    <w:rsid w:val="008F19DA"/>
    <w:rsid w:val="008F1BAF"/>
    <w:rsid w:val="008F1E13"/>
    <w:rsid w:val="008F1EC6"/>
    <w:rsid w:val="008F2738"/>
    <w:rsid w:val="008F2783"/>
    <w:rsid w:val="008F2784"/>
    <w:rsid w:val="008F2889"/>
    <w:rsid w:val="008F2953"/>
    <w:rsid w:val="008F2B0F"/>
    <w:rsid w:val="008F2C3D"/>
    <w:rsid w:val="008F2D64"/>
    <w:rsid w:val="008F2DD8"/>
    <w:rsid w:val="008F2E1C"/>
    <w:rsid w:val="008F2E99"/>
    <w:rsid w:val="008F30EF"/>
    <w:rsid w:val="008F315F"/>
    <w:rsid w:val="008F31A3"/>
    <w:rsid w:val="008F3227"/>
    <w:rsid w:val="008F3250"/>
    <w:rsid w:val="008F3273"/>
    <w:rsid w:val="008F3312"/>
    <w:rsid w:val="008F337A"/>
    <w:rsid w:val="008F34F6"/>
    <w:rsid w:val="008F3826"/>
    <w:rsid w:val="008F3893"/>
    <w:rsid w:val="008F39AD"/>
    <w:rsid w:val="008F3C69"/>
    <w:rsid w:val="008F3F16"/>
    <w:rsid w:val="008F3F37"/>
    <w:rsid w:val="008F40D2"/>
    <w:rsid w:val="008F41DB"/>
    <w:rsid w:val="008F4273"/>
    <w:rsid w:val="008F43E7"/>
    <w:rsid w:val="008F454E"/>
    <w:rsid w:val="008F485A"/>
    <w:rsid w:val="008F4881"/>
    <w:rsid w:val="008F4A42"/>
    <w:rsid w:val="008F4A96"/>
    <w:rsid w:val="008F4BC9"/>
    <w:rsid w:val="008F4BE9"/>
    <w:rsid w:val="008F4CA1"/>
    <w:rsid w:val="008F4CE1"/>
    <w:rsid w:val="008F4F5A"/>
    <w:rsid w:val="008F52AE"/>
    <w:rsid w:val="008F52D5"/>
    <w:rsid w:val="008F53FF"/>
    <w:rsid w:val="008F549B"/>
    <w:rsid w:val="008F55FF"/>
    <w:rsid w:val="008F5620"/>
    <w:rsid w:val="008F569F"/>
    <w:rsid w:val="008F584E"/>
    <w:rsid w:val="008F5B78"/>
    <w:rsid w:val="008F5E7C"/>
    <w:rsid w:val="008F5F39"/>
    <w:rsid w:val="008F609D"/>
    <w:rsid w:val="008F63E8"/>
    <w:rsid w:val="008F64A6"/>
    <w:rsid w:val="008F64A7"/>
    <w:rsid w:val="008F654D"/>
    <w:rsid w:val="008F65F6"/>
    <w:rsid w:val="008F66DC"/>
    <w:rsid w:val="008F6730"/>
    <w:rsid w:val="008F67A4"/>
    <w:rsid w:val="008F6A20"/>
    <w:rsid w:val="008F6E1C"/>
    <w:rsid w:val="008F71B9"/>
    <w:rsid w:val="008F72F3"/>
    <w:rsid w:val="008F735D"/>
    <w:rsid w:val="008F73B7"/>
    <w:rsid w:val="008F73E3"/>
    <w:rsid w:val="008F7405"/>
    <w:rsid w:val="008F742F"/>
    <w:rsid w:val="008F7710"/>
    <w:rsid w:val="008F77BA"/>
    <w:rsid w:val="008F7A81"/>
    <w:rsid w:val="008F7B67"/>
    <w:rsid w:val="008F7BDE"/>
    <w:rsid w:val="008F7FB1"/>
    <w:rsid w:val="008F7FB3"/>
    <w:rsid w:val="00900012"/>
    <w:rsid w:val="009002E0"/>
    <w:rsid w:val="009006F1"/>
    <w:rsid w:val="009006FB"/>
    <w:rsid w:val="009009D6"/>
    <w:rsid w:val="00900A08"/>
    <w:rsid w:val="00900AF4"/>
    <w:rsid w:val="00900E52"/>
    <w:rsid w:val="00900F96"/>
    <w:rsid w:val="00900FE4"/>
    <w:rsid w:val="00901105"/>
    <w:rsid w:val="0090119E"/>
    <w:rsid w:val="0090125D"/>
    <w:rsid w:val="0090146E"/>
    <w:rsid w:val="009014DA"/>
    <w:rsid w:val="00901600"/>
    <w:rsid w:val="00901829"/>
    <w:rsid w:val="009018C2"/>
    <w:rsid w:val="00901A57"/>
    <w:rsid w:val="00901AD9"/>
    <w:rsid w:val="00901AEC"/>
    <w:rsid w:val="00901B75"/>
    <w:rsid w:val="00901DA1"/>
    <w:rsid w:val="00901DB8"/>
    <w:rsid w:val="00901E71"/>
    <w:rsid w:val="00901F4E"/>
    <w:rsid w:val="00902012"/>
    <w:rsid w:val="00902041"/>
    <w:rsid w:val="00902070"/>
    <w:rsid w:val="00902109"/>
    <w:rsid w:val="009021EE"/>
    <w:rsid w:val="00902400"/>
    <w:rsid w:val="00902407"/>
    <w:rsid w:val="00902580"/>
    <w:rsid w:val="0090262F"/>
    <w:rsid w:val="009026A1"/>
    <w:rsid w:val="009026B8"/>
    <w:rsid w:val="00902BB6"/>
    <w:rsid w:val="00902F5C"/>
    <w:rsid w:val="00902FDB"/>
    <w:rsid w:val="009030A9"/>
    <w:rsid w:val="00903133"/>
    <w:rsid w:val="009037D9"/>
    <w:rsid w:val="00903CD9"/>
    <w:rsid w:val="00903CE7"/>
    <w:rsid w:val="00903D6B"/>
    <w:rsid w:val="00903E0C"/>
    <w:rsid w:val="00903E53"/>
    <w:rsid w:val="0090405B"/>
    <w:rsid w:val="0090405C"/>
    <w:rsid w:val="009040BE"/>
    <w:rsid w:val="009040D8"/>
    <w:rsid w:val="0090436B"/>
    <w:rsid w:val="009044DE"/>
    <w:rsid w:val="00904527"/>
    <w:rsid w:val="00904575"/>
    <w:rsid w:val="009047BD"/>
    <w:rsid w:val="00904935"/>
    <w:rsid w:val="009049E6"/>
    <w:rsid w:val="00904C8C"/>
    <w:rsid w:val="00904DB1"/>
    <w:rsid w:val="00904E0B"/>
    <w:rsid w:val="0090524D"/>
    <w:rsid w:val="00905285"/>
    <w:rsid w:val="009052CA"/>
    <w:rsid w:val="009053EE"/>
    <w:rsid w:val="009054FC"/>
    <w:rsid w:val="00905511"/>
    <w:rsid w:val="00905589"/>
    <w:rsid w:val="00905630"/>
    <w:rsid w:val="00905631"/>
    <w:rsid w:val="00905942"/>
    <w:rsid w:val="00905A32"/>
    <w:rsid w:val="00905C66"/>
    <w:rsid w:val="00905CB8"/>
    <w:rsid w:val="0090613F"/>
    <w:rsid w:val="0090664A"/>
    <w:rsid w:val="009066E8"/>
    <w:rsid w:val="0090670C"/>
    <w:rsid w:val="00906788"/>
    <w:rsid w:val="009068C6"/>
    <w:rsid w:val="00906AA8"/>
    <w:rsid w:val="00906BB0"/>
    <w:rsid w:val="00906BFE"/>
    <w:rsid w:val="00906C18"/>
    <w:rsid w:val="00906F53"/>
    <w:rsid w:val="00906F5A"/>
    <w:rsid w:val="00906FEF"/>
    <w:rsid w:val="009070D3"/>
    <w:rsid w:val="0090713C"/>
    <w:rsid w:val="009071B0"/>
    <w:rsid w:val="00907319"/>
    <w:rsid w:val="009073F6"/>
    <w:rsid w:val="009075B3"/>
    <w:rsid w:val="009075E4"/>
    <w:rsid w:val="00907757"/>
    <w:rsid w:val="009078BC"/>
    <w:rsid w:val="00907E88"/>
    <w:rsid w:val="00907F9C"/>
    <w:rsid w:val="009101FB"/>
    <w:rsid w:val="00910201"/>
    <w:rsid w:val="009102A4"/>
    <w:rsid w:val="009102DB"/>
    <w:rsid w:val="00910319"/>
    <w:rsid w:val="0091032A"/>
    <w:rsid w:val="009106EE"/>
    <w:rsid w:val="0091070D"/>
    <w:rsid w:val="00910728"/>
    <w:rsid w:val="00910870"/>
    <w:rsid w:val="0091095A"/>
    <w:rsid w:val="00910A50"/>
    <w:rsid w:val="00910B7E"/>
    <w:rsid w:val="00910CCC"/>
    <w:rsid w:val="00910D40"/>
    <w:rsid w:val="0091114A"/>
    <w:rsid w:val="009112BF"/>
    <w:rsid w:val="009113BC"/>
    <w:rsid w:val="00911539"/>
    <w:rsid w:val="009115F0"/>
    <w:rsid w:val="00911622"/>
    <w:rsid w:val="00911694"/>
    <w:rsid w:val="009116D4"/>
    <w:rsid w:val="009117B7"/>
    <w:rsid w:val="009118D8"/>
    <w:rsid w:val="00911E50"/>
    <w:rsid w:val="00911E95"/>
    <w:rsid w:val="00911EB1"/>
    <w:rsid w:val="00911FF8"/>
    <w:rsid w:val="009120AB"/>
    <w:rsid w:val="009120EC"/>
    <w:rsid w:val="00912175"/>
    <w:rsid w:val="00912318"/>
    <w:rsid w:val="009123BC"/>
    <w:rsid w:val="009123E6"/>
    <w:rsid w:val="0091244A"/>
    <w:rsid w:val="009124F5"/>
    <w:rsid w:val="00912541"/>
    <w:rsid w:val="0091255C"/>
    <w:rsid w:val="0091256F"/>
    <w:rsid w:val="009125A2"/>
    <w:rsid w:val="00912983"/>
    <w:rsid w:val="00912B4C"/>
    <w:rsid w:val="00912DC2"/>
    <w:rsid w:val="00912E0E"/>
    <w:rsid w:val="00912E5D"/>
    <w:rsid w:val="00912ED0"/>
    <w:rsid w:val="00912EDA"/>
    <w:rsid w:val="00912FA4"/>
    <w:rsid w:val="00913313"/>
    <w:rsid w:val="0091334E"/>
    <w:rsid w:val="0091350F"/>
    <w:rsid w:val="00913540"/>
    <w:rsid w:val="00913583"/>
    <w:rsid w:val="00913618"/>
    <w:rsid w:val="00913A01"/>
    <w:rsid w:val="00913A06"/>
    <w:rsid w:val="00913B52"/>
    <w:rsid w:val="00913BA2"/>
    <w:rsid w:val="00913C33"/>
    <w:rsid w:val="009142A2"/>
    <w:rsid w:val="009143A5"/>
    <w:rsid w:val="009144C9"/>
    <w:rsid w:val="00914567"/>
    <w:rsid w:val="0091468C"/>
    <w:rsid w:val="009146FC"/>
    <w:rsid w:val="00914B0A"/>
    <w:rsid w:val="00914B9D"/>
    <w:rsid w:val="00914C35"/>
    <w:rsid w:val="00914EC0"/>
    <w:rsid w:val="00914EEB"/>
    <w:rsid w:val="00915078"/>
    <w:rsid w:val="00915536"/>
    <w:rsid w:val="00915624"/>
    <w:rsid w:val="00915647"/>
    <w:rsid w:val="0091572E"/>
    <w:rsid w:val="0091585F"/>
    <w:rsid w:val="00915876"/>
    <w:rsid w:val="00915C71"/>
    <w:rsid w:val="00915E1C"/>
    <w:rsid w:val="00915E66"/>
    <w:rsid w:val="00915ED0"/>
    <w:rsid w:val="00915F73"/>
    <w:rsid w:val="009161C3"/>
    <w:rsid w:val="009162B4"/>
    <w:rsid w:val="00916387"/>
    <w:rsid w:val="009163D4"/>
    <w:rsid w:val="00916455"/>
    <w:rsid w:val="00916661"/>
    <w:rsid w:val="009166EC"/>
    <w:rsid w:val="009168B5"/>
    <w:rsid w:val="009169EA"/>
    <w:rsid w:val="00916AC1"/>
    <w:rsid w:val="00916AF6"/>
    <w:rsid w:val="00916C5D"/>
    <w:rsid w:val="00916CC2"/>
    <w:rsid w:val="00916D38"/>
    <w:rsid w:val="00916DA3"/>
    <w:rsid w:val="00916E31"/>
    <w:rsid w:val="0091701E"/>
    <w:rsid w:val="009172C9"/>
    <w:rsid w:val="009174F3"/>
    <w:rsid w:val="009174F8"/>
    <w:rsid w:val="0091750B"/>
    <w:rsid w:val="0091756F"/>
    <w:rsid w:val="00917757"/>
    <w:rsid w:val="009177B4"/>
    <w:rsid w:val="009177D6"/>
    <w:rsid w:val="00917822"/>
    <w:rsid w:val="00917966"/>
    <w:rsid w:val="00917A5A"/>
    <w:rsid w:val="00917B55"/>
    <w:rsid w:val="00917E88"/>
    <w:rsid w:val="009200A8"/>
    <w:rsid w:val="009203D6"/>
    <w:rsid w:val="00920428"/>
    <w:rsid w:val="00920538"/>
    <w:rsid w:val="0092058D"/>
    <w:rsid w:val="00920675"/>
    <w:rsid w:val="00920877"/>
    <w:rsid w:val="009209CA"/>
    <w:rsid w:val="009209D4"/>
    <w:rsid w:val="00920A08"/>
    <w:rsid w:val="00920AFA"/>
    <w:rsid w:val="00920E08"/>
    <w:rsid w:val="00920E4E"/>
    <w:rsid w:val="00920F15"/>
    <w:rsid w:val="00921156"/>
    <w:rsid w:val="009211CB"/>
    <w:rsid w:val="00921559"/>
    <w:rsid w:val="009215D3"/>
    <w:rsid w:val="009216E3"/>
    <w:rsid w:val="00921D2F"/>
    <w:rsid w:val="00921FF9"/>
    <w:rsid w:val="00922408"/>
    <w:rsid w:val="0092265A"/>
    <w:rsid w:val="009228D9"/>
    <w:rsid w:val="009229E4"/>
    <w:rsid w:val="00922BDE"/>
    <w:rsid w:val="00922E10"/>
    <w:rsid w:val="00922EE2"/>
    <w:rsid w:val="00922F62"/>
    <w:rsid w:val="00922FB3"/>
    <w:rsid w:val="00923204"/>
    <w:rsid w:val="009234D1"/>
    <w:rsid w:val="0092364A"/>
    <w:rsid w:val="00923791"/>
    <w:rsid w:val="00923793"/>
    <w:rsid w:val="00923940"/>
    <w:rsid w:val="0092398F"/>
    <w:rsid w:val="00923C84"/>
    <w:rsid w:val="00923D29"/>
    <w:rsid w:val="00923D88"/>
    <w:rsid w:val="00924086"/>
    <w:rsid w:val="0092423F"/>
    <w:rsid w:val="0092439C"/>
    <w:rsid w:val="009243C0"/>
    <w:rsid w:val="009243F5"/>
    <w:rsid w:val="0092447F"/>
    <w:rsid w:val="0092469F"/>
    <w:rsid w:val="0092497F"/>
    <w:rsid w:val="00924A9C"/>
    <w:rsid w:val="00924AA6"/>
    <w:rsid w:val="00924ADE"/>
    <w:rsid w:val="00924B6B"/>
    <w:rsid w:val="00924C53"/>
    <w:rsid w:val="00924DD3"/>
    <w:rsid w:val="00925119"/>
    <w:rsid w:val="009251FA"/>
    <w:rsid w:val="00925338"/>
    <w:rsid w:val="0092535D"/>
    <w:rsid w:val="0092551F"/>
    <w:rsid w:val="009257A1"/>
    <w:rsid w:val="009257A6"/>
    <w:rsid w:val="009257AA"/>
    <w:rsid w:val="0092581B"/>
    <w:rsid w:val="00925B91"/>
    <w:rsid w:val="00925E09"/>
    <w:rsid w:val="00925EB6"/>
    <w:rsid w:val="00925F72"/>
    <w:rsid w:val="00925FF1"/>
    <w:rsid w:val="0092623A"/>
    <w:rsid w:val="0092626C"/>
    <w:rsid w:val="00926291"/>
    <w:rsid w:val="009263BD"/>
    <w:rsid w:val="00926405"/>
    <w:rsid w:val="00926C0D"/>
    <w:rsid w:val="00926C25"/>
    <w:rsid w:val="00926C50"/>
    <w:rsid w:val="00926D27"/>
    <w:rsid w:val="00926DF9"/>
    <w:rsid w:val="00926E75"/>
    <w:rsid w:val="00927073"/>
    <w:rsid w:val="00927125"/>
    <w:rsid w:val="009272ED"/>
    <w:rsid w:val="0092739C"/>
    <w:rsid w:val="009273AA"/>
    <w:rsid w:val="00927451"/>
    <w:rsid w:val="0092749E"/>
    <w:rsid w:val="00927640"/>
    <w:rsid w:val="009277E5"/>
    <w:rsid w:val="00927825"/>
    <w:rsid w:val="00927AE0"/>
    <w:rsid w:val="00927B78"/>
    <w:rsid w:val="00927CC8"/>
    <w:rsid w:val="00930146"/>
    <w:rsid w:val="009302CC"/>
    <w:rsid w:val="009302CE"/>
    <w:rsid w:val="0093040E"/>
    <w:rsid w:val="009304FC"/>
    <w:rsid w:val="00930756"/>
    <w:rsid w:val="00930783"/>
    <w:rsid w:val="00930878"/>
    <w:rsid w:val="00930A2D"/>
    <w:rsid w:val="00930B07"/>
    <w:rsid w:val="00930B8D"/>
    <w:rsid w:val="00930C40"/>
    <w:rsid w:val="00930E3D"/>
    <w:rsid w:val="00931160"/>
    <w:rsid w:val="009312F2"/>
    <w:rsid w:val="00931356"/>
    <w:rsid w:val="0093154B"/>
    <w:rsid w:val="0093172D"/>
    <w:rsid w:val="00931926"/>
    <w:rsid w:val="009319CC"/>
    <w:rsid w:val="009319FF"/>
    <w:rsid w:val="00931C11"/>
    <w:rsid w:val="00931FB9"/>
    <w:rsid w:val="009320AC"/>
    <w:rsid w:val="00932303"/>
    <w:rsid w:val="009325AD"/>
    <w:rsid w:val="009327FB"/>
    <w:rsid w:val="00932873"/>
    <w:rsid w:val="00932888"/>
    <w:rsid w:val="009328A5"/>
    <w:rsid w:val="009329D9"/>
    <w:rsid w:val="00932C94"/>
    <w:rsid w:val="00932E3C"/>
    <w:rsid w:val="009331F5"/>
    <w:rsid w:val="00933866"/>
    <w:rsid w:val="00933983"/>
    <w:rsid w:val="0093398F"/>
    <w:rsid w:val="00933A6F"/>
    <w:rsid w:val="00933B86"/>
    <w:rsid w:val="00933BA8"/>
    <w:rsid w:val="00933BC6"/>
    <w:rsid w:val="00933C5F"/>
    <w:rsid w:val="00933D6E"/>
    <w:rsid w:val="00933D88"/>
    <w:rsid w:val="00933DFB"/>
    <w:rsid w:val="00933E76"/>
    <w:rsid w:val="009340B8"/>
    <w:rsid w:val="00934273"/>
    <w:rsid w:val="009342F3"/>
    <w:rsid w:val="00934392"/>
    <w:rsid w:val="00934432"/>
    <w:rsid w:val="0093453D"/>
    <w:rsid w:val="009345CE"/>
    <w:rsid w:val="00934680"/>
    <w:rsid w:val="00934721"/>
    <w:rsid w:val="009347D2"/>
    <w:rsid w:val="009347DB"/>
    <w:rsid w:val="0093483E"/>
    <w:rsid w:val="00934B3D"/>
    <w:rsid w:val="00934F88"/>
    <w:rsid w:val="00934FF4"/>
    <w:rsid w:val="0093517C"/>
    <w:rsid w:val="0093521A"/>
    <w:rsid w:val="0093531C"/>
    <w:rsid w:val="009353B6"/>
    <w:rsid w:val="00935458"/>
    <w:rsid w:val="009354CC"/>
    <w:rsid w:val="00935659"/>
    <w:rsid w:val="00935A41"/>
    <w:rsid w:val="00935A8A"/>
    <w:rsid w:val="00936223"/>
    <w:rsid w:val="0093639D"/>
    <w:rsid w:val="00936907"/>
    <w:rsid w:val="00936A8D"/>
    <w:rsid w:val="00936B54"/>
    <w:rsid w:val="00936C81"/>
    <w:rsid w:val="00936C8B"/>
    <w:rsid w:val="0093706A"/>
    <w:rsid w:val="009370D0"/>
    <w:rsid w:val="00937251"/>
    <w:rsid w:val="0093752F"/>
    <w:rsid w:val="00937678"/>
    <w:rsid w:val="00937960"/>
    <w:rsid w:val="009379F2"/>
    <w:rsid w:val="00937E6D"/>
    <w:rsid w:val="00937EA0"/>
    <w:rsid w:val="009401E1"/>
    <w:rsid w:val="00940268"/>
    <w:rsid w:val="00940306"/>
    <w:rsid w:val="00940737"/>
    <w:rsid w:val="00940945"/>
    <w:rsid w:val="00940B37"/>
    <w:rsid w:val="00940BC1"/>
    <w:rsid w:val="00940D35"/>
    <w:rsid w:val="00940E47"/>
    <w:rsid w:val="00940FDB"/>
    <w:rsid w:val="00941123"/>
    <w:rsid w:val="009413A6"/>
    <w:rsid w:val="009413D2"/>
    <w:rsid w:val="009413FC"/>
    <w:rsid w:val="009414A9"/>
    <w:rsid w:val="00941595"/>
    <w:rsid w:val="009416EC"/>
    <w:rsid w:val="0094176B"/>
    <w:rsid w:val="009417CF"/>
    <w:rsid w:val="009419FB"/>
    <w:rsid w:val="00941C98"/>
    <w:rsid w:val="0094223E"/>
    <w:rsid w:val="00942529"/>
    <w:rsid w:val="009427B4"/>
    <w:rsid w:val="009428AB"/>
    <w:rsid w:val="00942C65"/>
    <w:rsid w:val="00942E0C"/>
    <w:rsid w:val="00942EEE"/>
    <w:rsid w:val="00942F6E"/>
    <w:rsid w:val="009431A0"/>
    <w:rsid w:val="00943203"/>
    <w:rsid w:val="0094335D"/>
    <w:rsid w:val="0094336A"/>
    <w:rsid w:val="0094336F"/>
    <w:rsid w:val="0094373E"/>
    <w:rsid w:val="00943910"/>
    <w:rsid w:val="00943A6D"/>
    <w:rsid w:val="00943B7B"/>
    <w:rsid w:val="00943F5E"/>
    <w:rsid w:val="00943FEB"/>
    <w:rsid w:val="009440D0"/>
    <w:rsid w:val="009442EA"/>
    <w:rsid w:val="00944383"/>
    <w:rsid w:val="009443D2"/>
    <w:rsid w:val="009447D3"/>
    <w:rsid w:val="00944BC0"/>
    <w:rsid w:val="00944BCD"/>
    <w:rsid w:val="00944BF2"/>
    <w:rsid w:val="00944E3E"/>
    <w:rsid w:val="00944E8E"/>
    <w:rsid w:val="00944EDC"/>
    <w:rsid w:val="00945012"/>
    <w:rsid w:val="00945163"/>
    <w:rsid w:val="00945399"/>
    <w:rsid w:val="0094548F"/>
    <w:rsid w:val="00945586"/>
    <w:rsid w:val="00945595"/>
    <w:rsid w:val="0094559F"/>
    <w:rsid w:val="00945606"/>
    <w:rsid w:val="00945782"/>
    <w:rsid w:val="0094578E"/>
    <w:rsid w:val="00945A8C"/>
    <w:rsid w:val="00945B03"/>
    <w:rsid w:val="00945B5C"/>
    <w:rsid w:val="00945FFF"/>
    <w:rsid w:val="009460E5"/>
    <w:rsid w:val="009463CE"/>
    <w:rsid w:val="009463FB"/>
    <w:rsid w:val="00946481"/>
    <w:rsid w:val="00946544"/>
    <w:rsid w:val="009466DA"/>
    <w:rsid w:val="00946745"/>
    <w:rsid w:val="00946910"/>
    <w:rsid w:val="009469AB"/>
    <w:rsid w:val="00946C15"/>
    <w:rsid w:val="00946C91"/>
    <w:rsid w:val="00947047"/>
    <w:rsid w:val="00947521"/>
    <w:rsid w:val="0094753C"/>
    <w:rsid w:val="0094774D"/>
    <w:rsid w:val="00947A23"/>
    <w:rsid w:val="00947A89"/>
    <w:rsid w:val="00947B1C"/>
    <w:rsid w:val="00947C39"/>
    <w:rsid w:val="00947C4B"/>
    <w:rsid w:val="00947CDD"/>
    <w:rsid w:val="00947D33"/>
    <w:rsid w:val="00947D90"/>
    <w:rsid w:val="00947F03"/>
    <w:rsid w:val="00947FB7"/>
    <w:rsid w:val="0095016E"/>
    <w:rsid w:val="009501E0"/>
    <w:rsid w:val="00950272"/>
    <w:rsid w:val="00950363"/>
    <w:rsid w:val="00950372"/>
    <w:rsid w:val="0095056A"/>
    <w:rsid w:val="009508CD"/>
    <w:rsid w:val="009509BC"/>
    <w:rsid w:val="00950ACE"/>
    <w:rsid w:val="00950B62"/>
    <w:rsid w:val="00950DE4"/>
    <w:rsid w:val="0095164E"/>
    <w:rsid w:val="0095177E"/>
    <w:rsid w:val="009517A6"/>
    <w:rsid w:val="00951853"/>
    <w:rsid w:val="00951A59"/>
    <w:rsid w:val="00951B49"/>
    <w:rsid w:val="00951BE1"/>
    <w:rsid w:val="00951C85"/>
    <w:rsid w:val="00951CC7"/>
    <w:rsid w:val="00951DC9"/>
    <w:rsid w:val="00951E0A"/>
    <w:rsid w:val="00951E1C"/>
    <w:rsid w:val="009521FF"/>
    <w:rsid w:val="00952331"/>
    <w:rsid w:val="00952499"/>
    <w:rsid w:val="009530CB"/>
    <w:rsid w:val="009531D0"/>
    <w:rsid w:val="009533CC"/>
    <w:rsid w:val="009536F9"/>
    <w:rsid w:val="0095383C"/>
    <w:rsid w:val="009538A2"/>
    <w:rsid w:val="00953AD9"/>
    <w:rsid w:val="00953BE3"/>
    <w:rsid w:val="00953D22"/>
    <w:rsid w:val="00953D29"/>
    <w:rsid w:val="0095408F"/>
    <w:rsid w:val="0095412E"/>
    <w:rsid w:val="00954132"/>
    <w:rsid w:val="00954175"/>
    <w:rsid w:val="0095418D"/>
    <w:rsid w:val="00954399"/>
    <w:rsid w:val="00954628"/>
    <w:rsid w:val="00954952"/>
    <w:rsid w:val="00954AD1"/>
    <w:rsid w:val="00954E1F"/>
    <w:rsid w:val="00954EBF"/>
    <w:rsid w:val="00954EC9"/>
    <w:rsid w:val="0095508A"/>
    <w:rsid w:val="0095559C"/>
    <w:rsid w:val="00955648"/>
    <w:rsid w:val="009556B7"/>
    <w:rsid w:val="0095580B"/>
    <w:rsid w:val="009558D6"/>
    <w:rsid w:val="0095594C"/>
    <w:rsid w:val="00955997"/>
    <w:rsid w:val="00955AD6"/>
    <w:rsid w:val="009562AF"/>
    <w:rsid w:val="00956332"/>
    <w:rsid w:val="00956485"/>
    <w:rsid w:val="0095653E"/>
    <w:rsid w:val="0095663D"/>
    <w:rsid w:val="009566C3"/>
    <w:rsid w:val="0095671F"/>
    <w:rsid w:val="0095678B"/>
    <w:rsid w:val="0095679E"/>
    <w:rsid w:val="00956907"/>
    <w:rsid w:val="0095697E"/>
    <w:rsid w:val="00956AE1"/>
    <w:rsid w:val="00956B6F"/>
    <w:rsid w:val="00956BC2"/>
    <w:rsid w:val="009571C5"/>
    <w:rsid w:val="009572DC"/>
    <w:rsid w:val="00957387"/>
    <w:rsid w:val="009574BF"/>
    <w:rsid w:val="00957990"/>
    <w:rsid w:val="00957B81"/>
    <w:rsid w:val="00957ED1"/>
    <w:rsid w:val="0096050E"/>
    <w:rsid w:val="009605B4"/>
    <w:rsid w:val="009607CD"/>
    <w:rsid w:val="009607CE"/>
    <w:rsid w:val="009608DC"/>
    <w:rsid w:val="00960986"/>
    <w:rsid w:val="009609CA"/>
    <w:rsid w:val="00960A95"/>
    <w:rsid w:val="00960B5F"/>
    <w:rsid w:val="00960BA6"/>
    <w:rsid w:val="00960D45"/>
    <w:rsid w:val="00960D94"/>
    <w:rsid w:val="00960E45"/>
    <w:rsid w:val="00960E6C"/>
    <w:rsid w:val="00960E9D"/>
    <w:rsid w:val="00961030"/>
    <w:rsid w:val="009610AA"/>
    <w:rsid w:val="009612B5"/>
    <w:rsid w:val="009613A1"/>
    <w:rsid w:val="00961414"/>
    <w:rsid w:val="009614F9"/>
    <w:rsid w:val="0096153B"/>
    <w:rsid w:val="009617B7"/>
    <w:rsid w:val="00961848"/>
    <w:rsid w:val="00961AB6"/>
    <w:rsid w:val="00961BED"/>
    <w:rsid w:val="00961D18"/>
    <w:rsid w:val="00961DAB"/>
    <w:rsid w:val="00961FCF"/>
    <w:rsid w:val="009621B1"/>
    <w:rsid w:val="0096250C"/>
    <w:rsid w:val="00962868"/>
    <w:rsid w:val="009628D0"/>
    <w:rsid w:val="00962923"/>
    <w:rsid w:val="00962959"/>
    <w:rsid w:val="00962F64"/>
    <w:rsid w:val="00962FA5"/>
    <w:rsid w:val="0096300A"/>
    <w:rsid w:val="009631C4"/>
    <w:rsid w:val="009635C6"/>
    <w:rsid w:val="009635E6"/>
    <w:rsid w:val="00963737"/>
    <w:rsid w:val="009639B0"/>
    <w:rsid w:val="00963A58"/>
    <w:rsid w:val="00963B34"/>
    <w:rsid w:val="00963C84"/>
    <w:rsid w:val="00963E94"/>
    <w:rsid w:val="00963F99"/>
    <w:rsid w:val="00964012"/>
    <w:rsid w:val="0096401A"/>
    <w:rsid w:val="00964022"/>
    <w:rsid w:val="00964051"/>
    <w:rsid w:val="00964079"/>
    <w:rsid w:val="009646A3"/>
    <w:rsid w:val="009646AF"/>
    <w:rsid w:val="00964769"/>
    <w:rsid w:val="00964A49"/>
    <w:rsid w:val="00964B48"/>
    <w:rsid w:val="00964B8B"/>
    <w:rsid w:val="00964C3C"/>
    <w:rsid w:val="00964F05"/>
    <w:rsid w:val="00965118"/>
    <w:rsid w:val="0096521D"/>
    <w:rsid w:val="0096523F"/>
    <w:rsid w:val="0096524E"/>
    <w:rsid w:val="0096525D"/>
    <w:rsid w:val="009654D5"/>
    <w:rsid w:val="00965655"/>
    <w:rsid w:val="00965694"/>
    <w:rsid w:val="009656D3"/>
    <w:rsid w:val="0096584F"/>
    <w:rsid w:val="009659C6"/>
    <w:rsid w:val="00965A9C"/>
    <w:rsid w:val="00965BF0"/>
    <w:rsid w:val="00965F51"/>
    <w:rsid w:val="00966126"/>
    <w:rsid w:val="00966377"/>
    <w:rsid w:val="009663CC"/>
    <w:rsid w:val="009663DA"/>
    <w:rsid w:val="009665CD"/>
    <w:rsid w:val="00966712"/>
    <w:rsid w:val="0096672A"/>
    <w:rsid w:val="009668F7"/>
    <w:rsid w:val="00966965"/>
    <w:rsid w:val="00966AB6"/>
    <w:rsid w:val="00966CC4"/>
    <w:rsid w:val="00966D58"/>
    <w:rsid w:val="00966D9F"/>
    <w:rsid w:val="00966FCC"/>
    <w:rsid w:val="0096701D"/>
    <w:rsid w:val="00967377"/>
    <w:rsid w:val="0096742C"/>
    <w:rsid w:val="009675CC"/>
    <w:rsid w:val="00967755"/>
    <w:rsid w:val="0096778E"/>
    <w:rsid w:val="009677A1"/>
    <w:rsid w:val="009677A8"/>
    <w:rsid w:val="00967990"/>
    <w:rsid w:val="00967A97"/>
    <w:rsid w:val="00967B63"/>
    <w:rsid w:val="00967B95"/>
    <w:rsid w:val="00967D18"/>
    <w:rsid w:val="00967DF9"/>
    <w:rsid w:val="00967F6E"/>
    <w:rsid w:val="00970010"/>
    <w:rsid w:val="0097026B"/>
    <w:rsid w:val="009705A0"/>
    <w:rsid w:val="00970B18"/>
    <w:rsid w:val="00970B9E"/>
    <w:rsid w:val="00970C50"/>
    <w:rsid w:val="00970CEC"/>
    <w:rsid w:val="00970E45"/>
    <w:rsid w:val="00970F7E"/>
    <w:rsid w:val="0097105E"/>
    <w:rsid w:val="00971222"/>
    <w:rsid w:val="0097142E"/>
    <w:rsid w:val="00971685"/>
    <w:rsid w:val="009716C7"/>
    <w:rsid w:val="0097174D"/>
    <w:rsid w:val="00971907"/>
    <w:rsid w:val="009719A1"/>
    <w:rsid w:val="00971A32"/>
    <w:rsid w:val="00971B40"/>
    <w:rsid w:val="00971B73"/>
    <w:rsid w:val="00971E2F"/>
    <w:rsid w:val="00971EA7"/>
    <w:rsid w:val="00971F17"/>
    <w:rsid w:val="0097212A"/>
    <w:rsid w:val="0097225B"/>
    <w:rsid w:val="0097228C"/>
    <w:rsid w:val="0097252A"/>
    <w:rsid w:val="009725A9"/>
    <w:rsid w:val="009728BD"/>
    <w:rsid w:val="00972A9F"/>
    <w:rsid w:val="00972AEF"/>
    <w:rsid w:val="00972B27"/>
    <w:rsid w:val="00972B54"/>
    <w:rsid w:val="00972C1A"/>
    <w:rsid w:val="00972E82"/>
    <w:rsid w:val="00972E89"/>
    <w:rsid w:val="009733F1"/>
    <w:rsid w:val="0097350E"/>
    <w:rsid w:val="00973765"/>
    <w:rsid w:val="00973B87"/>
    <w:rsid w:val="00973E4D"/>
    <w:rsid w:val="0097401A"/>
    <w:rsid w:val="00974174"/>
    <w:rsid w:val="00974221"/>
    <w:rsid w:val="009742B3"/>
    <w:rsid w:val="009742F0"/>
    <w:rsid w:val="009743D6"/>
    <w:rsid w:val="0097442E"/>
    <w:rsid w:val="00974659"/>
    <w:rsid w:val="009746C7"/>
    <w:rsid w:val="0097471A"/>
    <w:rsid w:val="009747D3"/>
    <w:rsid w:val="009749F8"/>
    <w:rsid w:val="009749FF"/>
    <w:rsid w:val="00974BE6"/>
    <w:rsid w:val="00974BED"/>
    <w:rsid w:val="00974C67"/>
    <w:rsid w:val="00974D3D"/>
    <w:rsid w:val="00974D64"/>
    <w:rsid w:val="00974D70"/>
    <w:rsid w:val="00974F2D"/>
    <w:rsid w:val="00975050"/>
    <w:rsid w:val="00975109"/>
    <w:rsid w:val="0097524F"/>
    <w:rsid w:val="009752F5"/>
    <w:rsid w:val="0097537A"/>
    <w:rsid w:val="0097556D"/>
    <w:rsid w:val="00975A83"/>
    <w:rsid w:val="00975F18"/>
    <w:rsid w:val="00975F3F"/>
    <w:rsid w:val="00976053"/>
    <w:rsid w:val="00976082"/>
    <w:rsid w:val="009760C3"/>
    <w:rsid w:val="009760EC"/>
    <w:rsid w:val="00976152"/>
    <w:rsid w:val="0097616E"/>
    <w:rsid w:val="00976287"/>
    <w:rsid w:val="009765D6"/>
    <w:rsid w:val="009766CB"/>
    <w:rsid w:val="00976AA2"/>
    <w:rsid w:val="00976B0A"/>
    <w:rsid w:val="00976BF5"/>
    <w:rsid w:val="00976C0A"/>
    <w:rsid w:val="00976CC9"/>
    <w:rsid w:val="00976D47"/>
    <w:rsid w:val="00976D9D"/>
    <w:rsid w:val="0097702D"/>
    <w:rsid w:val="00977344"/>
    <w:rsid w:val="0097746D"/>
    <w:rsid w:val="00977856"/>
    <w:rsid w:val="009779A3"/>
    <w:rsid w:val="00977AB4"/>
    <w:rsid w:val="00977C19"/>
    <w:rsid w:val="00977CE2"/>
    <w:rsid w:val="00977FB7"/>
    <w:rsid w:val="00980289"/>
    <w:rsid w:val="009802C2"/>
    <w:rsid w:val="00980385"/>
    <w:rsid w:val="0098046E"/>
    <w:rsid w:val="00980796"/>
    <w:rsid w:val="009807A0"/>
    <w:rsid w:val="009807B1"/>
    <w:rsid w:val="009809A1"/>
    <w:rsid w:val="00980AD5"/>
    <w:rsid w:val="00980B3E"/>
    <w:rsid w:val="00980B95"/>
    <w:rsid w:val="00980CA9"/>
    <w:rsid w:val="00980D86"/>
    <w:rsid w:val="00980DBD"/>
    <w:rsid w:val="00980E37"/>
    <w:rsid w:val="00981182"/>
    <w:rsid w:val="0098120E"/>
    <w:rsid w:val="009812DF"/>
    <w:rsid w:val="009813AA"/>
    <w:rsid w:val="00981493"/>
    <w:rsid w:val="0098150A"/>
    <w:rsid w:val="009816AC"/>
    <w:rsid w:val="009816D6"/>
    <w:rsid w:val="009817AD"/>
    <w:rsid w:val="00981AAF"/>
    <w:rsid w:val="00981AC4"/>
    <w:rsid w:val="00981C12"/>
    <w:rsid w:val="00981CE8"/>
    <w:rsid w:val="00981CEC"/>
    <w:rsid w:val="00981D1B"/>
    <w:rsid w:val="00981D1E"/>
    <w:rsid w:val="00981E31"/>
    <w:rsid w:val="0098229A"/>
    <w:rsid w:val="00982483"/>
    <w:rsid w:val="00982491"/>
    <w:rsid w:val="0098274B"/>
    <w:rsid w:val="009827AF"/>
    <w:rsid w:val="00982831"/>
    <w:rsid w:val="00982BA2"/>
    <w:rsid w:val="00982BF5"/>
    <w:rsid w:val="00982C67"/>
    <w:rsid w:val="00982E05"/>
    <w:rsid w:val="00982E4D"/>
    <w:rsid w:val="00982EB2"/>
    <w:rsid w:val="009830F6"/>
    <w:rsid w:val="009830FD"/>
    <w:rsid w:val="00983118"/>
    <w:rsid w:val="009832F0"/>
    <w:rsid w:val="0098334E"/>
    <w:rsid w:val="00983367"/>
    <w:rsid w:val="00983763"/>
    <w:rsid w:val="0098377C"/>
    <w:rsid w:val="009837EF"/>
    <w:rsid w:val="00983802"/>
    <w:rsid w:val="0098380A"/>
    <w:rsid w:val="0098388A"/>
    <w:rsid w:val="00983892"/>
    <w:rsid w:val="0098395A"/>
    <w:rsid w:val="00983A2D"/>
    <w:rsid w:val="00983A45"/>
    <w:rsid w:val="00983A55"/>
    <w:rsid w:val="00983BCC"/>
    <w:rsid w:val="00983C80"/>
    <w:rsid w:val="00983DB6"/>
    <w:rsid w:val="00983E2E"/>
    <w:rsid w:val="00983EDF"/>
    <w:rsid w:val="00984182"/>
    <w:rsid w:val="009842AD"/>
    <w:rsid w:val="009842F2"/>
    <w:rsid w:val="00984415"/>
    <w:rsid w:val="0098441C"/>
    <w:rsid w:val="009845AD"/>
    <w:rsid w:val="0098473B"/>
    <w:rsid w:val="00984760"/>
    <w:rsid w:val="00984BA6"/>
    <w:rsid w:val="00984C2F"/>
    <w:rsid w:val="00984C41"/>
    <w:rsid w:val="00984E8A"/>
    <w:rsid w:val="0098505E"/>
    <w:rsid w:val="009853AC"/>
    <w:rsid w:val="0098552A"/>
    <w:rsid w:val="0098574C"/>
    <w:rsid w:val="009857D7"/>
    <w:rsid w:val="00985815"/>
    <w:rsid w:val="00985831"/>
    <w:rsid w:val="00985AC6"/>
    <w:rsid w:val="00985B14"/>
    <w:rsid w:val="00985B8C"/>
    <w:rsid w:val="00985C05"/>
    <w:rsid w:val="00985FBD"/>
    <w:rsid w:val="00985FFD"/>
    <w:rsid w:val="009860C7"/>
    <w:rsid w:val="00986137"/>
    <w:rsid w:val="0098637F"/>
    <w:rsid w:val="00986469"/>
    <w:rsid w:val="009864A6"/>
    <w:rsid w:val="00986790"/>
    <w:rsid w:val="009868DD"/>
    <w:rsid w:val="0098692F"/>
    <w:rsid w:val="00986B06"/>
    <w:rsid w:val="00986BE8"/>
    <w:rsid w:val="00986BFD"/>
    <w:rsid w:val="00986C0A"/>
    <w:rsid w:val="00986CD1"/>
    <w:rsid w:val="00986CD6"/>
    <w:rsid w:val="00986D09"/>
    <w:rsid w:val="00986F6F"/>
    <w:rsid w:val="00987404"/>
    <w:rsid w:val="00987549"/>
    <w:rsid w:val="009875A0"/>
    <w:rsid w:val="009875DF"/>
    <w:rsid w:val="00987603"/>
    <w:rsid w:val="00987674"/>
    <w:rsid w:val="00987991"/>
    <w:rsid w:val="00987CA6"/>
    <w:rsid w:val="00987D87"/>
    <w:rsid w:val="00990318"/>
    <w:rsid w:val="009904E0"/>
    <w:rsid w:val="00990563"/>
    <w:rsid w:val="009905A0"/>
    <w:rsid w:val="009906C5"/>
    <w:rsid w:val="009906F2"/>
    <w:rsid w:val="009907EF"/>
    <w:rsid w:val="0099096F"/>
    <w:rsid w:val="00990A27"/>
    <w:rsid w:val="00990BFA"/>
    <w:rsid w:val="00990EB4"/>
    <w:rsid w:val="00991103"/>
    <w:rsid w:val="00991176"/>
    <w:rsid w:val="00991295"/>
    <w:rsid w:val="009912DB"/>
    <w:rsid w:val="0099166D"/>
    <w:rsid w:val="0099171C"/>
    <w:rsid w:val="0099189C"/>
    <w:rsid w:val="009919BB"/>
    <w:rsid w:val="009919FC"/>
    <w:rsid w:val="00991A3D"/>
    <w:rsid w:val="00991B54"/>
    <w:rsid w:val="00991B69"/>
    <w:rsid w:val="00991BCA"/>
    <w:rsid w:val="00991BFD"/>
    <w:rsid w:val="00991C04"/>
    <w:rsid w:val="00991DCB"/>
    <w:rsid w:val="00991DF7"/>
    <w:rsid w:val="00991E49"/>
    <w:rsid w:val="00992077"/>
    <w:rsid w:val="0099223A"/>
    <w:rsid w:val="00992258"/>
    <w:rsid w:val="00992463"/>
    <w:rsid w:val="009927D0"/>
    <w:rsid w:val="009927D6"/>
    <w:rsid w:val="0099280A"/>
    <w:rsid w:val="00992983"/>
    <w:rsid w:val="00992A10"/>
    <w:rsid w:val="00992A34"/>
    <w:rsid w:val="00992A95"/>
    <w:rsid w:val="00992B81"/>
    <w:rsid w:val="00992D41"/>
    <w:rsid w:val="00992D66"/>
    <w:rsid w:val="00992DC4"/>
    <w:rsid w:val="00992E52"/>
    <w:rsid w:val="00992FBF"/>
    <w:rsid w:val="00993002"/>
    <w:rsid w:val="009931F3"/>
    <w:rsid w:val="0099337D"/>
    <w:rsid w:val="00993526"/>
    <w:rsid w:val="00993679"/>
    <w:rsid w:val="00993828"/>
    <w:rsid w:val="00993914"/>
    <w:rsid w:val="009939A6"/>
    <w:rsid w:val="009939ED"/>
    <w:rsid w:val="00993A4F"/>
    <w:rsid w:val="0099411F"/>
    <w:rsid w:val="00994141"/>
    <w:rsid w:val="00994197"/>
    <w:rsid w:val="0099425C"/>
    <w:rsid w:val="009942DB"/>
    <w:rsid w:val="009942F5"/>
    <w:rsid w:val="0099452E"/>
    <w:rsid w:val="00994D32"/>
    <w:rsid w:val="00994E2A"/>
    <w:rsid w:val="0099528C"/>
    <w:rsid w:val="009952B4"/>
    <w:rsid w:val="009952D7"/>
    <w:rsid w:val="00995318"/>
    <w:rsid w:val="00995332"/>
    <w:rsid w:val="009953F6"/>
    <w:rsid w:val="009954E7"/>
    <w:rsid w:val="00995555"/>
    <w:rsid w:val="00995A00"/>
    <w:rsid w:val="00995AB9"/>
    <w:rsid w:val="00995B31"/>
    <w:rsid w:val="00995BCB"/>
    <w:rsid w:val="00995D3D"/>
    <w:rsid w:val="00995E31"/>
    <w:rsid w:val="00995E81"/>
    <w:rsid w:val="00995EC2"/>
    <w:rsid w:val="0099608D"/>
    <w:rsid w:val="009960BD"/>
    <w:rsid w:val="0099623C"/>
    <w:rsid w:val="00996380"/>
    <w:rsid w:val="00996401"/>
    <w:rsid w:val="00996497"/>
    <w:rsid w:val="00996569"/>
    <w:rsid w:val="009966AB"/>
    <w:rsid w:val="00996735"/>
    <w:rsid w:val="009967E8"/>
    <w:rsid w:val="00996977"/>
    <w:rsid w:val="00996B2F"/>
    <w:rsid w:val="00996CAC"/>
    <w:rsid w:val="00996DDA"/>
    <w:rsid w:val="00996E13"/>
    <w:rsid w:val="009972A1"/>
    <w:rsid w:val="009973D6"/>
    <w:rsid w:val="009973EA"/>
    <w:rsid w:val="00997466"/>
    <w:rsid w:val="00997477"/>
    <w:rsid w:val="0099754C"/>
    <w:rsid w:val="009975DB"/>
    <w:rsid w:val="00997607"/>
    <w:rsid w:val="009977A1"/>
    <w:rsid w:val="009977DA"/>
    <w:rsid w:val="009977DD"/>
    <w:rsid w:val="00997B37"/>
    <w:rsid w:val="00997B52"/>
    <w:rsid w:val="00997C02"/>
    <w:rsid w:val="00997D15"/>
    <w:rsid w:val="00997D26"/>
    <w:rsid w:val="00997D96"/>
    <w:rsid w:val="00997E22"/>
    <w:rsid w:val="00997E34"/>
    <w:rsid w:val="00997FD0"/>
    <w:rsid w:val="009A0259"/>
    <w:rsid w:val="009A040F"/>
    <w:rsid w:val="009A0425"/>
    <w:rsid w:val="009A0499"/>
    <w:rsid w:val="009A04A4"/>
    <w:rsid w:val="009A0557"/>
    <w:rsid w:val="009A056D"/>
    <w:rsid w:val="009A07C2"/>
    <w:rsid w:val="009A0822"/>
    <w:rsid w:val="009A0972"/>
    <w:rsid w:val="009A0A65"/>
    <w:rsid w:val="009A0AC4"/>
    <w:rsid w:val="009A0B5D"/>
    <w:rsid w:val="009A0B96"/>
    <w:rsid w:val="009A0EDB"/>
    <w:rsid w:val="009A120A"/>
    <w:rsid w:val="009A12DD"/>
    <w:rsid w:val="009A13D7"/>
    <w:rsid w:val="009A15D9"/>
    <w:rsid w:val="009A1767"/>
    <w:rsid w:val="009A1778"/>
    <w:rsid w:val="009A17F1"/>
    <w:rsid w:val="009A1955"/>
    <w:rsid w:val="009A19C5"/>
    <w:rsid w:val="009A1A25"/>
    <w:rsid w:val="009A1F2E"/>
    <w:rsid w:val="009A1F9B"/>
    <w:rsid w:val="009A20BB"/>
    <w:rsid w:val="009A2419"/>
    <w:rsid w:val="009A2443"/>
    <w:rsid w:val="009A2573"/>
    <w:rsid w:val="009A2634"/>
    <w:rsid w:val="009A26C7"/>
    <w:rsid w:val="009A2981"/>
    <w:rsid w:val="009A2A1E"/>
    <w:rsid w:val="009A2F28"/>
    <w:rsid w:val="009A30B1"/>
    <w:rsid w:val="009A3192"/>
    <w:rsid w:val="009A31AB"/>
    <w:rsid w:val="009A348B"/>
    <w:rsid w:val="009A349E"/>
    <w:rsid w:val="009A34B5"/>
    <w:rsid w:val="009A34B9"/>
    <w:rsid w:val="009A394E"/>
    <w:rsid w:val="009A3A8B"/>
    <w:rsid w:val="009A3C94"/>
    <w:rsid w:val="009A3ED6"/>
    <w:rsid w:val="009A4119"/>
    <w:rsid w:val="009A41D3"/>
    <w:rsid w:val="009A4891"/>
    <w:rsid w:val="009A4AEB"/>
    <w:rsid w:val="009A4B34"/>
    <w:rsid w:val="009A4D64"/>
    <w:rsid w:val="009A5103"/>
    <w:rsid w:val="009A51F9"/>
    <w:rsid w:val="009A5398"/>
    <w:rsid w:val="009A56B1"/>
    <w:rsid w:val="009A5702"/>
    <w:rsid w:val="009A5866"/>
    <w:rsid w:val="009A594F"/>
    <w:rsid w:val="009A5981"/>
    <w:rsid w:val="009A59AA"/>
    <w:rsid w:val="009A59E7"/>
    <w:rsid w:val="009A5B78"/>
    <w:rsid w:val="009A5FD6"/>
    <w:rsid w:val="009A5FD7"/>
    <w:rsid w:val="009A61B1"/>
    <w:rsid w:val="009A62DB"/>
    <w:rsid w:val="009A6449"/>
    <w:rsid w:val="009A6490"/>
    <w:rsid w:val="009A64C0"/>
    <w:rsid w:val="009A64EB"/>
    <w:rsid w:val="009A6521"/>
    <w:rsid w:val="009A65D8"/>
    <w:rsid w:val="009A666F"/>
    <w:rsid w:val="009A690D"/>
    <w:rsid w:val="009A6B59"/>
    <w:rsid w:val="009A6BD2"/>
    <w:rsid w:val="009A6CB3"/>
    <w:rsid w:val="009A6E05"/>
    <w:rsid w:val="009A6F1B"/>
    <w:rsid w:val="009A7082"/>
    <w:rsid w:val="009A72B0"/>
    <w:rsid w:val="009A792F"/>
    <w:rsid w:val="009A79CA"/>
    <w:rsid w:val="009A7A52"/>
    <w:rsid w:val="009A7A55"/>
    <w:rsid w:val="009A7A6A"/>
    <w:rsid w:val="009A7A87"/>
    <w:rsid w:val="009A7AE0"/>
    <w:rsid w:val="009A7B80"/>
    <w:rsid w:val="009A7BEA"/>
    <w:rsid w:val="009A7C35"/>
    <w:rsid w:val="009A7C4D"/>
    <w:rsid w:val="009A7C92"/>
    <w:rsid w:val="009A7DAC"/>
    <w:rsid w:val="009A7F79"/>
    <w:rsid w:val="009A7FF6"/>
    <w:rsid w:val="009B019B"/>
    <w:rsid w:val="009B03C1"/>
    <w:rsid w:val="009B0F8E"/>
    <w:rsid w:val="009B0FFD"/>
    <w:rsid w:val="009B1032"/>
    <w:rsid w:val="009B136F"/>
    <w:rsid w:val="009B13F1"/>
    <w:rsid w:val="009B1739"/>
    <w:rsid w:val="009B187F"/>
    <w:rsid w:val="009B19A1"/>
    <w:rsid w:val="009B1BD1"/>
    <w:rsid w:val="009B1C33"/>
    <w:rsid w:val="009B1CDE"/>
    <w:rsid w:val="009B1D5A"/>
    <w:rsid w:val="009B1D98"/>
    <w:rsid w:val="009B1E37"/>
    <w:rsid w:val="009B1FCF"/>
    <w:rsid w:val="009B21BB"/>
    <w:rsid w:val="009B22F7"/>
    <w:rsid w:val="009B23D4"/>
    <w:rsid w:val="009B2413"/>
    <w:rsid w:val="009B2421"/>
    <w:rsid w:val="009B2564"/>
    <w:rsid w:val="009B2608"/>
    <w:rsid w:val="009B26F5"/>
    <w:rsid w:val="009B2864"/>
    <w:rsid w:val="009B289D"/>
    <w:rsid w:val="009B28FB"/>
    <w:rsid w:val="009B2918"/>
    <w:rsid w:val="009B2B4E"/>
    <w:rsid w:val="009B2B50"/>
    <w:rsid w:val="009B2BCD"/>
    <w:rsid w:val="009B2C4F"/>
    <w:rsid w:val="009B2CD0"/>
    <w:rsid w:val="009B2EA2"/>
    <w:rsid w:val="009B2F6F"/>
    <w:rsid w:val="009B2FC6"/>
    <w:rsid w:val="009B30A4"/>
    <w:rsid w:val="009B3140"/>
    <w:rsid w:val="009B3320"/>
    <w:rsid w:val="009B3481"/>
    <w:rsid w:val="009B3544"/>
    <w:rsid w:val="009B37C7"/>
    <w:rsid w:val="009B37E1"/>
    <w:rsid w:val="009B39BB"/>
    <w:rsid w:val="009B3A89"/>
    <w:rsid w:val="009B3AA6"/>
    <w:rsid w:val="009B3B0B"/>
    <w:rsid w:val="009B3B56"/>
    <w:rsid w:val="009B3BA1"/>
    <w:rsid w:val="009B3C30"/>
    <w:rsid w:val="009B3D15"/>
    <w:rsid w:val="009B3E40"/>
    <w:rsid w:val="009B3ED6"/>
    <w:rsid w:val="009B400F"/>
    <w:rsid w:val="009B4070"/>
    <w:rsid w:val="009B426A"/>
    <w:rsid w:val="009B48DE"/>
    <w:rsid w:val="009B4913"/>
    <w:rsid w:val="009B4C91"/>
    <w:rsid w:val="009B4D69"/>
    <w:rsid w:val="009B5180"/>
    <w:rsid w:val="009B521E"/>
    <w:rsid w:val="009B5227"/>
    <w:rsid w:val="009B52C8"/>
    <w:rsid w:val="009B53B1"/>
    <w:rsid w:val="009B540C"/>
    <w:rsid w:val="009B54B4"/>
    <w:rsid w:val="009B5502"/>
    <w:rsid w:val="009B56D3"/>
    <w:rsid w:val="009B57FB"/>
    <w:rsid w:val="009B588D"/>
    <w:rsid w:val="009B58F9"/>
    <w:rsid w:val="009B5982"/>
    <w:rsid w:val="009B5989"/>
    <w:rsid w:val="009B5A91"/>
    <w:rsid w:val="009B5E23"/>
    <w:rsid w:val="009B5E2C"/>
    <w:rsid w:val="009B5EEF"/>
    <w:rsid w:val="009B5F4B"/>
    <w:rsid w:val="009B6052"/>
    <w:rsid w:val="009B60D8"/>
    <w:rsid w:val="009B6239"/>
    <w:rsid w:val="009B6A31"/>
    <w:rsid w:val="009B6AA4"/>
    <w:rsid w:val="009B6B4E"/>
    <w:rsid w:val="009B6DA9"/>
    <w:rsid w:val="009B6ECA"/>
    <w:rsid w:val="009B713F"/>
    <w:rsid w:val="009B732D"/>
    <w:rsid w:val="009B755D"/>
    <w:rsid w:val="009B7796"/>
    <w:rsid w:val="009B77F9"/>
    <w:rsid w:val="009B782D"/>
    <w:rsid w:val="009B798F"/>
    <w:rsid w:val="009B7E6F"/>
    <w:rsid w:val="009C0036"/>
    <w:rsid w:val="009C022B"/>
    <w:rsid w:val="009C02E0"/>
    <w:rsid w:val="009C0475"/>
    <w:rsid w:val="009C06C3"/>
    <w:rsid w:val="009C098F"/>
    <w:rsid w:val="009C09C7"/>
    <w:rsid w:val="009C0AD3"/>
    <w:rsid w:val="009C0BF4"/>
    <w:rsid w:val="009C0C22"/>
    <w:rsid w:val="009C0C35"/>
    <w:rsid w:val="009C0E20"/>
    <w:rsid w:val="009C0F31"/>
    <w:rsid w:val="009C107E"/>
    <w:rsid w:val="009C11E7"/>
    <w:rsid w:val="009C1326"/>
    <w:rsid w:val="009C133D"/>
    <w:rsid w:val="009C133F"/>
    <w:rsid w:val="009C1353"/>
    <w:rsid w:val="009C15A9"/>
    <w:rsid w:val="009C182B"/>
    <w:rsid w:val="009C1886"/>
    <w:rsid w:val="009C18C4"/>
    <w:rsid w:val="009C1A26"/>
    <w:rsid w:val="009C1C50"/>
    <w:rsid w:val="009C1CBC"/>
    <w:rsid w:val="009C1CFE"/>
    <w:rsid w:val="009C1DB3"/>
    <w:rsid w:val="009C1EA2"/>
    <w:rsid w:val="009C20F6"/>
    <w:rsid w:val="009C21C6"/>
    <w:rsid w:val="009C236A"/>
    <w:rsid w:val="009C2447"/>
    <w:rsid w:val="009C2478"/>
    <w:rsid w:val="009C24BF"/>
    <w:rsid w:val="009C24D7"/>
    <w:rsid w:val="009C2629"/>
    <w:rsid w:val="009C28AF"/>
    <w:rsid w:val="009C28BA"/>
    <w:rsid w:val="009C28C3"/>
    <w:rsid w:val="009C2A3C"/>
    <w:rsid w:val="009C2BF3"/>
    <w:rsid w:val="009C2C2C"/>
    <w:rsid w:val="009C2F8D"/>
    <w:rsid w:val="009C30D5"/>
    <w:rsid w:val="009C31F6"/>
    <w:rsid w:val="009C33D7"/>
    <w:rsid w:val="009C3715"/>
    <w:rsid w:val="009C3E22"/>
    <w:rsid w:val="009C3F31"/>
    <w:rsid w:val="009C3FC7"/>
    <w:rsid w:val="009C3FF7"/>
    <w:rsid w:val="009C4062"/>
    <w:rsid w:val="009C4551"/>
    <w:rsid w:val="009C48F6"/>
    <w:rsid w:val="009C49B3"/>
    <w:rsid w:val="009C4A01"/>
    <w:rsid w:val="009C4A8C"/>
    <w:rsid w:val="009C4AD8"/>
    <w:rsid w:val="009C4C13"/>
    <w:rsid w:val="009C4DFC"/>
    <w:rsid w:val="009C4E0C"/>
    <w:rsid w:val="009C4EEC"/>
    <w:rsid w:val="009C4F7E"/>
    <w:rsid w:val="009C52F8"/>
    <w:rsid w:val="009C535A"/>
    <w:rsid w:val="009C5448"/>
    <w:rsid w:val="009C548A"/>
    <w:rsid w:val="009C54B4"/>
    <w:rsid w:val="009C550A"/>
    <w:rsid w:val="009C5561"/>
    <w:rsid w:val="009C5765"/>
    <w:rsid w:val="009C5E2B"/>
    <w:rsid w:val="009C5EEC"/>
    <w:rsid w:val="009C5F1C"/>
    <w:rsid w:val="009C603E"/>
    <w:rsid w:val="009C645B"/>
    <w:rsid w:val="009C65BD"/>
    <w:rsid w:val="009C65E4"/>
    <w:rsid w:val="009C67B0"/>
    <w:rsid w:val="009C6975"/>
    <w:rsid w:val="009C6B75"/>
    <w:rsid w:val="009C6DAF"/>
    <w:rsid w:val="009C6DC0"/>
    <w:rsid w:val="009C7030"/>
    <w:rsid w:val="009C7080"/>
    <w:rsid w:val="009C7129"/>
    <w:rsid w:val="009C7430"/>
    <w:rsid w:val="009C74EF"/>
    <w:rsid w:val="009C779C"/>
    <w:rsid w:val="009C78B7"/>
    <w:rsid w:val="009C7916"/>
    <w:rsid w:val="009C7A7D"/>
    <w:rsid w:val="009C7AD9"/>
    <w:rsid w:val="009C7B71"/>
    <w:rsid w:val="009C7DE3"/>
    <w:rsid w:val="009C7F66"/>
    <w:rsid w:val="009C7F92"/>
    <w:rsid w:val="009D0099"/>
    <w:rsid w:val="009D03BA"/>
    <w:rsid w:val="009D04D5"/>
    <w:rsid w:val="009D0514"/>
    <w:rsid w:val="009D0731"/>
    <w:rsid w:val="009D07AE"/>
    <w:rsid w:val="009D07BD"/>
    <w:rsid w:val="009D09CF"/>
    <w:rsid w:val="009D09FE"/>
    <w:rsid w:val="009D0A43"/>
    <w:rsid w:val="009D0EAA"/>
    <w:rsid w:val="009D0F40"/>
    <w:rsid w:val="009D12FD"/>
    <w:rsid w:val="009D1346"/>
    <w:rsid w:val="009D13DF"/>
    <w:rsid w:val="009D14EA"/>
    <w:rsid w:val="009D1503"/>
    <w:rsid w:val="009D15C5"/>
    <w:rsid w:val="009D1788"/>
    <w:rsid w:val="009D18BA"/>
    <w:rsid w:val="009D197E"/>
    <w:rsid w:val="009D19A8"/>
    <w:rsid w:val="009D1B23"/>
    <w:rsid w:val="009D1C5E"/>
    <w:rsid w:val="009D1C71"/>
    <w:rsid w:val="009D1DDC"/>
    <w:rsid w:val="009D1EE5"/>
    <w:rsid w:val="009D22E0"/>
    <w:rsid w:val="009D22EC"/>
    <w:rsid w:val="009D22FB"/>
    <w:rsid w:val="009D2398"/>
    <w:rsid w:val="009D249A"/>
    <w:rsid w:val="009D2848"/>
    <w:rsid w:val="009D2887"/>
    <w:rsid w:val="009D289C"/>
    <w:rsid w:val="009D2948"/>
    <w:rsid w:val="009D2ABA"/>
    <w:rsid w:val="009D2BAD"/>
    <w:rsid w:val="009D2EE6"/>
    <w:rsid w:val="009D2FED"/>
    <w:rsid w:val="009D33BD"/>
    <w:rsid w:val="009D35F9"/>
    <w:rsid w:val="009D36DB"/>
    <w:rsid w:val="009D39A0"/>
    <w:rsid w:val="009D3A51"/>
    <w:rsid w:val="009D3D87"/>
    <w:rsid w:val="009D3DCB"/>
    <w:rsid w:val="009D3EDA"/>
    <w:rsid w:val="009D3F6F"/>
    <w:rsid w:val="009D42A3"/>
    <w:rsid w:val="009D463F"/>
    <w:rsid w:val="009D490B"/>
    <w:rsid w:val="009D4A90"/>
    <w:rsid w:val="009D4B77"/>
    <w:rsid w:val="009D4BBA"/>
    <w:rsid w:val="009D4D53"/>
    <w:rsid w:val="009D5257"/>
    <w:rsid w:val="009D5304"/>
    <w:rsid w:val="009D55F8"/>
    <w:rsid w:val="009D561F"/>
    <w:rsid w:val="009D5646"/>
    <w:rsid w:val="009D5957"/>
    <w:rsid w:val="009D59B8"/>
    <w:rsid w:val="009D5B49"/>
    <w:rsid w:val="009D5B81"/>
    <w:rsid w:val="009D5E00"/>
    <w:rsid w:val="009D5EE5"/>
    <w:rsid w:val="009D618E"/>
    <w:rsid w:val="009D61B7"/>
    <w:rsid w:val="009D6319"/>
    <w:rsid w:val="009D6327"/>
    <w:rsid w:val="009D6494"/>
    <w:rsid w:val="009D66C5"/>
    <w:rsid w:val="009D682B"/>
    <w:rsid w:val="009D68A4"/>
    <w:rsid w:val="009D68B7"/>
    <w:rsid w:val="009D6A60"/>
    <w:rsid w:val="009D6C68"/>
    <w:rsid w:val="009D6DBA"/>
    <w:rsid w:val="009D7307"/>
    <w:rsid w:val="009D734F"/>
    <w:rsid w:val="009D73ED"/>
    <w:rsid w:val="009D73F1"/>
    <w:rsid w:val="009D759F"/>
    <w:rsid w:val="009D77BC"/>
    <w:rsid w:val="009D78FF"/>
    <w:rsid w:val="009D7916"/>
    <w:rsid w:val="009D7D71"/>
    <w:rsid w:val="009D7D7C"/>
    <w:rsid w:val="009D7E58"/>
    <w:rsid w:val="009D7F31"/>
    <w:rsid w:val="009D7F38"/>
    <w:rsid w:val="009D7F74"/>
    <w:rsid w:val="009D7FB4"/>
    <w:rsid w:val="009E0121"/>
    <w:rsid w:val="009E0716"/>
    <w:rsid w:val="009E091D"/>
    <w:rsid w:val="009E0AD8"/>
    <w:rsid w:val="009E0B3D"/>
    <w:rsid w:val="009E0B5E"/>
    <w:rsid w:val="009E0B7B"/>
    <w:rsid w:val="009E0D1A"/>
    <w:rsid w:val="009E0F54"/>
    <w:rsid w:val="009E127A"/>
    <w:rsid w:val="009E138C"/>
    <w:rsid w:val="009E140D"/>
    <w:rsid w:val="009E19AF"/>
    <w:rsid w:val="009E1C43"/>
    <w:rsid w:val="009E1C46"/>
    <w:rsid w:val="009E1F04"/>
    <w:rsid w:val="009E210E"/>
    <w:rsid w:val="009E228A"/>
    <w:rsid w:val="009E22D3"/>
    <w:rsid w:val="009E22F2"/>
    <w:rsid w:val="009E235F"/>
    <w:rsid w:val="009E2433"/>
    <w:rsid w:val="009E2700"/>
    <w:rsid w:val="009E28C9"/>
    <w:rsid w:val="009E295B"/>
    <w:rsid w:val="009E2A13"/>
    <w:rsid w:val="009E2A44"/>
    <w:rsid w:val="009E2DA8"/>
    <w:rsid w:val="009E2DE6"/>
    <w:rsid w:val="009E2F3E"/>
    <w:rsid w:val="009E30E7"/>
    <w:rsid w:val="009E30FB"/>
    <w:rsid w:val="009E3456"/>
    <w:rsid w:val="009E3661"/>
    <w:rsid w:val="009E366D"/>
    <w:rsid w:val="009E374D"/>
    <w:rsid w:val="009E3A3B"/>
    <w:rsid w:val="009E3C2F"/>
    <w:rsid w:val="009E3D37"/>
    <w:rsid w:val="009E3FD9"/>
    <w:rsid w:val="009E4417"/>
    <w:rsid w:val="009E477A"/>
    <w:rsid w:val="009E4850"/>
    <w:rsid w:val="009E48DF"/>
    <w:rsid w:val="009E491F"/>
    <w:rsid w:val="009E4B52"/>
    <w:rsid w:val="009E4CE8"/>
    <w:rsid w:val="009E4D2D"/>
    <w:rsid w:val="009E4E99"/>
    <w:rsid w:val="009E5006"/>
    <w:rsid w:val="009E5047"/>
    <w:rsid w:val="009E5164"/>
    <w:rsid w:val="009E52E9"/>
    <w:rsid w:val="009E5323"/>
    <w:rsid w:val="009E584E"/>
    <w:rsid w:val="009E59D0"/>
    <w:rsid w:val="009E5B51"/>
    <w:rsid w:val="009E5D88"/>
    <w:rsid w:val="009E623D"/>
    <w:rsid w:val="009E6293"/>
    <w:rsid w:val="009E656B"/>
    <w:rsid w:val="009E6597"/>
    <w:rsid w:val="009E6A57"/>
    <w:rsid w:val="009E6ACF"/>
    <w:rsid w:val="009E6BA5"/>
    <w:rsid w:val="009E6D74"/>
    <w:rsid w:val="009E7046"/>
    <w:rsid w:val="009E73A0"/>
    <w:rsid w:val="009E7430"/>
    <w:rsid w:val="009E743F"/>
    <w:rsid w:val="009E773D"/>
    <w:rsid w:val="009E7778"/>
    <w:rsid w:val="009E779D"/>
    <w:rsid w:val="009E7860"/>
    <w:rsid w:val="009E7907"/>
    <w:rsid w:val="009E7A63"/>
    <w:rsid w:val="009E7ACE"/>
    <w:rsid w:val="009E7BB6"/>
    <w:rsid w:val="009E7C4F"/>
    <w:rsid w:val="009E7CC9"/>
    <w:rsid w:val="009E7DB9"/>
    <w:rsid w:val="009F00E1"/>
    <w:rsid w:val="009F018F"/>
    <w:rsid w:val="009F02BE"/>
    <w:rsid w:val="009F046D"/>
    <w:rsid w:val="009F04E5"/>
    <w:rsid w:val="009F058D"/>
    <w:rsid w:val="009F06C0"/>
    <w:rsid w:val="009F06E3"/>
    <w:rsid w:val="009F077B"/>
    <w:rsid w:val="009F08ED"/>
    <w:rsid w:val="009F0A71"/>
    <w:rsid w:val="009F0CB1"/>
    <w:rsid w:val="009F0D90"/>
    <w:rsid w:val="009F1053"/>
    <w:rsid w:val="009F1060"/>
    <w:rsid w:val="009F1095"/>
    <w:rsid w:val="009F10B2"/>
    <w:rsid w:val="009F115D"/>
    <w:rsid w:val="009F11B1"/>
    <w:rsid w:val="009F1281"/>
    <w:rsid w:val="009F15C6"/>
    <w:rsid w:val="009F15DB"/>
    <w:rsid w:val="009F16EC"/>
    <w:rsid w:val="009F1840"/>
    <w:rsid w:val="009F1853"/>
    <w:rsid w:val="009F19B2"/>
    <w:rsid w:val="009F19C0"/>
    <w:rsid w:val="009F19D8"/>
    <w:rsid w:val="009F1EF3"/>
    <w:rsid w:val="009F1F68"/>
    <w:rsid w:val="009F2021"/>
    <w:rsid w:val="009F224B"/>
    <w:rsid w:val="009F2527"/>
    <w:rsid w:val="009F2543"/>
    <w:rsid w:val="009F25E3"/>
    <w:rsid w:val="009F260F"/>
    <w:rsid w:val="009F269B"/>
    <w:rsid w:val="009F280F"/>
    <w:rsid w:val="009F289C"/>
    <w:rsid w:val="009F28A4"/>
    <w:rsid w:val="009F28AC"/>
    <w:rsid w:val="009F28D7"/>
    <w:rsid w:val="009F2938"/>
    <w:rsid w:val="009F3009"/>
    <w:rsid w:val="009F306B"/>
    <w:rsid w:val="009F30AC"/>
    <w:rsid w:val="009F342C"/>
    <w:rsid w:val="009F3695"/>
    <w:rsid w:val="009F3831"/>
    <w:rsid w:val="009F38EC"/>
    <w:rsid w:val="009F391A"/>
    <w:rsid w:val="009F3A42"/>
    <w:rsid w:val="009F3AA3"/>
    <w:rsid w:val="009F3B92"/>
    <w:rsid w:val="009F3B9D"/>
    <w:rsid w:val="009F3BF8"/>
    <w:rsid w:val="009F3C18"/>
    <w:rsid w:val="009F3FA9"/>
    <w:rsid w:val="009F3FFB"/>
    <w:rsid w:val="009F4118"/>
    <w:rsid w:val="009F4342"/>
    <w:rsid w:val="009F43D1"/>
    <w:rsid w:val="009F4611"/>
    <w:rsid w:val="009F4A71"/>
    <w:rsid w:val="009F4AAD"/>
    <w:rsid w:val="009F4D77"/>
    <w:rsid w:val="009F4D8D"/>
    <w:rsid w:val="009F4E25"/>
    <w:rsid w:val="009F4F31"/>
    <w:rsid w:val="009F5027"/>
    <w:rsid w:val="009F52F0"/>
    <w:rsid w:val="009F5310"/>
    <w:rsid w:val="009F551E"/>
    <w:rsid w:val="009F5545"/>
    <w:rsid w:val="009F5B62"/>
    <w:rsid w:val="009F5B84"/>
    <w:rsid w:val="009F5C8F"/>
    <w:rsid w:val="009F5D24"/>
    <w:rsid w:val="009F5DB6"/>
    <w:rsid w:val="009F5E7E"/>
    <w:rsid w:val="009F5EA2"/>
    <w:rsid w:val="009F5F44"/>
    <w:rsid w:val="009F5FA2"/>
    <w:rsid w:val="009F6004"/>
    <w:rsid w:val="009F604E"/>
    <w:rsid w:val="009F6259"/>
    <w:rsid w:val="009F640A"/>
    <w:rsid w:val="009F67DA"/>
    <w:rsid w:val="009F689B"/>
    <w:rsid w:val="009F6C4E"/>
    <w:rsid w:val="009F6D5D"/>
    <w:rsid w:val="009F6D7D"/>
    <w:rsid w:val="009F6EE8"/>
    <w:rsid w:val="009F6F2D"/>
    <w:rsid w:val="009F7005"/>
    <w:rsid w:val="009F714D"/>
    <w:rsid w:val="009F7273"/>
    <w:rsid w:val="009F74B0"/>
    <w:rsid w:val="009F75EB"/>
    <w:rsid w:val="009F7624"/>
    <w:rsid w:val="009F766E"/>
    <w:rsid w:val="009F76C5"/>
    <w:rsid w:val="009F76EB"/>
    <w:rsid w:val="009F772D"/>
    <w:rsid w:val="009F7788"/>
    <w:rsid w:val="009F77AF"/>
    <w:rsid w:val="009F7892"/>
    <w:rsid w:val="009F7B21"/>
    <w:rsid w:val="009F7BC6"/>
    <w:rsid w:val="009F7D8F"/>
    <w:rsid w:val="009F7DB2"/>
    <w:rsid w:val="009F7DC2"/>
    <w:rsid w:val="009F7EFA"/>
    <w:rsid w:val="009F7F1D"/>
    <w:rsid w:val="00A00161"/>
    <w:rsid w:val="00A00199"/>
    <w:rsid w:val="00A00496"/>
    <w:rsid w:val="00A00624"/>
    <w:rsid w:val="00A006FF"/>
    <w:rsid w:val="00A007F2"/>
    <w:rsid w:val="00A00B40"/>
    <w:rsid w:val="00A00D8C"/>
    <w:rsid w:val="00A00D98"/>
    <w:rsid w:val="00A00E1E"/>
    <w:rsid w:val="00A00FB7"/>
    <w:rsid w:val="00A01053"/>
    <w:rsid w:val="00A01253"/>
    <w:rsid w:val="00A0135A"/>
    <w:rsid w:val="00A014D7"/>
    <w:rsid w:val="00A019BB"/>
    <w:rsid w:val="00A01A92"/>
    <w:rsid w:val="00A01B29"/>
    <w:rsid w:val="00A01E37"/>
    <w:rsid w:val="00A01F86"/>
    <w:rsid w:val="00A01F89"/>
    <w:rsid w:val="00A021F0"/>
    <w:rsid w:val="00A02218"/>
    <w:rsid w:val="00A02316"/>
    <w:rsid w:val="00A023B8"/>
    <w:rsid w:val="00A023C4"/>
    <w:rsid w:val="00A024AD"/>
    <w:rsid w:val="00A02532"/>
    <w:rsid w:val="00A02540"/>
    <w:rsid w:val="00A027D9"/>
    <w:rsid w:val="00A029BB"/>
    <w:rsid w:val="00A02A27"/>
    <w:rsid w:val="00A02EE4"/>
    <w:rsid w:val="00A03175"/>
    <w:rsid w:val="00A033F6"/>
    <w:rsid w:val="00A0352F"/>
    <w:rsid w:val="00A03624"/>
    <w:rsid w:val="00A03648"/>
    <w:rsid w:val="00A038F6"/>
    <w:rsid w:val="00A03B48"/>
    <w:rsid w:val="00A03BE9"/>
    <w:rsid w:val="00A03D83"/>
    <w:rsid w:val="00A03F03"/>
    <w:rsid w:val="00A04097"/>
    <w:rsid w:val="00A041AD"/>
    <w:rsid w:val="00A041D7"/>
    <w:rsid w:val="00A04346"/>
    <w:rsid w:val="00A04396"/>
    <w:rsid w:val="00A0469B"/>
    <w:rsid w:val="00A04777"/>
    <w:rsid w:val="00A047CC"/>
    <w:rsid w:val="00A04813"/>
    <w:rsid w:val="00A04A52"/>
    <w:rsid w:val="00A04E4F"/>
    <w:rsid w:val="00A04F04"/>
    <w:rsid w:val="00A05071"/>
    <w:rsid w:val="00A050FB"/>
    <w:rsid w:val="00A05115"/>
    <w:rsid w:val="00A05401"/>
    <w:rsid w:val="00A0560B"/>
    <w:rsid w:val="00A05705"/>
    <w:rsid w:val="00A05761"/>
    <w:rsid w:val="00A058A9"/>
    <w:rsid w:val="00A058FC"/>
    <w:rsid w:val="00A05A6D"/>
    <w:rsid w:val="00A0649D"/>
    <w:rsid w:val="00A0656B"/>
    <w:rsid w:val="00A06776"/>
    <w:rsid w:val="00A06D31"/>
    <w:rsid w:val="00A06F31"/>
    <w:rsid w:val="00A06F60"/>
    <w:rsid w:val="00A071AB"/>
    <w:rsid w:val="00A0722C"/>
    <w:rsid w:val="00A07253"/>
    <w:rsid w:val="00A074CB"/>
    <w:rsid w:val="00A0779F"/>
    <w:rsid w:val="00A07B60"/>
    <w:rsid w:val="00A07D36"/>
    <w:rsid w:val="00A10221"/>
    <w:rsid w:val="00A10340"/>
    <w:rsid w:val="00A10431"/>
    <w:rsid w:val="00A10532"/>
    <w:rsid w:val="00A10680"/>
    <w:rsid w:val="00A1077B"/>
    <w:rsid w:val="00A107B9"/>
    <w:rsid w:val="00A10CB1"/>
    <w:rsid w:val="00A11077"/>
    <w:rsid w:val="00A110D7"/>
    <w:rsid w:val="00A11251"/>
    <w:rsid w:val="00A1128D"/>
    <w:rsid w:val="00A114EF"/>
    <w:rsid w:val="00A117A6"/>
    <w:rsid w:val="00A117D2"/>
    <w:rsid w:val="00A11826"/>
    <w:rsid w:val="00A1190F"/>
    <w:rsid w:val="00A11919"/>
    <w:rsid w:val="00A11920"/>
    <w:rsid w:val="00A11D1D"/>
    <w:rsid w:val="00A11E02"/>
    <w:rsid w:val="00A11F01"/>
    <w:rsid w:val="00A12257"/>
    <w:rsid w:val="00A123D2"/>
    <w:rsid w:val="00A1244B"/>
    <w:rsid w:val="00A1248C"/>
    <w:rsid w:val="00A12BB3"/>
    <w:rsid w:val="00A12E4F"/>
    <w:rsid w:val="00A13057"/>
    <w:rsid w:val="00A13165"/>
    <w:rsid w:val="00A13229"/>
    <w:rsid w:val="00A133AC"/>
    <w:rsid w:val="00A13406"/>
    <w:rsid w:val="00A137B3"/>
    <w:rsid w:val="00A1380F"/>
    <w:rsid w:val="00A13955"/>
    <w:rsid w:val="00A1398B"/>
    <w:rsid w:val="00A139AE"/>
    <w:rsid w:val="00A13A7B"/>
    <w:rsid w:val="00A13A85"/>
    <w:rsid w:val="00A13B1D"/>
    <w:rsid w:val="00A13B5B"/>
    <w:rsid w:val="00A13BBF"/>
    <w:rsid w:val="00A13CE0"/>
    <w:rsid w:val="00A13DE6"/>
    <w:rsid w:val="00A13E01"/>
    <w:rsid w:val="00A13FF0"/>
    <w:rsid w:val="00A14187"/>
    <w:rsid w:val="00A142C9"/>
    <w:rsid w:val="00A14372"/>
    <w:rsid w:val="00A1449F"/>
    <w:rsid w:val="00A144BC"/>
    <w:rsid w:val="00A14550"/>
    <w:rsid w:val="00A1461B"/>
    <w:rsid w:val="00A14689"/>
    <w:rsid w:val="00A148E1"/>
    <w:rsid w:val="00A148E5"/>
    <w:rsid w:val="00A14956"/>
    <w:rsid w:val="00A14A5F"/>
    <w:rsid w:val="00A14BB6"/>
    <w:rsid w:val="00A14EC0"/>
    <w:rsid w:val="00A14F4D"/>
    <w:rsid w:val="00A1512B"/>
    <w:rsid w:val="00A1513F"/>
    <w:rsid w:val="00A1516F"/>
    <w:rsid w:val="00A15180"/>
    <w:rsid w:val="00A15198"/>
    <w:rsid w:val="00A15259"/>
    <w:rsid w:val="00A152ED"/>
    <w:rsid w:val="00A1552E"/>
    <w:rsid w:val="00A15697"/>
    <w:rsid w:val="00A156AB"/>
    <w:rsid w:val="00A1581D"/>
    <w:rsid w:val="00A15A79"/>
    <w:rsid w:val="00A15BB6"/>
    <w:rsid w:val="00A15C1D"/>
    <w:rsid w:val="00A15C59"/>
    <w:rsid w:val="00A15D18"/>
    <w:rsid w:val="00A15D6C"/>
    <w:rsid w:val="00A16009"/>
    <w:rsid w:val="00A1667A"/>
    <w:rsid w:val="00A16895"/>
    <w:rsid w:val="00A16964"/>
    <w:rsid w:val="00A16AEA"/>
    <w:rsid w:val="00A16BEA"/>
    <w:rsid w:val="00A16E45"/>
    <w:rsid w:val="00A17109"/>
    <w:rsid w:val="00A171E9"/>
    <w:rsid w:val="00A17656"/>
    <w:rsid w:val="00A1774F"/>
    <w:rsid w:val="00A177C6"/>
    <w:rsid w:val="00A1795D"/>
    <w:rsid w:val="00A179DD"/>
    <w:rsid w:val="00A17CFB"/>
    <w:rsid w:val="00A17E2C"/>
    <w:rsid w:val="00A17F6C"/>
    <w:rsid w:val="00A200E2"/>
    <w:rsid w:val="00A204CC"/>
    <w:rsid w:val="00A20556"/>
    <w:rsid w:val="00A206FE"/>
    <w:rsid w:val="00A20742"/>
    <w:rsid w:val="00A207DD"/>
    <w:rsid w:val="00A20852"/>
    <w:rsid w:val="00A20A30"/>
    <w:rsid w:val="00A20A80"/>
    <w:rsid w:val="00A20AAC"/>
    <w:rsid w:val="00A20B3C"/>
    <w:rsid w:val="00A20CD0"/>
    <w:rsid w:val="00A210A3"/>
    <w:rsid w:val="00A21464"/>
    <w:rsid w:val="00A21505"/>
    <w:rsid w:val="00A217E5"/>
    <w:rsid w:val="00A218A3"/>
    <w:rsid w:val="00A21A58"/>
    <w:rsid w:val="00A21B23"/>
    <w:rsid w:val="00A21D66"/>
    <w:rsid w:val="00A21F40"/>
    <w:rsid w:val="00A220DE"/>
    <w:rsid w:val="00A222C6"/>
    <w:rsid w:val="00A22339"/>
    <w:rsid w:val="00A2245E"/>
    <w:rsid w:val="00A2264A"/>
    <w:rsid w:val="00A22742"/>
    <w:rsid w:val="00A22986"/>
    <w:rsid w:val="00A22B1D"/>
    <w:rsid w:val="00A22DFF"/>
    <w:rsid w:val="00A22FFC"/>
    <w:rsid w:val="00A2314D"/>
    <w:rsid w:val="00A232A6"/>
    <w:rsid w:val="00A233FB"/>
    <w:rsid w:val="00A2348B"/>
    <w:rsid w:val="00A2350B"/>
    <w:rsid w:val="00A238D1"/>
    <w:rsid w:val="00A23A79"/>
    <w:rsid w:val="00A23A85"/>
    <w:rsid w:val="00A23D84"/>
    <w:rsid w:val="00A23EEB"/>
    <w:rsid w:val="00A23F91"/>
    <w:rsid w:val="00A2403E"/>
    <w:rsid w:val="00A240E0"/>
    <w:rsid w:val="00A2428A"/>
    <w:rsid w:val="00A242A4"/>
    <w:rsid w:val="00A2439F"/>
    <w:rsid w:val="00A24473"/>
    <w:rsid w:val="00A24592"/>
    <w:rsid w:val="00A245D5"/>
    <w:rsid w:val="00A2462F"/>
    <w:rsid w:val="00A24707"/>
    <w:rsid w:val="00A247D4"/>
    <w:rsid w:val="00A24ADD"/>
    <w:rsid w:val="00A24B46"/>
    <w:rsid w:val="00A24C28"/>
    <w:rsid w:val="00A24CB7"/>
    <w:rsid w:val="00A24DD6"/>
    <w:rsid w:val="00A24FFF"/>
    <w:rsid w:val="00A253F2"/>
    <w:rsid w:val="00A25422"/>
    <w:rsid w:val="00A25439"/>
    <w:rsid w:val="00A2554A"/>
    <w:rsid w:val="00A255B9"/>
    <w:rsid w:val="00A257A4"/>
    <w:rsid w:val="00A257BE"/>
    <w:rsid w:val="00A259FF"/>
    <w:rsid w:val="00A25BA2"/>
    <w:rsid w:val="00A25DDF"/>
    <w:rsid w:val="00A26096"/>
    <w:rsid w:val="00A261D8"/>
    <w:rsid w:val="00A2641C"/>
    <w:rsid w:val="00A26477"/>
    <w:rsid w:val="00A26507"/>
    <w:rsid w:val="00A265DB"/>
    <w:rsid w:val="00A26789"/>
    <w:rsid w:val="00A267C7"/>
    <w:rsid w:val="00A2696F"/>
    <w:rsid w:val="00A26B7E"/>
    <w:rsid w:val="00A26C8A"/>
    <w:rsid w:val="00A26DF8"/>
    <w:rsid w:val="00A26E46"/>
    <w:rsid w:val="00A26FCA"/>
    <w:rsid w:val="00A27619"/>
    <w:rsid w:val="00A27889"/>
    <w:rsid w:val="00A27899"/>
    <w:rsid w:val="00A27A36"/>
    <w:rsid w:val="00A3020A"/>
    <w:rsid w:val="00A302DC"/>
    <w:rsid w:val="00A30576"/>
    <w:rsid w:val="00A305E3"/>
    <w:rsid w:val="00A3061A"/>
    <w:rsid w:val="00A30762"/>
    <w:rsid w:val="00A308B8"/>
    <w:rsid w:val="00A30B2A"/>
    <w:rsid w:val="00A30BA0"/>
    <w:rsid w:val="00A30BBC"/>
    <w:rsid w:val="00A30D04"/>
    <w:rsid w:val="00A30FBD"/>
    <w:rsid w:val="00A31026"/>
    <w:rsid w:val="00A310B0"/>
    <w:rsid w:val="00A31204"/>
    <w:rsid w:val="00A3121D"/>
    <w:rsid w:val="00A312A3"/>
    <w:rsid w:val="00A3178B"/>
    <w:rsid w:val="00A317DE"/>
    <w:rsid w:val="00A318F0"/>
    <w:rsid w:val="00A319A0"/>
    <w:rsid w:val="00A31B71"/>
    <w:rsid w:val="00A31F14"/>
    <w:rsid w:val="00A31F54"/>
    <w:rsid w:val="00A32066"/>
    <w:rsid w:val="00A3221B"/>
    <w:rsid w:val="00A32273"/>
    <w:rsid w:val="00A323C4"/>
    <w:rsid w:val="00A32402"/>
    <w:rsid w:val="00A32491"/>
    <w:rsid w:val="00A324D0"/>
    <w:rsid w:val="00A325B7"/>
    <w:rsid w:val="00A325DC"/>
    <w:rsid w:val="00A325F6"/>
    <w:rsid w:val="00A3274C"/>
    <w:rsid w:val="00A32892"/>
    <w:rsid w:val="00A328DC"/>
    <w:rsid w:val="00A32A30"/>
    <w:rsid w:val="00A32C00"/>
    <w:rsid w:val="00A32C25"/>
    <w:rsid w:val="00A32DB4"/>
    <w:rsid w:val="00A3329B"/>
    <w:rsid w:val="00A332C6"/>
    <w:rsid w:val="00A33302"/>
    <w:rsid w:val="00A33401"/>
    <w:rsid w:val="00A334E9"/>
    <w:rsid w:val="00A33668"/>
    <w:rsid w:val="00A337B1"/>
    <w:rsid w:val="00A3380B"/>
    <w:rsid w:val="00A33C4B"/>
    <w:rsid w:val="00A33CE5"/>
    <w:rsid w:val="00A33D0B"/>
    <w:rsid w:val="00A33DB0"/>
    <w:rsid w:val="00A33E08"/>
    <w:rsid w:val="00A33FCA"/>
    <w:rsid w:val="00A33FFB"/>
    <w:rsid w:val="00A34329"/>
    <w:rsid w:val="00A343A7"/>
    <w:rsid w:val="00A34438"/>
    <w:rsid w:val="00A34504"/>
    <w:rsid w:val="00A34708"/>
    <w:rsid w:val="00A347A9"/>
    <w:rsid w:val="00A34A0E"/>
    <w:rsid w:val="00A34A75"/>
    <w:rsid w:val="00A34BA0"/>
    <w:rsid w:val="00A34BAF"/>
    <w:rsid w:val="00A34D01"/>
    <w:rsid w:val="00A34E5C"/>
    <w:rsid w:val="00A35005"/>
    <w:rsid w:val="00A350E9"/>
    <w:rsid w:val="00A35146"/>
    <w:rsid w:val="00A35383"/>
    <w:rsid w:val="00A354FF"/>
    <w:rsid w:val="00A3559E"/>
    <w:rsid w:val="00A356E2"/>
    <w:rsid w:val="00A3579E"/>
    <w:rsid w:val="00A3583D"/>
    <w:rsid w:val="00A35890"/>
    <w:rsid w:val="00A359D4"/>
    <w:rsid w:val="00A35C13"/>
    <w:rsid w:val="00A35DCF"/>
    <w:rsid w:val="00A35E2B"/>
    <w:rsid w:val="00A35FBA"/>
    <w:rsid w:val="00A36158"/>
    <w:rsid w:val="00A3629B"/>
    <w:rsid w:val="00A3660D"/>
    <w:rsid w:val="00A36619"/>
    <w:rsid w:val="00A367B1"/>
    <w:rsid w:val="00A36820"/>
    <w:rsid w:val="00A368AB"/>
    <w:rsid w:val="00A36946"/>
    <w:rsid w:val="00A3695A"/>
    <w:rsid w:val="00A36A0F"/>
    <w:rsid w:val="00A36A35"/>
    <w:rsid w:val="00A36AF2"/>
    <w:rsid w:val="00A36B70"/>
    <w:rsid w:val="00A37098"/>
    <w:rsid w:val="00A3734A"/>
    <w:rsid w:val="00A3734E"/>
    <w:rsid w:val="00A376F9"/>
    <w:rsid w:val="00A3780F"/>
    <w:rsid w:val="00A37867"/>
    <w:rsid w:val="00A37878"/>
    <w:rsid w:val="00A3793B"/>
    <w:rsid w:val="00A37963"/>
    <w:rsid w:val="00A3797D"/>
    <w:rsid w:val="00A37A8E"/>
    <w:rsid w:val="00A37C6F"/>
    <w:rsid w:val="00A37DA4"/>
    <w:rsid w:val="00A37E36"/>
    <w:rsid w:val="00A40138"/>
    <w:rsid w:val="00A40144"/>
    <w:rsid w:val="00A40188"/>
    <w:rsid w:val="00A402FC"/>
    <w:rsid w:val="00A404A3"/>
    <w:rsid w:val="00A404CF"/>
    <w:rsid w:val="00A40540"/>
    <w:rsid w:val="00A40615"/>
    <w:rsid w:val="00A406AC"/>
    <w:rsid w:val="00A407EB"/>
    <w:rsid w:val="00A408F0"/>
    <w:rsid w:val="00A40A4A"/>
    <w:rsid w:val="00A40A76"/>
    <w:rsid w:val="00A40BAD"/>
    <w:rsid w:val="00A40BE1"/>
    <w:rsid w:val="00A40C81"/>
    <w:rsid w:val="00A40D76"/>
    <w:rsid w:val="00A40DE3"/>
    <w:rsid w:val="00A40F35"/>
    <w:rsid w:val="00A410F5"/>
    <w:rsid w:val="00A411E2"/>
    <w:rsid w:val="00A411EF"/>
    <w:rsid w:val="00A41527"/>
    <w:rsid w:val="00A4152D"/>
    <w:rsid w:val="00A418A5"/>
    <w:rsid w:val="00A41A80"/>
    <w:rsid w:val="00A41B88"/>
    <w:rsid w:val="00A41C17"/>
    <w:rsid w:val="00A41C30"/>
    <w:rsid w:val="00A41D11"/>
    <w:rsid w:val="00A41D4D"/>
    <w:rsid w:val="00A41E48"/>
    <w:rsid w:val="00A4201E"/>
    <w:rsid w:val="00A42097"/>
    <w:rsid w:val="00A420D4"/>
    <w:rsid w:val="00A423AA"/>
    <w:rsid w:val="00A425AD"/>
    <w:rsid w:val="00A427DA"/>
    <w:rsid w:val="00A42905"/>
    <w:rsid w:val="00A42B16"/>
    <w:rsid w:val="00A42B5C"/>
    <w:rsid w:val="00A42D47"/>
    <w:rsid w:val="00A42DDC"/>
    <w:rsid w:val="00A42FB2"/>
    <w:rsid w:val="00A43070"/>
    <w:rsid w:val="00A4324F"/>
    <w:rsid w:val="00A433C2"/>
    <w:rsid w:val="00A43400"/>
    <w:rsid w:val="00A4368A"/>
    <w:rsid w:val="00A43698"/>
    <w:rsid w:val="00A43726"/>
    <w:rsid w:val="00A43858"/>
    <w:rsid w:val="00A43ABC"/>
    <w:rsid w:val="00A43B94"/>
    <w:rsid w:val="00A43C4D"/>
    <w:rsid w:val="00A43D49"/>
    <w:rsid w:val="00A43DF9"/>
    <w:rsid w:val="00A43E02"/>
    <w:rsid w:val="00A43FD3"/>
    <w:rsid w:val="00A43FFE"/>
    <w:rsid w:val="00A4400D"/>
    <w:rsid w:val="00A440DD"/>
    <w:rsid w:val="00A4415A"/>
    <w:rsid w:val="00A44177"/>
    <w:rsid w:val="00A441CA"/>
    <w:rsid w:val="00A445C1"/>
    <w:rsid w:val="00A445C5"/>
    <w:rsid w:val="00A4460A"/>
    <w:rsid w:val="00A44624"/>
    <w:rsid w:val="00A446AA"/>
    <w:rsid w:val="00A4474F"/>
    <w:rsid w:val="00A447D0"/>
    <w:rsid w:val="00A44832"/>
    <w:rsid w:val="00A44898"/>
    <w:rsid w:val="00A44AD1"/>
    <w:rsid w:val="00A44BC9"/>
    <w:rsid w:val="00A44C39"/>
    <w:rsid w:val="00A44C72"/>
    <w:rsid w:val="00A44EF9"/>
    <w:rsid w:val="00A44EFD"/>
    <w:rsid w:val="00A44FC5"/>
    <w:rsid w:val="00A45279"/>
    <w:rsid w:val="00A452CC"/>
    <w:rsid w:val="00A45858"/>
    <w:rsid w:val="00A45886"/>
    <w:rsid w:val="00A45918"/>
    <w:rsid w:val="00A45A75"/>
    <w:rsid w:val="00A45C61"/>
    <w:rsid w:val="00A45CDF"/>
    <w:rsid w:val="00A45DAA"/>
    <w:rsid w:val="00A45FC5"/>
    <w:rsid w:val="00A4601A"/>
    <w:rsid w:val="00A46103"/>
    <w:rsid w:val="00A46307"/>
    <w:rsid w:val="00A46560"/>
    <w:rsid w:val="00A465D7"/>
    <w:rsid w:val="00A466C3"/>
    <w:rsid w:val="00A46731"/>
    <w:rsid w:val="00A46971"/>
    <w:rsid w:val="00A46DE6"/>
    <w:rsid w:val="00A46F7A"/>
    <w:rsid w:val="00A470FE"/>
    <w:rsid w:val="00A474CE"/>
    <w:rsid w:val="00A4777A"/>
    <w:rsid w:val="00A477B1"/>
    <w:rsid w:val="00A47838"/>
    <w:rsid w:val="00A4783D"/>
    <w:rsid w:val="00A479C6"/>
    <w:rsid w:val="00A47D9D"/>
    <w:rsid w:val="00A47E3F"/>
    <w:rsid w:val="00A50044"/>
    <w:rsid w:val="00A50074"/>
    <w:rsid w:val="00A50075"/>
    <w:rsid w:val="00A50185"/>
    <w:rsid w:val="00A50350"/>
    <w:rsid w:val="00A50485"/>
    <w:rsid w:val="00A5053C"/>
    <w:rsid w:val="00A506A7"/>
    <w:rsid w:val="00A506C2"/>
    <w:rsid w:val="00A508F3"/>
    <w:rsid w:val="00A509B9"/>
    <w:rsid w:val="00A50AEF"/>
    <w:rsid w:val="00A50B14"/>
    <w:rsid w:val="00A50F9D"/>
    <w:rsid w:val="00A510F2"/>
    <w:rsid w:val="00A510F6"/>
    <w:rsid w:val="00A510F8"/>
    <w:rsid w:val="00A511D0"/>
    <w:rsid w:val="00A5122D"/>
    <w:rsid w:val="00A514C7"/>
    <w:rsid w:val="00A5157A"/>
    <w:rsid w:val="00A5158C"/>
    <w:rsid w:val="00A515BF"/>
    <w:rsid w:val="00A515D8"/>
    <w:rsid w:val="00A51698"/>
    <w:rsid w:val="00A516ED"/>
    <w:rsid w:val="00A5177F"/>
    <w:rsid w:val="00A51F1B"/>
    <w:rsid w:val="00A51F54"/>
    <w:rsid w:val="00A52172"/>
    <w:rsid w:val="00A5223D"/>
    <w:rsid w:val="00A5224F"/>
    <w:rsid w:val="00A5225D"/>
    <w:rsid w:val="00A522A9"/>
    <w:rsid w:val="00A522CE"/>
    <w:rsid w:val="00A52321"/>
    <w:rsid w:val="00A5236A"/>
    <w:rsid w:val="00A5255A"/>
    <w:rsid w:val="00A5257A"/>
    <w:rsid w:val="00A525A9"/>
    <w:rsid w:val="00A52771"/>
    <w:rsid w:val="00A527B5"/>
    <w:rsid w:val="00A5293C"/>
    <w:rsid w:val="00A52ABD"/>
    <w:rsid w:val="00A52C6B"/>
    <w:rsid w:val="00A52CD4"/>
    <w:rsid w:val="00A52D4B"/>
    <w:rsid w:val="00A52DDA"/>
    <w:rsid w:val="00A52E89"/>
    <w:rsid w:val="00A52EC3"/>
    <w:rsid w:val="00A52FDC"/>
    <w:rsid w:val="00A531E4"/>
    <w:rsid w:val="00A53278"/>
    <w:rsid w:val="00A533B9"/>
    <w:rsid w:val="00A534FA"/>
    <w:rsid w:val="00A5359D"/>
    <w:rsid w:val="00A535EC"/>
    <w:rsid w:val="00A53676"/>
    <w:rsid w:val="00A5368A"/>
    <w:rsid w:val="00A536E0"/>
    <w:rsid w:val="00A53703"/>
    <w:rsid w:val="00A53897"/>
    <w:rsid w:val="00A53952"/>
    <w:rsid w:val="00A53CC3"/>
    <w:rsid w:val="00A53D6F"/>
    <w:rsid w:val="00A54174"/>
    <w:rsid w:val="00A544A6"/>
    <w:rsid w:val="00A5474A"/>
    <w:rsid w:val="00A54758"/>
    <w:rsid w:val="00A54840"/>
    <w:rsid w:val="00A549EA"/>
    <w:rsid w:val="00A549F9"/>
    <w:rsid w:val="00A54B29"/>
    <w:rsid w:val="00A54D4E"/>
    <w:rsid w:val="00A54E48"/>
    <w:rsid w:val="00A54F95"/>
    <w:rsid w:val="00A55017"/>
    <w:rsid w:val="00A5510E"/>
    <w:rsid w:val="00A55164"/>
    <w:rsid w:val="00A55343"/>
    <w:rsid w:val="00A555C6"/>
    <w:rsid w:val="00A5569B"/>
    <w:rsid w:val="00A55C71"/>
    <w:rsid w:val="00A55DF5"/>
    <w:rsid w:val="00A55EE2"/>
    <w:rsid w:val="00A55F41"/>
    <w:rsid w:val="00A55F43"/>
    <w:rsid w:val="00A561AA"/>
    <w:rsid w:val="00A56252"/>
    <w:rsid w:val="00A56386"/>
    <w:rsid w:val="00A56402"/>
    <w:rsid w:val="00A564EE"/>
    <w:rsid w:val="00A5656F"/>
    <w:rsid w:val="00A56944"/>
    <w:rsid w:val="00A56980"/>
    <w:rsid w:val="00A56AA1"/>
    <w:rsid w:val="00A56CC8"/>
    <w:rsid w:val="00A56CE3"/>
    <w:rsid w:val="00A56F1F"/>
    <w:rsid w:val="00A57071"/>
    <w:rsid w:val="00A5708C"/>
    <w:rsid w:val="00A57096"/>
    <w:rsid w:val="00A57175"/>
    <w:rsid w:val="00A57275"/>
    <w:rsid w:val="00A5728B"/>
    <w:rsid w:val="00A57561"/>
    <w:rsid w:val="00A57691"/>
    <w:rsid w:val="00A57703"/>
    <w:rsid w:val="00A577A3"/>
    <w:rsid w:val="00A57DE3"/>
    <w:rsid w:val="00A57DEC"/>
    <w:rsid w:val="00A57F22"/>
    <w:rsid w:val="00A601E7"/>
    <w:rsid w:val="00A60459"/>
    <w:rsid w:val="00A60504"/>
    <w:rsid w:val="00A60BA5"/>
    <w:rsid w:val="00A61047"/>
    <w:rsid w:val="00A61127"/>
    <w:rsid w:val="00A61183"/>
    <w:rsid w:val="00A611FE"/>
    <w:rsid w:val="00A6144F"/>
    <w:rsid w:val="00A614A6"/>
    <w:rsid w:val="00A614DA"/>
    <w:rsid w:val="00A61539"/>
    <w:rsid w:val="00A6168D"/>
    <w:rsid w:val="00A61769"/>
    <w:rsid w:val="00A61882"/>
    <w:rsid w:val="00A619E7"/>
    <w:rsid w:val="00A61A14"/>
    <w:rsid w:val="00A61E46"/>
    <w:rsid w:val="00A61EB4"/>
    <w:rsid w:val="00A620B6"/>
    <w:rsid w:val="00A620DF"/>
    <w:rsid w:val="00A623C1"/>
    <w:rsid w:val="00A625E2"/>
    <w:rsid w:val="00A62619"/>
    <w:rsid w:val="00A6268A"/>
    <w:rsid w:val="00A62809"/>
    <w:rsid w:val="00A6283F"/>
    <w:rsid w:val="00A628F9"/>
    <w:rsid w:val="00A62932"/>
    <w:rsid w:val="00A6299E"/>
    <w:rsid w:val="00A62A26"/>
    <w:rsid w:val="00A62C98"/>
    <w:rsid w:val="00A62DF0"/>
    <w:rsid w:val="00A62E30"/>
    <w:rsid w:val="00A62E87"/>
    <w:rsid w:val="00A62FEF"/>
    <w:rsid w:val="00A63002"/>
    <w:rsid w:val="00A63168"/>
    <w:rsid w:val="00A63256"/>
    <w:rsid w:val="00A6330F"/>
    <w:rsid w:val="00A63508"/>
    <w:rsid w:val="00A6356B"/>
    <w:rsid w:val="00A6361B"/>
    <w:rsid w:val="00A63714"/>
    <w:rsid w:val="00A63784"/>
    <w:rsid w:val="00A637BA"/>
    <w:rsid w:val="00A63806"/>
    <w:rsid w:val="00A6395F"/>
    <w:rsid w:val="00A63BE9"/>
    <w:rsid w:val="00A63C62"/>
    <w:rsid w:val="00A6414C"/>
    <w:rsid w:val="00A6427C"/>
    <w:rsid w:val="00A6495B"/>
    <w:rsid w:val="00A64994"/>
    <w:rsid w:val="00A64A01"/>
    <w:rsid w:val="00A64C65"/>
    <w:rsid w:val="00A64CC2"/>
    <w:rsid w:val="00A64F79"/>
    <w:rsid w:val="00A64FA3"/>
    <w:rsid w:val="00A6511D"/>
    <w:rsid w:val="00A6517A"/>
    <w:rsid w:val="00A6547B"/>
    <w:rsid w:val="00A65482"/>
    <w:rsid w:val="00A65520"/>
    <w:rsid w:val="00A65672"/>
    <w:rsid w:val="00A65868"/>
    <w:rsid w:val="00A658C7"/>
    <w:rsid w:val="00A65C4E"/>
    <w:rsid w:val="00A65C5B"/>
    <w:rsid w:val="00A65D97"/>
    <w:rsid w:val="00A65DD7"/>
    <w:rsid w:val="00A65E5C"/>
    <w:rsid w:val="00A66100"/>
    <w:rsid w:val="00A66155"/>
    <w:rsid w:val="00A6616C"/>
    <w:rsid w:val="00A661F5"/>
    <w:rsid w:val="00A66385"/>
    <w:rsid w:val="00A6640E"/>
    <w:rsid w:val="00A666FE"/>
    <w:rsid w:val="00A66707"/>
    <w:rsid w:val="00A66B16"/>
    <w:rsid w:val="00A66BCA"/>
    <w:rsid w:val="00A66C3B"/>
    <w:rsid w:val="00A66C78"/>
    <w:rsid w:val="00A66D31"/>
    <w:rsid w:val="00A66DA4"/>
    <w:rsid w:val="00A66DE3"/>
    <w:rsid w:val="00A66EC1"/>
    <w:rsid w:val="00A67013"/>
    <w:rsid w:val="00A670E1"/>
    <w:rsid w:val="00A67218"/>
    <w:rsid w:val="00A673B8"/>
    <w:rsid w:val="00A673F2"/>
    <w:rsid w:val="00A674BE"/>
    <w:rsid w:val="00A677C6"/>
    <w:rsid w:val="00A6792C"/>
    <w:rsid w:val="00A67981"/>
    <w:rsid w:val="00A679CE"/>
    <w:rsid w:val="00A67A3B"/>
    <w:rsid w:val="00A67C83"/>
    <w:rsid w:val="00A67F00"/>
    <w:rsid w:val="00A70177"/>
    <w:rsid w:val="00A70231"/>
    <w:rsid w:val="00A7028B"/>
    <w:rsid w:val="00A702AB"/>
    <w:rsid w:val="00A707BD"/>
    <w:rsid w:val="00A707C1"/>
    <w:rsid w:val="00A708BD"/>
    <w:rsid w:val="00A70A08"/>
    <w:rsid w:val="00A70B85"/>
    <w:rsid w:val="00A70BB9"/>
    <w:rsid w:val="00A70BF8"/>
    <w:rsid w:val="00A70BFE"/>
    <w:rsid w:val="00A70C2E"/>
    <w:rsid w:val="00A70CBC"/>
    <w:rsid w:val="00A70ED8"/>
    <w:rsid w:val="00A70EE5"/>
    <w:rsid w:val="00A70EE7"/>
    <w:rsid w:val="00A70F63"/>
    <w:rsid w:val="00A71164"/>
    <w:rsid w:val="00A71165"/>
    <w:rsid w:val="00A711F1"/>
    <w:rsid w:val="00A71222"/>
    <w:rsid w:val="00A7127A"/>
    <w:rsid w:val="00A713EE"/>
    <w:rsid w:val="00A715A9"/>
    <w:rsid w:val="00A715B7"/>
    <w:rsid w:val="00A716A1"/>
    <w:rsid w:val="00A71743"/>
    <w:rsid w:val="00A71862"/>
    <w:rsid w:val="00A71911"/>
    <w:rsid w:val="00A719E6"/>
    <w:rsid w:val="00A71A84"/>
    <w:rsid w:val="00A71B2A"/>
    <w:rsid w:val="00A71C0A"/>
    <w:rsid w:val="00A71CD4"/>
    <w:rsid w:val="00A71CD5"/>
    <w:rsid w:val="00A71D85"/>
    <w:rsid w:val="00A71E69"/>
    <w:rsid w:val="00A71EE6"/>
    <w:rsid w:val="00A71F02"/>
    <w:rsid w:val="00A71FD5"/>
    <w:rsid w:val="00A720E0"/>
    <w:rsid w:val="00A72138"/>
    <w:rsid w:val="00A7247F"/>
    <w:rsid w:val="00A72ADF"/>
    <w:rsid w:val="00A72B51"/>
    <w:rsid w:val="00A72CA4"/>
    <w:rsid w:val="00A72E3D"/>
    <w:rsid w:val="00A73073"/>
    <w:rsid w:val="00A7307C"/>
    <w:rsid w:val="00A7337B"/>
    <w:rsid w:val="00A7344C"/>
    <w:rsid w:val="00A736F1"/>
    <w:rsid w:val="00A73858"/>
    <w:rsid w:val="00A739B9"/>
    <w:rsid w:val="00A73A1E"/>
    <w:rsid w:val="00A73AF8"/>
    <w:rsid w:val="00A73BAB"/>
    <w:rsid w:val="00A73F0D"/>
    <w:rsid w:val="00A73FE0"/>
    <w:rsid w:val="00A74045"/>
    <w:rsid w:val="00A740B3"/>
    <w:rsid w:val="00A74208"/>
    <w:rsid w:val="00A74274"/>
    <w:rsid w:val="00A74313"/>
    <w:rsid w:val="00A744F3"/>
    <w:rsid w:val="00A745DB"/>
    <w:rsid w:val="00A745F2"/>
    <w:rsid w:val="00A749C6"/>
    <w:rsid w:val="00A74A36"/>
    <w:rsid w:val="00A74A6F"/>
    <w:rsid w:val="00A74AD0"/>
    <w:rsid w:val="00A74BAF"/>
    <w:rsid w:val="00A74C69"/>
    <w:rsid w:val="00A74CD6"/>
    <w:rsid w:val="00A74ED9"/>
    <w:rsid w:val="00A74F1C"/>
    <w:rsid w:val="00A74F42"/>
    <w:rsid w:val="00A74F76"/>
    <w:rsid w:val="00A74F81"/>
    <w:rsid w:val="00A751FC"/>
    <w:rsid w:val="00A75279"/>
    <w:rsid w:val="00A753C4"/>
    <w:rsid w:val="00A754AF"/>
    <w:rsid w:val="00A75578"/>
    <w:rsid w:val="00A75620"/>
    <w:rsid w:val="00A756DA"/>
    <w:rsid w:val="00A7582A"/>
    <w:rsid w:val="00A75866"/>
    <w:rsid w:val="00A7586B"/>
    <w:rsid w:val="00A758E5"/>
    <w:rsid w:val="00A75C36"/>
    <w:rsid w:val="00A75E72"/>
    <w:rsid w:val="00A76029"/>
    <w:rsid w:val="00A7612D"/>
    <w:rsid w:val="00A7617C"/>
    <w:rsid w:val="00A76256"/>
    <w:rsid w:val="00A762CE"/>
    <w:rsid w:val="00A764D5"/>
    <w:rsid w:val="00A765B1"/>
    <w:rsid w:val="00A76668"/>
    <w:rsid w:val="00A766B4"/>
    <w:rsid w:val="00A769E1"/>
    <w:rsid w:val="00A76BC2"/>
    <w:rsid w:val="00A76C2A"/>
    <w:rsid w:val="00A76C9F"/>
    <w:rsid w:val="00A772D9"/>
    <w:rsid w:val="00A7751E"/>
    <w:rsid w:val="00A777D8"/>
    <w:rsid w:val="00A77881"/>
    <w:rsid w:val="00A778F4"/>
    <w:rsid w:val="00A77D53"/>
    <w:rsid w:val="00A77D8F"/>
    <w:rsid w:val="00A77ED7"/>
    <w:rsid w:val="00A801A2"/>
    <w:rsid w:val="00A8024C"/>
    <w:rsid w:val="00A80390"/>
    <w:rsid w:val="00A80982"/>
    <w:rsid w:val="00A80A5F"/>
    <w:rsid w:val="00A80B04"/>
    <w:rsid w:val="00A80BA0"/>
    <w:rsid w:val="00A80EA1"/>
    <w:rsid w:val="00A80F51"/>
    <w:rsid w:val="00A80FB8"/>
    <w:rsid w:val="00A810BF"/>
    <w:rsid w:val="00A81110"/>
    <w:rsid w:val="00A811FF"/>
    <w:rsid w:val="00A81362"/>
    <w:rsid w:val="00A81398"/>
    <w:rsid w:val="00A8161D"/>
    <w:rsid w:val="00A81626"/>
    <w:rsid w:val="00A816E1"/>
    <w:rsid w:val="00A81800"/>
    <w:rsid w:val="00A819F4"/>
    <w:rsid w:val="00A81A74"/>
    <w:rsid w:val="00A81BE6"/>
    <w:rsid w:val="00A81C5A"/>
    <w:rsid w:val="00A81CED"/>
    <w:rsid w:val="00A81DAF"/>
    <w:rsid w:val="00A81DBE"/>
    <w:rsid w:val="00A81E7C"/>
    <w:rsid w:val="00A8228F"/>
    <w:rsid w:val="00A82557"/>
    <w:rsid w:val="00A8262D"/>
    <w:rsid w:val="00A827EF"/>
    <w:rsid w:val="00A8285B"/>
    <w:rsid w:val="00A82AAD"/>
    <w:rsid w:val="00A82C9A"/>
    <w:rsid w:val="00A82DE3"/>
    <w:rsid w:val="00A82EB1"/>
    <w:rsid w:val="00A82FB7"/>
    <w:rsid w:val="00A83086"/>
    <w:rsid w:val="00A83305"/>
    <w:rsid w:val="00A83424"/>
    <w:rsid w:val="00A8357E"/>
    <w:rsid w:val="00A83619"/>
    <w:rsid w:val="00A836CE"/>
    <w:rsid w:val="00A83789"/>
    <w:rsid w:val="00A839E3"/>
    <w:rsid w:val="00A83A41"/>
    <w:rsid w:val="00A83A96"/>
    <w:rsid w:val="00A83BC4"/>
    <w:rsid w:val="00A83DC8"/>
    <w:rsid w:val="00A8410D"/>
    <w:rsid w:val="00A8413E"/>
    <w:rsid w:val="00A84154"/>
    <w:rsid w:val="00A84264"/>
    <w:rsid w:val="00A84274"/>
    <w:rsid w:val="00A84456"/>
    <w:rsid w:val="00A84655"/>
    <w:rsid w:val="00A84788"/>
    <w:rsid w:val="00A84877"/>
    <w:rsid w:val="00A84A4D"/>
    <w:rsid w:val="00A84D7B"/>
    <w:rsid w:val="00A84EB3"/>
    <w:rsid w:val="00A85004"/>
    <w:rsid w:val="00A852B0"/>
    <w:rsid w:val="00A852D3"/>
    <w:rsid w:val="00A85425"/>
    <w:rsid w:val="00A8584D"/>
    <w:rsid w:val="00A858AC"/>
    <w:rsid w:val="00A859AB"/>
    <w:rsid w:val="00A85CA7"/>
    <w:rsid w:val="00A85CC9"/>
    <w:rsid w:val="00A85CD9"/>
    <w:rsid w:val="00A85D6C"/>
    <w:rsid w:val="00A85D7A"/>
    <w:rsid w:val="00A85DEE"/>
    <w:rsid w:val="00A85F06"/>
    <w:rsid w:val="00A86428"/>
    <w:rsid w:val="00A8648A"/>
    <w:rsid w:val="00A86519"/>
    <w:rsid w:val="00A8693F"/>
    <w:rsid w:val="00A869DD"/>
    <w:rsid w:val="00A86B91"/>
    <w:rsid w:val="00A86E31"/>
    <w:rsid w:val="00A87161"/>
    <w:rsid w:val="00A87177"/>
    <w:rsid w:val="00A87231"/>
    <w:rsid w:val="00A872FE"/>
    <w:rsid w:val="00A8763F"/>
    <w:rsid w:val="00A8764E"/>
    <w:rsid w:val="00A877F7"/>
    <w:rsid w:val="00A87818"/>
    <w:rsid w:val="00A8785A"/>
    <w:rsid w:val="00A878DF"/>
    <w:rsid w:val="00A87AD5"/>
    <w:rsid w:val="00A87B0A"/>
    <w:rsid w:val="00A87C8B"/>
    <w:rsid w:val="00A87D1C"/>
    <w:rsid w:val="00A87F12"/>
    <w:rsid w:val="00A87F63"/>
    <w:rsid w:val="00A901AD"/>
    <w:rsid w:val="00A9034E"/>
    <w:rsid w:val="00A90639"/>
    <w:rsid w:val="00A90709"/>
    <w:rsid w:val="00A90757"/>
    <w:rsid w:val="00A9099B"/>
    <w:rsid w:val="00A909E5"/>
    <w:rsid w:val="00A90B3F"/>
    <w:rsid w:val="00A90C1C"/>
    <w:rsid w:val="00A90D75"/>
    <w:rsid w:val="00A91095"/>
    <w:rsid w:val="00A91795"/>
    <w:rsid w:val="00A917FB"/>
    <w:rsid w:val="00A918CA"/>
    <w:rsid w:val="00A91DCD"/>
    <w:rsid w:val="00A91DDE"/>
    <w:rsid w:val="00A92054"/>
    <w:rsid w:val="00A92103"/>
    <w:rsid w:val="00A9210F"/>
    <w:rsid w:val="00A922FE"/>
    <w:rsid w:val="00A92651"/>
    <w:rsid w:val="00A92D1C"/>
    <w:rsid w:val="00A92E17"/>
    <w:rsid w:val="00A92F59"/>
    <w:rsid w:val="00A930AF"/>
    <w:rsid w:val="00A930D9"/>
    <w:rsid w:val="00A93276"/>
    <w:rsid w:val="00A934B6"/>
    <w:rsid w:val="00A93516"/>
    <w:rsid w:val="00A93558"/>
    <w:rsid w:val="00A9357A"/>
    <w:rsid w:val="00A9359F"/>
    <w:rsid w:val="00A935A7"/>
    <w:rsid w:val="00A93898"/>
    <w:rsid w:val="00A93A1A"/>
    <w:rsid w:val="00A93B77"/>
    <w:rsid w:val="00A93B9A"/>
    <w:rsid w:val="00A93BBF"/>
    <w:rsid w:val="00A93DA2"/>
    <w:rsid w:val="00A93E82"/>
    <w:rsid w:val="00A93F5C"/>
    <w:rsid w:val="00A93F6D"/>
    <w:rsid w:val="00A9408E"/>
    <w:rsid w:val="00A94124"/>
    <w:rsid w:val="00A94174"/>
    <w:rsid w:val="00A9425D"/>
    <w:rsid w:val="00A942C8"/>
    <w:rsid w:val="00A944F2"/>
    <w:rsid w:val="00A9483B"/>
    <w:rsid w:val="00A9485D"/>
    <w:rsid w:val="00A948FF"/>
    <w:rsid w:val="00A9492C"/>
    <w:rsid w:val="00A94A70"/>
    <w:rsid w:val="00A94D3C"/>
    <w:rsid w:val="00A94D83"/>
    <w:rsid w:val="00A94DB4"/>
    <w:rsid w:val="00A94E1B"/>
    <w:rsid w:val="00A94E1C"/>
    <w:rsid w:val="00A955C8"/>
    <w:rsid w:val="00A95612"/>
    <w:rsid w:val="00A956C8"/>
    <w:rsid w:val="00A957B0"/>
    <w:rsid w:val="00A9583A"/>
    <w:rsid w:val="00A958C9"/>
    <w:rsid w:val="00A95A48"/>
    <w:rsid w:val="00A95E78"/>
    <w:rsid w:val="00A96130"/>
    <w:rsid w:val="00A9615F"/>
    <w:rsid w:val="00A961C7"/>
    <w:rsid w:val="00A963F7"/>
    <w:rsid w:val="00A964CE"/>
    <w:rsid w:val="00A9664C"/>
    <w:rsid w:val="00A966F1"/>
    <w:rsid w:val="00A96701"/>
    <w:rsid w:val="00A9674C"/>
    <w:rsid w:val="00A967A1"/>
    <w:rsid w:val="00A969F8"/>
    <w:rsid w:val="00A96B60"/>
    <w:rsid w:val="00A96BCC"/>
    <w:rsid w:val="00A96CA8"/>
    <w:rsid w:val="00A97005"/>
    <w:rsid w:val="00A970E8"/>
    <w:rsid w:val="00A9716B"/>
    <w:rsid w:val="00A9740E"/>
    <w:rsid w:val="00A97817"/>
    <w:rsid w:val="00A97A9E"/>
    <w:rsid w:val="00A97E21"/>
    <w:rsid w:val="00A97E70"/>
    <w:rsid w:val="00A97EFE"/>
    <w:rsid w:val="00AA00AD"/>
    <w:rsid w:val="00AA0207"/>
    <w:rsid w:val="00AA050B"/>
    <w:rsid w:val="00AA05B1"/>
    <w:rsid w:val="00AA089D"/>
    <w:rsid w:val="00AA0BF6"/>
    <w:rsid w:val="00AA0D04"/>
    <w:rsid w:val="00AA0D8D"/>
    <w:rsid w:val="00AA0F58"/>
    <w:rsid w:val="00AA1000"/>
    <w:rsid w:val="00AA11AB"/>
    <w:rsid w:val="00AA1282"/>
    <w:rsid w:val="00AA1399"/>
    <w:rsid w:val="00AA1413"/>
    <w:rsid w:val="00AA150F"/>
    <w:rsid w:val="00AA1620"/>
    <w:rsid w:val="00AA16FB"/>
    <w:rsid w:val="00AA18D6"/>
    <w:rsid w:val="00AA1914"/>
    <w:rsid w:val="00AA1A41"/>
    <w:rsid w:val="00AA1B28"/>
    <w:rsid w:val="00AA1BF7"/>
    <w:rsid w:val="00AA1C87"/>
    <w:rsid w:val="00AA2057"/>
    <w:rsid w:val="00AA20C3"/>
    <w:rsid w:val="00AA20E7"/>
    <w:rsid w:val="00AA2136"/>
    <w:rsid w:val="00AA2199"/>
    <w:rsid w:val="00AA2229"/>
    <w:rsid w:val="00AA278A"/>
    <w:rsid w:val="00AA2BA7"/>
    <w:rsid w:val="00AA2C6C"/>
    <w:rsid w:val="00AA2DC0"/>
    <w:rsid w:val="00AA2FA8"/>
    <w:rsid w:val="00AA30A8"/>
    <w:rsid w:val="00AA31AB"/>
    <w:rsid w:val="00AA3209"/>
    <w:rsid w:val="00AA330C"/>
    <w:rsid w:val="00AA35F0"/>
    <w:rsid w:val="00AA36AB"/>
    <w:rsid w:val="00AA38D4"/>
    <w:rsid w:val="00AA38E9"/>
    <w:rsid w:val="00AA3985"/>
    <w:rsid w:val="00AA3AC5"/>
    <w:rsid w:val="00AA3AD9"/>
    <w:rsid w:val="00AA3B31"/>
    <w:rsid w:val="00AA3CB8"/>
    <w:rsid w:val="00AA3D9B"/>
    <w:rsid w:val="00AA3E17"/>
    <w:rsid w:val="00AA3F5C"/>
    <w:rsid w:val="00AA3FB2"/>
    <w:rsid w:val="00AA3FBF"/>
    <w:rsid w:val="00AA4092"/>
    <w:rsid w:val="00AA409D"/>
    <w:rsid w:val="00AA4195"/>
    <w:rsid w:val="00AA4377"/>
    <w:rsid w:val="00AA43C5"/>
    <w:rsid w:val="00AA4464"/>
    <w:rsid w:val="00AA44EA"/>
    <w:rsid w:val="00AA45A0"/>
    <w:rsid w:val="00AA49BC"/>
    <w:rsid w:val="00AA49C5"/>
    <w:rsid w:val="00AA4AC2"/>
    <w:rsid w:val="00AA4B06"/>
    <w:rsid w:val="00AA4B2D"/>
    <w:rsid w:val="00AA4BB4"/>
    <w:rsid w:val="00AA4D34"/>
    <w:rsid w:val="00AA4D61"/>
    <w:rsid w:val="00AA4DAD"/>
    <w:rsid w:val="00AA4F1E"/>
    <w:rsid w:val="00AA4F95"/>
    <w:rsid w:val="00AA517A"/>
    <w:rsid w:val="00AA54C9"/>
    <w:rsid w:val="00AA566F"/>
    <w:rsid w:val="00AA5716"/>
    <w:rsid w:val="00AA583D"/>
    <w:rsid w:val="00AA58F6"/>
    <w:rsid w:val="00AA5AA8"/>
    <w:rsid w:val="00AA5BF1"/>
    <w:rsid w:val="00AA5BF8"/>
    <w:rsid w:val="00AA5C64"/>
    <w:rsid w:val="00AA5C65"/>
    <w:rsid w:val="00AA5E54"/>
    <w:rsid w:val="00AA5ED4"/>
    <w:rsid w:val="00AA5EDE"/>
    <w:rsid w:val="00AA5EE7"/>
    <w:rsid w:val="00AA6063"/>
    <w:rsid w:val="00AA62ED"/>
    <w:rsid w:val="00AA6354"/>
    <w:rsid w:val="00AA638F"/>
    <w:rsid w:val="00AA63F2"/>
    <w:rsid w:val="00AA6482"/>
    <w:rsid w:val="00AA6568"/>
    <w:rsid w:val="00AA6599"/>
    <w:rsid w:val="00AA6602"/>
    <w:rsid w:val="00AA67BD"/>
    <w:rsid w:val="00AA67FC"/>
    <w:rsid w:val="00AA6AC4"/>
    <w:rsid w:val="00AA6B38"/>
    <w:rsid w:val="00AA6B56"/>
    <w:rsid w:val="00AA6C1D"/>
    <w:rsid w:val="00AA6CFB"/>
    <w:rsid w:val="00AA6D37"/>
    <w:rsid w:val="00AA70B2"/>
    <w:rsid w:val="00AA7111"/>
    <w:rsid w:val="00AA7355"/>
    <w:rsid w:val="00AA74BE"/>
    <w:rsid w:val="00AA7583"/>
    <w:rsid w:val="00AA75C7"/>
    <w:rsid w:val="00AA7613"/>
    <w:rsid w:val="00AA76B1"/>
    <w:rsid w:val="00AA771B"/>
    <w:rsid w:val="00AA77B4"/>
    <w:rsid w:val="00AA7820"/>
    <w:rsid w:val="00AA783D"/>
    <w:rsid w:val="00AA78F1"/>
    <w:rsid w:val="00AA7A1C"/>
    <w:rsid w:val="00AA7BE1"/>
    <w:rsid w:val="00AA7C96"/>
    <w:rsid w:val="00AA7D75"/>
    <w:rsid w:val="00AB003D"/>
    <w:rsid w:val="00AB0258"/>
    <w:rsid w:val="00AB032F"/>
    <w:rsid w:val="00AB035F"/>
    <w:rsid w:val="00AB03FC"/>
    <w:rsid w:val="00AB05CB"/>
    <w:rsid w:val="00AB066D"/>
    <w:rsid w:val="00AB0692"/>
    <w:rsid w:val="00AB08AB"/>
    <w:rsid w:val="00AB0A05"/>
    <w:rsid w:val="00AB0C27"/>
    <w:rsid w:val="00AB0C9A"/>
    <w:rsid w:val="00AB0F07"/>
    <w:rsid w:val="00AB105D"/>
    <w:rsid w:val="00AB113F"/>
    <w:rsid w:val="00AB126C"/>
    <w:rsid w:val="00AB129E"/>
    <w:rsid w:val="00AB1457"/>
    <w:rsid w:val="00AB1967"/>
    <w:rsid w:val="00AB1A18"/>
    <w:rsid w:val="00AB1AC8"/>
    <w:rsid w:val="00AB1C4E"/>
    <w:rsid w:val="00AB1C61"/>
    <w:rsid w:val="00AB1CD7"/>
    <w:rsid w:val="00AB1D26"/>
    <w:rsid w:val="00AB2193"/>
    <w:rsid w:val="00AB221D"/>
    <w:rsid w:val="00AB2275"/>
    <w:rsid w:val="00AB2515"/>
    <w:rsid w:val="00AB2543"/>
    <w:rsid w:val="00AB2876"/>
    <w:rsid w:val="00AB2BE6"/>
    <w:rsid w:val="00AB2C32"/>
    <w:rsid w:val="00AB2D21"/>
    <w:rsid w:val="00AB31F8"/>
    <w:rsid w:val="00AB3252"/>
    <w:rsid w:val="00AB32AC"/>
    <w:rsid w:val="00AB37A4"/>
    <w:rsid w:val="00AB3969"/>
    <w:rsid w:val="00AB3981"/>
    <w:rsid w:val="00AB3A4A"/>
    <w:rsid w:val="00AB3B46"/>
    <w:rsid w:val="00AB3B92"/>
    <w:rsid w:val="00AB3BE5"/>
    <w:rsid w:val="00AB3D3A"/>
    <w:rsid w:val="00AB3D6D"/>
    <w:rsid w:val="00AB3E85"/>
    <w:rsid w:val="00AB3EE4"/>
    <w:rsid w:val="00AB3FAB"/>
    <w:rsid w:val="00AB419A"/>
    <w:rsid w:val="00AB4420"/>
    <w:rsid w:val="00AB4455"/>
    <w:rsid w:val="00AB47DF"/>
    <w:rsid w:val="00AB49CA"/>
    <w:rsid w:val="00AB4A6A"/>
    <w:rsid w:val="00AB4B36"/>
    <w:rsid w:val="00AB4CFC"/>
    <w:rsid w:val="00AB4F7C"/>
    <w:rsid w:val="00AB4FC6"/>
    <w:rsid w:val="00AB4FCD"/>
    <w:rsid w:val="00AB5059"/>
    <w:rsid w:val="00AB5084"/>
    <w:rsid w:val="00AB515F"/>
    <w:rsid w:val="00AB522B"/>
    <w:rsid w:val="00AB5462"/>
    <w:rsid w:val="00AB54BF"/>
    <w:rsid w:val="00AB5587"/>
    <w:rsid w:val="00AB55E9"/>
    <w:rsid w:val="00AB58A7"/>
    <w:rsid w:val="00AB5AE0"/>
    <w:rsid w:val="00AB5C73"/>
    <w:rsid w:val="00AB5EED"/>
    <w:rsid w:val="00AB5F2A"/>
    <w:rsid w:val="00AB5F57"/>
    <w:rsid w:val="00AB60BF"/>
    <w:rsid w:val="00AB61BA"/>
    <w:rsid w:val="00AB623F"/>
    <w:rsid w:val="00AB62D0"/>
    <w:rsid w:val="00AB6346"/>
    <w:rsid w:val="00AB636E"/>
    <w:rsid w:val="00AB652E"/>
    <w:rsid w:val="00AB66A4"/>
    <w:rsid w:val="00AB6974"/>
    <w:rsid w:val="00AB6ADD"/>
    <w:rsid w:val="00AB6B76"/>
    <w:rsid w:val="00AB6C77"/>
    <w:rsid w:val="00AB6D64"/>
    <w:rsid w:val="00AB6E3C"/>
    <w:rsid w:val="00AB6E4F"/>
    <w:rsid w:val="00AB6F3A"/>
    <w:rsid w:val="00AB6F99"/>
    <w:rsid w:val="00AB70C2"/>
    <w:rsid w:val="00AB70C3"/>
    <w:rsid w:val="00AB7476"/>
    <w:rsid w:val="00AB7698"/>
    <w:rsid w:val="00AB7850"/>
    <w:rsid w:val="00AB7965"/>
    <w:rsid w:val="00AB7C51"/>
    <w:rsid w:val="00AB7D0A"/>
    <w:rsid w:val="00AB7D7C"/>
    <w:rsid w:val="00AC016B"/>
    <w:rsid w:val="00AC01CD"/>
    <w:rsid w:val="00AC0709"/>
    <w:rsid w:val="00AC074A"/>
    <w:rsid w:val="00AC081F"/>
    <w:rsid w:val="00AC0883"/>
    <w:rsid w:val="00AC089C"/>
    <w:rsid w:val="00AC09EF"/>
    <w:rsid w:val="00AC0AD4"/>
    <w:rsid w:val="00AC0CB4"/>
    <w:rsid w:val="00AC0D5B"/>
    <w:rsid w:val="00AC0D7B"/>
    <w:rsid w:val="00AC1051"/>
    <w:rsid w:val="00AC10BD"/>
    <w:rsid w:val="00AC10E0"/>
    <w:rsid w:val="00AC1218"/>
    <w:rsid w:val="00AC1661"/>
    <w:rsid w:val="00AC180E"/>
    <w:rsid w:val="00AC182C"/>
    <w:rsid w:val="00AC192F"/>
    <w:rsid w:val="00AC1B11"/>
    <w:rsid w:val="00AC1B21"/>
    <w:rsid w:val="00AC1B56"/>
    <w:rsid w:val="00AC1BE5"/>
    <w:rsid w:val="00AC1DAB"/>
    <w:rsid w:val="00AC2174"/>
    <w:rsid w:val="00AC236D"/>
    <w:rsid w:val="00AC254D"/>
    <w:rsid w:val="00AC261F"/>
    <w:rsid w:val="00AC2A21"/>
    <w:rsid w:val="00AC2C57"/>
    <w:rsid w:val="00AC2C8B"/>
    <w:rsid w:val="00AC2CA9"/>
    <w:rsid w:val="00AC2D2F"/>
    <w:rsid w:val="00AC2F44"/>
    <w:rsid w:val="00AC32D1"/>
    <w:rsid w:val="00AC33D5"/>
    <w:rsid w:val="00AC33FD"/>
    <w:rsid w:val="00AC342F"/>
    <w:rsid w:val="00AC3522"/>
    <w:rsid w:val="00AC35D4"/>
    <w:rsid w:val="00AC37BB"/>
    <w:rsid w:val="00AC37E4"/>
    <w:rsid w:val="00AC37EA"/>
    <w:rsid w:val="00AC38F7"/>
    <w:rsid w:val="00AC395B"/>
    <w:rsid w:val="00AC3A4C"/>
    <w:rsid w:val="00AC3BA9"/>
    <w:rsid w:val="00AC3F5D"/>
    <w:rsid w:val="00AC3FC6"/>
    <w:rsid w:val="00AC40ED"/>
    <w:rsid w:val="00AC4250"/>
    <w:rsid w:val="00AC4294"/>
    <w:rsid w:val="00AC44E7"/>
    <w:rsid w:val="00AC4535"/>
    <w:rsid w:val="00AC460A"/>
    <w:rsid w:val="00AC4701"/>
    <w:rsid w:val="00AC4877"/>
    <w:rsid w:val="00AC496E"/>
    <w:rsid w:val="00AC4975"/>
    <w:rsid w:val="00AC499E"/>
    <w:rsid w:val="00AC4ADC"/>
    <w:rsid w:val="00AC4B48"/>
    <w:rsid w:val="00AC4EBF"/>
    <w:rsid w:val="00AC4EE5"/>
    <w:rsid w:val="00AC51C8"/>
    <w:rsid w:val="00AC52BF"/>
    <w:rsid w:val="00AC54B9"/>
    <w:rsid w:val="00AC5566"/>
    <w:rsid w:val="00AC5573"/>
    <w:rsid w:val="00AC580A"/>
    <w:rsid w:val="00AC588C"/>
    <w:rsid w:val="00AC59D7"/>
    <w:rsid w:val="00AC5CFB"/>
    <w:rsid w:val="00AC5D10"/>
    <w:rsid w:val="00AC5D80"/>
    <w:rsid w:val="00AC5FC5"/>
    <w:rsid w:val="00AC60A6"/>
    <w:rsid w:val="00AC6111"/>
    <w:rsid w:val="00AC6171"/>
    <w:rsid w:val="00AC65C6"/>
    <w:rsid w:val="00AC6619"/>
    <w:rsid w:val="00AC6628"/>
    <w:rsid w:val="00AC677A"/>
    <w:rsid w:val="00AC6904"/>
    <w:rsid w:val="00AC691A"/>
    <w:rsid w:val="00AC6948"/>
    <w:rsid w:val="00AC694D"/>
    <w:rsid w:val="00AC69C3"/>
    <w:rsid w:val="00AC6A1B"/>
    <w:rsid w:val="00AC6C20"/>
    <w:rsid w:val="00AC6E1A"/>
    <w:rsid w:val="00AC6FFF"/>
    <w:rsid w:val="00AC703D"/>
    <w:rsid w:val="00AC7087"/>
    <w:rsid w:val="00AC70E7"/>
    <w:rsid w:val="00AC7215"/>
    <w:rsid w:val="00AC7401"/>
    <w:rsid w:val="00AC7446"/>
    <w:rsid w:val="00AC7471"/>
    <w:rsid w:val="00AC755F"/>
    <w:rsid w:val="00AC76DE"/>
    <w:rsid w:val="00AC7859"/>
    <w:rsid w:val="00AC78B3"/>
    <w:rsid w:val="00AC7940"/>
    <w:rsid w:val="00AC79AB"/>
    <w:rsid w:val="00AC79C1"/>
    <w:rsid w:val="00AC79DB"/>
    <w:rsid w:val="00AC7A62"/>
    <w:rsid w:val="00AC7AD2"/>
    <w:rsid w:val="00AC7BE3"/>
    <w:rsid w:val="00AC7DE1"/>
    <w:rsid w:val="00AC7E32"/>
    <w:rsid w:val="00AC7F0C"/>
    <w:rsid w:val="00AD0007"/>
    <w:rsid w:val="00AD00F3"/>
    <w:rsid w:val="00AD01EB"/>
    <w:rsid w:val="00AD0264"/>
    <w:rsid w:val="00AD031F"/>
    <w:rsid w:val="00AD04DB"/>
    <w:rsid w:val="00AD05C4"/>
    <w:rsid w:val="00AD0612"/>
    <w:rsid w:val="00AD065F"/>
    <w:rsid w:val="00AD0ACD"/>
    <w:rsid w:val="00AD0D4B"/>
    <w:rsid w:val="00AD0FDA"/>
    <w:rsid w:val="00AD13B2"/>
    <w:rsid w:val="00AD15F9"/>
    <w:rsid w:val="00AD1603"/>
    <w:rsid w:val="00AD1714"/>
    <w:rsid w:val="00AD1D45"/>
    <w:rsid w:val="00AD1E7B"/>
    <w:rsid w:val="00AD204A"/>
    <w:rsid w:val="00AD205C"/>
    <w:rsid w:val="00AD20F1"/>
    <w:rsid w:val="00AD23E6"/>
    <w:rsid w:val="00AD260F"/>
    <w:rsid w:val="00AD2640"/>
    <w:rsid w:val="00AD2691"/>
    <w:rsid w:val="00AD2A98"/>
    <w:rsid w:val="00AD2B30"/>
    <w:rsid w:val="00AD2EA0"/>
    <w:rsid w:val="00AD2F93"/>
    <w:rsid w:val="00AD3059"/>
    <w:rsid w:val="00AD30BF"/>
    <w:rsid w:val="00AD31EC"/>
    <w:rsid w:val="00AD379D"/>
    <w:rsid w:val="00AD37B0"/>
    <w:rsid w:val="00AD3A41"/>
    <w:rsid w:val="00AD3CB7"/>
    <w:rsid w:val="00AD3D89"/>
    <w:rsid w:val="00AD3F13"/>
    <w:rsid w:val="00AD400E"/>
    <w:rsid w:val="00AD41EA"/>
    <w:rsid w:val="00AD41FC"/>
    <w:rsid w:val="00AD431D"/>
    <w:rsid w:val="00AD47F0"/>
    <w:rsid w:val="00AD4817"/>
    <w:rsid w:val="00AD4891"/>
    <w:rsid w:val="00AD495E"/>
    <w:rsid w:val="00AD4969"/>
    <w:rsid w:val="00AD4B7B"/>
    <w:rsid w:val="00AD4C7E"/>
    <w:rsid w:val="00AD4E2B"/>
    <w:rsid w:val="00AD4F61"/>
    <w:rsid w:val="00AD5120"/>
    <w:rsid w:val="00AD5165"/>
    <w:rsid w:val="00AD5445"/>
    <w:rsid w:val="00AD55F0"/>
    <w:rsid w:val="00AD562D"/>
    <w:rsid w:val="00AD5668"/>
    <w:rsid w:val="00AD585E"/>
    <w:rsid w:val="00AD5B01"/>
    <w:rsid w:val="00AD5B63"/>
    <w:rsid w:val="00AD5BE0"/>
    <w:rsid w:val="00AD5C18"/>
    <w:rsid w:val="00AD5F46"/>
    <w:rsid w:val="00AD5FC9"/>
    <w:rsid w:val="00AD606F"/>
    <w:rsid w:val="00AD611C"/>
    <w:rsid w:val="00AD625A"/>
    <w:rsid w:val="00AD6348"/>
    <w:rsid w:val="00AD6574"/>
    <w:rsid w:val="00AD6753"/>
    <w:rsid w:val="00AD683F"/>
    <w:rsid w:val="00AD6865"/>
    <w:rsid w:val="00AD6927"/>
    <w:rsid w:val="00AD6945"/>
    <w:rsid w:val="00AD6A05"/>
    <w:rsid w:val="00AD6A95"/>
    <w:rsid w:val="00AD6C7B"/>
    <w:rsid w:val="00AD6D7A"/>
    <w:rsid w:val="00AD6DCF"/>
    <w:rsid w:val="00AD6E4B"/>
    <w:rsid w:val="00AD6F4E"/>
    <w:rsid w:val="00AD70AB"/>
    <w:rsid w:val="00AD70C1"/>
    <w:rsid w:val="00AD70DB"/>
    <w:rsid w:val="00AD70F3"/>
    <w:rsid w:val="00AD71B6"/>
    <w:rsid w:val="00AD71F0"/>
    <w:rsid w:val="00AD71F4"/>
    <w:rsid w:val="00AD735F"/>
    <w:rsid w:val="00AD73C4"/>
    <w:rsid w:val="00AD7502"/>
    <w:rsid w:val="00AD761B"/>
    <w:rsid w:val="00AD76FC"/>
    <w:rsid w:val="00AD77A8"/>
    <w:rsid w:val="00AD77E2"/>
    <w:rsid w:val="00AD78BA"/>
    <w:rsid w:val="00AD7BBA"/>
    <w:rsid w:val="00AD7BEC"/>
    <w:rsid w:val="00AD7BF7"/>
    <w:rsid w:val="00AD7E43"/>
    <w:rsid w:val="00AD7FDD"/>
    <w:rsid w:val="00AE002F"/>
    <w:rsid w:val="00AE01EE"/>
    <w:rsid w:val="00AE02D9"/>
    <w:rsid w:val="00AE0355"/>
    <w:rsid w:val="00AE04D7"/>
    <w:rsid w:val="00AE0528"/>
    <w:rsid w:val="00AE055D"/>
    <w:rsid w:val="00AE05D1"/>
    <w:rsid w:val="00AE07CF"/>
    <w:rsid w:val="00AE0891"/>
    <w:rsid w:val="00AE08A5"/>
    <w:rsid w:val="00AE09A0"/>
    <w:rsid w:val="00AE09C0"/>
    <w:rsid w:val="00AE0A76"/>
    <w:rsid w:val="00AE0AEE"/>
    <w:rsid w:val="00AE0B3B"/>
    <w:rsid w:val="00AE0C4F"/>
    <w:rsid w:val="00AE1474"/>
    <w:rsid w:val="00AE15CA"/>
    <w:rsid w:val="00AE17B3"/>
    <w:rsid w:val="00AE180D"/>
    <w:rsid w:val="00AE199E"/>
    <w:rsid w:val="00AE19E9"/>
    <w:rsid w:val="00AE1B05"/>
    <w:rsid w:val="00AE1D62"/>
    <w:rsid w:val="00AE216E"/>
    <w:rsid w:val="00AE21A7"/>
    <w:rsid w:val="00AE2270"/>
    <w:rsid w:val="00AE22F1"/>
    <w:rsid w:val="00AE23F2"/>
    <w:rsid w:val="00AE251D"/>
    <w:rsid w:val="00AE25F5"/>
    <w:rsid w:val="00AE2886"/>
    <w:rsid w:val="00AE2904"/>
    <w:rsid w:val="00AE2B4B"/>
    <w:rsid w:val="00AE2C77"/>
    <w:rsid w:val="00AE2C7E"/>
    <w:rsid w:val="00AE2DC8"/>
    <w:rsid w:val="00AE2EEB"/>
    <w:rsid w:val="00AE2F5F"/>
    <w:rsid w:val="00AE2F86"/>
    <w:rsid w:val="00AE346E"/>
    <w:rsid w:val="00AE3578"/>
    <w:rsid w:val="00AE370B"/>
    <w:rsid w:val="00AE3797"/>
    <w:rsid w:val="00AE3C72"/>
    <w:rsid w:val="00AE3CC4"/>
    <w:rsid w:val="00AE3D50"/>
    <w:rsid w:val="00AE3D5B"/>
    <w:rsid w:val="00AE3D9C"/>
    <w:rsid w:val="00AE3E72"/>
    <w:rsid w:val="00AE40A8"/>
    <w:rsid w:val="00AE4143"/>
    <w:rsid w:val="00AE41DD"/>
    <w:rsid w:val="00AE4250"/>
    <w:rsid w:val="00AE445E"/>
    <w:rsid w:val="00AE46A2"/>
    <w:rsid w:val="00AE484E"/>
    <w:rsid w:val="00AE4A01"/>
    <w:rsid w:val="00AE4DC6"/>
    <w:rsid w:val="00AE4E04"/>
    <w:rsid w:val="00AE4E6E"/>
    <w:rsid w:val="00AE4F7A"/>
    <w:rsid w:val="00AE52AE"/>
    <w:rsid w:val="00AE5323"/>
    <w:rsid w:val="00AE5384"/>
    <w:rsid w:val="00AE542F"/>
    <w:rsid w:val="00AE5433"/>
    <w:rsid w:val="00AE5670"/>
    <w:rsid w:val="00AE5688"/>
    <w:rsid w:val="00AE5777"/>
    <w:rsid w:val="00AE5828"/>
    <w:rsid w:val="00AE5849"/>
    <w:rsid w:val="00AE596A"/>
    <w:rsid w:val="00AE5972"/>
    <w:rsid w:val="00AE59CD"/>
    <w:rsid w:val="00AE5BD9"/>
    <w:rsid w:val="00AE5CC2"/>
    <w:rsid w:val="00AE5F54"/>
    <w:rsid w:val="00AE5F7B"/>
    <w:rsid w:val="00AE5FC4"/>
    <w:rsid w:val="00AE6029"/>
    <w:rsid w:val="00AE607E"/>
    <w:rsid w:val="00AE6201"/>
    <w:rsid w:val="00AE622E"/>
    <w:rsid w:val="00AE6301"/>
    <w:rsid w:val="00AE63C1"/>
    <w:rsid w:val="00AE661D"/>
    <w:rsid w:val="00AE6655"/>
    <w:rsid w:val="00AE670C"/>
    <w:rsid w:val="00AE685A"/>
    <w:rsid w:val="00AE6B9C"/>
    <w:rsid w:val="00AE6BA9"/>
    <w:rsid w:val="00AE6C3C"/>
    <w:rsid w:val="00AE70F0"/>
    <w:rsid w:val="00AE719C"/>
    <w:rsid w:val="00AE72A2"/>
    <w:rsid w:val="00AE74AE"/>
    <w:rsid w:val="00AE75AD"/>
    <w:rsid w:val="00AE770A"/>
    <w:rsid w:val="00AE7755"/>
    <w:rsid w:val="00AE781D"/>
    <w:rsid w:val="00AE7852"/>
    <w:rsid w:val="00AE7943"/>
    <w:rsid w:val="00AE795B"/>
    <w:rsid w:val="00AE79A4"/>
    <w:rsid w:val="00AE7C5F"/>
    <w:rsid w:val="00AE7E50"/>
    <w:rsid w:val="00AF0054"/>
    <w:rsid w:val="00AF00D0"/>
    <w:rsid w:val="00AF012B"/>
    <w:rsid w:val="00AF033F"/>
    <w:rsid w:val="00AF0506"/>
    <w:rsid w:val="00AF064D"/>
    <w:rsid w:val="00AF07A5"/>
    <w:rsid w:val="00AF0859"/>
    <w:rsid w:val="00AF0873"/>
    <w:rsid w:val="00AF0957"/>
    <w:rsid w:val="00AF09C0"/>
    <w:rsid w:val="00AF0C26"/>
    <w:rsid w:val="00AF0F48"/>
    <w:rsid w:val="00AF12B7"/>
    <w:rsid w:val="00AF1327"/>
    <w:rsid w:val="00AF14F1"/>
    <w:rsid w:val="00AF15AA"/>
    <w:rsid w:val="00AF16F6"/>
    <w:rsid w:val="00AF17F0"/>
    <w:rsid w:val="00AF196C"/>
    <w:rsid w:val="00AF1A1A"/>
    <w:rsid w:val="00AF1C64"/>
    <w:rsid w:val="00AF1C66"/>
    <w:rsid w:val="00AF1F73"/>
    <w:rsid w:val="00AF1F83"/>
    <w:rsid w:val="00AF2174"/>
    <w:rsid w:val="00AF225A"/>
    <w:rsid w:val="00AF2465"/>
    <w:rsid w:val="00AF24AA"/>
    <w:rsid w:val="00AF26CB"/>
    <w:rsid w:val="00AF2D4F"/>
    <w:rsid w:val="00AF2F48"/>
    <w:rsid w:val="00AF2F86"/>
    <w:rsid w:val="00AF3477"/>
    <w:rsid w:val="00AF3653"/>
    <w:rsid w:val="00AF3677"/>
    <w:rsid w:val="00AF3720"/>
    <w:rsid w:val="00AF39EA"/>
    <w:rsid w:val="00AF3A44"/>
    <w:rsid w:val="00AF3AAD"/>
    <w:rsid w:val="00AF3ADD"/>
    <w:rsid w:val="00AF3C9B"/>
    <w:rsid w:val="00AF3DDF"/>
    <w:rsid w:val="00AF3DFE"/>
    <w:rsid w:val="00AF3ECE"/>
    <w:rsid w:val="00AF426D"/>
    <w:rsid w:val="00AF4388"/>
    <w:rsid w:val="00AF4700"/>
    <w:rsid w:val="00AF475B"/>
    <w:rsid w:val="00AF47EE"/>
    <w:rsid w:val="00AF4ADA"/>
    <w:rsid w:val="00AF4BED"/>
    <w:rsid w:val="00AF4F3E"/>
    <w:rsid w:val="00AF4F3F"/>
    <w:rsid w:val="00AF5041"/>
    <w:rsid w:val="00AF511C"/>
    <w:rsid w:val="00AF51EA"/>
    <w:rsid w:val="00AF52CA"/>
    <w:rsid w:val="00AF54D3"/>
    <w:rsid w:val="00AF5501"/>
    <w:rsid w:val="00AF5640"/>
    <w:rsid w:val="00AF5834"/>
    <w:rsid w:val="00AF5838"/>
    <w:rsid w:val="00AF583E"/>
    <w:rsid w:val="00AF5892"/>
    <w:rsid w:val="00AF5932"/>
    <w:rsid w:val="00AF5A4E"/>
    <w:rsid w:val="00AF5C62"/>
    <w:rsid w:val="00AF5D6F"/>
    <w:rsid w:val="00AF5D9E"/>
    <w:rsid w:val="00AF5F75"/>
    <w:rsid w:val="00AF6073"/>
    <w:rsid w:val="00AF64BA"/>
    <w:rsid w:val="00AF65FA"/>
    <w:rsid w:val="00AF698C"/>
    <w:rsid w:val="00AF6A06"/>
    <w:rsid w:val="00AF6B3C"/>
    <w:rsid w:val="00AF6DB2"/>
    <w:rsid w:val="00AF6DB4"/>
    <w:rsid w:val="00AF6F81"/>
    <w:rsid w:val="00AF71C2"/>
    <w:rsid w:val="00AF727A"/>
    <w:rsid w:val="00AF75F9"/>
    <w:rsid w:val="00AF77B8"/>
    <w:rsid w:val="00AF7903"/>
    <w:rsid w:val="00AF79EA"/>
    <w:rsid w:val="00AF79FD"/>
    <w:rsid w:val="00AF7A8E"/>
    <w:rsid w:val="00AF7AC5"/>
    <w:rsid w:val="00AF7CBD"/>
    <w:rsid w:val="00B000DC"/>
    <w:rsid w:val="00B00317"/>
    <w:rsid w:val="00B0033F"/>
    <w:rsid w:val="00B00344"/>
    <w:rsid w:val="00B004EE"/>
    <w:rsid w:val="00B00601"/>
    <w:rsid w:val="00B0073F"/>
    <w:rsid w:val="00B007E9"/>
    <w:rsid w:val="00B00931"/>
    <w:rsid w:val="00B0094E"/>
    <w:rsid w:val="00B009B0"/>
    <w:rsid w:val="00B00C2B"/>
    <w:rsid w:val="00B00FA4"/>
    <w:rsid w:val="00B01081"/>
    <w:rsid w:val="00B01314"/>
    <w:rsid w:val="00B01395"/>
    <w:rsid w:val="00B013EB"/>
    <w:rsid w:val="00B01405"/>
    <w:rsid w:val="00B01449"/>
    <w:rsid w:val="00B01489"/>
    <w:rsid w:val="00B015B7"/>
    <w:rsid w:val="00B01649"/>
    <w:rsid w:val="00B018A9"/>
    <w:rsid w:val="00B01952"/>
    <w:rsid w:val="00B01973"/>
    <w:rsid w:val="00B01A30"/>
    <w:rsid w:val="00B01C7A"/>
    <w:rsid w:val="00B01FA5"/>
    <w:rsid w:val="00B020EF"/>
    <w:rsid w:val="00B02297"/>
    <w:rsid w:val="00B022FC"/>
    <w:rsid w:val="00B0237C"/>
    <w:rsid w:val="00B023F1"/>
    <w:rsid w:val="00B024FE"/>
    <w:rsid w:val="00B026B3"/>
    <w:rsid w:val="00B0277F"/>
    <w:rsid w:val="00B0294E"/>
    <w:rsid w:val="00B02D9D"/>
    <w:rsid w:val="00B02DE6"/>
    <w:rsid w:val="00B02F36"/>
    <w:rsid w:val="00B03006"/>
    <w:rsid w:val="00B03058"/>
    <w:rsid w:val="00B030E0"/>
    <w:rsid w:val="00B0316B"/>
    <w:rsid w:val="00B03211"/>
    <w:rsid w:val="00B032A7"/>
    <w:rsid w:val="00B03504"/>
    <w:rsid w:val="00B03862"/>
    <w:rsid w:val="00B038AB"/>
    <w:rsid w:val="00B03975"/>
    <w:rsid w:val="00B039CC"/>
    <w:rsid w:val="00B03CAC"/>
    <w:rsid w:val="00B03CC6"/>
    <w:rsid w:val="00B03E06"/>
    <w:rsid w:val="00B03E5B"/>
    <w:rsid w:val="00B03EA7"/>
    <w:rsid w:val="00B03EC3"/>
    <w:rsid w:val="00B03ECE"/>
    <w:rsid w:val="00B040AD"/>
    <w:rsid w:val="00B0414E"/>
    <w:rsid w:val="00B0455E"/>
    <w:rsid w:val="00B045AA"/>
    <w:rsid w:val="00B046A6"/>
    <w:rsid w:val="00B04755"/>
    <w:rsid w:val="00B0476B"/>
    <w:rsid w:val="00B04808"/>
    <w:rsid w:val="00B048B7"/>
    <w:rsid w:val="00B04CB9"/>
    <w:rsid w:val="00B04D1A"/>
    <w:rsid w:val="00B04DE1"/>
    <w:rsid w:val="00B04FE1"/>
    <w:rsid w:val="00B05307"/>
    <w:rsid w:val="00B05314"/>
    <w:rsid w:val="00B053E6"/>
    <w:rsid w:val="00B053F2"/>
    <w:rsid w:val="00B0548C"/>
    <w:rsid w:val="00B054D3"/>
    <w:rsid w:val="00B05564"/>
    <w:rsid w:val="00B0566B"/>
    <w:rsid w:val="00B0577C"/>
    <w:rsid w:val="00B059D3"/>
    <w:rsid w:val="00B05ADD"/>
    <w:rsid w:val="00B05C26"/>
    <w:rsid w:val="00B05C7E"/>
    <w:rsid w:val="00B05CE7"/>
    <w:rsid w:val="00B05DDC"/>
    <w:rsid w:val="00B0618A"/>
    <w:rsid w:val="00B06241"/>
    <w:rsid w:val="00B062CD"/>
    <w:rsid w:val="00B06306"/>
    <w:rsid w:val="00B0642B"/>
    <w:rsid w:val="00B064F4"/>
    <w:rsid w:val="00B066B8"/>
    <w:rsid w:val="00B066CC"/>
    <w:rsid w:val="00B06749"/>
    <w:rsid w:val="00B0679B"/>
    <w:rsid w:val="00B067C1"/>
    <w:rsid w:val="00B068D4"/>
    <w:rsid w:val="00B068EB"/>
    <w:rsid w:val="00B06918"/>
    <w:rsid w:val="00B06939"/>
    <w:rsid w:val="00B069EB"/>
    <w:rsid w:val="00B06D18"/>
    <w:rsid w:val="00B06D4A"/>
    <w:rsid w:val="00B0715D"/>
    <w:rsid w:val="00B071E3"/>
    <w:rsid w:val="00B072E2"/>
    <w:rsid w:val="00B07340"/>
    <w:rsid w:val="00B074D4"/>
    <w:rsid w:val="00B076FE"/>
    <w:rsid w:val="00B078C1"/>
    <w:rsid w:val="00B07B97"/>
    <w:rsid w:val="00B07DA1"/>
    <w:rsid w:val="00B07F71"/>
    <w:rsid w:val="00B1015F"/>
    <w:rsid w:val="00B10356"/>
    <w:rsid w:val="00B1037B"/>
    <w:rsid w:val="00B10451"/>
    <w:rsid w:val="00B1047A"/>
    <w:rsid w:val="00B104AE"/>
    <w:rsid w:val="00B10674"/>
    <w:rsid w:val="00B106A9"/>
    <w:rsid w:val="00B10BA5"/>
    <w:rsid w:val="00B10C28"/>
    <w:rsid w:val="00B10D4A"/>
    <w:rsid w:val="00B10EF6"/>
    <w:rsid w:val="00B10FD8"/>
    <w:rsid w:val="00B10FF2"/>
    <w:rsid w:val="00B10FFA"/>
    <w:rsid w:val="00B11042"/>
    <w:rsid w:val="00B110E6"/>
    <w:rsid w:val="00B1114A"/>
    <w:rsid w:val="00B112B6"/>
    <w:rsid w:val="00B113C5"/>
    <w:rsid w:val="00B116DD"/>
    <w:rsid w:val="00B11787"/>
    <w:rsid w:val="00B117C3"/>
    <w:rsid w:val="00B1182A"/>
    <w:rsid w:val="00B1196E"/>
    <w:rsid w:val="00B11A69"/>
    <w:rsid w:val="00B11D08"/>
    <w:rsid w:val="00B12046"/>
    <w:rsid w:val="00B12198"/>
    <w:rsid w:val="00B121E8"/>
    <w:rsid w:val="00B12689"/>
    <w:rsid w:val="00B128D1"/>
    <w:rsid w:val="00B128E8"/>
    <w:rsid w:val="00B12999"/>
    <w:rsid w:val="00B12ABA"/>
    <w:rsid w:val="00B12AD9"/>
    <w:rsid w:val="00B12D47"/>
    <w:rsid w:val="00B12DBB"/>
    <w:rsid w:val="00B12E41"/>
    <w:rsid w:val="00B12F4B"/>
    <w:rsid w:val="00B12F4D"/>
    <w:rsid w:val="00B12F90"/>
    <w:rsid w:val="00B1315C"/>
    <w:rsid w:val="00B13162"/>
    <w:rsid w:val="00B1316D"/>
    <w:rsid w:val="00B13185"/>
    <w:rsid w:val="00B131CC"/>
    <w:rsid w:val="00B13310"/>
    <w:rsid w:val="00B1341E"/>
    <w:rsid w:val="00B134B2"/>
    <w:rsid w:val="00B1355E"/>
    <w:rsid w:val="00B135B5"/>
    <w:rsid w:val="00B136AE"/>
    <w:rsid w:val="00B136EE"/>
    <w:rsid w:val="00B1390E"/>
    <w:rsid w:val="00B13A52"/>
    <w:rsid w:val="00B13C04"/>
    <w:rsid w:val="00B13CA9"/>
    <w:rsid w:val="00B13F57"/>
    <w:rsid w:val="00B142DB"/>
    <w:rsid w:val="00B14483"/>
    <w:rsid w:val="00B146D0"/>
    <w:rsid w:val="00B146F4"/>
    <w:rsid w:val="00B14AF8"/>
    <w:rsid w:val="00B14C5D"/>
    <w:rsid w:val="00B14CC3"/>
    <w:rsid w:val="00B14CDB"/>
    <w:rsid w:val="00B14D84"/>
    <w:rsid w:val="00B14E11"/>
    <w:rsid w:val="00B14E27"/>
    <w:rsid w:val="00B1506A"/>
    <w:rsid w:val="00B15099"/>
    <w:rsid w:val="00B150D2"/>
    <w:rsid w:val="00B150DD"/>
    <w:rsid w:val="00B15323"/>
    <w:rsid w:val="00B154E6"/>
    <w:rsid w:val="00B15534"/>
    <w:rsid w:val="00B15585"/>
    <w:rsid w:val="00B155E9"/>
    <w:rsid w:val="00B158A5"/>
    <w:rsid w:val="00B159FF"/>
    <w:rsid w:val="00B15AFC"/>
    <w:rsid w:val="00B15C56"/>
    <w:rsid w:val="00B15CA2"/>
    <w:rsid w:val="00B1611A"/>
    <w:rsid w:val="00B16175"/>
    <w:rsid w:val="00B161F9"/>
    <w:rsid w:val="00B1620D"/>
    <w:rsid w:val="00B16495"/>
    <w:rsid w:val="00B165EF"/>
    <w:rsid w:val="00B166C9"/>
    <w:rsid w:val="00B166FE"/>
    <w:rsid w:val="00B167B5"/>
    <w:rsid w:val="00B16847"/>
    <w:rsid w:val="00B16B0B"/>
    <w:rsid w:val="00B16BDB"/>
    <w:rsid w:val="00B16D4C"/>
    <w:rsid w:val="00B16F12"/>
    <w:rsid w:val="00B16FC0"/>
    <w:rsid w:val="00B17010"/>
    <w:rsid w:val="00B17017"/>
    <w:rsid w:val="00B1708A"/>
    <w:rsid w:val="00B171C2"/>
    <w:rsid w:val="00B17251"/>
    <w:rsid w:val="00B1729F"/>
    <w:rsid w:val="00B173C9"/>
    <w:rsid w:val="00B17412"/>
    <w:rsid w:val="00B175BD"/>
    <w:rsid w:val="00B1771D"/>
    <w:rsid w:val="00B17828"/>
    <w:rsid w:val="00B178D1"/>
    <w:rsid w:val="00B1793D"/>
    <w:rsid w:val="00B17A3E"/>
    <w:rsid w:val="00B17B0C"/>
    <w:rsid w:val="00B17B5E"/>
    <w:rsid w:val="00B17BCB"/>
    <w:rsid w:val="00B17C98"/>
    <w:rsid w:val="00B2005E"/>
    <w:rsid w:val="00B20204"/>
    <w:rsid w:val="00B2022E"/>
    <w:rsid w:val="00B20343"/>
    <w:rsid w:val="00B203B9"/>
    <w:rsid w:val="00B20556"/>
    <w:rsid w:val="00B20739"/>
    <w:rsid w:val="00B2097D"/>
    <w:rsid w:val="00B20BBA"/>
    <w:rsid w:val="00B20CED"/>
    <w:rsid w:val="00B20D21"/>
    <w:rsid w:val="00B20E01"/>
    <w:rsid w:val="00B20FEB"/>
    <w:rsid w:val="00B211AC"/>
    <w:rsid w:val="00B211AD"/>
    <w:rsid w:val="00B21540"/>
    <w:rsid w:val="00B215AB"/>
    <w:rsid w:val="00B216EB"/>
    <w:rsid w:val="00B2195C"/>
    <w:rsid w:val="00B219BD"/>
    <w:rsid w:val="00B21AB0"/>
    <w:rsid w:val="00B21ACB"/>
    <w:rsid w:val="00B21BB1"/>
    <w:rsid w:val="00B21D0B"/>
    <w:rsid w:val="00B21E42"/>
    <w:rsid w:val="00B21E8A"/>
    <w:rsid w:val="00B21EC5"/>
    <w:rsid w:val="00B21F06"/>
    <w:rsid w:val="00B21FE0"/>
    <w:rsid w:val="00B2208D"/>
    <w:rsid w:val="00B2227A"/>
    <w:rsid w:val="00B222A7"/>
    <w:rsid w:val="00B2246E"/>
    <w:rsid w:val="00B22484"/>
    <w:rsid w:val="00B224BF"/>
    <w:rsid w:val="00B224CE"/>
    <w:rsid w:val="00B22695"/>
    <w:rsid w:val="00B2271F"/>
    <w:rsid w:val="00B22983"/>
    <w:rsid w:val="00B22BA2"/>
    <w:rsid w:val="00B22C09"/>
    <w:rsid w:val="00B22CC0"/>
    <w:rsid w:val="00B23267"/>
    <w:rsid w:val="00B23659"/>
    <w:rsid w:val="00B23689"/>
    <w:rsid w:val="00B23801"/>
    <w:rsid w:val="00B23B20"/>
    <w:rsid w:val="00B23C2E"/>
    <w:rsid w:val="00B23C9D"/>
    <w:rsid w:val="00B23E9A"/>
    <w:rsid w:val="00B23FDD"/>
    <w:rsid w:val="00B2406F"/>
    <w:rsid w:val="00B241BE"/>
    <w:rsid w:val="00B242A1"/>
    <w:rsid w:val="00B24374"/>
    <w:rsid w:val="00B243DC"/>
    <w:rsid w:val="00B24541"/>
    <w:rsid w:val="00B246CB"/>
    <w:rsid w:val="00B24721"/>
    <w:rsid w:val="00B247CA"/>
    <w:rsid w:val="00B24A10"/>
    <w:rsid w:val="00B24C02"/>
    <w:rsid w:val="00B24E6B"/>
    <w:rsid w:val="00B24E7D"/>
    <w:rsid w:val="00B24E97"/>
    <w:rsid w:val="00B24EBE"/>
    <w:rsid w:val="00B2507A"/>
    <w:rsid w:val="00B2521C"/>
    <w:rsid w:val="00B25301"/>
    <w:rsid w:val="00B253C0"/>
    <w:rsid w:val="00B25407"/>
    <w:rsid w:val="00B25426"/>
    <w:rsid w:val="00B25461"/>
    <w:rsid w:val="00B25488"/>
    <w:rsid w:val="00B254DA"/>
    <w:rsid w:val="00B25541"/>
    <w:rsid w:val="00B255A5"/>
    <w:rsid w:val="00B255FF"/>
    <w:rsid w:val="00B2577B"/>
    <w:rsid w:val="00B257B9"/>
    <w:rsid w:val="00B25930"/>
    <w:rsid w:val="00B25BD1"/>
    <w:rsid w:val="00B25C1C"/>
    <w:rsid w:val="00B25F89"/>
    <w:rsid w:val="00B26233"/>
    <w:rsid w:val="00B262C0"/>
    <w:rsid w:val="00B262F0"/>
    <w:rsid w:val="00B262FD"/>
    <w:rsid w:val="00B26407"/>
    <w:rsid w:val="00B265AC"/>
    <w:rsid w:val="00B265D1"/>
    <w:rsid w:val="00B267BC"/>
    <w:rsid w:val="00B26A6B"/>
    <w:rsid w:val="00B26BB0"/>
    <w:rsid w:val="00B26C02"/>
    <w:rsid w:val="00B26C68"/>
    <w:rsid w:val="00B26E42"/>
    <w:rsid w:val="00B26FA3"/>
    <w:rsid w:val="00B27025"/>
    <w:rsid w:val="00B270C0"/>
    <w:rsid w:val="00B271E3"/>
    <w:rsid w:val="00B271E8"/>
    <w:rsid w:val="00B27298"/>
    <w:rsid w:val="00B272C2"/>
    <w:rsid w:val="00B2737E"/>
    <w:rsid w:val="00B27432"/>
    <w:rsid w:val="00B275BE"/>
    <w:rsid w:val="00B2775A"/>
    <w:rsid w:val="00B2786B"/>
    <w:rsid w:val="00B278B7"/>
    <w:rsid w:val="00B2799F"/>
    <w:rsid w:val="00B30078"/>
    <w:rsid w:val="00B30236"/>
    <w:rsid w:val="00B305E5"/>
    <w:rsid w:val="00B30822"/>
    <w:rsid w:val="00B30919"/>
    <w:rsid w:val="00B309A7"/>
    <w:rsid w:val="00B30A1F"/>
    <w:rsid w:val="00B30C61"/>
    <w:rsid w:val="00B30CBB"/>
    <w:rsid w:val="00B30D2D"/>
    <w:rsid w:val="00B30FA4"/>
    <w:rsid w:val="00B311F0"/>
    <w:rsid w:val="00B311FA"/>
    <w:rsid w:val="00B31250"/>
    <w:rsid w:val="00B312A0"/>
    <w:rsid w:val="00B31855"/>
    <w:rsid w:val="00B319EA"/>
    <w:rsid w:val="00B31A1E"/>
    <w:rsid w:val="00B31C6A"/>
    <w:rsid w:val="00B31CCC"/>
    <w:rsid w:val="00B31E06"/>
    <w:rsid w:val="00B31E13"/>
    <w:rsid w:val="00B31E80"/>
    <w:rsid w:val="00B31F99"/>
    <w:rsid w:val="00B32112"/>
    <w:rsid w:val="00B32174"/>
    <w:rsid w:val="00B321AE"/>
    <w:rsid w:val="00B322EB"/>
    <w:rsid w:val="00B3245D"/>
    <w:rsid w:val="00B327EB"/>
    <w:rsid w:val="00B327F7"/>
    <w:rsid w:val="00B32866"/>
    <w:rsid w:val="00B32928"/>
    <w:rsid w:val="00B32A07"/>
    <w:rsid w:val="00B32A5D"/>
    <w:rsid w:val="00B32B52"/>
    <w:rsid w:val="00B32B9F"/>
    <w:rsid w:val="00B3308C"/>
    <w:rsid w:val="00B33302"/>
    <w:rsid w:val="00B33475"/>
    <w:rsid w:val="00B3391A"/>
    <w:rsid w:val="00B33A96"/>
    <w:rsid w:val="00B33AAB"/>
    <w:rsid w:val="00B33C74"/>
    <w:rsid w:val="00B33CE9"/>
    <w:rsid w:val="00B340AA"/>
    <w:rsid w:val="00B340ED"/>
    <w:rsid w:val="00B34241"/>
    <w:rsid w:val="00B342F4"/>
    <w:rsid w:val="00B3431C"/>
    <w:rsid w:val="00B3433A"/>
    <w:rsid w:val="00B343AF"/>
    <w:rsid w:val="00B343D2"/>
    <w:rsid w:val="00B34405"/>
    <w:rsid w:val="00B346E9"/>
    <w:rsid w:val="00B34701"/>
    <w:rsid w:val="00B34821"/>
    <w:rsid w:val="00B34826"/>
    <w:rsid w:val="00B349A2"/>
    <w:rsid w:val="00B349AD"/>
    <w:rsid w:val="00B34A88"/>
    <w:rsid w:val="00B34AE9"/>
    <w:rsid w:val="00B34E2B"/>
    <w:rsid w:val="00B34E72"/>
    <w:rsid w:val="00B34E9C"/>
    <w:rsid w:val="00B35142"/>
    <w:rsid w:val="00B35198"/>
    <w:rsid w:val="00B354B1"/>
    <w:rsid w:val="00B35936"/>
    <w:rsid w:val="00B35AA5"/>
    <w:rsid w:val="00B35B20"/>
    <w:rsid w:val="00B35D92"/>
    <w:rsid w:val="00B35F03"/>
    <w:rsid w:val="00B35FC1"/>
    <w:rsid w:val="00B362AB"/>
    <w:rsid w:val="00B36436"/>
    <w:rsid w:val="00B36607"/>
    <w:rsid w:val="00B36616"/>
    <w:rsid w:val="00B3661A"/>
    <w:rsid w:val="00B36637"/>
    <w:rsid w:val="00B3664F"/>
    <w:rsid w:val="00B366B6"/>
    <w:rsid w:val="00B36747"/>
    <w:rsid w:val="00B36786"/>
    <w:rsid w:val="00B367F3"/>
    <w:rsid w:val="00B36803"/>
    <w:rsid w:val="00B36909"/>
    <w:rsid w:val="00B36984"/>
    <w:rsid w:val="00B36A44"/>
    <w:rsid w:val="00B36BE9"/>
    <w:rsid w:val="00B36F6E"/>
    <w:rsid w:val="00B37038"/>
    <w:rsid w:val="00B370F3"/>
    <w:rsid w:val="00B371BD"/>
    <w:rsid w:val="00B371F1"/>
    <w:rsid w:val="00B37328"/>
    <w:rsid w:val="00B376E4"/>
    <w:rsid w:val="00B377A6"/>
    <w:rsid w:val="00B377DA"/>
    <w:rsid w:val="00B3785D"/>
    <w:rsid w:val="00B37887"/>
    <w:rsid w:val="00B379BC"/>
    <w:rsid w:val="00B379E9"/>
    <w:rsid w:val="00B37C7C"/>
    <w:rsid w:val="00B37CBF"/>
    <w:rsid w:val="00B37CDC"/>
    <w:rsid w:val="00B37F6E"/>
    <w:rsid w:val="00B40010"/>
    <w:rsid w:val="00B4014D"/>
    <w:rsid w:val="00B4017C"/>
    <w:rsid w:val="00B40521"/>
    <w:rsid w:val="00B406AA"/>
    <w:rsid w:val="00B406FD"/>
    <w:rsid w:val="00B40719"/>
    <w:rsid w:val="00B408C8"/>
    <w:rsid w:val="00B4091B"/>
    <w:rsid w:val="00B40932"/>
    <w:rsid w:val="00B40A7C"/>
    <w:rsid w:val="00B40C7A"/>
    <w:rsid w:val="00B40CB3"/>
    <w:rsid w:val="00B40D51"/>
    <w:rsid w:val="00B40DF7"/>
    <w:rsid w:val="00B41186"/>
    <w:rsid w:val="00B4118C"/>
    <w:rsid w:val="00B41265"/>
    <w:rsid w:val="00B41276"/>
    <w:rsid w:val="00B417D9"/>
    <w:rsid w:val="00B41802"/>
    <w:rsid w:val="00B418A0"/>
    <w:rsid w:val="00B41B0E"/>
    <w:rsid w:val="00B41B93"/>
    <w:rsid w:val="00B41D94"/>
    <w:rsid w:val="00B41E34"/>
    <w:rsid w:val="00B41E59"/>
    <w:rsid w:val="00B41E67"/>
    <w:rsid w:val="00B41EE3"/>
    <w:rsid w:val="00B41F73"/>
    <w:rsid w:val="00B41FEB"/>
    <w:rsid w:val="00B4202D"/>
    <w:rsid w:val="00B42178"/>
    <w:rsid w:val="00B422CF"/>
    <w:rsid w:val="00B42330"/>
    <w:rsid w:val="00B424F4"/>
    <w:rsid w:val="00B42531"/>
    <w:rsid w:val="00B4266D"/>
    <w:rsid w:val="00B426AC"/>
    <w:rsid w:val="00B42755"/>
    <w:rsid w:val="00B427A9"/>
    <w:rsid w:val="00B427B9"/>
    <w:rsid w:val="00B428E9"/>
    <w:rsid w:val="00B42993"/>
    <w:rsid w:val="00B42AED"/>
    <w:rsid w:val="00B42BFB"/>
    <w:rsid w:val="00B42DB0"/>
    <w:rsid w:val="00B42EF0"/>
    <w:rsid w:val="00B42F25"/>
    <w:rsid w:val="00B43017"/>
    <w:rsid w:val="00B433DF"/>
    <w:rsid w:val="00B43460"/>
    <w:rsid w:val="00B435C9"/>
    <w:rsid w:val="00B4372A"/>
    <w:rsid w:val="00B4383C"/>
    <w:rsid w:val="00B43881"/>
    <w:rsid w:val="00B43954"/>
    <w:rsid w:val="00B43977"/>
    <w:rsid w:val="00B43A24"/>
    <w:rsid w:val="00B43B6C"/>
    <w:rsid w:val="00B43BBF"/>
    <w:rsid w:val="00B43D28"/>
    <w:rsid w:val="00B43D97"/>
    <w:rsid w:val="00B43EF1"/>
    <w:rsid w:val="00B43F4E"/>
    <w:rsid w:val="00B44684"/>
    <w:rsid w:val="00B4475C"/>
    <w:rsid w:val="00B4482C"/>
    <w:rsid w:val="00B448D7"/>
    <w:rsid w:val="00B44924"/>
    <w:rsid w:val="00B4498E"/>
    <w:rsid w:val="00B44A04"/>
    <w:rsid w:val="00B44CCC"/>
    <w:rsid w:val="00B44CD5"/>
    <w:rsid w:val="00B44E45"/>
    <w:rsid w:val="00B44E4C"/>
    <w:rsid w:val="00B44FB1"/>
    <w:rsid w:val="00B45083"/>
    <w:rsid w:val="00B450AC"/>
    <w:rsid w:val="00B452EC"/>
    <w:rsid w:val="00B45368"/>
    <w:rsid w:val="00B4544B"/>
    <w:rsid w:val="00B4588A"/>
    <w:rsid w:val="00B459B0"/>
    <w:rsid w:val="00B459B8"/>
    <w:rsid w:val="00B459DC"/>
    <w:rsid w:val="00B45C80"/>
    <w:rsid w:val="00B45E73"/>
    <w:rsid w:val="00B45EBA"/>
    <w:rsid w:val="00B45F28"/>
    <w:rsid w:val="00B45F90"/>
    <w:rsid w:val="00B45FF3"/>
    <w:rsid w:val="00B462A6"/>
    <w:rsid w:val="00B462D5"/>
    <w:rsid w:val="00B463CF"/>
    <w:rsid w:val="00B463DA"/>
    <w:rsid w:val="00B463F1"/>
    <w:rsid w:val="00B464BA"/>
    <w:rsid w:val="00B465BA"/>
    <w:rsid w:val="00B4672D"/>
    <w:rsid w:val="00B467D8"/>
    <w:rsid w:val="00B467F5"/>
    <w:rsid w:val="00B46984"/>
    <w:rsid w:val="00B46A60"/>
    <w:rsid w:val="00B46E66"/>
    <w:rsid w:val="00B46EC1"/>
    <w:rsid w:val="00B46F37"/>
    <w:rsid w:val="00B470AE"/>
    <w:rsid w:val="00B471C0"/>
    <w:rsid w:val="00B4724B"/>
    <w:rsid w:val="00B47316"/>
    <w:rsid w:val="00B47510"/>
    <w:rsid w:val="00B4751D"/>
    <w:rsid w:val="00B47691"/>
    <w:rsid w:val="00B47695"/>
    <w:rsid w:val="00B47AE2"/>
    <w:rsid w:val="00B47C0C"/>
    <w:rsid w:val="00B47E1D"/>
    <w:rsid w:val="00B47E4B"/>
    <w:rsid w:val="00B47F86"/>
    <w:rsid w:val="00B47FE1"/>
    <w:rsid w:val="00B500D9"/>
    <w:rsid w:val="00B50228"/>
    <w:rsid w:val="00B502AF"/>
    <w:rsid w:val="00B5045F"/>
    <w:rsid w:val="00B504EB"/>
    <w:rsid w:val="00B50608"/>
    <w:rsid w:val="00B5094C"/>
    <w:rsid w:val="00B509F1"/>
    <w:rsid w:val="00B50A16"/>
    <w:rsid w:val="00B50A24"/>
    <w:rsid w:val="00B50E96"/>
    <w:rsid w:val="00B50F94"/>
    <w:rsid w:val="00B50FA3"/>
    <w:rsid w:val="00B51027"/>
    <w:rsid w:val="00B51148"/>
    <w:rsid w:val="00B511B0"/>
    <w:rsid w:val="00B515F7"/>
    <w:rsid w:val="00B51841"/>
    <w:rsid w:val="00B51B21"/>
    <w:rsid w:val="00B51CC7"/>
    <w:rsid w:val="00B51FA4"/>
    <w:rsid w:val="00B51FAA"/>
    <w:rsid w:val="00B52242"/>
    <w:rsid w:val="00B52269"/>
    <w:rsid w:val="00B5234A"/>
    <w:rsid w:val="00B52381"/>
    <w:rsid w:val="00B52532"/>
    <w:rsid w:val="00B525D4"/>
    <w:rsid w:val="00B526B9"/>
    <w:rsid w:val="00B52704"/>
    <w:rsid w:val="00B529D8"/>
    <w:rsid w:val="00B52C45"/>
    <w:rsid w:val="00B52E4D"/>
    <w:rsid w:val="00B52FB6"/>
    <w:rsid w:val="00B53019"/>
    <w:rsid w:val="00B531D8"/>
    <w:rsid w:val="00B53511"/>
    <w:rsid w:val="00B5394B"/>
    <w:rsid w:val="00B539BC"/>
    <w:rsid w:val="00B53BC1"/>
    <w:rsid w:val="00B53C01"/>
    <w:rsid w:val="00B53CEB"/>
    <w:rsid w:val="00B54144"/>
    <w:rsid w:val="00B541A2"/>
    <w:rsid w:val="00B541AE"/>
    <w:rsid w:val="00B5431D"/>
    <w:rsid w:val="00B544B4"/>
    <w:rsid w:val="00B54975"/>
    <w:rsid w:val="00B54B14"/>
    <w:rsid w:val="00B54CA1"/>
    <w:rsid w:val="00B54D4C"/>
    <w:rsid w:val="00B54E6F"/>
    <w:rsid w:val="00B54EC4"/>
    <w:rsid w:val="00B54FAD"/>
    <w:rsid w:val="00B55111"/>
    <w:rsid w:val="00B55502"/>
    <w:rsid w:val="00B555C3"/>
    <w:rsid w:val="00B55944"/>
    <w:rsid w:val="00B55BA2"/>
    <w:rsid w:val="00B55D21"/>
    <w:rsid w:val="00B55D4E"/>
    <w:rsid w:val="00B55DF2"/>
    <w:rsid w:val="00B55E3E"/>
    <w:rsid w:val="00B55E5E"/>
    <w:rsid w:val="00B55ED3"/>
    <w:rsid w:val="00B560B9"/>
    <w:rsid w:val="00B5673E"/>
    <w:rsid w:val="00B56B4B"/>
    <w:rsid w:val="00B56B76"/>
    <w:rsid w:val="00B5703E"/>
    <w:rsid w:val="00B5715A"/>
    <w:rsid w:val="00B5723F"/>
    <w:rsid w:val="00B5729E"/>
    <w:rsid w:val="00B573CB"/>
    <w:rsid w:val="00B574FA"/>
    <w:rsid w:val="00B5756F"/>
    <w:rsid w:val="00B5760D"/>
    <w:rsid w:val="00B576D1"/>
    <w:rsid w:val="00B5775A"/>
    <w:rsid w:val="00B57800"/>
    <w:rsid w:val="00B57937"/>
    <w:rsid w:val="00B57A7D"/>
    <w:rsid w:val="00B57B04"/>
    <w:rsid w:val="00B57CBC"/>
    <w:rsid w:val="00B57D8A"/>
    <w:rsid w:val="00B57E6E"/>
    <w:rsid w:val="00B57F47"/>
    <w:rsid w:val="00B6008C"/>
    <w:rsid w:val="00B602D7"/>
    <w:rsid w:val="00B602F6"/>
    <w:rsid w:val="00B60309"/>
    <w:rsid w:val="00B60377"/>
    <w:rsid w:val="00B6045B"/>
    <w:rsid w:val="00B60547"/>
    <w:rsid w:val="00B605DB"/>
    <w:rsid w:val="00B605EC"/>
    <w:rsid w:val="00B6072F"/>
    <w:rsid w:val="00B607B7"/>
    <w:rsid w:val="00B607C3"/>
    <w:rsid w:val="00B608DB"/>
    <w:rsid w:val="00B60A34"/>
    <w:rsid w:val="00B60B2E"/>
    <w:rsid w:val="00B60DD7"/>
    <w:rsid w:val="00B60E87"/>
    <w:rsid w:val="00B6106F"/>
    <w:rsid w:val="00B61083"/>
    <w:rsid w:val="00B61122"/>
    <w:rsid w:val="00B61198"/>
    <w:rsid w:val="00B612B5"/>
    <w:rsid w:val="00B612C7"/>
    <w:rsid w:val="00B61398"/>
    <w:rsid w:val="00B61460"/>
    <w:rsid w:val="00B615F1"/>
    <w:rsid w:val="00B616C3"/>
    <w:rsid w:val="00B617E0"/>
    <w:rsid w:val="00B617EA"/>
    <w:rsid w:val="00B617F8"/>
    <w:rsid w:val="00B61909"/>
    <w:rsid w:val="00B61C5A"/>
    <w:rsid w:val="00B61D57"/>
    <w:rsid w:val="00B62095"/>
    <w:rsid w:val="00B6211D"/>
    <w:rsid w:val="00B621D2"/>
    <w:rsid w:val="00B622F1"/>
    <w:rsid w:val="00B622FC"/>
    <w:rsid w:val="00B62440"/>
    <w:rsid w:val="00B629DC"/>
    <w:rsid w:val="00B62ADC"/>
    <w:rsid w:val="00B62AF0"/>
    <w:rsid w:val="00B62C35"/>
    <w:rsid w:val="00B62D28"/>
    <w:rsid w:val="00B62D30"/>
    <w:rsid w:val="00B62F14"/>
    <w:rsid w:val="00B63043"/>
    <w:rsid w:val="00B630CF"/>
    <w:rsid w:val="00B631D1"/>
    <w:rsid w:val="00B63592"/>
    <w:rsid w:val="00B63650"/>
    <w:rsid w:val="00B63863"/>
    <w:rsid w:val="00B6386D"/>
    <w:rsid w:val="00B63B6F"/>
    <w:rsid w:val="00B63B90"/>
    <w:rsid w:val="00B63C31"/>
    <w:rsid w:val="00B63C5C"/>
    <w:rsid w:val="00B63CDD"/>
    <w:rsid w:val="00B63E28"/>
    <w:rsid w:val="00B63E2B"/>
    <w:rsid w:val="00B64117"/>
    <w:rsid w:val="00B64141"/>
    <w:rsid w:val="00B64163"/>
    <w:rsid w:val="00B6422A"/>
    <w:rsid w:val="00B64337"/>
    <w:rsid w:val="00B64396"/>
    <w:rsid w:val="00B6440B"/>
    <w:rsid w:val="00B64612"/>
    <w:rsid w:val="00B64673"/>
    <w:rsid w:val="00B6469A"/>
    <w:rsid w:val="00B64736"/>
    <w:rsid w:val="00B648E1"/>
    <w:rsid w:val="00B649FE"/>
    <w:rsid w:val="00B64A5E"/>
    <w:rsid w:val="00B64A73"/>
    <w:rsid w:val="00B64B66"/>
    <w:rsid w:val="00B64D00"/>
    <w:rsid w:val="00B64E45"/>
    <w:rsid w:val="00B64ED6"/>
    <w:rsid w:val="00B652B0"/>
    <w:rsid w:val="00B6549A"/>
    <w:rsid w:val="00B65543"/>
    <w:rsid w:val="00B6557E"/>
    <w:rsid w:val="00B655C7"/>
    <w:rsid w:val="00B659C9"/>
    <w:rsid w:val="00B659CC"/>
    <w:rsid w:val="00B65C2C"/>
    <w:rsid w:val="00B65CD2"/>
    <w:rsid w:val="00B65E26"/>
    <w:rsid w:val="00B65E4F"/>
    <w:rsid w:val="00B65E80"/>
    <w:rsid w:val="00B65F71"/>
    <w:rsid w:val="00B66161"/>
    <w:rsid w:val="00B66191"/>
    <w:rsid w:val="00B661E3"/>
    <w:rsid w:val="00B6631B"/>
    <w:rsid w:val="00B663C1"/>
    <w:rsid w:val="00B66453"/>
    <w:rsid w:val="00B668D0"/>
    <w:rsid w:val="00B6698C"/>
    <w:rsid w:val="00B66C3E"/>
    <w:rsid w:val="00B66CCA"/>
    <w:rsid w:val="00B66CE1"/>
    <w:rsid w:val="00B66E84"/>
    <w:rsid w:val="00B66F22"/>
    <w:rsid w:val="00B672A5"/>
    <w:rsid w:val="00B6736B"/>
    <w:rsid w:val="00B67370"/>
    <w:rsid w:val="00B67633"/>
    <w:rsid w:val="00B678D7"/>
    <w:rsid w:val="00B678EA"/>
    <w:rsid w:val="00B678F9"/>
    <w:rsid w:val="00B67989"/>
    <w:rsid w:val="00B67A14"/>
    <w:rsid w:val="00B67A85"/>
    <w:rsid w:val="00B67AEE"/>
    <w:rsid w:val="00B67F1B"/>
    <w:rsid w:val="00B67F1C"/>
    <w:rsid w:val="00B67F2B"/>
    <w:rsid w:val="00B702F3"/>
    <w:rsid w:val="00B70689"/>
    <w:rsid w:val="00B70A17"/>
    <w:rsid w:val="00B70A45"/>
    <w:rsid w:val="00B70B76"/>
    <w:rsid w:val="00B70E41"/>
    <w:rsid w:val="00B70E53"/>
    <w:rsid w:val="00B70E97"/>
    <w:rsid w:val="00B70EAB"/>
    <w:rsid w:val="00B70EC2"/>
    <w:rsid w:val="00B7115D"/>
    <w:rsid w:val="00B71271"/>
    <w:rsid w:val="00B7153D"/>
    <w:rsid w:val="00B71557"/>
    <w:rsid w:val="00B717F2"/>
    <w:rsid w:val="00B718A0"/>
    <w:rsid w:val="00B7192D"/>
    <w:rsid w:val="00B71BC2"/>
    <w:rsid w:val="00B71C5D"/>
    <w:rsid w:val="00B71D1B"/>
    <w:rsid w:val="00B71F37"/>
    <w:rsid w:val="00B7200E"/>
    <w:rsid w:val="00B72031"/>
    <w:rsid w:val="00B72076"/>
    <w:rsid w:val="00B720BA"/>
    <w:rsid w:val="00B72220"/>
    <w:rsid w:val="00B72411"/>
    <w:rsid w:val="00B72489"/>
    <w:rsid w:val="00B72505"/>
    <w:rsid w:val="00B7270B"/>
    <w:rsid w:val="00B7285C"/>
    <w:rsid w:val="00B729DB"/>
    <w:rsid w:val="00B72AAF"/>
    <w:rsid w:val="00B72AC2"/>
    <w:rsid w:val="00B72B7A"/>
    <w:rsid w:val="00B72CCE"/>
    <w:rsid w:val="00B72CFE"/>
    <w:rsid w:val="00B72DDE"/>
    <w:rsid w:val="00B72E4E"/>
    <w:rsid w:val="00B72EF3"/>
    <w:rsid w:val="00B73005"/>
    <w:rsid w:val="00B7303B"/>
    <w:rsid w:val="00B731DF"/>
    <w:rsid w:val="00B73268"/>
    <w:rsid w:val="00B73300"/>
    <w:rsid w:val="00B7330A"/>
    <w:rsid w:val="00B734E8"/>
    <w:rsid w:val="00B73505"/>
    <w:rsid w:val="00B73587"/>
    <w:rsid w:val="00B73713"/>
    <w:rsid w:val="00B73745"/>
    <w:rsid w:val="00B73801"/>
    <w:rsid w:val="00B7387C"/>
    <w:rsid w:val="00B73943"/>
    <w:rsid w:val="00B73B18"/>
    <w:rsid w:val="00B73B49"/>
    <w:rsid w:val="00B73B4D"/>
    <w:rsid w:val="00B73B7C"/>
    <w:rsid w:val="00B73C04"/>
    <w:rsid w:val="00B73D29"/>
    <w:rsid w:val="00B73DF3"/>
    <w:rsid w:val="00B73EC2"/>
    <w:rsid w:val="00B73EC6"/>
    <w:rsid w:val="00B73FAB"/>
    <w:rsid w:val="00B740D9"/>
    <w:rsid w:val="00B741D5"/>
    <w:rsid w:val="00B744C7"/>
    <w:rsid w:val="00B74569"/>
    <w:rsid w:val="00B74621"/>
    <w:rsid w:val="00B74A4E"/>
    <w:rsid w:val="00B74ADE"/>
    <w:rsid w:val="00B74B37"/>
    <w:rsid w:val="00B74FAE"/>
    <w:rsid w:val="00B75061"/>
    <w:rsid w:val="00B7509C"/>
    <w:rsid w:val="00B75218"/>
    <w:rsid w:val="00B75259"/>
    <w:rsid w:val="00B7525C"/>
    <w:rsid w:val="00B75316"/>
    <w:rsid w:val="00B754BF"/>
    <w:rsid w:val="00B7553B"/>
    <w:rsid w:val="00B75603"/>
    <w:rsid w:val="00B7562C"/>
    <w:rsid w:val="00B75963"/>
    <w:rsid w:val="00B759B4"/>
    <w:rsid w:val="00B75A7D"/>
    <w:rsid w:val="00B75B4E"/>
    <w:rsid w:val="00B75CF4"/>
    <w:rsid w:val="00B75DD6"/>
    <w:rsid w:val="00B75EBD"/>
    <w:rsid w:val="00B761DC"/>
    <w:rsid w:val="00B761E0"/>
    <w:rsid w:val="00B76376"/>
    <w:rsid w:val="00B76415"/>
    <w:rsid w:val="00B7641B"/>
    <w:rsid w:val="00B76437"/>
    <w:rsid w:val="00B764F5"/>
    <w:rsid w:val="00B7657B"/>
    <w:rsid w:val="00B76671"/>
    <w:rsid w:val="00B76889"/>
    <w:rsid w:val="00B76B26"/>
    <w:rsid w:val="00B76B80"/>
    <w:rsid w:val="00B76CA7"/>
    <w:rsid w:val="00B76EC9"/>
    <w:rsid w:val="00B7718D"/>
    <w:rsid w:val="00B7719B"/>
    <w:rsid w:val="00B77204"/>
    <w:rsid w:val="00B7727B"/>
    <w:rsid w:val="00B772E3"/>
    <w:rsid w:val="00B7732E"/>
    <w:rsid w:val="00B7738D"/>
    <w:rsid w:val="00B7748D"/>
    <w:rsid w:val="00B777E0"/>
    <w:rsid w:val="00B7798F"/>
    <w:rsid w:val="00B77A12"/>
    <w:rsid w:val="00B77D4F"/>
    <w:rsid w:val="00B77E9A"/>
    <w:rsid w:val="00B77EE6"/>
    <w:rsid w:val="00B80082"/>
    <w:rsid w:val="00B8015C"/>
    <w:rsid w:val="00B80181"/>
    <w:rsid w:val="00B803E8"/>
    <w:rsid w:val="00B804EA"/>
    <w:rsid w:val="00B8075E"/>
    <w:rsid w:val="00B80AE8"/>
    <w:rsid w:val="00B80C4E"/>
    <w:rsid w:val="00B80C93"/>
    <w:rsid w:val="00B80F1A"/>
    <w:rsid w:val="00B81030"/>
    <w:rsid w:val="00B8107E"/>
    <w:rsid w:val="00B810AB"/>
    <w:rsid w:val="00B810C6"/>
    <w:rsid w:val="00B8111A"/>
    <w:rsid w:val="00B8119F"/>
    <w:rsid w:val="00B812FD"/>
    <w:rsid w:val="00B813EE"/>
    <w:rsid w:val="00B81507"/>
    <w:rsid w:val="00B8155C"/>
    <w:rsid w:val="00B815A4"/>
    <w:rsid w:val="00B815CE"/>
    <w:rsid w:val="00B8177A"/>
    <w:rsid w:val="00B81803"/>
    <w:rsid w:val="00B819ED"/>
    <w:rsid w:val="00B81B7E"/>
    <w:rsid w:val="00B81D0F"/>
    <w:rsid w:val="00B81ED7"/>
    <w:rsid w:val="00B81F14"/>
    <w:rsid w:val="00B82036"/>
    <w:rsid w:val="00B820F5"/>
    <w:rsid w:val="00B821A4"/>
    <w:rsid w:val="00B821CB"/>
    <w:rsid w:val="00B822AD"/>
    <w:rsid w:val="00B823DE"/>
    <w:rsid w:val="00B826B4"/>
    <w:rsid w:val="00B827D9"/>
    <w:rsid w:val="00B829AB"/>
    <w:rsid w:val="00B82AA6"/>
    <w:rsid w:val="00B82AF5"/>
    <w:rsid w:val="00B82CE0"/>
    <w:rsid w:val="00B82E96"/>
    <w:rsid w:val="00B82FE7"/>
    <w:rsid w:val="00B82FF7"/>
    <w:rsid w:val="00B832CA"/>
    <w:rsid w:val="00B8333E"/>
    <w:rsid w:val="00B833AE"/>
    <w:rsid w:val="00B833EC"/>
    <w:rsid w:val="00B835E7"/>
    <w:rsid w:val="00B836D2"/>
    <w:rsid w:val="00B83739"/>
    <w:rsid w:val="00B83769"/>
    <w:rsid w:val="00B837ED"/>
    <w:rsid w:val="00B83B94"/>
    <w:rsid w:val="00B83CDF"/>
    <w:rsid w:val="00B83D4E"/>
    <w:rsid w:val="00B83D56"/>
    <w:rsid w:val="00B83E3D"/>
    <w:rsid w:val="00B83E82"/>
    <w:rsid w:val="00B83EE6"/>
    <w:rsid w:val="00B8440B"/>
    <w:rsid w:val="00B84480"/>
    <w:rsid w:val="00B844C5"/>
    <w:rsid w:val="00B84735"/>
    <w:rsid w:val="00B8475F"/>
    <w:rsid w:val="00B8487D"/>
    <w:rsid w:val="00B84D85"/>
    <w:rsid w:val="00B84E1E"/>
    <w:rsid w:val="00B84E70"/>
    <w:rsid w:val="00B84F57"/>
    <w:rsid w:val="00B84F9B"/>
    <w:rsid w:val="00B850D9"/>
    <w:rsid w:val="00B85401"/>
    <w:rsid w:val="00B85599"/>
    <w:rsid w:val="00B855E7"/>
    <w:rsid w:val="00B85982"/>
    <w:rsid w:val="00B85A85"/>
    <w:rsid w:val="00B85B72"/>
    <w:rsid w:val="00B85E34"/>
    <w:rsid w:val="00B85E49"/>
    <w:rsid w:val="00B85EE2"/>
    <w:rsid w:val="00B8619D"/>
    <w:rsid w:val="00B861AE"/>
    <w:rsid w:val="00B863B7"/>
    <w:rsid w:val="00B86436"/>
    <w:rsid w:val="00B86804"/>
    <w:rsid w:val="00B86A9B"/>
    <w:rsid w:val="00B86CDF"/>
    <w:rsid w:val="00B86FDF"/>
    <w:rsid w:val="00B8713E"/>
    <w:rsid w:val="00B8717F"/>
    <w:rsid w:val="00B871E2"/>
    <w:rsid w:val="00B873CB"/>
    <w:rsid w:val="00B875E4"/>
    <w:rsid w:val="00B87629"/>
    <w:rsid w:val="00B87875"/>
    <w:rsid w:val="00B878A3"/>
    <w:rsid w:val="00B878C5"/>
    <w:rsid w:val="00B87925"/>
    <w:rsid w:val="00B879A1"/>
    <w:rsid w:val="00B87D2A"/>
    <w:rsid w:val="00B87E81"/>
    <w:rsid w:val="00B87F1F"/>
    <w:rsid w:val="00B87FF9"/>
    <w:rsid w:val="00B90032"/>
    <w:rsid w:val="00B9010B"/>
    <w:rsid w:val="00B901EC"/>
    <w:rsid w:val="00B901FA"/>
    <w:rsid w:val="00B902B2"/>
    <w:rsid w:val="00B904E8"/>
    <w:rsid w:val="00B9058E"/>
    <w:rsid w:val="00B906C3"/>
    <w:rsid w:val="00B90726"/>
    <w:rsid w:val="00B90A55"/>
    <w:rsid w:val="00B90ACC"/>
    <w:rsid w:val="00B90BF8"/>
    <w:rsid w:val="00B90CE0"/>
    <w:rsid w:val="00B910AE"/>
    <w:rsid w:val="00B911CA"/>
    <w:rsid w:val="00B9134E"/>
    <w:rsid w:val="00B9137D"/>
    <w:rsid w:val="00B91416"/>
    <w:rsid w:val="00B9145B"/>
    <w:rsid w:val="00B9153E"/>
    <w:rsid w:val="00B9155E"/>
    <w:rsid w:val="00B917E8"/>
    <w:rsid w:val="00B9196E"/>
    <w:rsid w:val="00B91B67"/>
    <w:rsid w:val="00B91DE6"/>
    <w:rsid w:val="00B91E13"/>
    <w:rsid w:val="00B91EA7"/>
    <w:rsid w:val="00B91EC4"/>
    <w:rsid w:val="00B91F59"/>
    <w:rsid w:val="00B9233B"/>
    <w:rsid w:val="00B9242E"/>
    <w:rsid w:val="00B92461"/>
    <w:rsid w:val="00B92478"/>
    <w:rsid w:val="00B92547"/>
    <w:rsid w:val="00B92672"/>
    <w:rsid w:val="00B92737"/>
    <w:rsid w:val="00B928A0"/>
    <w:rsid w:val="00B92957"/>
    <w:rsid w:val="00B929AE"/>
    <w:rsid w:val="00B92B08"/>
    <w:rsid w:val="00B92D24"/>
    <w:rsid w:val="00B92D2B"/>
    <w:rsid w:val="00B92DFA"/>
    <w:rsid w:val="00B92F07"/>
    <w:rsid w:val="00B92F48"/>
    <w:rsid w:val="00B9303A"/>
    <w:rsid w:val="00B930A3"/>
    <w:rsid w:val="00B930E9"/>
    <w:rsid w:val="00B93157"/>
    <w:rsid w:val="00B93217"/>
    <w:rsid w:val="00B93301"/>
    <w:rsid w:val="00B9333F"/>
    <w:rsid w:val="00B9343D"/>
    <w:rsid w:val="00B93552"/>
    <w:rsid w:val="00B935AF"/>
    <w:rsid w:val="00B935F1"/>
    <w:rsid w:val="00B93807"/>
    <w:rsid w:val="00B938EB"/>
    <w:rsid w:val="00B93963"/>
    <w:rsid w:val="00B93BF0"/>
    <w:rsid w:val="00B93CA6"/>
    <w:rsid w:val="00B93CDE"/>
    <w:rsid w:val="00B93D2F"/>
    <w:rsid w:val="00B93D3F"/>
    <w:rsid w:val="00B93DDE"/>
    <w:rsid w:val="00B93DFB"/>
    <w:rsid w:val="00B940D1"/>
    <w:rsid w:val="00B94171"/>
    <w:rsid w:val="00B943E6"/>
    <w:rsid w:val="00B944B3"/>
    <w:rsid w:val="00B9450A"/>
    <w:rsid w:val="00B94609"/>
    <w:rsid w:val="00B9472B"/>
    <w:rsid w:val="00B94A77"/>
    <w:rsid w:val="00B94B04"/>
    <w:rsid w:val="00B94BA8"/>
    <w:rsid w:val="00B94D35"/>
    <w:rsid w:val="00B94DC5"/>
    <w:rsid w:val="00B94DC6"/>
    <w:rsid w:val="00B94F6B"/>
    <w:rsid w:val="00B94FCB"/>
    <w:rsid w:val="00B950F2"/>
    <w:rsid w:val="00B951A1"/>
    <w:rsid w:val="00B951AE"/>
    <w:rsid w:val="00B95231"/>
    <w:rsid w:val="00B95458"/>
    <w:rsid w:val="00B954C1"/>
    <w:rsid w:val="00B955C1"/>
    <w:rsid w:val="00B956B4"/>
    <w:rsid w:val="00B958BA"/>
    <w:rsid w:val="00B958C2"/>
    <w:rsid w:val="00B95B99"/>
    <w:rsid w:val="00B95BC4"/>
    <w:rsid w:val="00B95BDD"/>
    <w:rsid w:val="00B95CEE"/>
    <w:rsid w:val="00B95D34"/>
    <w:rsid w:val="00B962D4"/>
    <w:rsid w:val="00B962EC"/>
    <w:rsid w:val="00B9646C"/>
    <w:rsid w:val="00B96750"/>
    <w:rsid w:val="00B9686D"/>
    <w:rsid w:val="00B96A6F"/>
    <w:rsid w:val="00B96ABB"/>
    <w:rsid w:val="00B96D8D"/>
    <w:rsid w:val="00B96F5B"/>
    <w:rsid w:val="00B96FCB"/>
    <w:rsid w:val="00B972F9"/>
    <w:rsid w:val="00B97304"/>
    <w:rsid w:val="00B9740C"/>
    <w:rsid w:val="00B974EE"/>
    <w:rsid w:val="00B976C0"/>
    <w:rsid w:val="00B977BE"/>
    <w:rsid w:val="00B9796D"/>
    <w:rsid w:val="00B97D19"/>
    <w:rsid w:val="00B97D67"/>
    <w:rsid w:val="00B97E18"/>
    <w:rsid w:val="00B97E35"/>
    <w:rsid w:val="00BA028F"/>
    <w:rsid w:val="00BA053F"/>
    <w:rsid w:val="00BA075B"/>
    <w:rsid w:val="00BA075F"/>
    <w:rsid w:val="00BA0831"/>
    <w:rsid w:val="00BA084B"/>
    <w:rsid w:val="00BA0912"/>
    <w:rsid w:val="00BA0D2D"/>
    <w:rsid w:val="00BA0F56"/>
    <w:rsid w:val="00BA104F"/>
    <w:rsid w:val="00BA1085"/>
    <w:rsid w:val="00BA11D8"/>
    <w:rsid w:val="00BA1237"/>
    <w:rsid w:val="00BA12BF"/>
    <w:rsid w:val="00BA133B"/>
    <w:rsid w:val="00BA13C2"/>
    <w:rsid w:val="00BA16FE"/>
    <w:rsid w:val="00BA177B"/>
    <w:rsid w:val="00BA1884"/>
    <w:rsid w:val="00BA19B8"/>
    <w:rsid w:val="00BA1A95"/>
    <w:rsid w:val="00BA1A9A"/>
    <w:rsid w:val="00BA1AE4"/>
    <w:rsid w:val="00BA1E01"/>
    <w:rsid w:val="00BA1EBC"/>
    <w:rsid w:val="00BA1EDD"/>
    <w:rsid w:val="00BA1EE0"/>
    <w:rsid w:val="00BA1FBA"/>
    <w:rsid w:val="00BA21D0"/>
    <w:rsid w:val="00BA22F7"/>
    <w:rsid w:val="00BA275D"/>
    <w:rsid w:val="00BA2A26"/>
    <w:rsid w:val="00BA2B0A"/>
    <w:rsid w:val="00BA2BD1"/>
    <w:rsid w:val="00BA2CF6"/>
    <w:rsid w:val="00BA2E5F"/>
    <w:rsid w:val="00BA30CF"/>
    <w:rsid w:val="00BA31A8"/>
    <w:rsid w:val="00BA3302"/>
    <w:rsid w:val="00BA369D"/>
    <w:rsid w:val="00BA37E7"/>
    <w:rsid w:val="00BA3C15"/>
    <w:rsid w:val="00BA3D6B"/>
    <w:rsid w:val="00BA3E16"/>
    <w:rsid w:val="00BA400E"/>
    <w:rsid w:val="00BA4182"/>
    <w:rsid w:val="00BA4442"/>
    <w:rsid w:val="00BA470B"/>
    <w:rsid w:val="00BA4B18"/>
    <w:rsid w:val="00BA4BCF"/>
    <w:rsid w:val="00BA4CA6"/>
    <w:rsid w:val="00BA4DE3"/>
    <w:rsid w:val="00BA4E14"/>
    <w:rsid w:val="00BA4F28"/>
    <w:rsid w:val="00BA5072"/>
    <w:rsid w:val="00BA5203"/>
    <w:rsid w:val="00BA52BB"/>
    <w:rsid w:val="00BA55F9"/>
    <w:rsid w:val="00BA5717"/>
    <w:rsid w:val="00BA57F5"/>
    <w:rsid w:val="00BA5816"/>
    <w:rsid w:val="00BA5A1A"/>
    <w:rsid w:val="00BA5A7E"/>
    <w:rsid w:val="00BA5C40"/>
    <w:rsid w:val="00BA5C67"/>
    <w:rsid w:val="00BA5C6F"/>
    <w:rsid w:val="00BA5CF0"/>
    <w:rsid w:val="00BA5D5C"/>
    <w:rsid w:val="00BA5E3C"/>
    <w:rsid w:val="00BA5E80"/>
    <w:rsid w:val="00BA5E8D"/>
    <w:rsid w:val="00BA6056"/>
    <w:rsid w:val="00BA608C"/>
    <w:rsid w:val="00BA620D"/>
    <w:rsid w:val="00BA6332"/>
    <w:rsid w:val="00BA64C4"/>
    <w:rsid w:val="00BA683C"/>
    <w:rsid w:val="00BA6967"/>
    <w:rsid w:val="00BA6A54"/>
    <w:rsid w:val="00BA6D10"/>
    <w:rsid w:val="00BA6D53"/>
    <w:rsid w:val="00BA6E47"/>
    <w:rsid w:val="00BA6F06"/>
    <w:rsid w:val="00BA7132"/>
    <w:rsid w:val="00BA717D"/>
    <w:rsid w:val="00BA71A4"/>
    <w:rsid w:val="00BA7239"/>
    <w:rsid w:val="00BA73ED"/>
    <w:rsid w:val="00BA741A"/>
    <w:rsid w:val="00BA7475"/>
    <w:rsid w:val="00BA7536"/>
    <w:rsid w:val="00BA758B"/>
    <w:rsid w:val="00BA7605"/>
    <w:rsid w:val="00BA7640"/>
    <w:rsid w:val="00BA76A9"/>
    <w:rsid w:val="00BA7959"/>
    <w:rsid w:val="00BA7CC4"/>
    <w:rsid w:val="00BA7EA2"/>
    <w:rsid w:val="00BB009A"/>
    <w:rsid w:val="00BB00E3"/>
    <w:rsid w:val="00BB00EB"/>
    <w:rsid w:val="00BB0351"/>
    <w:rsid w:val="00BB0507"/>
    <w:rsid w:val="00BB054D"/>
    <w:rsid w:val="00BB0725"/>
    <w:rsid w:val="00BB0912"/>
    <w:rsid w:val="00BB0DB1"/>
    <w:rsid w:val="00BB0DD4"/>
    <w:rsid w:val="00BB1156"/>
    <w:rsid w:val="00BB126B"/>
    <w:rsid w:val="00BB12D5"/>
    <w:rsid w:val="00BB135F"/>
    <w:rsid w:val="00BB1458"/>
    <w:rsid w:val="00BB14F6"/>
    <w:rsid w:val="00BB15C6"/>
    <w:rsid w:val="00BB1674"/>
    <w:rsid w:val="00BB174C"/>
    <w:rsid w:val="00BB17FD"/>
    <w:rsid w:val="00BB1AC8"/>
    <w:rsid w:val="00BB1B6E"/>
    <w:rsid w:val="00BB1D42"/>
    <w:rsid w:val="00BB1EA1"/>
    <w:rsid w:val="00BB2123"/>
    <w:rsid w:val="00BB21BE"/>
    <w:rsid w:val="00BB2333"/>
    <w:rsid w:val="00BB23B0"/>
    <w:rsid w:val="00BB23DC"/>
    <w:rsid w:val="00BB24B7"/>
    <w:rsid w:val="00BB24D3"/>
    <w:rsid w:val="00BB24F4"/>
    <w:rsid w:val="00BB25CD"/>
    <w:rsid w:val="00BB2603"/>
    <w:rsid w:val="00BB2844"/>
    <w:rsid w:val="00BB2A70"/>
    <w:rsid w:val="00BB2A8F"/>
    <w:rsid w:val="00BB2B04"/>
    <w:rsid w:val="00BB2D42"/>
    <w:rsid w:val="00BB2D6A"/>
    <w:rsid w:val="00BB2DDC"/>
    <w:rsid w:val="00BB2FFB"/>
    <w:rsid w:val="00BB30D0"/>
    <w:rsid w:val="00BB32AC"/>
    <w:rsid w:val="00BB34ED"/>
    <w:rsid w:val="00BB34F0"/>
    <w:rsid w:val="00BB3665"/>
    <w:rsid w:val="00BB3809"/>
    <w:rsid w:val="00BB394D"/>
    <w:rsid w:val="00BB3AB5"/>
    <w:rsid w:val="00BB3B04"/>
    <w:rsid w:val="00BB3BE8"/>
    <w:rsid w:val="00BB3C3D"/>
    <w:rsid w:val="00BB3D3D"/>
    <w:rsid w:val="00BB3E6F"/>
    <w:rsid w:val="00BB3F32"/>
    <w:rsid w:val="00BB3F5F"/>
    <w:rsid w:val="00BB4020"/>
    <w:rsid w:val="00BB40B6"/>
    <w:rsid w:val="00BB41FC"/>
    <w:rsid w:val="00BB42E9"/>
    <w:rsid w:val="00BB457A"/>
    <w:rsid w:val="00BB4651"/>
    <w:rsid w:val="00BB46BC"/>
    <w:rsid w:val="00BB483E"/>
    <w:rsid w:val="00BB48C7"/>
    <w:rsid w:val="00BB4985"/>
    <w:rsid w:val="00BB49A6"/>
    <w:rsid w:val="00BB51D5"/>
    <w:rsid w:val="00BB5272"/>
    <w:rsid w:val="00BB52AF"/>
    <w:rsid w:val="00BB5574"/>
    <w:rsid w:val="00BB57E6"/>
    <w:rsid w:val="00BB57EB"/>
    <w:rsid w:val="00BB57F7"/>
    <w:rsid w:val="00BB585F"/>
    <w:rsid w:val="00BB58E8"/>
    <w:rsid w:val="00BB5944"/>
    <w:rsid w:val="00BB5A13"/>
    <w:rsid w:val="00BB5AB4"/>
    <w:rsid w:val="00BB5C0C"/>
    <w:rsid w:val="00BB5D32"/>
    <w:rsid w:val="00BB60E3"/>
    <w:rsid w:val="00BB62CB"/>
    <w:rsid w:val="00BB6693"/>
    <w:rsid w:val="00BB6712"/>
    <w:rsid w:val="00BB673D"/>
    <w:rsid w:val="00BB67D8"/>
    <w:rsid w:val="00BB6A03"/>
    <w:rsid w:val="00BB6A86"/>
    <w:rsid w:val="00BB6ADC"/>
    <w:rsid w:val="00BB6C44"/>
    <w:rsid w:val="00BB6C4F"/>
    <w:rsid w:val="00BB6CA7"/>
    <w:rsid w:val="00BB6DF8"/>
    <w:rsid w:val="00BB6E36"/>
    <w:rsid w:val="00BB6E6E"/>
    <w:rsid w:val="00BB6EB4"/>
    <w:rsid w:val="00BB6F52"/>
    <w:rsid w:val="00BB71E4"/>
    <w:rsid w:val="00BB722B"/>
    <w:rsid w:val="00BB72CF"/>
    <w:rsid w:val="00BB72E3"/>
    <w:rsid w:val="00BB7345"/>
    <w:rsid w:val="00BB73EA"/>
    <w:rsid w:val="00BB7485"/>
    <w:rsid w:val="00BB749B"/>
    <w:rsid w:val="00BB74D5"/>
    <w:rsid w:val="00BB7519"/>
    <w:rsid w:val="00BB7579"/>
    <w:rsid w:val="00BB7591"/>
    <w:rsid w:val="00BB76D4"/>
    <w:rsid w:val="00BB76E9"/>
    <w:rsid w:val="00BB7846"/>
    <w:rsid w:val="00BB78BD"/>
    <w:rsid w:val="00BB7916"/>
    <w:rsid w:val="00BB7B4C"/>
    <w:rsid w:val="00BB7B71"/>
    <w:rsid w:val="00BB7BFA"/>
    <w:rsid w:val="00BB7CDE"/>
    <w:rsid w:val="00BB7D04"/>
    <w:rsid w:val="00BB7E2B"/>
    <w:rsid w:val="00BB7FD5"/>
    <w:rsid w:val="00BC0332"/>
    <w:rsid w:val="00BC03C1"/>
    <w:rsid w:val="00BC0453"/>
    <w:rsid w:val="00BC0465"/>
    <w:rsid w:val="00BC0546"/>
    <w:rsid w:val="00BC06D5"/>
    <w:rsid w:val="00BC0801"/>
    <w:rsid w:val="00BC08F5"/>
    <w:rsid w:val="00BC08FA"/>
    <w:rsid w:val="00BC0956"/>
    <w:rsid w:val="00BC0A58"/>
    <w:rsid w:val="00BC0DD2"/>
    <w:rsid w:val="00BC0F4E"/>
    <w:rsid w:val="00BC10D3"/>
    <w:rsid w:val="00BC110B"/>
    <w:rsid w:val="00BC1134"/>
    <w:rsid w:val="00BC120B"/>
    <w:rsid w:val="00BC13D6"/>
    <w:rsid w:val="00BC13FB"/>
    <w:rsid w:val="00BC145F"/>
    <w:rsid w:val="00BC161A"/>
    <w:rsid w:val="00BC1665"/>
    <w:rsid w:val="00BC193A"/>
    <w:rsid w:val="00BC19B4"/>
    <w:rsid w:val="00BC19B6"/>
    <w:rsid w:val="00BC1A22"/>
    <w:rsid w:val="00BC1E95"/>
    <w:rsid w:val="00BC1F2C"/>
    <w:rsid w:val="00BC22AE"/>
    <w:rsid w:val="00BC2306"/>
    <w:rsid w:val="00BC24BE"/>
    <w:rsid w:val="00BC279D"/>
    <w:rsid w:val="00BC2864"/>
    <w:rsid w:val="00BC28E6"/>
    <w:rsid w:val="00BC29CB"/>
    <w:rsid w:val="00BC29DB"/>
    <w:rsid w:val="00BC2A51"/>
    <w:rsid w:val="00BC2A77"/>
    <w:rsid w:val="00BC2A84"/>
    <w:rsid w:val="00BC2BAF"/>
    <w:rsid w:val="00BC2C54"/>
    <w:rsid w:val="00BC2CF9"/>
    <w:rsid w:val="00BC3073"/>
    <w:rsid w:val="00BC307F"/>
    <w:rsid w:val="00BC327E"/>
    <w:rsid w:val="00BC3288"/>
    <w:rsid w:val="00BC338D"/>
    <w:rsid w:val="00BC34C6"/>
    <w:rsid w:val="00BC353C"/>
    <w:rsid w:val="00BC35FE"/>
    <w:rsid w:val="00BC3619"/>
    <w:rsid w:val="00BC36D0"/>
    <w:rsid w:val="00BC373C"/>
    <w:rsid w:val="00BC395F"/>
    <w:rsid w:val="00BC398D"/>
    <w:rsid w:val="00BC3AC4"/>
    <w:rsid w:val="00BC3AE1"/>
    <w:rsid w:val="00BC3D2F"/>
    <w:rsid w:val="00BC3DCD"/>
    <w:rsid w:val="00BC3F33"/>
    <w:rsid w:val="00BC3F77"/>
    <w:rsid w:val="00BC3FC6"/>
    <w:rsid w:val="00BC3FDC"/>
    <w:rsid w:val="00BC40FB"/>
    <w:rsid w:val="00BC444C"/>
    <w:rsid w:val="00BC44FE"/>
    <w:rsid w:val="00BC46ED"/>
    <w:rsid w:val="00BC4727"/>
    <w:rsid w:val="00BC4A49"/>
    <w:rsid w:val="00BC4BA3"/>
    <w:rsid w:val="00BC4D0D"/>
    <w:rsid w:val="00BC4D49"/>
    <w:rsid w:val="00BC4E15"/>
    <w:rsid w:val="00BC50D2"/>
    <w:rsid w:val="00BC5106"/>
    <w:rsid w:val="00BC510A"/>
    <w:rsid w:val="00BC5358"/>
    <w:rsid w:val="00BC537F"/>
    <w:rsid w:val="00BC5494"/>
    <w:rsid w:val="00BC552A"/>
    <w:rsid w:val="00BC5640"/>
    <w:rsid w:val="00BC571F"/>
    <w:rsid w:val="00BC57E7"/>
    <w:rsid w:val="00BC5904"/>
    <w:rsid w:val="00BC59D3"/>
    <w:rsid w:val="00BC5B8C"/>
    <w:rsid w:val="00BC5BCC"/>
    <w:rsid w:val="00BC5DA9"/>
    <w:rsid w:val="00BC5E18"/>
    <w:rsid w:val="00BC5F37"/>
    <w:rsid w:val="00BC62C3"/>
    <w:rsid w:val="00BC6627"/>
    <w:rsid w:val="00BC68BE"/>
    <w:rsid w:val="00BC69D7"/>
    <w:rsid w:val="00BC6CC9"/>
    <w:rsid w:val="00BC6D31"/>
    <w:rsid w:val="00BC6F1A"/>
    <w:rsid w:val="00BC6F21"/>
    <w:rsid w:val="00BC7164"/>
    <w:rsid w:val="00BC7180"/>
    <w:rsid w:val="00BC731C"/>
    <w:rsid w:val="00BC73D8"/>
    <w:rsid w:val="00BC7589"/>
    <w:rsid w:val="00BC79C4"/>
    <w:rsid w:val="00BC7A59"/>
    <w:rsid w:val="00BC7AB2"/>
    <w:rsid w:val="00BC7B42"/>
    <w:rsid w:val="00BC7F25"/>
    <w:rsid w:val="00BD0032"/>
    <w:rsid w:val="00BD0195"/>
    <w:rsid w:val="00BD01A7"/>
    <w:rsid w:val="00BD05E5"/>
    <w:rsid w:val="00BD067B"/>
    <w:rsid w:val="00BD06F7"/>
    <w:rsid w:val="00BD0860"/>
    <w:rsid w:val="00BD0899"/>
    <w:rsid w:val="00BD0955"/>
    <w:rsid w:val="00BD0A8C"/>
    <w:rsid w:val="00BD0B23"/>
    <w:rsid w:val="00BD0BAA"/>
    <w:rsid w:val="00BD0CDC"/>
    <w:rsid w:val="00BD11AD"/>
    <w:rsid w:val="00BD1216"/>
    <w:rsid w:val="00BD13A0"/>
    <w:rsid w:val="00BD13E8"/>
    <w:rsid w:val="00BD157A"/>
    <w:rsid w:val="00BD1591"/>
    <w:rsid w:val="00BD15E7"/>
    <w:rsid w:val="00BD1AC4"/>
    <w:rsid w:val="00BD1ADF"/>
    <w:rsid w:val="00BD1B46"/>
    <w:rsid w:val="00BD1D18"/>
    <w:rsid w:val="00BD1D3E"/>
    <w:rsid w:val="00BD1D60"/>
    <w:rsid w:val="00BD1D8F"/>
    <w:rsid w:val="00BD1DC8"/>
    <w:rsid w:val="00BD1F8D"/>
    <w:rsid w:val="00BD234F"/>
    <w:rsid w:val="00BD2494"/>
    <w:rsid w:val="00BD24A5"/>
    <w:rsid w:val="00BD29A6"/>
    <w:rsid w:val="00BD2C37"/>
    <w:rsid w:val="00BD2C8E"/>
    <w:rsid w:val="00BD2E71"/>
    <w:rsid w:val="00BD2EB2"/>
    <w:rsid w:val="00BD3096"/>
    <w:rsid w:val="00BD33F1"/>
    <w:rsid w:val="00BD3489"/>
    <w:rsid w:val="00BD34A4"/>
    <w:rsid w:val="00BD351E"/>
    <w:rsid w:val="00BD35F6"/>
    <w:rsid w:val="00BD3683"/>
    <w:rsid w:val="00BD3762"/>
    <w:rsid w:val="00BD376C"/>
    <w:rsid w:val="00BD3ACD"/>
    <w:rsid w:val="00BD3DED"/>
    <w:rsid w:val="00BD3FCA"/>
    <w:rsid w:val="00BD4304"/>
    <w:rsid w:val="00BD43AA"/>
    <w:rsid w:val="00BD444F"/>
    <w:rsid w:val="00BD4469"/>
    <w:rsid w:val="00BD44D3"/>
    <w:rsid w:val="00BD4683"/>
    <w:rsid w:val="00BD46AB"/>
    <w:rsid w:val="00BD4918"/>
    <w:rsid w:val="00BD4998"/>
    <w:rsid w:val="00BD4A46"/>
    <w:rsid w:val="00BD4AB3"/>
    <w:rsid w:val="00BD4BF1"/>
    <w:rsid w:val="00BD4D16"/>
    <w:rsid w:val="00BD4DB4"/>
    <w:rsid w:val="00BD4EC7"/>
    <w:rsid w:val="00BD4FE1"/>
    <w:rsid w:val="00BD507B"/>
    <w:rsid w:val="00BD5091"/>
    <w:rsid w:val="00BD5109"/>
    <w:rsid w:val="00BD51F6"/>
    <w:rsid w:val="00BD52AF"/>
    <w:rsid w:val="00BD52D9"/>
    <w:rsid w:val="00BD5341"/>
    <w:rsid w:val="00BD5342"/>
    <w:rsid w:val="00BD5504"/>
    <w:rsid w:val="00BD550A"/>
    <w:rsid w:val="00BD5613"/>
    <w:rsid w:val="00BD5731"/>
    <w:rsid w:val="00BD5A7D"/>
    <w:rsid w:val="00BD5B7A"/>
    <w:rsid w:val="00BD5B91"/>
    <w:rsid w:val="00BD5BCB"/>
    <w:rsid w:val="00BD5CCC"/>
    <w:rsid w:val="00BD6545"/>
    <w:rsid w:val="00BD67A7"/>
    <w:rsid w:val="00BD685B"/>
    <w:rsid w:val="00BD6E56"/>
    <w:rsid w:val="00BD6F85"/>
    <w:rsid w:val="00BD6F91"/>
    <w:rsid w:val="00BD6FCF"/>
    <w:rsid w:val="00BD707F"/>
    <w:rsid w:val="00BD71DD"/>
    <w:rsid w:val="00BD7314"/>
    <w:rsid w:val="00BD7356"/>
    <w:rsid w:val="00BD73D1"/>
    <w:rsid w:val="00BD73E5"/>
    <w:rsid w:val="00BD7584"/>
    <w:rsid w:val="00BD7C34"/>
    <w:rsid w:val="00BD7D99"/>
    <w:rsid w:val="00BD7F1E"/>
    <w:rsid w:val="00BE0032"/>
    <w:rsid w:val="00BE005D"/>
    <w:rsid w:val="00BE01EB"/>
    <w:rsid w:val="00BE041D"/>
    <w:rsid w:val="00BE04A3"/>
    <w:rsid w:val="00BE052A"/>
    <w:rsid w:val="00BE0807"/>
    <w:rsid w:val="00BE0857"/>
    <w:rsid w:val="00BE0EE6"/>
    <w:rsid w:val="00BE1204"/>
    <w:rsid w:val="00BE12DD"/>
    <w:rsid w:val="00BE1496"/>
    <w:rsid w:val="00BE16D0"/>
    <w:rsid w:val="00BE1D7D"/>
    <w:rsid w:val="00BE2011"/>
    <w:rsid w:val="00BE23ED"/>
    <w:rsid w:val="00BE25FD"/>
    <w:rsid w:val="00BE2679"/>
    <w:rsid w:val="00BE270D"/>
    <w:rsid w:val="00BE2927"/>
    <w:rsid w:val="00BE2AF9"/>
    <w:rsid w:val="00BE2B6E"/>
    <w:rsid w:val="00BE2DA1"/>
    <w:rsid w:val="00BE2E24"/>
    <w:rsid w:val="00BE2F38"/>
    <w:rsid w:val="00BE2F74"/>
    <w:rsid w:val="00BE2F7A"/>
    <w:rsid w:val="00BE3523"/>
    <w:rsid w:val="00BE361C"/>
    <w:rsid w:val="00BE37E9"/>
    <w:rsid w:val="00BE3871"/>
    <w:rsid w:val="00BE3942"/>
    <w:rsid w:val="00BE3984"/>
    <w:rsid w:val="00BE3A3B"/>
    <w:rsid w:val="00BE3AF2"/>
    <w:rsid w:val="00BE3D0E"/>
    <w:rsid w:val="00BE3ECA"/>
    <w:rsid w:val="00BE401B"/>
    <w:rsid w:val="00BE41C8"/>
    <w:rsid w:val="00BE4648"/>
    <w:rsid w:val="00BE4654"/>
    <w:rsid w:val="00BE488D"/>
    <w:rsid w:val="00BE4AAF"/>
    <w:rsid w:val="00BE4BDD"/>
    <w:rsid w:val="00BE4D99"/>
    <w:rsid w:val="00BE4EBC"/>
    <w:rsid w:val="00BE4EF8"/>
    <w:rsid w:val="00BE506D"/>
    <w:rsid w:val="00BE50A5"/>
    <w:rsid w:val="00BE520B"/>
    <w:rsid w:val="00BE547E"/>
    <w:rsid w:val="00BE55B9"/>
    <w:rsid w:val="00BE56A8"/>
    <w:rsid w:val="00BE56F0"/>
    <w:rsid w:val="00BE5B07"/>
    <w:rsid w:val="00BE5B3D"/>
    <w:rsid w:val="00BE5B6C"/>
    <w:rsid w:val="00BE5BBA"/>
    <w:rsid w:val="00BE5BCF"/>
    <w:rsid w:val="00BE5C58"/>
    <w:rsid w:val="00BE5D54"/>
    <w:rsid w:val="00BE5F15"/>
    <w:rsid w:val="00BE5F1A"/>
    <w:rsid w:val="00BE5F48"/>
    <w:rsid w:val="00BE5FCA"/>
    <w:rsid w:val="00BE607E"/>
    <w:rsid w:val="00BE6093"/>
    <w:rsid w:val="00BE61B1"/>
    <w:rsid w:val="00BE651A"/>
    <w:rsid w:val="00BE654F"/>
    <w:rsid w:val="00BE656E"/>
    <w:rsid w:val="00BE6969"/>
    <w:rsid w:val="00BE6B29"/>
    <w:rsid w:val="00BE6B35"/>
    <w:rsid w:val="00BE6C60"/>
    <w:rsid w:val="00BE6DCF"/>
    <w:rsid w:val="00BE6E01"/>
    <w:rsid w:val="00BE72F2"/>
    <w:rsid w:val="00BE7559"/>
    <w:rsid w:val="00BE7579"/>
    <w:rsid w:val="00BE7594"/>
    <w:rsid w:val="00BE77CF"/>
    <w:rsid w:val="00BE7948"/>
    <w:rsid w:val="00BE7B7E"/>
    <w:rsid w:val="00BE7B87"/>
    <w:rsid w:val="00BE7B88"/>
    <w:rsid w:val="00BE7BA9"/>
    <w:rsid w:val="00BE7C45"/>
    <w:rsid w:val="00BE7D58"/>
    <w:rsid w:val="00BE7E35"/>
    <w:rsid w:val="00BF01EF"/>
    <w:rsid w:val="00BF0391"/>
    <w:rsid w:val="00BF04FB"/>
    <w:rsid w:val="00BF0536"/>
    <w:rsid w:val="00BF053C"/>
    <w:rsid w:val="00BF0805"/>
    <w:rsid w:val="00BF0BBC"/>
    <w:rsid w:val="00BF0C31"/>
    <w:rsid w:val="00BF0C97"/>
    <w:rsid w:val="00BF0CA8"/>
    <w:rsid w:val="00BF0DE4"/>
    <w:rsid w:val="00BF0EA8"/>
    <w:rsid w:val="00BF0ED6"/>
    <w:rsid w:val="00BF10E2"/>
    <w:rsid w:val="00BF11D0"/>
    <w:rsid w:val="00BF128B"/>
    <w:rsid w:val="00BF1391"/>
    <w:rsid w:val="00BF1643"/>
    <w:rsid w:val="00BF1667"/>
    <w:rsid w:val="00BF16ED"/>
    <w:rsid w:val="00BF171E"/>
    <w:rsid w:val="00BF1742"/>
    <w:rsid w:val="00BF1747"/>
    <w:rsid w:val="00BF17B3"/>
    <w:rsid w:val="00BF19D0"/>
    <w:rsid w:val="00BF1AD1"/>
    <w:rsid w:val="00BF1CC4"/>
    <w:rsid w:val="00BF1CED"/>
    <w:rsid w:val="00BF1D5C"/>
    <w:rsid w:val="00BF2013"/>
    <w:rsid w:val="00BF269F"/>
    <w:rsid w:val="00BF29A6"/>
    <w:rsid w:val="00BF29AC"/>
    <w:rsid w:val="00BF2AB2"/>
    <w:rsid w:val="00BF2CC4"/>
    <w:rsid w:val="00BF2D38"/>
    <w:rsid w:val="00BF2EDA"/>
    <w:rsid w:val="00BF30BF"/>
    <w:rsid w:val="00BF34E8"/>
    <w:rsid w:val="00BF355F"/>
    <w:rsid w:val="00BF35A0"/>
    <w:rsid w:val="00BF3723"/>
    <w:rsid w:val="00BF3851"/>
    <w:rsid w:val="00BF3881"/>
    <w:rsid w:val="00BF38F4"/>
    <w:rsid w:val="00BF3AFD"/>
    <w:rsid w:val="00BF3DA0"/>
    <w:rsid w:val="00BF3F83"/>
    <w:rsid w:val="00BF3FEF"/>
    <w:rsid w:val="00BF44F3"/>
    <w:rsid w:val="00BF450F"/>
    <w:rsid w:val="00BF4842"/>
    <w:rsid w:val="00BF49D8"/>
    <w:rsid w:val="00BF49F7"/>
    <w:rsid w:val="00BF4AA1"/>
    <w:rsid w:val="00BF4AFC"/>
    <w:rsid w:val="00BF4BA7"/>
    <w:rsid w:val="00BF4D9F"/>
    <w:rsid w:val="00BF4DB0"/>
    <w:rsid w:val="00BF4E44"/>
    <w:rsid w:val="00BF4E6C"/>
    <w:rsid w:val="00BF4E6D"/>
    <w:rsid w:val="00BF4F40"/>
    <w:rsid w:val="00BF4FBB"/>
    <w:rsid w:val="00BF4FD9"/>
    <w:rsid w:val="00BF51D4"/>
    <w:rsid w:val="00BF5284"/>
    <w:rsid w:val="00BF5451"/>
    <w:rsid w:val="00BF55BC"/>
    <w:rsid w:val="00BF5709"/>
    <w:rsid w:val="00BF591E"/>
    <w:rsid w:val="00BF59A9"/>
    <w:rsid w:val="00BF5ABD"/>
    <w:rsid w:val="00BF5C20"/>
    <w:rsid w:val="00BF5E3F"/>
    <w:rsid w:val="00BF6085"/>
    <w:rsid w:val="00BF6129"/>
    <w:rsid w:val="00BF640C"/>
    <w:rsid w:val="00BF6627"/>
    <w:rsid w:val="00BF669A"/>
    <w:rsid w:val="00BF66E5"/>
    <w:rsid w:val="00BF67C8"/>
    <w:rsid w:val="00BF68BD"/>
    <w:rsid w:val="00BF6D63"/>
    <w:rsid w:val="00BF6E07"/>
    <w:rsid w:val="00BF6E09"/>
    <w:rsid w:val="00BF6E0D"/>
    <w:rsid w:val="00BF6EC8"/>
    <w:rsid w:val="00BF7048"/>
    <w:rsid w:val="00BF7068"/>
    <w:rsid w:val="00BF7083"/>
    <w:rsid w:val="00BF7118"/>
    <w:rsid w:val="00BF7146"/>
    <w:rsid w:val="00BF73BD"/>
    <w:rsid w:val="00BF773D"/>
    <w:rsid w:val="00BF7914"/>
    <w:rsid w:val="00BF7A0F"/>
    <w:rsid w:val="00BF7ADB"/>
    <w:rsid w:val="00BF7C6E"/>
    <w:rsid w:val="00BF7E28"/>
    <w:rsid w:val="00BF7EB6"/>
    <w:rsid w:val="00BF7F59"/>
    <w:rsid w:val="00BF7F91"/>
    <w:rsid w:val="00C00178"/>
    <w:rsid w:val="00C00507"/>
    <w:rsid w:val="00C0076F"/>
    <w:rsid w:val="00C0085F"/>
    <w:rsid w:val="00C00A78"/>
    <w:rsid w:val="00C00B14"/>
    <w:rsid w:val="00C00E37"/>
    <w:rsid w:val="00C01092"/>
    <w:rsid w:val="00C010AB"/>
    <w:rsid w:val="00C0118D"/>
    <w:rsid w:val="00C01204"/>
    <w:rsid w:val="00C01431"/>
    <w:rsid w:val="00C014CE"/>
    <w:rsid w:val="00C01574"/>
    <w:rsid w:val="00C0160C"/>
    <w:rsid w:val="00C017B4"/>
    <w:rsid w:val="00C017CC"/>
    <w:rsid w:val="00C017DE"/>
    <w:rsid w:val="00C01B34"/>
    <w:rsid w:val="00C01C8C"/>
    <w:rsid w:val="00C01EA7"/>
    <w:rsid w:val="00C01FED"/>
    <w:rsid w:val="00C01FEF"/>
    <w:rsid w:val="00C020B4"/>
    <w:rsid w:val="00C02247"/>
    <w:rsid w:val="00C02286"/>
    <w:rsid w:val="00C022FB"/>
    <w:rsid w:val="00C02319"/>
    <w:rsid w:val="00C0250D"/>
    <w:rsid w:val="00C0260F"/>
    <w:rsid w:val="00C026EE"/>
    <w:rsid w:val="00C02A67"/>
    <w:rsid w:val="00C02ED3"/>
    <w:rsid w:val="00C02F11"/>
    <w:rsid w:val="00C02FF0"/>
    <w:rsid w:val="00C03070"/>
    <w:rsid w:val="00C030CE"/>
    <w:rsid w:val="00C030F6"/>
    <w:rsid w:val="00C03119"/>
    <w:rsid w:val="00C03132"/>
    <w:rsid w:val="00C0332F"/>
    <w:rsid w:val="00C033E2"/>
    <w:rsid w:val="00C034F7"/>
    <w:rsid w:val="00C034FE"/>
    <w:rsid w:val="00C035CA"/>
    <w:rsid w:val="00C0372A"/>
    <w:rsid w:val="00C03A3E"/>
    <w:rsid w:val="00C03E16"/>
    <w:rsid w:val="00C03FBF"/>
    <w:rsid w:val="00C03FD6"/>
    <w:rsid w:val="00C04032"/>
    <w:rsid w:val="00C041AD"/>
    <w:rsid w:val="00C043E5"/>
    <w:rsid w:val="00C04458"/>
    <w:rsid w:val="00C04662"/>
    <w:rsid w:val="00C04680"/>
    <w:rsid w:val="00C04752"/>
    <w:rsid w:val="00C04A7D"/>
    <w:rsid w:val="00C04C77"/>
    <w:rsid w:val="00C04D9A"/>
    <w:rsid w:val="00C04DEF"/>
    <w:rsid w:val="00C0540D"/>
    <w:rsid w:val="00C05641"/>
    <w:rsid w:val="00C05660"/>
    <w:rsid w:val="00C05711"/>
    <w:rsid w:val="00C0576C"/>
    <w:rsid w:val="00C0588E"/>
    <w:rsid w:val="00C05CB5"/>
    <w:rsid w:val="00C05CD8"/>
    <w:rsid w:val="00C05D5E"/>
    <w:rsid w:val="00C06122"/>
    <w:rsid w:val="00C06143"/>
    <w:rsid w:val="00C06163"/>
    <w:rsid w:val="00C065A5"/>
    <w:rsid w:val="00C06695"/>
    <w:rsid w:val="00C067E3"/>
    <w:rsid w:val="00C0689F"/>
    <w:rsid w:val="00C068FC"/>
    <w:rsid w:val="00C06B94"/>
    <w:rsid w:val="00C06BCA"/>
    <w:rsid w:val="00C06CD2"/>
    <w:rsid w:val="00C06CD9"/>
    <w:rsid w:val="00C06CDB"/>
    <w:rsid w:val="00C06D6F"/>
    <w:rsid w:val="00C06E4D"/>
    <w:rsid w:val="00C06FE2"/>
    <w:rsid w:val="00C07206"/>
    <w:rsid w:val="00C07482"/>
    <w:rsid w:val="00C074C1"/>
    <w:rsid w:val="00C07507"/>
    <w:rsid w:val="00C076E0"/>
    <w:rsid w:val="00C07722"/>
    <w:rsid w:val="00C07805"/>
    <w:rsid w:val="00C07B98"/>
    <w:rsid w:val="00C07BE7"/>
    <w:rsid w:val="00C07C08"/>
    <w:rsid w:val="00C07D4B"/>
    <w:rsid w:val="00C07F6C"/>
    <w:rsid w:val="00C10297"/>
    <w:rsid w:val="00C102EF"/>
    <w:rsid w:val="00C10455"/>
    <w:rsid w:val="00C104AA"/>
    <w:rsid w:val="00C10AC9"/>
    <w:rsid w:val="00C10B18"/>
    <w:rsid w:val="00C10D6B"/>
    <w:rsid w:val="00C10D90"/>
    <w:rsid w:val="00C10F98"/>
    <w:rsid w:val="00C10FD8"/>
    <w:rsid w:val="00C111E7"/>
    <w:rsid w:val="00C112B6"/>
    <w:rsid w:val="00C113AC"/>
    <w:rsid w:val="00C11439"/>
    <w:rsid w:val="00C11521"/>
    <w:rsid w:val="00C115E4"/>
    <w:rsid w:val="00C115E5"/>
    <w:rsid w:val="00C1175C"/>
    <w:rsid w:val="00C11BCC"/>
    <w:rsid w:val="00C11C19"/>
    <w:rsid w:val="00C11C85"/>
    <w:rsid w:val="00C11D69"/>
    <w:rsid w:val="00C11E2C"/>
    <w:rsid w:val="00C1208A"/>
    <w:rsid w:val="00C120EB"/>
    <w:rsid w:val="00C1231C"/>
    <w:rsid w:val="00C1243C"/>
    <w:rsid w:val="00C124E9"/>
    <w:rsid w:val="00C12622"/>
    <w:rsid w:val="00C126D3"/>
    <w:rsid w:val="00C1275C"/>
    <w:rsid w:val="00C128AC"/>
    <w:rsid w:val="00C12A91"/>
    <w:rsid w:val="00C12C0B"/>
    <w:rsid w:val="00C1300D"/>
    <w:rsid w:val="00C1317E"/>
    <w:rsid w:val="00C131D2"/>
    <w:rsid w:val="00C131E9"/>
    <w:rsid w:val="00C1320D"/>
    <w:rsid w:val="00C13383"/>
    <w:rsid w:val="00C13450"/>
    <w:rsid w:val="00C134E0"/>
    <w:rsid w:val="00C1373E"/>
    <w:rsid w:val="00C138DB"/>
    <w:rsid w:val="00C13BD9"/>
    <w:rsid w:val="00C13CE3"/>
    <w:rsid w:val="00C13D02"/>
    <w:rsid w:val="00C13EBF"/>
    <w:rsid w:val="00C1401F"/>
    <w:rsid w:val="00C14158"/>
    <w:rsid w:val="00C142A5"/>
    <w:rsid w:val="00C14354"/>
    <w:rsid w:val="00C1453F"/>
    <w:rsid w:val="00C14552"/>
    <w:rsid w:val="00C1457A"/>
    <w:rsid w:val="00C1494F"/>
    <w:rsid w:val="00C14990"/>
    <w:rsid w:val="00C14C20"/>
    <w:rsid w:val="00C14D9E"/>
    <w:rsid w:val="00C14DE5"/>
    <w:rsid w:val="00C14E62"/>
    <w:rsid w:val="00C14F36"/>
    <w:rsid w:val="00C14FD0"/>
    <w:rsid w:val="00C150B7"/>
    <w:rsid w:val="00C1547A"/>
    <w:rsid w:val="00C155A6"/>
    <w:rsid w:val="00C156A7"/>
    <w:rsid w:val="00C157C6"/>
    <w:rsid w:val="00C15CFC"/>
    <w:rsid w:val="00C15E87"/>
    <w:rsid w:val="00C15ECB"/>
    <w:rsid w:val="00C1612B"/>
    <w:rsid w:val="00C16244"/>
    <w:rsid w:val="00C16682"/>
    <w:rsid w:val="00C1669C"/>
    <w:rsid w:val="00C166A3"/>
    <w:rsid w:val="00C167C9"/>
    <w:rsid w:val="00C16879"/>
    <w:rsid w:val="00C16BD1"/>
    <w:rsid w:val="00C16C09"/>
    <w:rsid w:val="00C16DA8"/>
    <w:rsid w:val="00C16E22"/>
    <w:rsid w:val="00C170E6"/>
    <w:rsid w:val="00C174E1"/>
    <w:rsid w:val="00C175ED"/>
    <w:rsid w:val="00C177E7"/>
    <w:rsid w:val="00C178D6"/>
    <w:rsid w:val="00C17BCF"/>
    <w:rsid w:val="00C17C2C"/>
    <w:rsid w:val="00C17C87"/>
    <w:rsid w:val="00C17CE1"/>
    <w:rsid w:val="00C17D0B"/>
    <w:rsid w:val="00C17E3B"/>
    <w:rsid w:val="00C17F8F"/>
    <w:rsid w:val="00C17FF8"/>
    <w:rsid w:val="00C2006D"/>
    <w:rsid w:val="00C2021B"/>
    <w:rsid w:val="00C203BC"/>
    <w:rsid w:val="00C203F2"/>
    <w:rsid w:val="00C206D8"/>
    <w:rsid w:val="00C2071E"/>
    <w:rsid w:val="00C2089D"/>
    <w:rsid w:val="00C20985"/>
    <w:rsid w:val="00C20A8C"/>
    <w:rsid w:val="00C20AB8"/>
    <w:rsid w:val="00C20B0D"/>
    <w:rsid w:val="00C20C58"/>
    <w:rsid w:val="00C20CE5"/>
    <w:rsid w:val="00C20D60"/>
    <w:rsid w:val="00C20D74"/>
    <w:rsid w:val="00C20DA1"/>
    <w:rsid w:val="00C20E66"/>
    <w:rsid w:val="00C20F34"/>
    <w:rsid w:val="00C21157"/>
    <w:rsid w:val="00C21415"/>
    <w:rsid w:val="00C217DF"/>
    <w:rsid w:val="00C2184F"/>
    <w:rsid w:val="00C2198F"/>
    <w:rsid w:val="00C21BA5"/>
    <w:rsid w:val="00C21EA9"/>
    <w:rsid w:val="00C21EAA"/>
    <w:rsid w:val="00C2248F"/>
    <w:rsid w:val="00C225E8"/>
    <w:rsid w:val="00C2261F"/>
    <w:rsid w:val="00C22633"/>
    <w:rsid w:val="00C22AAA"/>
    <w:rsid w:val="00C22AAB"/>
    <w:rsid w:val="00C22B97"/>
    <w:rsid w:val="00C22D89"/>
    <w:rsid w:val="00C22F40"/>
    <w:rsid w:val="00C23067"/>
    <w:rsid w:val="00C230F1"/>
    <w:rsid w:val="00C23165"/>
    <w:rsid w:val="00C2322F"/>
    <w:rsid w:val="00C2343B"/>
    <w:rsid w:val="00C23757"/>
    <w:rsid w:val="00C237A8"/>
    <w:rsid w:val="00C2387D"/>
    <w:rsid w:val="00C23B4A"/>
    <w:rsid w:val="00C23CB8"/>
    <w:rsid w:val="00C23D03"/>
    <w:rsid w:val="00C240D4"/>
    <w:rsid w:val="00C24117"/>
    <w:rsid w:val="00C2413B"/>
    <w:rsid w:val="00C242E0"/>
    <w:rsid w:val="00C2448E"/>
    <w:rsid w:val="00C244E0"/>
    <w:rsid w:val="00C244F8"/>
    <w:rsid w:val="00C2457B"/>
    <w:rsid w:val="00C2482D"/>
    <w:rsid w:val="00C2498C"/>
    <w:rsid w:val="00C2499E"/>
    <w:rsid w:val="00C24A55"/>
    <w:rsid w:val="00C24A96"/>
    <w:rsid w:val="00C24ADF"/>
    <w:rsid w:val="00C24C40"/>
    <w:rsid w:val="00C24CB4"/>
    <w:rsid w:val="00C24CD4"/>
    <w:rsid w:val="00C24D3C"/>
    <w:rsid w:val="00C24D47"/>
    <w:rsid w:val="00C24D73"/>
    <w:rsid w:val="00C24DB4"/>
    <w:rsid w:val="00C25083"/>
    <w:rsid w:val="00C253B3"/>
    <w:rsid w:val="00C256E3"/>
    <w:rsid w:val="00C258B4"/>
    <w:rsid w:val="00C25911"/>
    <w:rsid w:val="00C25A98"/>
    <w:rsid w:val="00C25BA0"/>
    <w:rsid w:val="00C25C68"/>
    <w:rsid w:val="00C25C9D"/>
    <w:rsid w:val="00C25CDB"/>
    <w:rsid w:val="00C25E8F"/>
    <w:rsid w:val="00C25FDB"/>
    <w:rsid w:val="00C26025"/>
    <w:rsid w:val="00C26307"/>
    <w:rsid w:val="00C264E0"/>
    <w:rsid w:val="00C2651D"/>
    <w:rsid w:val="00C268EA"/>
    <w:rsid w:val="00C269AA"/>
    <w:rsid w:val="00C269D7"/>
    <w:rsid w:val="00C26AF9"/>
    <w:rsid w:val="00C26C4E"/>
    <w:rsid w:val="00C26DF6"/>
    <w:rsid w:val="00C26E40"/>
    <w:rsid w:val="00C26E5A"/>
    <w:rsid w:val="00C26F7F"/>
    <w:rsid w:val="00C26FE7"/>
    <w:rsid w:val="00C2700C"/>
    <w:rsid w:val="00C2707F"/>
    <w:rsid w:val="00C27315"/>
    <w:rsid w:val="00C27891"/>
    <w:rsid w:val="00C278C8"/>
    <w:rsid w:val="00C278D5"/>
    <w:rsid w:val="00C27BF5"/>
    <w:rsid w:val="00C27FFD"/>
    <w:rsid w:val="00C30100"/>
    <w:rsid w:val="00C301F6"/>
    <w:rsid w:val="00C30556"/>
    <w:rsid w:val="00C3063D"/>
    <w:rsid w:val="00C3069E"/>
    <w:rsid w:val="00C30872"/>
    <w:rsid w:val="00C30AE0"/>
    <w:rsid w:val="00C30B20"/>
    <w:rsid w:val="00C30E5B"/>
    <w:rsid w:val="00C30E86"/>
    <w:rsid w:val="00C30FD8"/>
    <w:rsid w:val="00C3131D"/>
    <w:rsid w:val="00C3134F"/>
    <w:rsid w:val="00C31360"/>
    <w:rsid w:val="00C313AA"/>
    <w:rsid w:val="00C31403"/>
    <w:rsid w:val="00C31960"/>
    <w:rsid w:val="00C31AAA"/>
    <w:rsid w:val="00C31B39"/>
    <w:rsid w:val="00C31BC0"/>
    <w:rsid w:val="00C31BE5"/>
    <w:rsid w:val="00C31C2A"/>
    <w:rsid w:val="00C31DF3"/>
    <w:rsid w:val="00C31EDA"/>
    <w:rsid w:val="00C31FDD"/>
    <w:rsid w:val="00C321B4"/>
    <w:rsid w:val="00C32212"/>
    <w:rsid w:val="00C323B0"/>
    <w:rsid w:val="00C32695"/>
    <w:rsid w:val="00C326E8"/>
    <w:rsid w:val="00C32A6A"/>
    <w:rsid w:val="00C32AA0"/>
    <w:rsid w:val="00C32B46"/>
    <w:rsid w:val="00C32BC1"/>
    <w:rsid w:val="00C32FCB"/>
    <w:rsid w:val="00C3300C"/>
    <w:rsid w:val="00C33114"/>
    <w:rsid w:val="00C3330F"/>
    <w:rsid w:val="00C3334B"/>
    <w:rsid w:val="00C333DE"/>
    <w:rsid w:val="00C33573"/>
    <w:rsid w:val="00C335C5"/>
    <w:rsid w:val="00C336D9"/>
    <w:rsid w:val="00C337E7"/>
    <w:rsid w:val="00C33857"/>
    <w:rsid w:val="00C33993"/>
    <w:rsid w:val="00C33B88"/>
    <w:rsid w:val="00C33EEF"/>
    <w:rsid w:val="00C340C9"/>
    <w:rsid w:val="00C343B5"/>
    <w:rsid w:val="00C343DB"/>
    <w:rsid w:val="00C34481"/>
    <w:rsid w:val="00C344D6"/>
    <w:rsid w:val="00C3474B"/>
    <w:rsid w:val="00C3485E"/>
    <w:rsid w:val="00C34A1F"/>
    <w:rsid w:val="00C34ACF"/>
    <w:rsid w:val="00C352CA"/>
    <w:rsid w:val="00C352FB"/>
    <w:rsid w:val="00C35358"/>
    <w:rsid w:val="00C35392"/>
    <w:rsid w:val="00C35479"/>
    <w:rsid w:val="00C35515"/>
    <w:rsid w:val="00C35644"/>
    <w:rsid w:val="00C3566E"/>
    <w:rsid w:val="00C35790"/>
    <w:rsid w:val="00C357AD"/>
    <w:rsid w:val="00C357BD"/>
    <w:rsid w:val="00C357F0"/>
    <w:rsid w:val="00C3584E"/>
    <w:rsid w:val="00C359D4"/>
    <w:rsid w:val="00C35C08"/>
    <w:rsid w:val="00C35C36"/>
    <w:rsid w:val="00C35E1F"/>
    <w:rsid w:val="00C36253"/>
    <w:rsid w:val="00C36259"/>
    <w:rsid w:val="00C36368"/>
    <w:rsid w:val="00C36662"/>
    <w:rsid w:val="00C36884"/>
    <w:rsid w:val="00C368F4"/>
    <w:rsid w:val="00C369EF"/>
    <w:rsid w:val="00C36AC3"/>
    <w:rsid w:val="00C36BED"/>
    <w:rsid w:val="00C36D98"/>
    <w:rsid w:val="00C36DE9"/>
    <w:rsid w:val="00C37075"/>
    <w:rsid w:val="00C37234"/>
    <w:rsid w:val="00C37374"/>
    <w:rsid w:val="00C373A8"/>
    <w:rsid w:val="00C3745C"/>
    <w:rsid w:val="00C37475"/>
    <w:rsid w:val="00C37479"/>
    <w:rsid w:val="00C37AE1"/>
    <w:rsid w:val="00C37C5D"/>
    <w:rsid w:val="00C37DF8"/>
    <w:rsid w:val="00C37E50"/>
    <w:rsid w:val="00C37EF7"/>
    <w:rsid w:val="00C40061"/>
    <w:rsid w:val="00C400E7"/>
    <w:rsid w:val="00C4013E"/>
    <w:rsid w:val="00C40192"/>
    <w:rsid w:val="00C402FE"/>
    <w:rsid w:val="00C40365"/>
    <w:rsid w:val="00C405A0"/>
    <w:rsid w:val="00C405A9"/>
    <w:rsid w:val="00C40815"/>
    <w:rsid w:val="00C4081C"/>
    <w:rsid w:val="00C40874"/>
    <w:rsid w:val="00C40DF4"/>
    <w:rsid w:val="00C40ED9"/>
    <w:rsid w:val="00C40EEA"/>
    <w:rsid w:val="00C40F05"/>
    <w:rsid w:val="00C40FE5"/>
    <w:rsid w:val="00C41002"/>
    <w:rsid w:val="00C410E9"/>
    <w:rsid w:val="00C411F4"/>
    <w:rsid w:val="00C41538"/>
    <w:rsid w:val="00C41664"/>
    <w:rsid w:val="00C41797"/>
    <w:rsid w:val="00C41C0E"/>
    <w:rsid w:val="00C41C3A"/>
    <w:rsid w:val="00C41C3C"/>
    <w:rsid w:val="00C41D47"/>
    <w:rsid w:val="00C41DC9"/>
    <w:rsid w:val="00C41F0E"/>
    <w:rsid w:val="00C41F8F"/>
    <w:rsid w:val="00C4209B"/>
    <w:rsid w:val="00C420B6"/>
    <w:rsid w:val="00C42299"/>
    <w:rsid w:val="00C422D7"/>
    <w:rsid w:val="00C4241D"/>
    <w:rsid w:val="00C4246F"/>
    <w:rsid w:val="00C42497"/>
    <w:rsid w:val="00C424CB"/>
    <w:rsid w:val="00C425A0"/>
    <w:rsid w:val="00C42A2D"/>
    <w:rsid w:val="00C42A9E"/>
    <w:rsid w:val="00C42D6E"/>
    <w:rsid w:val="00C42EB6"/>
    <w:rsid w:val="00C430CB"/>
    <w:rsid w:val="00C4311E"/>
    <w:rsid w:val="00C431A5"/>
    <w:rsid w:val="00C43359"/>
    <w:rsid w:val="00C437C9"/>
    <w:rsid w:val="00C438EE"/>
    <w:rsid w:val="00C4396E"/>
    <w:rsid w:val="00C439BC"/>
    <w:rsid w:val="00C43AAB"/>
    <w:rsid w:val="00C43AE8"/>
    <w:rsid w:val="00C43B95"/>
    <w:rsid w:val="00C43C99"/>
    <w:rsid w:val="00C43DE9"/>
    <w:rsid w:val="00C43E6D"/>
    <w:rsid w:val="00C43FDC"/>
    <w:rsid w:val="00C440C3"/>
    <w:rsid w:val="00C44273"/>
    <w:rsid w:val="00C4427F"/>
    <w:rsid w:val="00C44315"/>
    <w:rsid w:val="00C443EC"/>
    <w:rsid w:val="00C4446E"/>
    <w:rsid w:val="00C44667"/>
    <w:rsid w:val="00C44929"/>
    <w:rsid w:val="00C44A45"/>
    <w:rsid w:val="00C44A90"/>
    <w:rsid w:val="00C44AE9"/>
    <w:rsid w:val="00C44B31"/>
    <w:rsid w:val="00C44C26"/>
    <w:rsid w:val="00C45161"/>
    <w:rsid w:val="00C451B2"/>
    <w:rsid w:val="00C45310"/>
    <w:rsid w:val="00C4541C"/>
    <w:rsid w:val="00C454A2"/>
    <w:rsid w:val="00C45563"/>
    <w:rsid w:val="00C45707"/>
    <w:rsid w:val="00C45AA5"/>
    <w:rsid w:val="00C45AAB"/>
    <w:rsid w:val="00C45B17"/>
    <w:rsid w:val="00C45B7A"/>
    <w:rsid w:val="00C45BCA"/>
    <w:rsid w:val="00C45DB0"/>
    <w:rsid w:val="00C4610B"/>
    <w:rsid w:val="00C46148"/>
    <w:rsid w:val="00C461CD"/>
    <w:rsid w:val="00C462FE"/>
    <w:rsid w:val="00C463AB"/>
    <w:rsid w:val="00C46459"/>
    <w:rsid w:val="00C464C0"/>
    <w:rsid w:val="00C464C9"/>
    <w:rsid w:val="00C464E4"/>
    <w:rsid w:val="00C465F0"/>
    <w:rsid w:val="00C46B12"/>
    <w:rsid w:val="00C46BF5"/>
    <w:rsid w:val="00C46DB2"/>
    <w:rsid w:val="00C46DC1"/>
    <w:rsid w:val="00C46DDE"/>
    <w:rsid w:val="00C46E58"/>
    <w:rsid w:val="00C46E93"/>
    <w:rsid w:val="00C46FCC"/>
    <w:rsid w:val="00C472E0"/>
    <w:rsid w:val="00C4731F"/>
    <w:rsid w:val="00C4737B"/>
    <w:rsid w:val="00C4746D"/>
    <w:rsid w:val="00C4751B"/>
    <w:rsid w:val="00C4757B"/>
    <w:rsid w:val="00C4771A"/>
    <w:rsid w:val="00C4777C"/>
    <w:rsid w:val="00C478EA"/>
    <w:rsid w:val="00C47A71"/>
    <w:rsid w:val="00C47BC5"/>
    <w:rsid w:val="00C47C5A"/>
    <w:rsid w:val="00C47E35"/>
    <w:rsid w:val="00C47FC1"/>
    <w:rsid w:val="00C50436"/>
    <w:rsid w:val="00C504EF"/>
    <w:rsid w:val="00C506CB"/>
    <w:rsid w:val="00C50870"/>
    <w:rsid w:val="00C50A9E"/>
    <w:rsid w:val="00C50BF6"/>
    <w:rsid w:val="00C50D3D"/>
    <w:rsid w:val="00C50E0D"/>
    <w:rsid w:val="00C50E34"/>
    <w:rsid w:val="00C50EC2"/>
    <w:rsid w:val="00C50F2C"/>
    <w:rsid w:val="00C51028"/>
    <w:rsid w:val="00C51194"/>
    <w:rsid w:val="00C5120C"/>
    <w:rsid w:val="00C512A9"/>
    <w:rsid w:val="00C51560"/>
    <w:rsid w:val="00C515C7"/>
    <w:rsid w:val="00C51910"/>
    <w:rsid w:val="00C519BB"/>
    <w:rsid w:val="00C51AAD"/>
    <w:rsid w:val="00C51AC1"/>
    <w:rsid w:val="00C51ACF"/>
    <w:rsid w:val="00C51AE6"/>
    <w:rsid w:val="00C51D6A"/>
    <w:rsid w:val="00C520C2"/>
    <w:rsid w:val="00C52267"/>
    <w:rsid w:val="00C522E0"/>
    <w:rsid w:val="00C527EB"/>
    <w:rsid w:val="00C52A3F"/>
    <w:rsid w:val="00C52AA5"/>
    <w:rsid w:val="00C52C80"/>
    <w:rsid w:val="00C52D06"/>
    <w:rsid w:val="00C52D24"/>
    <w:rsid w:val="00C52D86"/>
    <w:rsid w:val="00C530AC"/>
    <w:rsid w:val="00C530D3"/>
    <w:rsid w:val="00C530F5"/>
    <w:rsid w:val="00C5342A"/>
    <w:rsid w:val="00C5381E"/>
    <w:rsid w:val="00C538EB"/>
    <w:rsid w:val="00C53966"/>
    <w:rsid w:val="00C53A96"/>
    <w:rsid w:val="00C53AF8"/>
    <w:rsid w:val="00C53C83"/>
    <w:rsid w:val="00C53E99"/>
    <w:rsid w:val="00C540ED"/>
    <w:rsid w:val="00C546C2"/>
    <w:rsid w:val="00C5472C"/>
    <w:rsid w:val="00C54A20"/>
    <w:rsid w:val="00C54B65"/>
    <w:rsid w:val="00C54CAF"/>
    <w:rsid w:val="00C54CB1"/>
    <w:rsid w:val="00C54D04"/>
    <w:rsid w:val="00C54DCB"/>
    <w:rsid w:val="00C552E3"/>
    <w:rsid w:val="00C55572"/>
    <w:rsid w:val="00C555A0"/>
    <w:rsid w:val="00C555C4"/>
    <w:rsid w:val="00C556C7"/>
    <w:rsid w:val="00C55954"/>
    <w:rsid w:val="00C55B31"/>
    <w:rsid w:val="00C55F77"/>
    <w:rsid w:val="00C561D4"/>
    <w:rsid w:val="00C56214"/>
    <w:rsid w:val="00C5634A"/>
    <w:rsid w:val="00C56787"/>
    <w:rsid w:val="00C568C3"/>
    <w:rsid w:val="00C56D2F"/>
    <w:rsid w:val="00C56DDE"/>
    <w:rsid w:val="00C56E5D"/>
    <w:rsid w:val="00C56F89"/>
    <w:rsid w:val="00C57246"/>
    <w:rsid w:val="00C5736F"/>
    <w:rsid w:val="00C57590"/>
    <w:rsid w:val="00C575C5"/>
    <w:rsid w:val="00C5771D"/>
    <w:rsid w:val="00C577A9"/>
    <w:rsid w:val="00C577D2"/>
    <w:rsid w:val="00C57862"/>
    <w:rsid w:val="00C57933"/>
    <w:rsid w:val="00C57BDA"/>
    <w:rsid w:val="00C57BEF"/>
    <w:rsid w:val="00C57CC0"/>
    <w:rsid w:val="00C57DEF"/>
    <w:rsid w:val="00C57E2B"/>
    <w:rsid w:val="00C57E87"/>
    <w:rsid w:val="00C602ED"/>
    <w:rsid w:val="00C60324"/>
    <w:rsid w:val="00C60460"/>
    <w:rsid w:val="00C607E5"/>
    <w:rsid w:val="00C60831"/>
    <w:rsid w:val="00C60A39"/>
    <w:rsid w:val="00C60B9D"/>
    <w:rsid w:val="00C60BB1"/>
    <w:rsid w:val="00C60C28"/>
    <w:rsid w:val="00C60D21"/>
    <w:rsid w:val="00C60D7C"/>
    <w:rsid w:val="00C61002"/>
    <w:rsid w:val="00C61190"/>
    <w:rsid w:val="00C612B5"/>
    <w:rsid w:val="00C613E7"/>
    <w:rsid w:val="00C6148A"/>
    <w:rsid w:val="00C61567"/>
    <w:rsid w:val="00C615BF"/>
    <w:rsid w:val="00C61640"/>
    <w:rsid w:val="00C617CA"/>
    <w:rsid w:val="00C61919"/>
    <w:rsid w:val="00C6199B"/>
    <w:rsid w:val="00C619FB"/>
    <w:rsid w:val="00C61A7F"/>
    <w:rsid w:val="00C61AE2"/>
    <w:rsid w:val="00C61FB0"/>
    <w:rsid w:val="00C6221B"/>
    <w:rsid w:val="00C623AC"/>
    <w:rsid w:val="00C62A82"/>
    <w:rsid w:val="00C62C04"/>
    <w:rsid w:val="00C62F60"/>
    <w:rsid w:val="00C62FBF"/>
    <w:rsid w:val="00C6322D"/>
    <w:rsid w:val="00C63387"/>
    <w:rsid w:val="00C634DE"/>
    <w:rsid w:val="00C636F7"/>
    <w:rsid w:val="00C637C1"/>
    <w:rsid w:val="00C6398B"/>
    <w:rsid w:val="00C63A45"/>
    <w:rsid w:val="00C63EAA"/>
    <w:rsid w:val="00C63ED2"/>
    <w:rsid w:val="00C63F95"/>
    <w:rsid w:val="00C64845"/>
    <w:rsid w:val="00C6492D"/>
    <w:rsid w:val="00C64AE5"/>
    <w:rsid w:val="00C64BFB"/>
    <w:rsid w:val="00C64FA4"/>
    <w:rsid w:val="00C65098"/>
    <w:rsid w:val="00C6514E"/>
    <w:rsid w:val="00C65151"/>
    <w:rsid w:val="00C6517B"/>
    <w:rsid w:val="00C651FA"/>
    <w:rsid w:val="00C65215"/>
    <w:rsid w:val="00C653AF"/>
    <w:rsid w:val="00C65487"/>
    <w:rsid w:val="00C654D8"/>
    <w:rsid w:val="00C65544"/>
    <w:rsid w:val="00C655BD"/>
    <w:rsid w:val="00C655C7"/>
    <w:rsid w:val="00C6560A"/>
    <w:rsid w:val="00C65641"/>
    <w:rsid w:val="00C656A0"/>
    <w:rsid w:val="00C656C7"/>
    <w:rsid w:val="00C657BB"/>
    <w:rsid w:val="00C657CD"/>
    <w:rsid w:val="00C65980"/>
    <w:rsid w:val="00C65A38"/>
    <w:rsid w:val="00C65A47"/>
    <w:rsid w:val="00C65C0A"/>
    <w:rsid w:val="00C65C8E"/>
    <w:rsid w:val="00C65E09"/>
    <w:rsid w:val="00C65E4F"/>
    <w:rsid w:val="00C65EDC"/>
    <w:rsid w:val="00C65F33"/>
    <w:rsid w:val="00C65F4D"/>
    <w:rsid w:val="00C65FAE"/>
    <w:rsid w:val="00C66128"/>
    <w:rsid w:val="00C66241"/>
    <w:rsid w:val="00C66283"/>
    <w:rsid w:val="00C662B0"/>
    <w:rsid w:val="00C6639E"/>
    <w:rsid w:val="00C6642F"/>
    <w:rsid w:val="00C6659E"/>
    <w:rsid w:val="00C665B5"/>
    <w:rsid w:val="00C6662E"/>
    <w:rsid w:val="00C666D6"/>
    <w:rsid w:val="00C66803"/>
    <w:rsid w:val="00C66A22"/>
    <w:rsid w:val="00C66C44"/>
    <w:rsid w:val="00C66C97"/>
    <w:rsid w:val="00C66E21"/>
    <w:rsid w:val="00C66F65"/>
    <w:rsid w:val="00C66FC8"/>
    <w:rsid w:val="00C6706E"/>
    <w:rsid w:val="00C670BB"/>
    <w:rsid w:val="00C67121"/>
    <w:rsid w:val="00C67144"/>
    <w:rsid w:val="00C6725E"/>
    <w:rsid w:val="00C6728B"/>
    <w:rsid w:val="00C67307"/>
    <w:rsid w:val="00C67316"/>
    <w:rsid w:val="00C6735A"/>
    <w:rsid w:val="00C676AB"/>
    <w:rsid w:val="00C6773C"/>
    <w:rsid w:val="00C67829"/>
    <w:rsid w:val="00C6784E"/>
    <w:rsid w:val="00C67B0C"/>
    <w:rsid w:val="00C67B3B"/>
    <w:rsid w:val="00C7010F"/>
    <w:rsid w:val="00C70585"/>
    <w:rsid w:val="00C70619"/>
    <w:rsid w:val="00C70675"/>
    <w:rsid w:val="00C7071D"/>
    <w:rsid w:val="00C70922"/>
    <w:rsid w:val="00C70B1E"/>
    <w:rsid w:val="00C70D3A"/>
    <w:rsid w:val="00C70E76"/>
    <w:rsid w:val="00C71191"/>
    <w:rsid w:val="00C71561"/>
    <w:rsid w:val="00C71663"/>
    <w:rsid w:val="00C71720"/>
    <w:rsid w:val="00C717DC"/>
    <w:rsid w:val="00C71ACC"/>
    <w:rsid w:val="00C71D90"/>
    <w:rsid w:val="00C71F03"/>
    <w:rsid w:val="00C72106"/>
    <w:rsid w:val="00C722BE"/>
    <w:rsid w:val="00C722E5"/>
    <w:rsid w:val="00C7268C"/>
    <w:rsid w:val="00C72816"/>
    <w:rsid w:val="00C728AB"/>
    <w:rsid w:val="00C7290F"/>
    <w:rsid w:val="00C72B98"/>
    <w:rsid w:val="00C72EFE"/>
    <w:rsid w:val="00C7308B"/>
    <w:rsid w:val="00C730B0"/>
    <w:rsid w:val="00C7313C"/>
    <w:rsid w:val="00C731D4"/>
    <w:rsid w:val="00C73212"/>
    <w:rsid w:val="00C73322"/>
    <w:rsid w:val="00C733B2"/>
    <w:rsid w:val="00C73609"/>
    <w:rsid w:val="00C736E0"/>
    <w:rsid w:val="00C738F5"/>
    <w:rsid w:val="00C739FE"/>
    <w:rsid w:val="00C73A3C"/>
    <w:rsid w:val="00C73BCB"/>
    <w:rsid w:val="00C73E33"/>
    <w:rsid w:val="00C73E52"/>
    <w:rsid w:val="00C73EC9"/>
    <w:rsid w:val="00C740E1"/>
    <w:rsid w:val="00C74178"/>
    <w:rsid w:val="00C7417A"/>
    <w:rsid w:val="00C7417B"/>
    <w:rsid w:val="00C741ED"/>
    <w:rsid w:val="00C743EA"/>
    <w:rsid w:val="00C7449C"/>
    <w:rsid w:val="00C745C5"/>
    <w:rsid w:val="00C74649"/>
    <w:rsid w:val="00C746A8"/>
    <w:rsid w:val="00C747F7"/>
    <w:rsid w:val="00C7484D"/>
    <w:rsid w:val="00C74AE5"/>
    <w:rsid w:val="00C74B3F"/>
    <w:rsid w:val="00C74D5B"/>
    <w:rsid w:val="00C74E25"/>
    <w:rsid w:val="00C74F3D"/>
    <w:rsid w:val="00C75022"/>
    <w:rsid w:val="00C75126"/>
    <w:rsid w:val="00C751CF"/>
    <w:rsid w:val="00C75214"/>
    <w:rsid w:val="00C7534B"/>
    <w:rsid w:val="00C754DF"/>
    <w:rsid w:val="00C755C5"/>
    <w:rsid w:val="00C7570C"/>
    <w:rsid w:val="00C759B7"/>
    <w:rsid w:val="00C759B8"/>
    <w:rsid w:val="00C75D79"/>
    <w:rsid w:val="00C75E01"/>
    <w:rsid w:val="00C75ED2"/>
    <w:rsid w:val="00C75F10"/>
    <w:rsid w:val="00C75FC9"/>
    <w:rsid w:val="00C76065"/>
    <w:rsid w:val="00C76083"/>
    <w:rsid w:val="00C760B5"/>
    <w:rsid w:val="00C761AE"/>
    <w:rsid w:val="00C763CC"/>
    <w:rsid w:val="00C7641C"/>
    <w:rsid w:val="00C76545"/>
    <w:rsid w:val="00C76662"/>
    <w:rsid w:val="00C76A6D"/>
    <w:rsid w:val="00C76AB9"/>
    <w:rsid w:val="00C76C35"/>
    <w:rsid w:val="00C76C43"/>
    <w:rsid w:val="00C76DDB"/>
    <w:rsid w:val="00C76E55"/>
    <w:rsid w:val="00C77078"/>
    <w:rsid w:val="00C7720F"/>
    <w:rsid w:val="00C77499"/>
    <w:rsid w:val="00C7761F"/>
    <w:rsid w:val="00C77699"/>
    <w:rsid w:val="00C77AF7"/>
    <w:rsid w:val="00C77D41"/>
    <w:rsid w:val="00C77D47"/>
    <w:rsid w:val="00C77D51"/>
    <w:rsid w:val="00C77DB7"/>
    <w:rsid w:val="00C77E0C"/>
    <w:rsid w:val="00C77E16"/>
    <w:rsid w:val="00C8017D"/>
    <w:rsid w:val="00C8020E"/>
    <w:rsid w:val="00C804DF"/>
    <w:rsid w:val="00C80708"/>
    <w:rsid w:val="00C80831"/>
    <w:rsid w:val="00C80877"/>
    <w:rsid w:val="00C80881"/>
    <w:rsid w:val="00C80A9C"/>
    <w:rsid w:val="00C80AAD"/>
    <w:rsid w:val="00C81242"/>
    <w:rsid w:val="00C81282"/>
    <w:rsid w:val="00C81373"/>
    <w:rsid w:val="00C814DA"/>
    <w:rsid w:val="00C814DE"/>
    <w:rsid w:val="00C814EB"/>
    <w:rsid w:val="00C81552"/>
    <w:rsid w:val="00C81636"/>
    <w:rsid w:val="00C81764"/>
    <w:rsid w:val="00C81860"/>
    <w:rsid w:val="00C81907"/>
    <w:rsid w:val="00C8190E"/>
    <w:rsid w:val="00C81950"/>
    <w:rsid w:val="00C8199D"/>
    <w:rsid w:val="00C819D5"/>
    <w:rsid w:val="00C819F4"/>
    <w:rsid w:val="00C81A64"/>
    <w:rsid w:val="00C81A7B"/>
    <w:rsid w:val="00C81AB0"/>
    <w:rsid w:val="00C81B0D"/>
    <w:rsid w:val="00C81B4F"/>
    <w:rsid w:val="00C81CF5"/>
    <w:rsid w:val="00C81EA9"/>
    <w:rsid w:val="00C8215F"/>
    <w:rsid w:val="00C827CE"/>
    <w:rsid w:val="00C8295E"/>
    <w:rsid w:val="00C82D33"/>
    <w:rsid w:val="00C82E9A"/>
    <w:rsid w:val="00C82F2F"/>
    <w:rsid w:val="00C83366"/>
    <w:rsid w:val="00C83588"/>
    <w:rsid w:val="00C83A59"/>
    <w:rsid w:val="00C83C9F"/>
    <w:rsid w:val="00C83CF9"/>
    <w:rsid w:val="00C83D0A"/>
    <w:rsid w:val="00C83D0B"/>
    <w:rsid w:val="00C83D2B"/>
    <w:rsid w:val="00C83F35"/>
    <w:rsid w:val="00C83FB1"/>
    <w:rsid w:val="00C84140"/>
    <w:rsid w:val="00C84462"/>
    <w:rsid w:val="00C84474"/>
    <w:rsid w:val="00C84649"/>
    <w:rsid w:val="00C849A8"/>
    <w:rsid w:val="00C84A05"/>
    <w:rsid w:val="00C84A61"/>
    <w:rsid w:val="00C84A62"/>
    <w:rsid w:val="00C84E51"/>
    <w:rsid w:val="00C84ED3"/>
    <w:rsid w:val="00C84FAA"/>
    <w:rsid w:val="00C84FC3"/>
    <w:rsid w:val="00C852F2"/>
    <w:rsid w:val="00C854CA"/>
    <w:rsid w:val="00C857DA"/>
    <w:rsid w:val="00C858ED"/>
    <w:rsid w:val="00C85B88"/>
    <w:rsid w:val="00C86088"/>
    <w:rsid w:val="00C8608A"/>
    <w:rsid w:val="00C8613D"/>
    <w:rsid w:val="00C8638C"/>
    <w:rsid w:val="00C863F8"/>
    <w:rsid w:val="00C864DB"/>
    <w:rsid w:val="00C864F7"/>
    <w:rsid w:val="00C86545"/>
    <w:rsid w:val="00C86627"/>
    <w:rsid w:val="00C867D6"/>
    <w:rsid w:val="00C8698D"/>
    <w:rsid w:val="00C86B34"/>
    <w:rsid w:val="00C86BE5"/>
    <w:rsid w:val="00C86D38"/>
    <w:rsid w:val="00C8707C"/>
    <w:rsid w:val="00C872B1"/>
    <w:rsid w:val="00C87390"/>
    <w:rsid w:val="00C874BD"/>
    <w:rsid w:val="00C87513"/>
    <w:rsid w:val="00C87546"/>
    <w:rsid w:val="00C875A8"/>
    <w:rsid w:val="00C876F2"/>
    <w:rsid w:val="00C87818"/>
    <w:rsid w:val="00C87AFD"/>
    <w:rsid w:val="00C87D31"/>
    <w:rsid w:val="00C90354"/>
    <w:rsid w:val="00C90571"/>
    <w:rsid w:val="00C906A5"/>
    <w:rsid w:val="00C9084C"/>
    <w:rsid w:val="00C90A0D"/>
    <w:rsid w:val="00C90C4A"/>
    <w:rsid w:val="00C90E75"/>
    <w:rsid w:val="00C90ED8"/>
    <w:rsid w:val="00C90FC0"/>
    <w:rsid w:val="00C910F8"/>
    <w:rsid w:val="00C9118E"/>
    <w:rsid w:val="00C91399"/>
    <w:rsid w:val="00C913E8"/>
    <w:rsid w:val="00C915A1"/>
    <w:rsid w:val="00C91662"/>
    <w:rsid w:val="00C9193F"/>
    <w:rsid w:val="00C91BFA"/>
    <w:rsid w:val="00C91CF9"/>
    <w:rsid w:val="00C9205F"/>
    <w:rsid w:val="00C920EF"/>
    <w:rsid w:val="00C9210C"/>
    <w:rsid w:val="00C9223B"/>
    <w:rsid w:val="00C92348"/>
    <w:rsid w:val="00C92474"/>
    <w:rsid w:val="00C925CB"/>
    <w:rsid w:val="00C926D3"/>
    <w:rsid w:val="00C927BB"/>
    <w:rsid w:val="00C92843"/>
    <w:rsid w:val="00C9294C"/>
    <w:rsid w:val="00C9295F"/>
    <w:rsid w:val="00C92989"/>
    <w:rsid w:val="00C929CF"/>
    <w:rsid w:val="00C92A3C"/>
    <w:rsid w:val="00C92C7D"/>
    <w:rsid w:val="00C92CCF"/>
    <w:rsid w:val="00C92D95"/>
    <w:rsid w:val="00C9305C"/>
    <w:rsid w:val="00C930FC"/>
    <w:rsid w:val="00C931F9"/>
    <w:rsid w:val="00C933F0"/>
    <w:rsid w:val="00C93560"/>
    <w:rsid w:val="00C9361B"/>
    <w:rsid w:val="00C93870"/>
    <w:rsid w:val="00C93A90"/>
    <w:rsid w:val="00C93CB3"/>
    <w:rsid w:val="00C93D44"/>
    <w:rsid w:val="00C93DC4"/>
    <w:rsid w:val="00C93F71"/>
    <w:rsid w:val="00C942B0"/>
    <w:rsid w:val="00C943A0"/>
    <w:rsid w:val="00C944A5"/>
    <w:rsid w:val="00C94566"/>
    <w:rsid w:val="00C945CE"/>
    <w:rsid w:val="00C9462D"/>
    <w:rsid w:val="00C946C4"/>
    <w:rsid w:val="00C94700"/>
    <w:rsid w:val="00C94798"/>
    <w:rsid w:val="00C94CF1"/>
    <w:rsid w:val="00C94D52"/>
    <w:rsid w:val="00C94DD7"/>
    <w:rsid w:val="00C94F67"/>
    <w:rsid w:val="00C94FA0"/>
    <w:rsid w:val="00C952F5"/>
    <w:rsid w:val="00C95529"/>
    <w:rsid w:val="00C9570E"/>
    <w:rsid w:val="00C95737"/>
    <w:rsid w:val="00C957E3"/>
    <w:rsid w:val="00C95ACE"/>
    <w:rsid w:val="00C95B3D"/>
    <w:rsid w:val="00C95D5D"/>
    <w:rsid w:val="00C95F53"/>
    <w:rsid w:val="00C96009"/>
    <w:rsid w:val="00C960EE"/>
    <w:rsid w:val="00C9625E"/>
    <w:rsid w:val="00C962EB"/>
    <w:rsid w:val="00C96335"/>
    <w:rsid w:val="00C96369"/>
    <w:rsid w:val="00C96716"/>
    <w:rsid w:val="00C96A2D"/>
    <w:rsid w:val="00C96B5B"/>
    <w:rsid w:val="00C96C66"/>
    <w:rsid w:val="00C96E7D"/>
    <w:rsid w:val="00C96F7A"/>
    <w:rsid w:val="00C96FB8"/>
    <w:rsid w:val="00C97323"/>
    <w:rsid w:val="00C97626"/>
    <w:rsid w:val="00C976E4"/>
    <w:rsid w:val="00C97B25"/>
    <w:rsid w:val="00C97BF0"/>
    <w:rsid w:val="00C97E58"/>
    <w:rsid w:val="00C97EBF"/>
    <w:rsid w:val="00CA03F7"/>
    <w:rsid w:val="00CA04BD"/>
    <w:rsid w:val="00CA04C4"/>
    <w:rsid w:val="00CA0519"/>
    <w:rsid w:val="00CA051D"/>
    <w:rsid w:val="00CA05F9"/>
    <w:rsid w:val="00CA0879"/>
    <w:rsid w:val="00CA089A"/>
    <w:rsid w:val="00CA09A1"/>
    <w:rsid w:val="00CA0EA9"/>
    <w:rsid w:val="00CA0F8F"/>
    <w:rsid w:val="00CA1001"/>
    <w:rsid w:val="00CA10B8"/>
    <w:rsid w:val="00CA138F"/>
    <w:rsid w:val="00CA14AF"/>
    <w:rsid w:val="00CA14E0"/>
    <w:rsid w:val="00CA1718"/>
    <w:rsid w:val="00CA19DE"/>
    <w:rsid w:val="00CA1AF5"/>
    <w:rsid w:val="00CA1B61"/>
    <w:rsid w:val="00CA1CB5"/>
    <w:rsid w:val="00CA1E44"/>
    <w:rsid w:val="00CA1E47"/>
    <w:rsid w:val="00CA1F05"/>
    <w:rsid w:val="00CA20FE"/>
    <w:rsid w:val="00CA2361"/>
    <w:rsid w:val="00CA23C5"/>
    <w:rsid w:val="00CA23DD"/>
    <w:rsid w:val="00CA2422"/>
    <w:rsid w:val="00CA2620"/>
    <w:rsid w:val="00CA26DD"/>
    <w:rsid w:val="00CA28A0"/>
    <w:rsid w:val="00CA2994"/>
    <w:rsid w:val="00CA2E4E"/>
    <w:rsid w:val="00CA2E83"/>
    <w:rsid w:val="00CA2FCE"/>
    <w:rsid w:val="00CA31FF"/>
    <w:rsid w:val="00CA33BD"/>
    <w:rsid w:val="00CA3764"/>
    <w:rsid w:val="00CA3775"/>
    <w:rsid w:val="00CA380E"/>
    <w:rsid w:val="00CA39EC"/>
    <w:rsid w:val="00CA3AFB"/>
    <w:rsid w:val="00CA3BD0"/>
    <w:rsid w:val="00CA3C6C"/>
    <w:rsid w:val="00CA3C79"/>
    <w:rsid w:val="00CA3D1A"/>
    <w:rsid w:val="00CA3DA4"/>
    <w:rsid w:val="00CA3F25"/>
    <w:rsid w:val="00CA425C"/>
    <w:rsid w:val="00CA44FB"/>
    <w:rsid w:val="00CA450E"/>
    <w:rsid w:val="00CA462E"/>
    <w:rsid w:val="00CA47CD"/>
    <w:rsid w:val="00CA47D4"/>
    <w:rsid w:val="00CA4801"/>
    <w:rsid w:val="00CA48CE"/>
    <w:rsid w:val="00CA4B4D"/>
    <w:rsid w:val="00CA4C23"/>
    <w:rsid w:val="00CA4D1C"/>
    <w:rsid w:val="00CA4F85"/>
    <w:rsid w:val="00CA536D"/>
    <w:rsid w:val="00CA550F"/>
    <w:rsid w:val="00CA55BB"/>
    <w:rsid w:val="00CA57C8"/>
    <w:rsid w:val="00CA57D3"/>
    <w:rsid w:val="00CA57F7"/>
    <w:rsid w:val="00CA590E"/>
    <w:rsid w:val="00CA5913"/>
    <w:rsid w:val="00CA59B9"/>
    <w:rsid w:val="00CA5A81"/>
    <w:rsid w:val="00CA5ACF"/>
    <w:rsid w:val="00CA5BDC"/>
    <w:rsid w:val="00CA5C30"/>
    <w:rsid w:val="00CA621B"/>
    <w:rsid w:val="00CA62A0"/>
    <w:rsid w:val="00CA6315"/>
    <w:rsid w:val="00CA6316"/>
    <w:rsid w:val="00CA63DA"/>
    <w:rsid w:val="00CA653F"/>
    <w:rsid w:val="00CA660D"/>
    <w:rsid w:val="00CA67E7"/>
    <w:rsid w:val="00CA6870"/>
    <w:rsid w:val="00CA68FE"/>
    <w:rsid w:val="00CA6A52"/>
    <w:rsid w:val="00CA6C53"/>
    <w:rsid w:val="00CA6D25"/>
    <w:rsid w:val="00CA6D27"/>
    <w:rsid w:val="00CA70DD"/>
    <w:rsid w:val="00CA71C6"/>
    <w:rsid w:val="00CA7238"/>
    <w:rsid w:val="00CA7286"/>
    <w:rsid w:val="00CA73E5"/>
    <w:rsid w:val="00CA7464"/>
    <w:rsid w:val="00CA7615"/>
    <w:rsid w:val="00CA7627"/>
    <w:rsid w:val="00CA79F6"/>
    <w:rsid w:val="00CA7BB6"/>
    <w:rsid w:val="00CB0071"/>
    <w:rsid w:val="00CB0316"/>
    <w:rsid w:val="00CB0806"/>
    <w:rsid w:val="00CB0A04"/>
    <w:rsid w:val="00CB0A32"/>
    <w:rsid w:val="00CB0C1E"/>
    <w:rsid w:val="00CB0C41"/>
    <w:rsid w:val="00CB0CAE"/>
    <w:rsid w:val="00CB0E34"/>
    <w:rsid w:val="00CB100A"/>
    <w:rsid w:val="00CB12C3"/>
    <w:rsid w:val="00CB133F"/>
    <w:rsid w:val="00CB1471"/>
    <w:rsid w:val="00CB14CD"/>
    <w:rsid w:val="00CB15DD"/>
    <w:rsid w:val="00CB160C"/>
    <w:rsid w:val="00CB1774"/>
    <w:rsid w:val="00CB19F5"/>
    <w:rsid w:val="00CB19FE"/>
    <w:rsid w:val="00CB1CF2"/>
    <w:rsid w:val="00CB1E09"/>
    <w:rsid w:val="00CB1E76"/>
    <w:rsid w:val="00CB1F35"/>
    <w:rsid w:val="00CB1FAC"/>
    <w:rsid w:val="00CB21B9"/>
    <w:rsid w:val="00CB21F9"/>
    <w:rsid w:val="00CB23BB"/>
    <w:rsid w:val="00CB2829"/>
    <w:rsid w:val="00CB2972"/>
    <w:rsid w:val="00CB2C61"/>
    <w:rsid w:val="00CB2D8E"/>
    <w:rsid w:val="00CB2E1A"/>
    <w:rsid w:val="00CB2ED0"/>
    <w:rsid w:val="00CB2F36"/>
    <w:rsid w:val="00CB31A3"/>
    <w:rsid w:val="00CB334D"/>
    <w:rsid w:val="00CB3558"/>
    <w:rsid w:val="00CB3564"/>
    <w:rsid w:val="00CB38E9"/>
    <w:rsid w:val="00CB3A18"/>
    <w:rsid w:val="00CB3A93"/>
    <w:rsid w:val="00CB3AD5"/>
    <w:rsid w:val="00CB3C4A"/>
    <w:rsid w:val="00CB3E0E"/>
    <w:rsid w:val="00CB4045"/>
    <w:rsid w:val="00CB40CE"/>
    <w:rsid w:val="00CB40D9"/>
    <w:rsid w:val="00CB42F2"/>
    <w:rsid w:val="00CB4766"/>
    <w:rsid w:val="00CB4846"/>
    <w:rsid w:val="00CB4924"/>
    <w:rsid w:val="00CB497E"/>
    <w:rsid w:val="00CB4A4B"/>
    <w:rsid w:val="00CB4E27"/>
    <w:rsid w:val="00CB4E45"/>
    <w:rsid w:val="00CB4E4F"/>
    <w:rsid w:val="00CB4EE0"/>
    <w:rsid w:val="00CB4FB3"/>
    <w:rsid w:val="00CB504A"/>
    <w:rsid w:val="00CB5277"/>
    <w:rsid w:val="00CB54BC"/>
    <w:rsid w:val="00CB5511"/>
    <w:rsid w:val="00CB5534"/>
    <w:rsid w:val="00CB5738"/>
    <w:rsid w:val="00CB58C8"/>
    <w:rsid w:val="00CB58E1"/>
    <w:rsid w:val="00CB5A7B"/>
    <w:rsid w:val="00CB612A"/>
    <w:rsid w:val="00CB62CA"/>
    <w:rsid w:val="00CB6575"/>
    <w:rsid w:val="00CB65E4"/>
    <w:rsid w:val="00CB65FF"/>
    <w:rsid w:val="00CB6784"/>
    <w:rsid w:val="00CB68BE"/>
    <w:rsid w:val="00CB691E"/>
    <w:rsid w:val="00CB6955"/>
    <w:rsid w:val="00CB69C5"/>
    <w:rsid w:val="00CB6B66"/>
    <w:rsid w:val="00CB6B9C"/>
    <w:rsid w:val="00CB6C90"/>
    <w:rsid w:val="00CB6EB1"/>
    <w:rsid w:val="00CB6ECF"/>
    <w:rsid w:val="00CB6FD4"/>
    <w:rsid w:val="00CB703D"/>
    <w:rsid w:val="00CB7995"/>
    <w:rsid w:val="00CB7A89"/>
    <w:rsid w:val="00CB7B52"/>
    <w:rsid w:val="00CB7BD7"/>
    <w:rsid w:val="00CB7D27"/>
    <w:rsid w:val="00CB7E19"/>
    <w:rsid w:val="00CB7E39"/>
    <w:rsid w:val="00CB7E71"/>
    <w:rsid w:val="00CB7E7B"/>
    <w:rsid w:val="00CB7FD5"/>
    <w:rsid w:val="00CC0052"/>
    <w:rsid w:val="00CC033A"/>
    <w:rsid w:val="00CC040F"/>
    <w:rsid w:val="00CC04DE"/>
    <w:rsid w:val="00CC063D"/>
    <w:rsid w:val="00CC0C71"/>
    <w:rsid w:val="00CC0E27"/>
    <w:rsid w:val="00CC0F0B"/>
    <w:rsid w:val="00CC1011"/>
    <w:rsid w:val="00CC1043"/>
    <w:rsid w:val="00CC14E0"/>
    <w:rsid w:val="00CC1538"/>
    <w:rsid w:val="00CC195B"/>
    <w:rsid w:val="00CC196F"/>
    <w:rsid w:val="00CC1D4D"/>
    <w:rsid w:val="00CC1FAF"/>
    <w:rsid w:val="00CC1FBB"/>
    <w:rsid w:val="00CC2068"/>
    <w:rsid w:val="00CC249D"/>
    <w:rsid w:val="00CC24CF"/>
    <w:rsid w:val="00CC2685"/>
    <w:rsid w:val="00CC27F3"/>
    <w:rsid w:val="00CC2A58"/>
    <w:rsid w:val="00CC2A81"/>
    <w:rsid w:val="00CC2AC3"/>
    <w:rsid w:val="00CC3228"/>
    <w:rsid w:val="00CC3310"/>
    <w:rsid w:val="00CC3434"/>
    <w:rsid w:val="00CC38BE"/>
    <w:rsid w:val="00CC38E4"/>
    <w:rsid w:val="00CC3A92"/>
    <w:rsid w:val="00CC3ACC"/>
    <w:rsid w:val="00CC3BD9"/>
    <w:rsid w:val="00CC3D0D"/>
    <w:rsid w:val="00CC3EBF"/>
    <w:rsid w:val="00CC3F3B"/>
    <w:rsid w:val="00CC3F49"/>
    <w:rsid w:val="00CC3FDA"/>
    <w:rsid w:val="00CC3FDC"/>
    <w:rsid w:val="00CC404E"/>
    <w:rsid w:val="00CC40E4"/>
    <w:rsid w:val="00CC43DF"/>
    <w:rsid w:val="00CC4411"/>
    <w:rsid w:val="00CC453A"/>
    <w:rsid w:val="00CC4603"/>
    <w:rsid w:val="00CC4675"/>
    <w:rsid w:val="00CC4746"/>
    <w:rsid w:val="00CC476C"/>
    <w:rsid w:val="00CC47BC"/>
    <w:rsid w:val="00CC492B"/>
    <w:rsid w:val="00CC4BF0"/>
    <w:rsid w:val="00CC4C0E"/>
    <w:rsid w:val="00CC4D6C"/>
    <w:rsid w:val="00CC4E05"/>
    <w:rsid w:val="00CC4E0E"/>
    <w:rsid w:val="00CC4FB3"/>
    <w:rsid w:val="00CC50EB"/>
    <w:rsid w:val="00CC522C"/>
    <w:rsid w:val="00CC522D"/>
    <w:rsid w:val="00CC52CD"/>
    <w:rsid w:val="00CC5318"/>
    <w:rsid w:val="00CC53A0"/>
    <w:rsid w:val="00CC5758"/>
    <w:rsid w:val="00CC577D"/>
    <w:rsid w:val="00CC5A8D"/>
    <w:rsid w:val="00CC5B24"/>
    <w:rsid w:val="00CC5BB7"/>
    <w:rsid w:val="00CC5BCF"/>
    <w:rsid w:val="00CC5CC6"/>
    <w:rsid w:val="00CC5D68"/>
    <w:rsid w:val="00CC5EC1"/>
    <w:rsid w:val="00CC5F4A"/>
    <w:rsid w:val="00CC6407"/>
    <w:rsid w:val="00CC649B"/>
    <w:rsid w:val="00CC6651"/>
    <w:rsid w:val="00CC6671"/>
    <w:rsid w:val="00CC69F3"/>
    <w:rsid w:val="00CC6A90"/>
    <w:rsid w:val="00CC6BFB"/>
    <w:rsid w:val="00CC6C9A"/>
    <w:rsid w:val="00CC6E8A"/>
    <w:rsid w:val="00CC6F81"/>
    <w:rsid w:val="00CC709F"/>
    <w:rsid w:val="00CC7146"/>
    <w:rsid w:val="00CC7438"/>
    <w:rsid w:val="00CC772E"/>
    <w:rsid w:val="00CC7767"/>
    <w:rsid w:val="00CC782C"/>
    <w:rsid w:val="00CC78D1"/>
    <w:rsid w:val="00CC78EE"/>
    <w:rsid w:val="00CC79D0"/>
    <w:rsid w:val="00CC7BBE"/>
    <w:rsid w:val="00CC7BD5"/>
    <w:rsid w:val="00CC7F40"/>
    <w:rsid w:val="00CD03B8"/>
    <w:rsid w:val="00CD0762"/>
    <w:rsid w:val="00CD0C35"/>
    <w:rsid w:val="00CD0FA9"/>
    <w:rsid w:val="00CD0FB3"/>
    <w:rsid w:val="00CD0FE1"/>
    <w:rsid w:val="00CD1031"/>
    <w:rsid w:val="00CD12DF"/>
    <w:rsid w:val="00CD14F1"/>
    <w:rsid w:val="00CD17A4"/>
    <w:rsid w:val="00CD18F2"/>
    <w:rsid w:val="00CD1AE9"/>
    <w:rsid w:val="00CD1BF0"/>
    <w:rsid w:val="00CD1E5A"/>
    <w:rsid w:val="00CD1E63"/>
    <w:rsid w:val="00CD2171"/>
    <w:rsid w:val="00CD236D"/>
    <w:rsid w:val="00CD2544"/>
    <w:rsid w:val="00CD288E"/>
    <w:rsid w:val="00CD28E6"/>
    <w:rsid w:val="00CD292A"/>
    <w:rsid w:val="00CD29E2"/>
    <w:rsid w:val="00CD2A2D"/>
    <w:rsid w:val="00CD2FAF"/>
    <w:rsid w:val="00CD2FED"/>
    <w:rsid w:val="00CD30CB"/>
    <w:rsid w:val="00CD30F3"/>
    <w:rsid w:val="00CD3318"/>
    <w:rsid w:val="00CD332B"/>
    <w:rsid w:val="00CD334E"/>
    <w:rsid w:val="00CD33A6"/>
    <w:rsid w:val="00CD3416"/>
    <w:rsid w:val="00CD35F3"/>
    <w:rsid w:val="00CD3940"/>
    <w:rsid w:val="00CD3A82"/>
    <w:rsid w:val="00CD3AEC"/>
    <w:rsid w:val="00CD4123"/>
    <w:rsid w:val="00CD42D4"/>
    <w:rsid w:val="00CD46CA"/>
    <w:rsid w:val="00CD498F"/>
    <w:rsid w:val="00CD4B80"/>
    <w:rsid w:val="00CD4C5F"/>
    <w:rsid w:val="00CD4CAD"/>
    <w:rsid w:val="00CD4DBE"/>
    <w:rsid w:val="00CD4E49"/>
    <w:rsid w:val="00CD4E63"/>
    <w:rsid w:val="00CD5162"/>
    <w:rsid w:val="00CD52C9"/>
    <w:rsid w:val="00CD5421"/>
    <w:rsid w:val="00CD5497"/>
    <w:rsid w:val="00CD54DE"/>
    <w:rsid w:val="00CD562B"/>
    <w:rsid w:val="00CD569C"/>
    <w:rsid w:val="00CD5793"/>
    <w:rsid w:val="00CD583A"/>
    <w:rsid w:val="00CD58F7"/>
    <w:rsid w:val="00CD59C9"/>
    <w:rsid w:val="00CD5A4A"/>
    <w:rsid w:val="00CD5B0A"/>
    <w:rsid w:val="00CD5CDD"/>
    <w:rsid w:val="00CD5D97"/>
    <w:rsid w:val="00CD5E13"/>
    <w:rsid w:val="00CD6034"/>
    <w:rsid w:val="00CD6049"/>
    <w:rsid w:val="00CD6063"/>
    <w:rsid w:val="00CD60A0"/>
    <w:rsid w:val="00CD60BD"/>
    <w:rsid w:val="00CD643E"/>
    <w:rsid w:val="00CD658B"/>
    <w:rsid w:val="00CD65F1"/>
    <w:rsid w:val="00CD6639"/>
    <w:rsid w:val="00CD68C4"/>
    <w:rsid w:val="00CD698B"/>
    <w:rsid w:val="00CD6A3B"/>
    <w:rsid w:val="00CD6A50"/>
    <w:rsid w:val="00CD6AEF"/>
    <w:rsid w:val="00CD6B94"/>
    <w:rsid w:val="00CD6CB5"/>
    <w:rsid w:val="00CD6D5D"/>
    <w:rsid w:val="00CD702D"/>
    <w:rsid w:val="00CD704B"/>
    <w:rsid w:val="00CD7443"/>
    <w:rsid w:val="00CD7467"/>
    <w:rsid w:val="00CD74EC"/>
    <w:rsid w:val="00CD758F"/>
    <w:rsid w:val="00CD77C8"/>
    <w:rsid w:val="00CD77C9"/>
    <w:rsid w:val="00CD78EC"/>
    <w:rsid w:val="00CD7966"/>
    <w:rsid w:val="00CD7A81"/>
    <w:rsid w:val="00CD7B20"/>
    <w:rsid w:val="00CD7BA4"/>
    <w:rsid w:val="00CD7C56"/>
    <w:rsid w:val="00CD7C6A"/>
    <w:rsid w:val="00CD7C6B"/>
    <w:rsid w:val="00CD7D57"/>
    <w:rsid w:val="00CD7E0B"/>
    <w:rsid w:val="00CE038D"/>
    <w:rsid w:val="00CE0578"/>
    <w:rsid w:val="00CE066B"/>
    <w:rsid w:val="00CE07EC"/>
    <w:rsid w:val="00CE088D"/>
    <w:rsid w:val="00CE08F9"/>
    <w:rsid w:val="00CE0A16"/>
    <w:rsid w:val="00CE0ABE"/>
    <w:rsid w:val="00CE0BAC"/>
    <w:rsid w:val="00CE0BF5"/>
    <w:rsid w:val="00CE0CD2"/>
    <w:rsid w:val="00CE0E62"/>
    <w:rsid w:val="00CE115D"/>
    <w:rsid w:val="00CE118A"/>
    <w:rsid w:val="00CE11B5"/>
    <w:rsid w:val="00CE1270"/>
    <w:rsid w:val="00CE128C"/>
    <w:rsid w:val="00CE147E"/>
    <w:rsid w:val="00CE1507"/>
    <w:rsid w:val="00CE1548"/>
    <w:rsid w:val="00CE15CF"/>
    <w:rsid w:val="00CE16C8"/>
    <w:rsid w:val="00CE16D8"/>
    <w:rsid w:val="00CE1877"/>
    <w:rsid w:val="00CE19CD"/>
    <w:rsid w:val="00CE1B83"/>
    <w:rsid w:val="00CE1BAB"/>
    <w:rsid w:val="00CE1E4F"/>
    <w:rsid w:val="00CE20B6"/>
    <w:rsid w:val="00CE20EA"/>
    <w:rsid w:val="00CE20EB"/>
    <w:rsid w:val="00CE218E"/>
    <w:rsid w:val="00CE22D7"/>
    <w:rsid w:val="00CE2353"/>
    <w:rsid w:val="00CE2378"/>
    <w:rsid w:val="00CE238E"/>
    <w:rsid w:val="00CE2406"/>
    <w:rsid w:val="00CE2537"/>
    <w:rsid w:val="00CE26B7"/>
    <w:rsid w:val="00CE2847"/>
    <w:rsid w:val="00CE29C9"/>
    <w:rsid w:val="00CE29D0"/>
    <w:rsid w:val="00CE2C13"/>
    <w:rsid w:val="00CE2CF1"/>
    <w:rsid w:val="00CE2DE1"/>
    <w:rsid w:val="00CE2E24"/>
    <w:rsid w:val="00CE2EAF"/>
    <w:rsid w:val="00CE315B"/>
    <w:rsid w:val="00CE3236"/>
    <w:rsid w:val="00CE331D"/>
    <w:rsid w:val="00CE3447"/>
    <w:rsid w:val="00CE34B2"/>
    <w:rsid w:val="00CE3568"/>
    <w:rsid w:val="00CE3678"/>
    <w:rsid w:val="00CE36FA"/>
    <w:rsid w:val="00CE36FC"/>
    <w:rsid w:val="00CE3704"/>
    <w:rsid w:val="00CE376E"/>
    <w:rsid w:val="00CE37DB"/>
    <w:rsid w:val="00CE3969"/>
    <w:rsid w:val="00CE39DB"/>
    <w:rsid w:val="00CE3A6B"/>
    <w:rsid w:val="00CE3CF8"/>
    <w:rsid w:val="00CE3EBA"/>
    <w:rsid w:val="00CE3EE2"/>
    <w:rsid w:val="00CE3FA6"/>
    <w:rsid w:val="00CE4101"/>
    <w:rsid w:val="00CE4541"/>
    <w:rsid w:val="00CE4635"/>
    <w:rsid w:val="00CE4699"/>
    <w:rsid w:val="00CE495E"/>
    <w:rsid w:val="00CE4A58"/>
    <w:rsid w:val="00CE4B31"/>
    <w:rsid w:val="00CE4BD2"/>
    <w:rsid w:val="00CE508D"/>
    <w:rsid w:val="00CE50D3"/>
    <w:rsid w:val="00CE532C"/>
    <w:rsid w:val="00CE54ED"/>
    <w:rsid w:val="00CE55C2"/>
    <w:rsid w:val="00CE55E0"/>
    <w:rsid w:val="00CE57EE"/>
    <w:rsid w:val="00CE5A01"/>
    <w:rsid w:val="00CE5A57"/>
    <w:rsid w:val="00CE5B49"/>
    <w:rsid w:val="00CE5BB4"/>
    <w:rsid w:val="00CE5C11"/>
    <w:rsid w:val="00CE5C36"/>
    <w:rsid w:val="00CE5C56"/>
    <w:rsid w:val="00CE5CB5"/>
    <w:rsid w:val="00CE5DBA"/>
    <w:rsid w:val="00CE5ED3"/>
    <w:rsid w:val="00CE5F90"/>
    <w:rsid w:val="00CE620A"/>
    <w:rsid w:val="00CE6260"/>
    <w:rsid w:val="00CE63C4"/>
    <w:rsid w:val="00CE63F7"/>
    <w:rsid w:val="00CE674F"/>
    <w:rsid w:val="00CE677F"/>
    <w:rsid w:val="00CE69FD"/>
    <w:rsid w:val="00CE6A4C"/>
    <w:rsid w:val="00CE6B4D"/>
    <w:rsid w:val="00CE6BF9"/>
    <w:rsid w:val="00CE6CC1"/>
    <w:rsid w:val="00CE7593"/>
    <w:rsid w:val="00CE75EA"/>
    <w:rsid w:val="00CE760F"/>
    <w:rsid w:val="00CE761A"/>
    <w:rsid w:val="00CE7709"/>
    <w:rsid w:val="00CE7743"/>
    <w:rsid w:val="00CE777A"/>
    <w:rsid w:val="00CE788F"/>
    <w:rsid w:val="00CE78FC"/>
    <w:rsid w:val="00CE7936"/>
    <w:rsid w:val="00CE7C4D"/>
    <w:rsid w:val="00CE7D2E"/>
    <w:rsid w:val="00CE7E9C"/>
    <w:rsid w:val="00CE7FAD"/>
    <w:rsid w:val="00CF00EA"/>
    <w:rsid w:val="00CF018B"/>
    <w:rsid w:val="00CF030A"/>
    <w:rsid w:val="00CF0505"/>
    <w:rsid w:val="00CF056D"/>
    <w:rsid w:val="00CF0701"/>
    <w:rsid w:val="00CF08A2"/>
    <w:rsid w:val="00CF08B4"/>
    <w:rsid w:val="00CF0B9A"/>
    <w:rsid w:val="00CF0C9B"/>
    <w:rsid w:val="00CF0D31"/>
    <w:rsid w:val="00CF0F3B"/>
    <w:rsid w:val="00CF0FBB"/>
    <w:rsid w:val="00CF0FD6"/>
    <w:rsid w:val="00CF1044"/>
    <w:rsid w:val="00CF1047"/>
    <w:rsid w:val="00CF132D"/>
    <w:rsid w:val="00CF1960"/>
    <w:rsid w:val="00CF1A11"/>
    <w:rsid w:val="00CF1B99"/>
    <w:rsid w:val="00CF1BAC"/>
    <w:rsid w:val="00CF1C1E"/>
    <w:rsid w:val="00CF1FCB"/>
    <w:rsid w:val="00CF1FEE"/>
    <w:rsid w:val="00CF2071"/>
    <w:rsid w:val="00CF20A4"/>
    <w:rsid w:val="00CF2110"/>
    <w:rsid w:val="00CF2124"/>
    <w:rsid w:val="00CF2137"/>
    <w:rsid w:val="00CF217C"/>
    <w:rsid w:val="00CF21AB"/>
    <w:rsid w:val="00CF2249"/>
    <w:rsid w:val="00CF22DF"/>
    <w:rsid w:val="00CF2FA9"/>
    <w:rsid w:val="00CF2FEB"/>
    <w:rsid w:val="00CF3099"/>
    <w:rsid w:val="00CF317C"/>
    <w:rsid w:val="00CF32D5"/>
    <w:rsid w:val="00CF360A"/>
    <w:rsid w:val="00CF3A2F"/>
    <w:rsid w:val="00CF3C72"/>
    <w:rsid w:val="00CF3F26"/>
    <w:rsid w:val="00CF404F"/>
    <w:rsid w:val="00CF409B"/>
    <w:rsid w:val="00CF40A3"/>
    <w:rsid w:val="00CF42F4"/>
    <w:rsid w:val="00CF4417"/>
    <w:rsid w:val="00CF44A0"/>
    <w:rsid w:val="00CF4665"/>
    <w:rsid w:val="00CF4717"/>
    <w:rsid w:val="00CF4761"/>
    <w:rsid w:val="00CF47BD"/>
    <w:rsid w:val="00CF4B90"/>
    <w:rsid w:val="00CF4D8C"/>
    <w:rsid w:val="00CF4ECC"/>
    <w:rsid w:val="00CF4FD6"/>
    <w:rsid w:val="00CF515A"/>
    <w:rsid w:val="00CF52EB"/>
    <w:rsid w:val="00CF5323"/>
    <w:rsid w:val="00CF53B7"/>
    <w:rsid w:val="00CF53C9"/>
    <w:rsid w:val="00CF53D3"/>
    <w:rsid w:val="00CF54A1"/>
    <w:rsid w:val="00CF54AB"/>
    <w:rsid w:val="00CF55B4"/>
    <w:rsid w:val="00CF5E5B"/>
    <w:rsid w:val="00CF5F7D"/>
    <w:rsid w:val="00CF6008"/>
    <w:rsid w:val="00CF601C"/>
    <w:rsid w:val="00CF6433"/>
    <w:rsid w:val="00CF6456"/>
    <w:rsid w:val="00CF64A5"/>
    <w:rsid w:val="00CF6648"/>
    <w:rsid w:val="00CF66A1"/>
    <w:rsid w:val="00CF67A3"/>
    <w:rsid w:val="00CF6A3A"/>
    <w:rsid w:val="00CF6A45"/>
    <w:rsid w:val="00CF6AAA"/>
    <w:rsid w:val="00CF6B42"/>
    <w:rsid w:val="00CF6BAB"/>
    <w:rsid w:val="00CF6CBF"/>
    <w:rsid w:val="00CF6F30"/>
    <w:rsid w:val="00CF7006"/>
    <w:rsid w:val="00CF745D"/>
    <w:rsid w:val="00CF745F"/>
    <w:rsid w:val="00CF75B0"/>
    <w:rsid w:val="00CF76D0"/>
    <w:rsid w:val="00CF76F6"/>
    <w:rsid w:val="00CF76F7"/>
    <w:rsid w:val="00CF77AE"/>
    <w:rsid w:val="00CF793D"/>
    <w:rsid w:val="00CF796C"/>
    <w:rsid w:val="00CF79F4"/>
    <w:rsid w:val="00CF7B72"/>
    <w:rsid w:val="00CF7BEB"/>
    <w:rsid w:val="00CF7D04"/>
    <w:rsid w:val="00CF7E91"/>
    <w:rsid w:val="00CF7EA8"/>
    <w:rsid w:val="00CF7F74"/>
    <w:rsid w:val="00CF7FA5"/>
    <w:rsid w:val="00D000D2"/>
    <w:rsid w:val="00D000E0"/>
    <w:rsid w:val="00D00398"/>
    <w:rsid w:val="00D0044C"/>
    <w:rsid w:val="00D0053C"/>
    <w:rsid w:val="00D00546"/>
    <w:rsid w:val="00D00604"/>
    <w:rsid w:val="00D00616"/>
    <w:rsid w:val="00D00635"/>
    <w:rsid w:val="00D008EF"/>
    <w:rsid w:val="00D009DC"/>
    <w:rsid w:val="00D009E5"/>
    <w:rsid w:val="00D00C85"/>
    <w:rsid w:val="00D00DFB"/>
    <w:rsid w:val="00D00FA9"/>
    <w:rsid w:val="00D01260"/>
    <w:rsid w:val="00D01262"/>
    <w:rsid w:val="00D01433"/>
    <w:rsid w:val="00D014C1"/>
    <w:rsid w:val="00D014F4"/>
    <w:rsid w:val="00D0150F"/>
    <w:rsid w:val="00D017AE"/>
    <w:rsid w:val="00D01839"/>
    <w:rsid w:val="00D018B5"/>
    <w:rsid w:val="00D01978"/>
    <w:rsid w:val="00D01B70"/>
    <w:rsid w:val="00D01D5D"/>
    <w:rsid w:val="00D02279"/>
    <w:rsid w:val="00D022B6"/>
    <w:rsid w:val="00D02322"/>
    <w:rsid w:val="00D0234F"/>
    <w:rsid w:val="00D02472"/>
    <w:rsid w:val="00D024ED"/>
    <w:rsid w:val="00D0254A"/>
    <w:rsid w:val="00D02668"/>
    <w:rsid w:val="00D0285E"/>
    <w:rsid w:val="00D0289D"/>
    <w:rsid w:val="00D02927"/>
    <w:rsid w:val="00D029A6"/>
    <w:rsid w:val="00D02A00"/>
    <w:rsid w:val="00D02A7D"/>
    <w:rsid w:val="00D02CAD"/>
    <w:rsid w:val="00D02F91"/>
    <w:rsid w:val="00D02FAA"/>
    <w:rsid w:val="00D031CB"/>
    <w:rsid w:val="00D03207"/>
    <w:rsid w:val="00D0325E"/>
    <w:rsid w:val="00D032D3"/>
    <w:rsid w:val="00D0339D"/>
    <w:rsid w:val="00D03613"/>
    <w:rsid w:val="00D03844"/>
    <w:rsid w:val="00D0391A"/>
    <w:rsid w:val="00D0395B"/>
    <w:rsid w:val="00D03A89"/>
    <w:rsid w:val="00D03C01"/>
    <w:rsid w:val="00D03D0A"/>
    <w:rsid w:val="00D03DA1"/>
    <w:rsid w:val="00D03F10"/>
    <w:rsid w:val="00D03F59"/>
    <w:rsid w:val="00D0405A"/>
    <w:rsid w:val="00D04114"/>
    <w:rsid w:val="00D04283"/>
    <w:rsid w:val="00D043C6"/>
    <w:rsid w:val="00D04564"/>
    <w:rsid w:val="00D0470A"/>
    <w:rsid w:val="00D04810"/>
    <w:rsid w:val="00D04813"/>
    <w:rsid w:val="00D04B5B"/>
    <w:rsid w:val="00D04BB5"/>
    <w:rsid w:val="00D04DE6"/>
    <w:rsid w:val="00D04E33"/>
    <w:rsid w:val="00D04F59"/>
    <w:rsid w:val="00D05121"/>
    <w:rsid w:val="00D05182"/>
    <w:rsid w:val="00D0526E"/>
    <w:rsid w:val="00D052D9"/>
    <w:rsid w:val="00D05555"/>
    <w:rsid w:val="00D05654"/>
    <w:rsid w:val="00D05ABD"/>
    <w:rsid w:val="00D05C9B"/>
    <w:rsid w:val="00D05CD9"/>
    <w:rsid w:val="00D05E4D"/>
    <w:rsid w:val="00D060FD"/>
    <w:rsid w:val="00D062C8"/>
    <w:rsid w:val="00D0635A"/>
    <w:rsid w:val="00D06488"/>
    <w:rsid w:val="00D064D8"/>
    <w:rsid w:val="00D067FF"/>
    <w:rsid w:val="00D06976"/>
    <w:rsid w:val="00D06C91"/>
    <w:rsid w:val="00D06DD0"/>
    <w:rsid w:val="00D06E28"/>
    <w:rsid w:val="00D06EA1"/>
    <w:rsid w:val="00D06EF5"/>
    <w:rsid w:val="00D06F55"/>
    <w:rsid w:val="00D06FCB"/>
    <w:rsid w:val="00D07034"/>
    <w:rsid w:val="00D070A7"/>
    <w:rsid w:val="00D070D3"/>
    <w:rsid w:val="00D07186"/>
    <w:rsid w:val="00D072F8"/>
    <w:rsid w:val="00D07719"/>
    <w:rsid w:val="00D0778C"/>
    <w:rsid w:val="00D079C2"/>
    <w:rsid w:val="00D07A81"/>
    <w:rsid w:val="00D07DDE"/>
    <w:rsid w:val="00D07E33"/>
    <w:rsid w:val="00D10211"/>
    <w:rsid w:val="00D107F0"/>
    <w:rsid w:val="00D10A5B"/>
    <w:rsid w:val="00D10C93"/>
    <w:rsid w:val="00D10FF1"/>
    <w:rsid w:val="00D111D2"/>
    <w:rsid w:val="00D1131C"/>
    <w:rsid w:val="00D11334"/>
    <w:rsid w:val="00D11434"/>
    <w:rsid w:val="00D114C3"/>
    <w:rsid w:val="00D1157E"/>
    <w:rsid w:val="00D115FE"/>
    <w:rsid w:val="00D1168E"/>
    <w:rsid w:val="00D11820"/>
    <w:rsid w:val="00D118CD"/>
    <w:rsid w:val="00D11D56"/>
    <w:rsid w:val="00D11E9C"/>
    <w:rsid w:val="00D11F74"/>
    <w:rsid w:val="00D11F7E"/>
    <w:rsid w:val="00D11FA3"/>
    <w:rsid w:val="00D12297"/>
    <w:rsid w:val="00D12314"/>
    <w:rsid w:val="00D12557"/>
    <w:rsid w:val="00D127E3"/>
    <w:rsid w:val="00D130EB"/>
    <w:rsid w:val="00D13141"/>
    <w:rsid w:val="00D1355F"/>
    <w:rsid w:val="00D13671"/>
    <w:rsid w:val="00D137F2"/>
    <w:rsid w:val="00D13A57"/>
    <w:rsid w:val="00D13C88"/>
    <w:rsid w:val="00D13D1D"/>
    <w:rsid w:val="00D14036"/>
    <w:rsid w:val="00D1434B"/>
    <w:rsid w:val="00D14474"/>
    <w:rsid w:val="00D14740"/>
    <w:rsid w:val="00D1478B"/>
    <w:rsid w:val="00D14829"/>
    <w:rsid w:val="00D14958"/>
    <w:rsid w:val="00D149BB"/>
    <w:rsid w:val="00D14AA8"/>
    <w:rsid w:val="00D14CAA"/>
    <w:rsid w:val="00D14CAB"/>
    <w:rsid w:val="00D14DB3"/>
    <w:rsid w:val="00D14E9A"/>
    <w:rsid w:val="00D14F42"/>
    <w:rsid w:val="00D15011"/>
    <w:rsid w:val="00D152B0"/>
    <w:rsid w:val="00D1554C"/>
    <w:rsid w:val="00D15719"/>
    <w:rsid w:val="00D15EDC"/>
    <w:rsid w:val="00D15F3C"/>
    <w:rsid w:val="00D160ED"/>
    <w:rsid w:val="00D1633A"/>
    <w:rsid w:val="00D1634A"/>
    <w:rsid w:val="00D16884"/>
    <w:rsid w:val="00D169F4"/>
    <w:rsid w:val="00D16A15"/>
    <w:rsid w:val="00D16AA3"/>
    <w:rsid w:val="00D16ACD"/>
    <w:rsid w:val="00D16BCC"/>
    <w:rsid w:val="00D16C03"/>
    <w:rsid w:val="00D17198"/>
    <w:rsid w:val="00D171E3"/>
    <w:rsid w:val="00D172E4"/>
    <w:rsid w:val="00D1744E"/>
    <w:rsid w:val="00D1758C"/>
    <w:rsid w:val="00D17715"/>
    <w:rsid w:val="00D178D9"/>
    <w:rsid w:val="00D17941"/>
    <w:rsid w:val="00D17A7B"/>
    <w:rsid w:val="00D17C19"/>
    <w:rsid w:val="00D17CCF"/>
    <w:rsid w:val="00D203F3"/>
    <w:rsid w:val="00D20456"/>
    <w:rsid w:val="00D2064C"/>
    <w:rsid w:val="00D2076E"/>
    <w:rsid w:val="00D207B3"/>
    <w:rsid w:val="00D208ED"/>
    <w:rsid w:val="00D20A4C"/>
    <w:rsid w:val="00D20BA2"/>
    <w:rsid w:val="00D20C9B"/>
    <w:rsid w:val="00D20F89"/>
    <w:rsid w:val="00D2102E"/>
    <w:rsid w:val="00D210AA"/>
    <w:rsid w:val="00D210BA"/>
    <w:rsid w:val="00D211DE"/>
    <w:rsid w:val="00D21304"/>
    <w:rsid w:val="00D2141F"/>
    <w:rsid w:val="00D21462"/>
    <w:rsid w:val="00D214C5"/>
    <w:rsid w:val="00D216F9"/>
    <w:rsid w:val="00D21A82"/>
    <w:rsid w:val="00D21B9B"/>
    <w:rsid w:val="00D21C2A"/>
    <w:rsid w:val="00D21CC2"/>
    <w:rsid w:val="00D21D0A"/>
    <w:rsid w:val="00D21EE7"/>
    <w:rsid w:val="00D21F16"/>
    <w:rsid w:val="00D21FDD"/>
    <w:rsid w:val="00D22244"/>
    <w:rsid w:val="00D22257"/>
    <w:rsid w:val="00D2227A"/>
    <w:rsid w:val="00D2235D"/>
    <w:rsid w:val="00D22382"/>
    <w:rsid w:val="00D223DE"/>
    <w:rsid w:val="00D2243F"/>
    <w:rsid w:val="00D224AA"/>
    <w:rsid w:val="00D2259B"/>
    <w:rsid w:val="00D2264F"/>
    <w:rsid w:val="00D2283E"/>
    <w:rsid w:val="00D229A8"/>
    <w:rsid w:val="00D22F25"/>
    <w:rsid w:val="00D22FBD"/>
    <w:rsid w:val="00D233D4"/>
    <w:rsid w:val="00D234BF"/>
    <w:rsid w:val="00D235DB"/>
    <w:rsid w:val="00D23875"/>
    <w:rsid w:val="00D23A02"/>
    <w:rsid w:val="00D23A4D"/>
    <w:rsid w:val="00D23A5B"/>
    <w:rsid w:val="00D23AC9"/>
    <w:rsid w:val="00D23B05"/>
    <w:rsid w:val="00D23B5A"/>
    <w:rsid w:val="00D240F2"/>
    <w:rsid w:val="00D241EB"/>
    <w:rsid w:val="00D24667"/>
    <w:rsid w:val="00D246BB"/>
    <w:rsid w:val="00D246BF"/>
    <w:rsid w:val="00D2483B"/>
    <w:rsid w:val="00D2491B"/>
    <w:rsid w:val="00D24990"/>
    <w:rsid w:val="00D24999"/>
    <w:rsid w:val="00D249DE"/>
    <w:rsid w:val="00D24A34"/>
    <w:rsid w:val="00D24A7F"/>
    <w:rsid w:val="00D24C42"/>
    <w:rsid w:val="00D24C88"/>
    <w:rsid w:val="00D24CD4"/>
    <w:rsid w:val="00D24D27"/>
    <w:rsid w:val="00D24E77"/>
    <w:rsid w:val="00D24FAF"/>
    <w:rsid w:val="00D25085"/>
    <w:rsid w:val="00D25095"/>
    <w:rsid w:val="00D2513A"/>
    <w:rsid w:val="00D251D0"/>
    <w:rsid w:val="00D25253"/>
    <w:rsid w:val="00D25488"/>
    <w:rsid w:val="00D25490"/>
    <w:rsid w:val="00D257F8"/>
    <w:rsid w:val="00D258B1"/>
    <w:rsid w:val="00D25966"/>
    <w:rsid w:val="00D25C09"/>
    <w:rsid w:val="00D25D74"/>
    <w:rsid w:val="00D261E9"/>
    <w:rsid w:val="00D26209"/>
    <w:rsid w:val="00D26553"/>
    <w:rsid w:val="00D26584"/>
    <w:rsid w:val="00D26684"/>
    <w:rsid w:val="00D26859"/>
    <w:rsid w:val="00D26926"/>
    <w:rsid w:val="00D26B6F"/>
    <w:rsid w:val="00D26F28"/>
    <w:rsid w:val="00D275B1"/>
    <w:rsid w:val="00D278D0"/>
    <w:rsid w:val="00D27C68"/>
    <w:rsid w:val="00D27CC1"/>
    <w:rsid w:val="00D27DF0"/>
    <w:rsid w:val="00D27E32"/>
    <w:rsid w:val="00D27EFD"/>
    <w:rsid w:val="00D27F07"/>
    <w:rsid w:val="00D27FB5"/>
    <w:rsid w:val="00D3004B"/>
    <w:rsid w:val="00D3009A"/>
    <w:rsid w:val="00D3018E"/>
    <w:rsid w:val="00D3021E"/>
    <w:rsid w:val="00D30377"/>
    <w:rsid w:val="00D30716"/>
    <w:rsid w:val="00D30905"/>
    <w:rsid w:val="00D30917"/>
    <w:rsid w:val="00D30BB6"/>
    <w:rsid w:val="00D30EBA"/>
    <w:rsid w:val="00D31316"/>
    <w:rsid w:val="00D31332"/>
    <w:rsid w:val="00D31345"/>
    <w:rsid w:val="00D314B4"/>
    <w:rsid w:val="00D317F5"/>
    <w:rsid w:val="00D31A3C"/>
    <w:rsid w:val="00D31AB5"/>
    <w:rsid w:val="00D31B3E"/>
    <w:rsid w:val="00D31CFF"/>
    <w:rsid w:val="00D31DC2"/>
    <w:rsid w:val="00D31F77"/>
    <w:rsid w:val="00D32110"/>
    <w:rsid w:val="00D32148"/>
    <w:rsid w:val="00D321E4"/>
    <w:rsid w:val="00D321EF"/>
    <w:rsid w:val="00D323CC"/>
    <w:rsid w:val="00D32411"/>
    <w:rsid w:val="00D32479"/>
    <w:rsid w:val="00D3248C"/>
    <w:rsid w:val="00D3293B"/>
    <w:rsid w:val="00D32AB7"/>
    <w:rsid w:val="00D32B20"/>
    <w:rsid w:val="00D32B44"/>
    <w:rsid w:val="00D32B70"/>
    <w:rsid w:val="00D32C07"/>
    <w:rsid w:val="00D32CC1"/>
    <w:rsid w:val="00D32D40"/>
    <w:rsid w:val="00D32F59"/>
    <w:rsid w:val="00D33010"/>
    <w:rsid w:val="00D330A2"/>
    <w:rsid w:val="00D330F2"/>
    <w:rsid w:val="00D33151"/>
    <w:rsid w:val="00D33152"/>
    <w:rsid w:val="00D331E3"/>
    <w:rsid w:val="00D33262"/>
    <w:rsid w:val="00D3329D"/>
    <w:rsid w:val="00D3336A"/>
    <w:rsid w:val="00D3345E"/>
    <w:rsid w:val="00D336E2"/>
    <w:rsid w:val="00D33812"/>
    <w:rsid w:val="00D33A0B"/>
    <w:rsid w:val="00D33AD4"/>
    <w:rsid w:val="00D33B44"/>
    <w:rsid w:val="00D33D0A"/>
    <w:rsid w:val="00D33D3B"/>
    <w:rsid w:val="00D33E9E"/>
    <w:rsid w:val="00D33F00"/>
    <w:rsid w:val="00D33FB5"/>
    <w:rsid w:val="00D34141"/>
    <w:rsid w:val="00D34144"/>
    <w:rsid w:val="00D341D4"/>
    <w:rsid w:val="00D341E5"/>
    <w:rsid w:val="00D34279"/>
    <w:rsid w:val="00D34280"/>
    <w:rsid w:val="00D34522"/>
    <w:rsid w:val="00D34722"/>
    <w:rsid w:val="00D347F7"/>
    <w:rsid w:val="00D3485A"/>
    <w:rsid w:val="00D349D1"/>
    <w:rsid w:val="00D34ACF"/>
    <w:rsid w:val="00D34C52"/>
    <w:rsid w:val="00D3506D"/>
    <w:rsid w:val="00D351AB"/>
    <w:rsid w:val="00D351D3"/>
    <w:rsid w:val="00D352D2"/>
    <w:rsid w:val="00D35597"/>
    <w:rsid w:val="00D355A2"/>
    <w:rsid w:val="00D35620"/>
    <w:rsid w:val="00D3562D"/>
    <w:rsid w:val="00D357D4"/>
    <w:rsid w:val="00D357D7"/>
    <w:rsid w:val="00D35998"/>
    <w:rsid w:val="00D35B05"/>
    <w:rsid w:val="00D35D11"/>
    <w:rsid w:val="00D35ED7"/>
    <w:rsid w:val="00D35F3F"/>
    <w:rsid w:val="00D35FFA"/>
    <w:rsid w:val="00D36064"/>
    <w:rsid w:val="00D361B9"/>
    <w:rsid w:val="00D361F0"/>
    <w:rsid w:val="00D362C0"/>
    <w:rsid w:val="00D363A5"/>
    <w:rsid w:val="00D36608"/>
    <w:rsid w:val="00D36668"/>
    <w:rsid w:val="00D36A2B"/>
    <w:rsid w:val="00D36B17"/>
    <w:rsid w:val="00D36C29"/>
    <w:rsid w:val="00D36CAA"/>
    <w:rsid w:val="00D36D04"/>
    <w:rsid w:val="00D36DB2"/>
    <w:rsid w:val="00D36DDD"/>
    <w:rsid w:val="00D37054"/>
    <w:rsid w:val="00D37202"/>
    <w:rsid w:val="00D3720A"/>
    <w:rsid w:val="00D372AF"/>
    <w:rsid w:val="00D372EB"/>
    <w:rsid w:val="00D374A2"/>
    <w:rsid w:val="00D37745"/>
    <w:rsid w:val="00D377DD"/>
    <w:rsid w:val="00D377EC"/>
    <w:rsid w:val="00D3786A"/>
    <w:rsid w:val="00D378A2"/>
    <w:rsid w:val="00D37A8C"/>
    <w:rsid w:val="00D37B22"/>
    <w:rsid w:val="00D37C3C"/>
    <w:rsid w:val="00D37D7C"/>
    <w:rsid w:val="00D40229"/>
    <w:rsid w:val="00D40320"/>
    <w:rsid w:val="00D40361"/>
    <w:rsid w:val="00D403F3"/>
    <w:rsid w:val="00D40594"/>
    <w:rsid w:val="00D406A6"/>
    <w:rsid w:val="00D408F2"/>
    <w:rsid w:val="00D4095F"/>
    <w:rsid w:val="00D409F1"/>
    <w:rsid w:val="00D40E04"/>
    <w:rsid w:val="00D40E4E"/>
    <w:rsid w:val="00D412CA"/>
    <w:rsid w:val="00D4166C"/>
    <w:rsid w:val="00D41702"/>
    <w:rsid w:val="00D41709"/>
    <w:rsid w:val="00D41762"/>
    <w:rsid w:val="00D4178B"/>
    <w:rsid w:val="00D417E6"/>
    <w:rsid w:val="00D41935"/>
    <w:rsid w:val="00D41B0A"/>
    <w:rsid w:val="00D41BC5"/>
    <w:rsid w:val="00D41C0B"/>
    <w:rsid w:val="00D41ED4"/>
    <w:rsid w:val="00D41EE9"/>
    <w:rsid w:val="00D41F08"/>
    <w:rsid w:val="00D42148"/>
    <w:rsid w:val="00D4220B"/>
    <w:rsid w:val="00D423E0"/>
    <w:rsid w:val="00D4269B"/>
    <w:rsid w:val="00D42862"/>
    <w:rsid w:val="00D42903"/>
    <w:rsid w:val="00D42941"/>
    <w:rsid w:val="00D4294F"/>
    <w:rsid w:val="00D42B6A"/>
    <w:rsid w:val="00D4304F"/>
    <w:rsid w:val="00D431C1"/>
    <w:rsid w:val="00D4331C"/>
    <w:rsid w:val="00D434D2"/>
    <w:rsid w:val="00D4368A"/>
    <w:rsid w:val="00D43A16"/>
    <w:rsid w:val="00D43AAD"/>
    <w:rsid w:val="00D43BAA"/>
    <w:rsid w:val="00D43C0C"/>
    <w:rsid w:val="00D43C82"/>
    <w:rsid w:val="00D43D56"/>
    <w:rsid w:val="00D43E0E"/>
    <w:rsid w:val="00D43F88"/>
    <w:rsid w:val="00D4418B"/>
    <w:rsid w:val="00D44227"/>
    <w:rsid w:val="00D442C6"/>
    <w:rsid w:val="00D44393"/>
    <w:rsid w:val="00D44438"/>
    <w:rsid w:val="00D444A6"/>
    <w:rsid w:val="00D44622"/>
    <w:rsid w:val="00D44683"/>
    <w:rsid w:val="00D448D5"/>
    <w:rsid w:val="00D448D6"/>
    <w:rsid w:val="00D448F9"/>
    <w:rsid w:val="00D44939"/>
    <w:rsid w:val="00D44A77"/>
    <w:rsid w:val="00D44B9F"/>
    <w:rsid w:val="00D44C65"/>
    <w:rsid w:val="00D44D84"/>
    <w:rsid w:val="00D4505B"/>
    <w:rsid w:val="00D45148"/>
    <w:rsid w:val="00D451FC"/>
    <w:rsid w:val="00D4542A"/>
    <w:rsid w:val="00D45583"/>
    <w:rsid w:val="00D455C7"/>
    <w:rsid w:val="00D45764"/>
    <w:rsid w:val="00D457D3"/>
    <w:rsid w:val="00D457E2"/>
    <w:rsid w:val="00D458C1"/>
    <w:rsid w:val="00D45ABB"/>
    <w:rsid w:val="00D45B88"/>
    <w:rsid w:val="00D45BE2"/>
    <w:rsid w:val="00D45D71"/>
    <w:rsid w:val="00D45E7D"/>
    <w:rsid w:val="00D45F5F"/>
    <w:rsid w:val="00D45F77"/>
    <w:rsid w:val="00D46285"/>
    <w:rsid w:val="00D467D9"/>
    <w:rsid w:val="00D46B99"/>
    <w:rsid w:val="00D46DD8"/>
    <w:rsid w:val="00D46DE3"/>
    <w:rsid w:val="00D46ED2"/>
    <w:rsid w:val="00D46FE9"/>
    <w:rsid w:val="00D47212"/>
    <w:rsid w:val="00D47268"/>
    <w:rsid w:val="00D47321"/>
    <w:rsid w:val="00D47356"/>
    <w:rsid w:val="00D47408"/>
    <w:rsid w:val="00D4766D"/>
    <w:rsid w:val="00D479C5"/>
    <w:rsid w:val="00D47BEA"/>
    <w:rsid w:val="00D47D02"/>
    <w:rsid w:val="00D47ED4"/>
    <w:rsid w:val="00D47F0F"/>
    <w:rsid w:val="00D50173"/>
    <w:rsid w:val="00D50447"/>
    <w:rsid w:val="00D50558"/>
    <w:rsid w:val="00D50927"/>
    <w:rsid w:val="00D50AAC"/>
    <w:rsid w:val="00D50AE6"/>
    <w:rsid w:val="00D50BAA"/>
    <w:rsid w:val="00D50C72"/>
    <w:rsid w:val="00D50D29"/>
    <w:rsid w:val="00D50D49"/>
    <w:rsid w:val="00D50D62"/>
    <w:rsid w:val="00D50E9A"/>
    <w:rsid w:val="00D5100E"/>
    <w:rsid w:val="00D512DC"/>
    <w:rsid w:val="00D512EA"/>
    <w:rsid w:val="00D51394"/>
    <w:rsid w:val="00D513CE"/>
    <w:rsid w:val="00D5141D"/>
    <w:rsid w:val="00D51531"/>
    <w:rsid w:val="00D515E9"/>
    <w:rsid w:val="00D51A0F"/>
    <w:rsid w:val="00D51B2E"/>
    <w:rsid w:val="00D51BDE"/>
    <w:rsid w:val="00D51D39"/>
    <w:rsid w:val="00D51D4D"/>
    <w:rsid w:val="00D51D77"/>
    <w:rsid w:val="00D51FD2"/>
    <w:rsid w:val="00D52181"/>
    <w:rsid w:val="00D521D3"/>
    <w:rsid w:val="00D524B0"/>
    <w:rsid w:val="00D525FD"/>
    <w:rsid w:val="00D526E5"/>
    <w:rsid w:val="00D52751"/>
    <w:rsid w:val="00D52898"/>
    <w:rsid w:val="00D52962"/>
    <w:rsid w:val="00D52C97"/>
    <w:rsid w:val="00D52E6F"/>
    <w:rsid w:val="00D53010"/>
    <w:rsid w:val="00D530C2"/>
    <w:rsid w:val="00D531DB"/>
    <w:rsid w:val="00D53238"/>
    <w:rsid w:val="00D53344"/>
    <w:rsid w:val="00D533F8"/>
    <w:rsid w:val="00D53616"/>
    <w:rsid w:val="00D5377D"/>
    <w:rsid w:val="00D53A54"/>
    <w:rsid w:val="00D53EA6"/>
    <w:rsid w:val="00D53F7D"/>
    <w:rsid w:val="00D54195"/>
    <w:rsid w:val="00D54220"/>
    <w:rsid w:val="00D5424F"/>
    <w:rsid w:val="00D542CB"/>
    <w:rsid w:val="00D54436"/>
    <w:rsid w:val="00D545EB"/>
    <w:rsid w:val="00D547BF"/>
    <w:rsid w:val="00D54ADD"/>
    <w:rsid w:val="00D54C66"/>
    <w:rsid w:val="00D551A4"/>
    <w:rsid w:val="00D55583"/>
    <w:rsid w:val="00D55872"/>
    <w:rsid w:val="00D55A2C"/>
    <w:rsid w:val="00D55A67"/>
    <w:rsid w:val="00D55AC3"/>
    <w:rsid w:val="00D55BAD"/>
    <w:rsid w:val="00D55C3D"/>
    <w:rsid w:val="00D55DBE"/>
    <w:rsid w:val="00D55DD7"/>
    <w:rsid w:val="00D55E30"/>
    <w:rsid w:val="00D56023"/>
    <w:rsid w:val="00D560A0"/>
    <w:rsid w:val="00D56240"/>
    <w:rsid w:val="00D56350"/>
    <w:rsid w:val="00D5649B"/>
    <w:rsid w:val="00D564CC"/>
    <w:rsid w:val="00D564FF"/>
    <w:rsid w:val="00D565CA"/>
    <w:rsid w:val="00D567C6"/>
    <w:rsid w:val="00D56944"/>
    <w:rsid w:val="00D5697C"/>
    <w:rsid w:val="00D56A3D"/>
    <w:rsid w:val="00D56C58"/>
    <w:rsid w:val="00D5700E"/>
    <w:rsid w:val="00D57090"/>
    <w:rsid w:val="00D5718F"/>
    <w:rsid w:val="00D5768A"/>
    <w:rsid w:val="00D577C2"/>
    <w:rsid w:val="00D57AD0"/>
    <w:rsid w:val="00D57BAE"/>
    <w:rsid w:val="00D57C60"/>
    <w:rsid w:val="00D57C63"/>
    <w:rsid w:val="00D57C99"/>
    <w:rsid w:val="00D57DFB"/>
    <w:rsid w:val="00D60042"/>
    <w:rsid w:val="00D601F5"/>
    <w:rsid w:val="00D60251"/>
    <w:rsid w:val="00D6028B"/>
    <w:rsid w:val="00D603E8"/>
    <w:rsid w:val="00D604A4"/>
    <w:rsid w:val="00D604EE"/>
    <w:rsid w:val="00D60507"/>
    <w:rsid w:val="00D60591"/>
    <w:rsid w:val="00D60872"/>
    <w:rsid w:val="00D6094F"/>
    <w:rsid w:val="00D60C53"/>
    <w:rsid w:val="00D60D64"/>
    <w:rsid w:val="00D60D95"/>
    <w:rsid w:val="00D611ED"/>
    <w:rsid w:val="00D61301"/>
    <w:rsid w:val="00D6147F"/>
    <w:rsid w:val="00D614E8"/>
    <w:rsid w:val="00D61577"/>
    <w:rsid w:val="00D616D9"/>
    <w:rsid w:val="00D61822"/>
    <w:rsid w:val="00D61940"/>
    <w:rsid w:val="00D61994"/>
    <w:rsid w:val="00D61A0D"/>
    <w:rsid w:val="00D61A62"/>
    <w:rsid w:val="00D61E7D"/>
    <w:rsid w:val="00D61F47"/>
    <w:rsid w:val="00D6214C"/>
    <w:rsid w:val="00D621A0"/>
    <w:rsid w:val="00D621D3"/>
    <w:rsid w:val="00D622D5"/>
    <w:rsid w:val="00D62743"/>
    <w:rsid w:val="00D627B8"/>
    <w:rsid w:val="00D6286F"/>
    <w:rsid w:val="00D629BA"/>
    <w:rsid w:val="00D629F7"/>
    <w:rsid w:val="00D62B8D"/>
    <w:rsid w:val="00D62C6E"/>
    <w:rsid w:val="00D62CB5"/>
    <w:rsid w:val="00D62E0A"/>
    <w:rsid w:val="00D62EBB"/>
    <w:rsid w:val="00D62F08"/>
    <w:rsid w:val="00D63045"/>
    <w:rsid w:val="00D63053"/>
    <w:rsid w:val="00D6311E"/>
    <w:rsid w:val="00D63378"/>
    <w:rsid w:val="00D634D3"/>
    <w:rsid w:val="00D63586"/>
    <w:rsid w:val="00D6362F"/>
    <w:rsid w:val="00D63638"/>
    <w:rsid w:val="00D6363C"/>
    <w:rsid w:val="00D636F3"/>
    <w:rsid w:val="00D636F5"/>
    <w:rsid w:val="00D63E12"/>
    <w:rsid w:val="00D63E4A"/>
    <w:rsid w:val="00D63F44"/>
    <w:rsid w:val="00D640BC"/>
    <w:rsid w:val="00D640D2"/>
    <w:rsid w:val="00D643F3"/>
    <w:rsid w:val="00D646D8"/>
    <w:rsid w:val="00D647DB"/>
    <w:rsid w:val="00D6485D"/>
    <w:rsid w:val="00D64935"/>
    <w:rsid w:val="00D64A6C"/>
    <w:rsid w:val="00D64B33"/>
    <w:rsid w:val="00D64C3F"/>
    <w:rsid w:val="00D64D15"/>
    <w:rsid w:val="00D64DC3"/>
    <w:rsid w:val="00D64DD4"/>
    <w:rsid w:val="00D64F27"/>
    <w:rsid w:val="00D64F3A"/>
    <w:rsid w:val="00D64FE0"/>
    <w:rsid w:val="00D656CD"/>
    <w:rsid w:val="00D65872"/>
    <w:rsid w:val="00D65A2D"/>
    <w:rsid w:val="00D65C4F"/>
    <w:rsid w:val="00D65C72"/>
    <w:rsid w:val="00D65DAA"/>
    <w:rsid w:val="00D65F28"/>
    <w:rsid w:val="00D6682E"/>
    <w:rsid w:val="00D66864"/>
    <w:rsid w:val="00D66A05"/>
    <w:rsid w:val="00D66A35"/>
    <w:rsid w:val="00D66B9E"/>
    <w:rsid w:val="00D66C7F"/>
    <w:rsid w:val="00D66E48"/>
    <w:rsid w:val="00D66EE7"/>
    <w:rsid w:val="00D6718B"/>
    <w:rsid w:val="00D671D4"/>
    <w:rsid w:val="00D672FC"/>
    <w:rsid w:val="00D673A7"/>
    <w:rsid w:val="00D673B9"/>
    <w:rsid w:val="00D673D0"/>
    <w:rsid w:val="00D675EA"/>
    <w:rsid w:val="00D675FC"/>
    <w:rsid w:val="00D67797"/>
    <w:rsid w:val="00D6783F"/>
    <w:rsid w:val="00D678DC"/>
    <w:rsid w:val="00D67D3F"/>
    <w:rsid w:val="00D67F91"/>
    <w:rsid w:val="00D67FBE"/>
    <w:rsid w:val="00D67FCD"/>
    <w:rsid w:val="00D70269"/>
    <w:rsid w:val="00D704BD"/>
    <w:rsid w:val="00D705EC"/>
    <w:rsid w:val="00D7061E"/>
    <w:rsid w:val="00D7069B"/>
    <w:rsid w:val="00D70A31"/>
    <w:rsid w:val="00D70B5B"/>
    <w:rsid w:val="00D70B5F"/>
    <w:rsid w:val="00D70C0C"/>
    <w:rsid w:val="00D70C2F"/>
    <w:rsid w:val="00D70F17"/>
    <w:rsid w:val="00D71094"/>
    <w:rsid w:val="00D7115E"/>
    <w:rsid w:val="00D7120B"/>
    <w:rsid w:val="00D7120C"/>
    <w:rsid w:val="00D715EC"/>
    <w:rsid w:val="00D71619"/>
    <w:rsid w:val="00D71775"/>
    <w:rsid w:val="00D71883"/>
    <w:rsid w:val="00D71A4F"/>
    <w:rsid w:val="00D71CC1"/>
    <w:rsid w:val="00D71CDF"/>
    <w:rsid w:val="00D71D23"/>
    <w:rsid w:val="00D71E07"/>
    <w:rsid w:val="00D7200E"/>
    <w:rsid w:val="00D7219C"/>
    <w:rsid w:val="00D721A5"/>
    <w:rsid w:val="00D721E4"/>
    <w:rsid w:val="00D722D4"/>
    <w:rsid w:val="00D72441"/>
    <w:rsid w:val="00D72784"/>
    <w:rsid w:val="00D727D0"/>
    <w:rsid w:val="00D727DF"/>
    <w:rsid w:val="00D7282D"/>
    <w:rsid w:val="00D72BB9"/>
    <w:rsid w:val="00D72BE3"/>
    <w:rsid w:val="00D72D26"/>
    <w:rsid w:val="00D72DCF"/>
    <w:rsid w:val="00D72EC6"/>
    <w:rsid w:val="00D72EE5"/>
    <w:rsid w:val="00D72F8F"/>
    <w:rsid w:val="00D731E9"/>
    <w:rsid w:val="00D73257"/>
    <w:rsid w:val="00D73395"/>
    <w:rsid w:val="00D7381E"/>
    <w:rsid w:val="00D739E5"/>
    <w:rsid w:val="00D73C4F"/>
    <w:rsid w:val="00D73D68"/>
    <w:rsid w:val="00D73FCC"/>
    <w:rsid w:val="00D7400C"/>
    <w:rsid w:val="00D7405F"/>
    <w:rsid w:val="00D741C0"/>
    <w:rsid w:val="00D74320"/>
    <w:rsid w:val="00D7447A"/>
    <w:rsid w:val="00D74784"/>
    <w:rsid w:val="00D7478C"/>
    <w:rsid w:val="00D74A24"/>
    <w:rsid w:val="00D74B73"/>
    <w:rsid w:val="00D74DAE"/>
    <w:rsid w:val="00D74DF0"/>
    <w:rsid w:val="00D74FE3"/>
    <w:rsid w:val="00D75412"/>
    <w:rsid w:val="00D755A1"/>
    <w:rsid w:val="00D7565F"/>
    <w:rsid w:val="00D75715"/>
    <w:rsid w:val="00D75861"/>
    <w:rsid w:val="00D75889"/>
    <w:rsid w:val="00D75A4B"/>
    <w:rsid w:val="00D75A5A"/>
    <w:rsid w:val="00D75D1E"/>
    <w:rsid w:val="00D75D5A"/>
    <w:rsid w:val="00D75D7C"/>
    <w:rsid w:val="00D75EFC"/>
    <w:rsid w:val="00D76229"/>
    <w:rsid w:val="00D76357"/>
    <w:rsid w:val="00D76740"/>
    <w:rsid w:val="00D7674B"/>
    <w:rsid w:val="00D76821"/>
    <w:rsid w:val="00D7695C"/>
    <w:rsid w:val="00D769D2"/>
    <w:rsid w:val="00D76AB6"/>
    <w:rsid w:val="00D76E47"/>
    <w:rsid w:val="00D76ED6"/>
    <w:rsid w:val="00D76F34"/>
    <w:rsid w:val="00D76FD9"/>
    <w:rsid w:val="00D7705C"/>
    <w:rsid w:val="00D7711D"/>
    <w:rsid w:val="00D77269"/>
    <w:rsid w:val="00D772A1"/>
    <w:rsid w:val="00D77690"/>
    <w:rsid w:val="00D779F7"/>
    <w:rsid w:val="00D77C35"/>
    <w:rsid w:val="00D77C66"/>
    <w:rsid w:val="00D77EDE"/>
    <w:rsid w:val="00D77F53"/>
    <w:rsid w:val="00D77F6F"/>
    <w:rsid w:val="00D77FA9"/>
    <w:rsid w:val="00D80062"/>
    <w:rsid w:val="00D8036E"/>
    <w:rsid w:val="00D803A0"/>
    <w:rsid w:val="00D803C9"/>
    <w:rsid w:val="00D803DF"/>
    <w:rsid w:val="00D804AB"/>
    <w:rsid w:val="00D805BD"/>
    <w:rsid w:val="00D80717"/>
    <w:rsid w:val="00D808A5"/>
    <w:rsid w:val="00D808DA"/>
    <w:rsid w:val="00D809A8"/>
    <w:rsid w:val="00D809AD"/>
    <w:rsid w:val="00D80AB0"/>
    <w:rsid w:val="00D80B09"/>
    <w:rsid w:val="00D80C19"/>
    <w:rsid w:val="00D80FF5"/>
    <w:rsid w:val="00D8130C"/>
    <w:rsid w:val="00D81312"/>
    <w:rsid w:val="00D81453"/>
    <w:rsid w:val="00D814B1"/>
    <w:rsid w:val="00D8154C"/>
    <w:rsid w:val="00D8163E"/>
    <w:rsid w:val="00D81678"/>
    <w:rsid w:val="00D81C2D"/>
    <w:rsid w:val="00D81D4B"/>
    <w:rsid w:val="00D81E3F"/>
    <w:rsid w:val="00D81F28"/>
    <w:rsid w:val="00D823E0"/>
    <w:rsid w:val="00D8242E"/>
    <w:rsid w:val="00D82B85"/>
    <w:rsid w:val="00D82B98"/>
    <w:rsid w:val="00D82BB4"/>
    <w:rsid w:val="00D82D86"/>
    <w:rsid w:val="00D82F2A"/>
    <w:rsid w:val="00D82F62"/>
    <w:rsid w:val="00D82FCF"/>
    <w:rsid w:val="00D831DF"/>
    <w:rsid w:val="00D83344"/>
    <w:rsid w:val="00D8336B"/>
    <w:rsid w:val="00D8367F"/>
    <w:rsid w:val="00D837D8"/>
    <w:rsid w:val="00D83B2C"/>
    <w:rsid w:val="00D83D1A"/>
    <w:rsid w:val="00D83F29"/>
    <w:rsid w:val="00D84009"/>
    <w:rsid w:val="00D84065"/>
    <w:rsid w:val="00D84122"/>
    <w:rsid w:val="00D841CC"/>
    <w:rsid w:val="00D8429D"/>
    <w:rsid w:val="00D8439B"/>
    <w:rsid w:val="00D8466F"/>
    <w:rsid w:val="00D8494B"/>
    <w:rsid w:val="00D84966"/>
    <w:rsid w:val="00D84A7F"/>
    <w:rsid w:val="00D84CDF"/>
    <w:rsid w:val="00D84E53"/>
    <w:rsid w:val="00D850E6"/>
    <w:rsid w:val="00D853ED"/>
    <w:rsid w:val="00D8547F"/>
    <w:rsid w:val="00D854C0"/>
    <w:rsid w:val="00D855ED"/>
    <w:rsid w:val="00D85936"/>
    <w:rsid w:val="00D85AA3"/>
    <w:rsid w:val="00D85B5E"/>
    <w:rsid w:val="00D85F24"/>
    <w:rsid w:val="00D85FD7"/>
    <w:rsid w:val="00D86016"/>
    <w:rsid w:val="00D86120"/>
    <w:rsid w:val="00D86311"/>
    <w:rsid w:val="00D865F4"/>
    <w:rsid w:val="00D868C1"/>
    <w:rsid w:val="00D868D1"/>
    <w:rsid w:val="00D869BE"/>
    <w:rsid w:val="00D86A56"/>
    <w:rsid w:val="00D86ADA"/>
    <w:rsid w:val="00D86B99"/>
    <w:rsid w:val="00D86C0B"/>
    <w:rsid w:val="00D86C47"/>
    <w:rsid w:val="00D86FE2"/>
    <w:rsid w:val="00D87009"/>
    <w:rsid w:val="00D87156"/>
    <w:rsid w:val="00D8744C"/>
    <w:rsid w:val="00D87473"/>
    <w:rsid w:val="00D874F9"/>
    <w:rsid w:val="00D87591"/>
    <w:rsid w:val="00D878F3"/>
    <w:rsid w:val="00D87A2A"/>
    <w:rsid w:val="00D87A30"/>
    <w:rsid w:val="00D87BE1"/>
    <w:rsid w:val="00D87CF7"/>
    <w:rsid w:val="00D90015"/>
    <w:rsid w:val="00D900BF"/>
    <w:rsid w:val="00D900DE"/>
    <w:rsid w:val="00D901BB"/>
    <w:rsid w:val="00D903F0"/>
    <w:rsid w:val="00D9042F"/>
    <w:rsid w:val="00D9061A"/>
    <w:rsid w:val="00D90780"/>
    <w:rsid w:val="00D907B8"/>
    <w:rsid w:val="00D90A63"/>
    <w:rsid w:val="00D90AF9"/>
    <w:rsid w:val="00D90C32"/>
    <w:rsid w:val="00D90C3F"/>
    <w:rsid w:val="00D90DB6"/>
    <w:rsid w:val="00D90EC6"/>
    <w:rsid w:val="00D91206"/>
    <w:rsid w:val="00D91391"/>
    <w:rsid w:val="00D914EC"/>
    <w:rsid w:val="00D914FA"/>
    <w:rsid w:val="00D9170B"/>
    <w:rsid w:val="00D91759"/>
    <w:rsid w:val="00D91788"/>
    <w:rsid w:val="00D919F6"/>
    <w:rsid w:val="00D91ACB"/>
    <w:rsid w:val="00D91C34"/>
    <w:rsid w:val="00D91F12"/>
    <w:rsid w:val="00D91FF2"/>
    <w:rsid w:val="00D92112"/>
    <w:rsid w:val="00D92271"/>
    <w:rsid w:val="00D92300"/>
    <w:rsid w:val="00D92B1E"/>
    <w:rsid w:val="00D92B67"/>
    <w:rsid w:val="00D92EC5"/>
    <w:rsid w:val="00D92F48"/>
    <w:rsid w:val="00D92F66"/>
    <w:rsid w:val="00D9302D"/>
    <w:rsid w:val="00D931F3"/>
    <w:rsid w:val="00D93339"/>
    <w:rsid w:val="00D938B5"/>
    <w:rsid w:val="00D93A06"/>
    <w:rsid w:val="00D93B34"/>
    <w:rsid w:val="00D93D5E"/>
    <w:rsid w:val="00D93D6F"/>
    <w:rsid w:val="00D93D8A"/>
    <w:rsid w:val="00D93D8D"/>
    <w:rsid w:val="00D93ED7"/>
    <w:rsid w:val="00D93EEC"/>
    <w:rsid w:val="00D93F21"/>
    <w:rsid w:val="00D942D9"/>
    <w:rsid w:val="00D944C8"/>
    <w:rsid w:val="00D9455E"/>
    <w:rsid w:val="00D945E2"/>
    <w:rsid w:val="00D945E5"/>
    <w:rsid w:val="00D946AE"/>
    <w:rsid w:val="00D94744"/>
    <w:rsid w:val="00D948ED"/>
    <w:rsid w:val="00D9497D"/>
    <w:rsid w:val="00D94C94"/>
    <w:rsid w:val="00D950B6"/>
    <w:rsid w:val="00D950BA"/>
    <w:rsid w:val="00D952DE"/>
    <w:rsid w:val="00D954AD"/>
    <w:rsid w:val="00D95957"/>
    <w:rsid w:val="00D959B3"/>
    <w:rsid w:val="00D95A1F"/>
    <w:rsid w:val="00D95AF0"/>
    <w:rsid w:val="00D95C0A"/>
    <w:rsid w:val="00D95C37"/>
    <w:rsid w:val="00D95C80"/>
    <w:rsid w:val="00D95C85"/>
    <w:rsid w:val="00D95C97"/>
    <w:rsid w:val="00D95D76"/>
    <w:rsid w:val="00D95F6A"/>
    <w:rsid w:val="00D961E7"/>
    <w:rsid w:val="00D96272"/>
    <w:rsid w:val="00D9629D"/>
    <w:rsid w:val="00D963AA"/>
    <w:rsid w:val="00D96659"/>
    <w:rsid w:val="00D967C2"/>
    <w:rsid w:val="00D968D8"/>
    <w:rsid w:val="00D96BB8"/>
    <w:rsid w:val="00D96F02"/>
    <w:rsid w:val="00D9706C"/>
    <w:rsid w:val="00D971E0"/>
    <w:rsid w:val="00D973E6"/>
    <w:rsid w:val="00D97417"/>
    <w:rsid w:val="00D975CE"/>
    <w:rsid w:val="00D97608"/>
    <w:rsid w:val="00D97648"/>
    <w:rsid w:val="00D97660"/>
    <w:rsid w:val="00D979BB"/>
    <w:rsid w:val="00D97A59"/>
    <w:rsid w:val="00D97C65"/>
    <w:rsid w:val="00D97CE6"/>
    <w:rsid w:val="00DA0297"/>
    <w:rsid w:val="00DA03F8"/>
    <w:rsid w:val="00DA03FB"/>
    <w:rsid w:val="00DA041D"/>
    <w:rsid w:val="00DA04A5"/>
    <w:rsid w:val="00DA0688"/>
    <w:rsid w:val="00DA0723"/>
    <w:rsid w:val="00DA0959"/>
    <w:rsid w:val="00DA097A"/>
    <w:rsid w:val="00DA098F"/>
    <w:rsid w:val="00DA09E7"/>
    <w:rsid w:val="00DA0B7D"/>
    <w:rsid w:val="00DA0C2C"/>
    <w:rsid w:val="00DA0CC6"/>
    <w:rsid w:val="00DA0DD0"/>
    <w:rsid w:val="00DA0E45"/>
    <w:rsid w:val="00DA0E46"/>
    <w:rsid w:val="00DA0E89"/>
    <w:rsid w:val="00DA1017"/>
    <w:rsid w:val="00DA1178"/>
    <w:rsid w:val="00DA11D1"/>
    <w:rsid w:val="00DA129A"/>
    <w:rsid w:val="00DA12DC"/>
    <w:rsid w:val="00DA1725"/>
    <w:rsid w:val="00DA1835"/>
    <w:rsid w:val="00DA1956"/>
    <w:rsid w:val="00DA196F"/>
    <w:rsid w:val="00DA1A0E"/>
    <w:rsid w:val="00DA1AED"/>
    <w:rsid w:val="00DA1B0D"/>
    <w:rsid w:val="00DA1B64"/>
    <w:rsid w:val="00DA1D97"/>
    <w:rsid w:val="00DA1E8A"/>
    <w:rsid w:val="00DA1F9A"/>
    <w:rsid w:val="00DA21E8"/>
    <w:rsid w:val="00DA2205"/>
    <w:rsid w:val="00DA2349"/>
    <w:rsid w:val="00DA23B0"/>
    <w:rsid w:val="00DA23F8"/>
    <w:rsid w:val="00DA2609"/>
    <w:rsid w:val="00DA26DA"/>
    <w:rsid w:val="00DA2A60"/>
    <w:rsid w:val="00DA2AD7"/>
    <w:rsid w:val="00DA2C93"/>
    <w:rsid w:val="00DA2E19"/>
    <w:rsid w:val="00DA2FB1"/>
    <w:rsid w:val="00DA3052"/>
    <w:rsid w:val="00DA3152"/>
    <w:rsid w:val="00DA31FE"/>
    <w:rsid w:val="00DA3652"/>
    <w:rsid w:val="00DA366E"/>
    <w:rsid w:val="00DA36F6"/>
    <w:rsid w:val="00DA37AF"/>
    <w:rsid w:val="00DA393A"/>
    <w:rsid w:val="00DA3A6E"/>
    <w:rsid w:val="00DA3C91"/>
    <w:rsid w:val="00DA3CAA"/>
    <w:rsid w:val="00DA3FBA"/>
    <w:rsid w:val="00DA409A"/>
    <w:rsid w:val="00DA4177"/>
    <w:rsid w:val="00DA41B3"/>
    <w:rsid w:val="00DA420B"/>
    <w:rsid w:val="00DA4451"/>
    <w:rsid w:val="00DA46F7"/>
    <w:rsid w:val="00DA496D"/>
    <w:rsid w:val="00DA49AE"/>
    <w:rsid w:val="00DA4AFE"/>
    <w:rsid w:val="00DA4D26"/>
    <w:rsid w:val="00DA4D6A"/>
    <w:rsid w:val="00DA4E63"/>
    <w:rsid w:val="00DA4FB3"/>
    <w:rsid w:val="00DA4FCA"/>
    <w:rsid w:val="00DA5103"/>
    <w:rsid w:val="00DA5177"/>
    <w:rsid w:val="00DA522D"/>
    <w:rsid w:val="00DA5344"/>
    <w:rsid w:val="00DA53C1"/>
    <w:rsid w:val="00DA5810"/>
    <w:rsid w:val="00DA5B06"/>
    <w:rsid w:val="00DA5B40"/>
    <w:rsid w:val="00DA5BFC"/>
    <w:rsid w:val="00DA5C1D"/>
    <w:rsid w:val="00DA5C25"/>
    <w:rsid w:val="00DA5DBE"/>
    <w:rsid w:val="00DA5E24"/>
    <w:rsid w:val="00DA5E46"/>
    <w:rsid w:val="00DA5ED7"/>
    <w:rsid w:val="00DA60E1"/>
    <w:rsid w:val="00DA616F"/>
    <w:rsid w:val="00DA6264"/>
    <w:rsid w:val="00DA62A0"/>
    <w:rsid w:val="00DA63AF"/>
    <w:rsid w:val="00DA63F5"/>
    <w:rsid w:val="00DA6734"/>
    <w:rsid w:val="00DA67C3"/>
    <w:rsid w:val="00DA690B"/>
    <w:rsid w:val="00DA6A1E"/>
    <w:rsid w:val="00DA6ABC"/>
    <w:rsid w:val="00DA7039"/>
    <w:rsid w:val="00DA7097"/>
    <w:rsid w:val="00DA718C"/>
    <w:rsid w:val="00DA71D8"/>
    <w:rsid w:val="00DA7624"/>
    <w:rsid w:val="00DA7652"/>
    <w:rsid w:val="00DA7679"/>
    <w:rsid w:val="00DA76D5"/>
    <w:rsid w:val="00DA7764"/>
    <w:rsid w:val="00DA79D3"/>
    <w:rsid w:val="00DA7A02"/>
    <w:rsid w:val="00DA7AA7"/>
    <w:rsid w:val="00DA7B36"/>
    <w:rsid w:val="00DA7C5D"/>
    <w:rsid w:val="00DA7E82"/>
    <w:rsid w:val="00DA7EB5"/>
    <w:rsid w:val="00DB01D7"/>
    <w:rsid w:val="00DB0246"/>
    <w:rsid w:val="00DB025A"/>
    <w:rsid w:val="00DB025C"/>
    <w:rsid w:val="00DB0353"/>
    <w:rsid w:val="00DB03D7"/>
    <w:rsid w:val="00DB03FC"/>
    <w:rsid w:val="00DB04BD"/>
    <w:rsid w:val="00DB062E"/>
    <w:rsid w:val="00DB0836"/>
    <w:rsid w:val="00DB0A1B"/>
    <w:rsid w:val="00DB0F4B"/>
    <w:rsid w:val="00DB0F8E"/>
    <w:rsid w:val="00DB0FFA"/>
    <w:rsid w:val="00DB146E"/>
    <w:rsid w:val="00DB14B9"/>
    <w:rsid w:val="00DB16B5"/>
    <w:rsid w:val="00DB174E"/>
    <w:rsid w:val="00DB1A07"/>
    <w:rsid w:val="00DB1B8B"/>
    <w:rsid w:val="00DB1CDE"/>
    <w:rsid w:val="00DB1DED"/>
    <w:rsid w:val="00DB1E15"/>
    <w:rsid w:val="00DB20B1"/>
    <w:rsid w:val="00DB20B4"/>
    <w:rsid w:val="00DB20F5"/>
    <w:rsid w:val="00DB21CD"/>
    <w:rsid w:val="00DB2220"/>
    <w:rsid w:val="00DB2224"/>
    <w:rsid w:val="00DB228A"/>
    <w:rsid w:val="00DB22C7"/>
    <w:rsid w:val="00DB23B0"/>
    <w:rsid w:val="00DB2586"/>
    <w:rsid w:val="00DB2638"/>
    <w:rsid w:val="00DB2759"/>
    <w:rsid w:val="00DB299F"/>
    <w:rsid w:val="00DB29A0"/>
    <w:rsid w:val="00DB29EE"/>
    <w:rsid w:val="00DB2ABB"/>
    <w:rsid w:val="00DB2AD1"/>
    <w:rsid w:val="00DB2B49"/>
    <w:rsid w:val="00DB2D16"/>
    <w:rsid w:val="00DB2DF6"/>
    <w:rsid w:val="00DB2EA6"/>
    <w:rsid w:val="00DB3100"/>
    <w:rsid w:val="00DB324B"/>
    <w:rsid w:val="00DB3593"/>
    <w:rsid w:val="00DB359C"/>
    <w:rsid w:val="00DB35B1"/>
    <w:rsid w:val="00DB37AD"/>
    <w:rsid w:val="00DB39D4"/>
    <w:rsid w:val="00DB3A1C"/>
    <w:rsid w:val="00DB3A4E"/>
    <w:rsid w:val="00DB3A9E"/>
    <w:rsid w:val="00DB3AC1"/>
    <w:rsid w:val="00DB3AE4"/>
    <w:rsid w:val="00DB3D56"/>
    <w:rsid w:val="00DB3E7F"/>
    <w:rsid w:val="00DB450C"/>
    <w:rsid w:val="00DB462B"/>
    <w:rsid w:val="00DB4720"/>
    <w:rsid w:val="00DB48AB"/>
    <w:rsid w:val="00DB4992"/>
    <w:rsid w:val="00DB4C48"/>
    <w:rsid w:val="00DB4C69"/>
    <w:rsid w:val="00DB4CA3"/>
    <w:rsid w:val="00DB50BD"/>
    <w:rsid w:val="00DB5234"/>
    <w:rsid w:val="00DB52D1"/>
    <w:rsid w:val="00DB5861"/>
    <w:rsid w:val="00DB5A39"/>
    <w:rsid w:val="00DB5A84"/>
    <w:rsid w:val="00DB5A9B"/>
    <w:rsid w:val="00DB5ACB"/>
    <w:rsid w:val="00DB5B14"/>
    <w:rsid w:val="00DB5BFE"/>
    <w:rsid w:val="00DB5C88"/>
    <w:rsid w:val="00DB5D7D"/>
    <w:rsid w:val="00DB5F65"/>
    <w:rsid w:val="00DB600B"/>
    <w:rsid w:val="00DB60C6"/>
    <w:rsid w:val="00DB60C9"/>
    <w:rsid w:val="00DB619C"/>
    <w:rsid w:val="00DB61B6"/>
    <w:rsid w:val="00DB6391"/>
    <w:rsid w:val="00DB639D"/>
    <w:rsid w:val="00DB63B8"/>
    <w:rsid w:val="00DB6409"/>
    <w:rsid w:val="00DB647C"/>
    <w:rsid w:val="00DB64A3"/>
    <w:rsid w:val="00DB6668"/>
    <w:rsid w:val="00DB6745"/>
    <w:rsid w:val="00DB67DF"/>
    <w:rsid w:val="00DB683B"/>
    <w:rsid w:val="00DB6865"/>
    <w:rsid w:val="00DB68D6"/>
    <w:rsid w:val="00DB6ABA"/>
    <w:rsid w:val="00DB6C36"/>
    <w:rsid w:val="00DB6D3D"/>
    <w:rsid w:val="00DB6D8F"/>
    <w:rsid w:val="00DB6E32"/>
    <w:rsid w:val="00DB6EC8"/>
    <w:rsid w:val="00DB748C"/>
    <w:rsid w:val="00DB762C"/>
    <w:rsid w:val="00DB7854"/>
    <w:rsid w:val="00DB789F"/>
    <w:rsid w:val="00DB7BD5"/>
    <w:rsid w:val="00DB7D7B"/>
    <w:rsid w:val="00DB7E0B"/>
    <w:rsid w:val="00DB7E34"/>
    <w:rsid w:val="00DB7FA8"/>
    <w:rsid w:val="00DC00D3"/>
    <w:rsid w:val="00DC0213"/>
    <w:rsid w:val="00DC0509"/>
    <w:rsid w:val="00DC07FF"/>
    <w:rsid w:val="00DC08B9"/>
    <w:rsid w:val="00DC08E7"/>
    <w:rsid w:val="00DC0A60"/>
    <w:rsid w:val="00DC0CD6"/>
    <w:rsid w:val="00DC0EAE"/>
    <w:rsid w:val="00DC0ED9"/>
    <w:rsid w:val="00DC1022"/>
    <w:rsid w:val="00DC107E"/>
    <w:rsid w:val="00DC10F6"/>
    <w:rsid w:val="00DC114F"/>
    <w:rsid w:val="00DC133A"/>
    <w:rsid w:val="00DC1467"/>
    <w:rsid w:val="00DC15AB"/>
    <w:rsid w:val="00DC15CA"/>
    <w:rsid w:val="00DC166E"/>
    <w:rsid w:val="00DC16D1"/>
    <w:rsid w:val="00DC1985"/>
    <w:rsid w:val="00DC1B85"/>
    <w:rsid w:val="00DC1DE6"/>
    <w:rsid w:val="00DC202B"/>
    <w:rsid w:val="00DC20DA"/>
    <w:rsid w:val="00DC222E"/>
    <w:rsid w:val="00DC22C5"/>
    <w:rsid w:val="00DC237A"/>
    <w:rsid w:val="00DC23CF"/>
    <w:rsid w:val="00DC2406"/>
    <w:rsid w:val="00DC24F4"/>
    <w:rsid w:val="00DC267D"/>
    <w:rsid w:val="00DC2733"/>
    <w:rsid w:val="00DC285B"/>
    <w:rsid w:val="00DC28DC"/>
    <w:rsid w:val="00DC2A16"/>
    <w:rsid w:val="00DC2E7C"/>
    <w:rsid w:val="00DC3054"/>
    <w:rsid w:val="00DC3251"/>
    <w:rsid w:val="00DC3282"/>
    <w:rsid w:val="00DC32CD"/>
    <w:rsid w:val="00DC32FA"/>
    <w:rsid w:val="00DC33F7"/>
    <w:rsid w:val="00DC34CE"/>
    <w:rsid w:val="00DC37E3"/>
    <w:rsid w:val="00DC38B4"/>
    <w:rsid w:val="00DC3931"/>
    <w:rsid w:val="00DC3C17"/>
    <w:rsid w:val="00DC3C8C"/>
    <w:rsid w:val="00DC3D33"/>
    <w:rsid w:val="00DC3DF1"/>
    <w:rsid w:val="00DC3EFB"/>
    <w:rsid w:val="00DC3F2D"/>
    <w:rsid w:val="00DC4146"/>
    <w:rsid w:val="00DC417C"/>
    <w:rsid w:val="00DC4257"/>
    <w:rsid w:val="00DC45B3"/>
    <w:rsid w:val="00DC4714"/>
    <w:rsid w:val="00DC4993"/>
    <w:rsid w:val="00DC49BE"/>
    <w:rsid w:val="00DC4BD0"/>
    <w:rsid w:val="00DC4C05"/>
    <w:rsid w:val="00DC4D2C"/>
    <w:rsid w:val="00DC4E82"/>
    <w:rsid w:val="00DC5001"/>
    <w:rsid w:val="00DC504C"/>
    <w:rsid w:val="00DC5172"/>
    <w:rsid w:val="00DC52CA"/>
    <w:rsid w:val="00DC52E0"/>
    <w:rsid w:val="00DC5426"/>
    <w:rsid w:val="00DC5434"/>
    <w:rsid w:val="00DC54E0"/>
    <w:rsid w:val="00DC57E0"/>
    <w:rsid w:val="00DC5888"/>
    <w:rsid w:val="00DC5D65"/>
    <w:rsid w:val="00DC5D9E"/>
    <w:rsid w:val="00DC5DBD"/>
    <w:rsid w:val="00DC6177"/>
    <w:rsid w:val="00DC62C4"/>
    <w:rsid w:val="00DC63FA"/>
    <w:rsid w:val="00DC6447"/>
    <w:rsid w:val="00DC659F"/>
    <w:rsid w:val="00DC65AA"/>
    <w:rsid w:val="00DC66C5"/>
    <w:rsid w:val="00DC6803"/>
    <w:rsid w:val="00DC69DD"/>
    <w:rsid w:val="00DC6B7F"/>
    <w:rsid w:val="00DC6C12"/>
    <w:rsid w:val="00DC6DF8"/>
    <w:rsid w:val="00DC713B"/>
    <w:rsid w:val="00DC74F1"/>
    <w:rsid w:val="00DC74FC"/>
    <w:rsid w:val="00DC77B7"/>
    <w:rsid w:val="00DC7866"/>
    <w:rsid w:val="00DC7950"/>
    <w:rsid w:val="00DC7A53"/>
    <w:rsid w:val="00DC7B5C"/>
    <w:rsid w:val="00DC7C7E"/>
    <w:rsid w:val="00DC7D39"/>
    <w:rsid w:val="00DC7DF3"/>
    <w:rsid w:val="00DC7DFE"/>
    <w:rsid w:val="00DD0000"/>
    <w:rsid w:val="00DD011D"/>
    <w:rsid w:val="00DD024E"/>
    <w:rsid w:val="00DD034F"/>
    <w:rsid w:val="00DD03F0"/>
    <w:rsid w:val="00DD0430"/>
    <w:rsid w:val="00DD0672"/>
    <w:rsid w:val="00DD06C0"/>
    <w:rsid w:val="00DD0718"/>
    <w:rsid w:val="00DD087C"/>
    <w:rsid w:val="00DD0D04"/>
    <w:rsid w:val="00DD0E41"/>
    <w:rsid w:val="00DD0F8D"/>
    <w:rsid w:val="00DD1082"/>
    <w:rsid w:val="00DD12E0"/>
    <w:rsid w:val="00DD177B"/>
    <w:rsid w:val="00DD18AA"/>
    <w:rsid w:val="00DD1A71"/>
    <w:rsid w:val="00DD1AD0"/>
    <w:rsid w:val="00DD1C48"/>
    <w:rsid w:val="00DD1EF8"/>
    <w:rsid w:val="00DD1F2D"/>
    <w:rsid w:val="00DD21B7"/>
    <w:rsid w:val="00DD22E6"/>
    <w:rsid w:val="00DD230F"/>
    <w:rsid w:val="00DD2360"/>
    <w:rsid w:val="00DD243D"/>
    <w:rsid w:val="00DD2497"/>
    <w:rsid w:val="00DD2574"/>
    <w:rsid w:val="00DD2691"/>
    <w:rsid w:val="00DD274A"/>
    <w:rsid w:val="00DD28D1"/>
    <w:rsid w:val="00DD2995"/>
    <w:rsid w:val="00DD2BC2"/>
    <w:rsid w:val="00DD2FE5"/>
    <w:rsid w:val="00DD3054"/>
    <w:rsid w:val="00DD3112"/>
    <w:rsid w:val="00DD326E"/>
    <w:rsid w:val="00DD33BA"/>
    <w:rsid w:val="00DD3609"/>
    <w:rsid w:val="00DD36AF"/>
    <w:rsid w:val="00DD3705"/>
    <w:rsid w:val="00DD3733"/>
    <w:rsid w:val="00DD37B9"/>
    <w:rsid w:val="00DD3B11"/>
    <w:rsid w:val="00DD3B18"/>
    <w:rsid w:val="00DD3C1C"/>
    <w:rsid w:val="00DD3D18"/>
    <w:rsid w:val="00DD3D93"/>
    <w:rsid w:val="00DD3F68"/>
    <w:rsid w:val="00DD3FEB"/>
    <w:rsid w:val="00DD4025"/>
    <w:rsid w:val="00DD42AD"/>
    <w:rsid w:val="00DD42F7"/>
    <w:rsid w:val="00DD4363"/>
    <w:rsid w:val="00DD4403"/>
    <w:rsid w:val="00DD4643"/>
    <w:rsid w:val="00DD4734"/>
    <w:rsid w:val="00DD475D"/>
    <w:rsid w:val="00DD4878"/>
    <w:rsid w:val="00DD498A"/>
    <w:rsid w:val="00DD4BC6"/>
    <w:rsid w:val="00DD4C08"/>
    <w:rsid w:val="00DD4DCC"/>
    <w:rsid w:val="00DD4EF3"/>
    <w:rsid w:val="00DD5077"/>
    <w:rsid w:val="00DD5148"/>
    <w:rsid w:val="00DD51CD"/>
    <w:rsid w:val="00DD5267"/>
    <w:rsid w:val="00DD526F"/>
    <w:rsid w:val="00DD5318"/>
    <w:rsid w:val="00DD55B1"/>
    <w:rsid w:val="00DD5679"/>
    <w:rsid w:val="00DD56E2"/>
    <w:rsid w:val="00DD5BA9"/>
    <w:rsid w:val="00DD5D79"/>
    <w:rsid w:val="00DD5E7F"/>
    <w:rsid w:val="00DD5EDF"/>
    <w:rsid w:val="00DD5F36"/>
    <w:rsid w:val="00DD6012"/>
    <w:rsid w:val="00DD60A0"/>
    <w:rsid w:val="00DD63D8"/>
    <w:rsid w:val="00DD6491"/>
    <w:rsid w:val="00DD6650"/>
    <w:rsid w:val="00DD6708"/>
    <w:rsid w:val="00DD6849"/>
    <w:rsid w:val="00DD691C"/>
    <w:rsid w:val="00DD6943"/>
    <w:rsid w:val="00DD694A"/>
    <w:rsid w:val="00DD6A3D"/>
    <w:rsid w:val="00DD6B85"/>
    <w:rsid w:val="00DD6CC3"/>
    <w:rsid w:val="00DD70A9"/>
    <w:rsid w:val="00DD7101"/>
    <w:rsid w:val="00DD7117"/>
    <w:rsid w:val="00DD712B"/>
    <w:rsid w:val="00DD73B5"/>
    <w:rsid w:val="00DD7631"/>
    <w:rsid w:val="00DD78A4"/>
    <w:rsid w:val="00DD790E"/>
    <w:rsid w:val="00DD7980"/>
    <w:rsid w:val="00DD7FB0"/>
    <w:rsid w:val="00DE002E"/>
    <w:rsid w:val="00DE016D"/>
    <w:rsid w:val="00DE0346"/>
    <w:rsid w:val="00DE041D"/>
    <w:rsid w:val="00DE0436"/>
    <w:rsid w:val="00DE04AA"/>
    <w:rsid w:val="00DE051F"/>
    <w:rsid w:val="00DE0621"/>
    <w:rsid w:val="00DE0861"/>
    <w:rsid w:val="00DE0B0D"/>
    <w:rsid w:val="00DE0DF5"/>
    <w:rsid w:val="00DE1072"/>
    <w:rsid w:val="00DE10DD"/>
    <w:rsid w:val="00DE1235"/>
    <w:rsid w:val="00DE12B2"/>
    <w:rsid w:val="00DE12E5"/>
    <w:rsid w:val="00DE15B1"/>
    <w:rsid w:val="00DE161E"/>
    <w:rsid w:val="00DE1967"/>
    <w:rsid w:val="00DE1AC0"/>
    <w:rsid w:val="00DE1B5A"/>
    <w:rsid w:val="00DE1B8A"/>
    <w:rsid w:val="00DE1C19"/>
    <w:rsid w:val="00DE1CE1"/>
    <w:rsid w:val="00DE1D27"/>
    <w:rsid w:val="00DE20CD"/>
    <w:rsid w:val="00DE2427"/>
    <w:rsid w:val="00DE24AB"/>
    <w:rsid w:val="00DE250B"/>
    <w:rsid w:val="00DE2819"/>
    <w:rsid w:val="00DE2A51"/>
    <w:rsid w:val="00DE2D32"/>
    <w:rsid w:val="00DE2E46"/>
    <w:rsid w:val="00DE2F00"/>
    <w:rsid w:val="00DE2F62"/>
    <w:rsid w:val="00DE3157"/>
    <w:rsid w:val="00DE31CA"/>
    <w:rsid w:val="00DE3274"/>
    <w:rsid w:val="00DE32D6"/>
    <w:rsid w:val="00DE3371"/>
    <w:rsid w:val="00DE34F5"/>
    <w:rsid w:val="00DE355D"/>
    <w:rsid w:val="00DE3569"/>
    <w:rsid w:val="00DE35FE"/>
    <w:rsid w:val="00DE3789"/>
    <w:rsid w:val="00DE37BF"/>
    <w:rsid w:val="00DE3816"/>
    <w:rsid w:val="00DE3836"/>
    <w:rsid w:val="00DE385C"/>
    <w:rsid w:val="00DE387B"/>
    <w:rsid w:val="00DE3990"/>
    <w:rsid w:val="00DE3CC5"/>
    <w:rsid w:val="00DE3CC8"/>
    <w:rsid w:val="00DE3D93"/>
    <w:rsid w:val="00DE3D9B"/>
    <w:rsid w:val="00DE3DB0"/>
    <w:rsid w:val="00DE3DD6"/>
    <w:rsid w:val="00DE4029"/>
    <w:rsid w:val="00DE4173"/>
    <w:rsid w:val="00DE42F5"/>
    <w:rsid w:val="00DE4419"/>
    <w:rsid w:val="00DE4479"/>
    <w:rsid w:val="00DE452B"/>
    <w:rsid w:val="00DE463D"/>
    <w:rsid w:val="00DE4AF8"/>
    <w:rsid w:val="00DE4BC8"/>
    <w:rsid w:val="00DE4BF4"/>
    <w:rsid w:val="00DE4C17"/>
    <w:rsid w:val="00DE4C3F"/>
    <w:rsid w:val="00DE4DD6"/>
    <w:rsid w:val="00DE50C8"/>
    <w:rsid w:val="00DE50F5"/>
    <w:rsid w:val="00DE5147"/>
    <w:rsid w:val="00DE54AE"/>
    <w:rsid w:val="00DE560C"/>
    <w:rsid w:val="00DE57BE"/>
    <w:rsid w:val="00DE59F2"/>
    <w:rsid w:val="00DE5A65"/>
    <w:rsid w:val="00DE5AF3"/>
    <w:rsid w:val="00DE5CBE"/>
    <w:rsid w:val="00DE5DF5"/>
    <w:rsid w:val="00DE60FC"/>
    <w:rsid w:val="00DE63DF"/>
    <w:rsid w:val="00DE63F0"/>
    <w:rsid w:val="00DE65AB"/>
    <w:rsid w:val="00DE65C4"/>
    <w:rsid w:val="00DE65EE"/>
    <w:rsid w:val="00DE669E"/>
    <w:rsid w:val="00DE6792"/>
    <w:rsid w:val="00DE67AB"/>
    <w:rsid w:val="00DE688A"/>
    <w:rsid w:val="00DE690E"/>
    <w:rsid w:val="00DE6B1D"/>
    <w:rsid w:val="00DE6B43"/>
    <w:rsid w:val="00DE6CDB"/>
    <w:rsid w:val="00DE6E5F"/>
    <w:rsid w:val="00DE6E68"/>
    <w:rsid w:val="00DE6E9C"/>
    <w:rsid w:val="00DE6EC2"/>
    <w:rsid w:val="00DE6F99"/>
    <w:rsid w:val="00DE6FD5"/>
    <w:rsid w:val="00DE7127"/>
    <w:rsid w:val="00DE7300"/>
    <w:rsid w:val="00DE74D2"/>
    <w:rsid w:val="00DE7602"/>
    <w:rsid w:val="00DE768C"/>
    <w:rsid w:val="00DE7804"/>
    <w:rsid w:val="00DE78A4"/>
    <w:rsid w:val="00DE78B0"/>
    <w:rsid w:val="00DE79ED"/>
    <w:rsid w:val="00DE7B42"/>
    <w:rsid w:val="00DE7D4A"/>
    <w:rsid w:val="00DE7D92"/>
    <w:rsid w:val="00DE7F07"/>
    <w:rsid w:val="00DF0088"/>
    <w:rsid w:val="00DF020D"/>
    <w:rsid w:val="00DF0579"/>
    <w:rsid w:val="00DF0743"/>
    <w:rsid w:val="00DF076B"/>
    <w:rsid w:val="00DF0840"/>
    <w:rsid w:val="00DF08BC"/>
    <w:rsid w:val="00DF0902"/>
    <w:rsid w:val="00DF09FB"/>
    <w:rsid w:val="00DF0CD8"/>
    <w:rsid w:val="00DF0E63"/>
    <w:rsid w:val="00DF0E8C"/>
    <w:rsid w:val="00DF0ED3"/>
    <w:rsid w:val="00DF0F57"/>
    <w:rsid w:val="00DF104F"/>
    <w:rsid w:val="00DF1149"/>
    <w:rsid w:val="00DF1184"/>
    <w:rsid w:val="00DF1617"/>
    <w:rsid w:val="00DF16D2"/>
    <w:rsid w:val="00DF1837"/>
    <w:rsid w:val="00DF18D9"/>
    <w:rsid w:val="00DF1A48"/>
    <w:rsid w:val="00DF1C80"/>
    <w:rsid w:val="00DF1CFE"/>
    <w:rsid w:val="00DF2146"/>
    <w:rsid w:val="00DF2205"/>
    <w:rsid w:val="00DF22EE"/>
    <w:rsid w:val="00DF2322"/>
    <w:rsid w:val="00DF236E"/>
    <w:rsid w:val="00DF2428"/>
    <w:rsid w:val="00DF2570"/>
    <w:rsid w:val="00DF25AC"/>
    <w:rsid w:val="00DF269A"/>
    <w:rsid w:val="00DF295A"/>
    <w:rsid w:val="00DF2C60"/>
    <w:rsid w:val="00DF2CC9"/>
    <w:rsid w:val="00DF2FE9"/>
    <w:rsid w:val="00DF3135"/>
    <w:rsid w:val="00DF319D"/>
    <w:rsid w:val="00DF32A9"/>
    <w:rsid w:val="00DF3384"/>
    <w:rsid w:val="00DF34CE"/>
    <w:rsid w:val="00DF36FE"/>
    <w:rsid w:val="00DF38D1"/>
    <w:rsid w:val="00DF3900"/>
    <w:rsid w:val="00DF39BB"/>
    <w:rsid w:val="00DF3A84"/>
    <w:rsid w:val="00DF3CA2"/>
    <w:rsid w:val="00DF3DEF"/>
    <w:rsid w:val="00DF3F2C"/>
    <w:rsid w:val="00DF4256"/>
    <w:rsid w:val="00DF4291"/>
    <w:rsid w:val="00DF42E6"/>
    <w:rsid w:val="00DF433B"/>
    <w:rsid w:val="00DF44CB"/>
    <w:rsid w:val="00DF4947"/>
    <w:rsid w:val="00DF4AC6"/>
    <w:rsid w:val="00DF4D2F"/>
    <w:rsid w:val="00DF4FCA"/>
    <w:rsid w:val="00DF503C"/>
    <w:rsid w:val="00DF51AB"/>
    <w:rsid w:val="00DF51C5"/>
    <w:rsid w:val="00DF54EB"/>
    <w:rsid w:val="00DF55F0"/>
    <w:rsid w:val="00DF59A8"/>
    <w:rsid w:val="00DF5BF1"/>
    <w:rsid w:val="00DF5C64"/>
    <w:rsid w:val="00DF5E18"/>
    <w:rsid w:val="00DF5F55"/>
    <w:rsid w:val="00DF5FC2"/>
    <w:rsid w:val="00DF60C5"/>
    <w:rsid w:val="00DF610E"/>
    <w:rsid w:val="00DF6288"/>
    <w:rsid w:val="00DF632A"/>
    <w:rsid w:val="00DF63AC"/>
    <w:rsid w:val="00DF65D2"/>
    <w:rsid w:val="00DF6704"/>
    <w:rsid w:val="00DF676C"/>
    <w:rsid w:val="00DF68AC"/>
    <w:rsid w:val="00DF6BE1"/>
    <w:rsid w:val="00DF6D8C"/>
    <w:rsid w:val="00DF6EB4"/>
    <w:rsid w:val="00DF7479"/>
    <w:rsid w:val="00DF7606"/>
    <w:rsid w:val="00DF765B"/>
    <w:rsid w:val="00DF7660"/>
    <w:rsid w:val="00DF77B6"/>
    <w:rsid w:val="00DF7A33"/>
    <w:rsid w:val="00DF7A7B"/>
    <w:rsid w:val="00DF7B56"/>
    <w:rsid w:val="00DF7CAB"/>
    <w:rsid w:val="00DF7D9E"/>
    <w:rsid w:val="00DF7DF8"/>
    <w:rsid w:val="00E00008"/>
    <w:rsid w:val="00E003F0"/>
    <w:rsid w:val="00E00462"/>
    <w:rsid w:val="00E00558"/>
    <w:rsid w:val="00E00786"/>
    <w:rsid w:val="00E00931"/>
    <w:rsid w:val="00E00AF1"/>
    <w:rsid w:val="00E00D21"/>
    <w:rsid w:val="00E01204"/>
    <w:rsid w:val="00E013D4"/>
    <w:rsid w:val="00E0140A"/>
    <w:rsid w:val="00E015C4"/>
    <w:rsid w:val="00E017B0"/>
    <w:rsid w:val="00E018E8"/>
    <w:rsid w:val="00E01A06"/>
    <w:rsid w:val="00E01BB3"/>
    <w:rsid w:val="00E01BE4"/>
    <w:rsid w:val="00E01BF9"/>
    <w:rsid w:val="00E01C3F"/>
    <w:rsid w:val="00E01E28"/>
    <w:rsid w:val="00E01FA3"/>
    <w:rsid w:val="00E02240"/>
    <w:rsid w:val="00E02278"/>
    <w:rsid w:val="00E0229B"/>
    <w:rsid w:val="00E023AC"/>
    <w:rsid w:val="00E025BA"/>
    <w:rsid w:val="00E02670"/>
    <w:rsid w:val="00E026F6"/>
    <w:rsid w:val="00E02749"/>
    <w:rsid w:val="00E028DD"/>
    <w:rsid w:val="00E028FE"/>
    <w:rsid w:val="00E02B35"/>
    <w:rsid w:val="00E02C7C"/>
    <w:rsid w:val="00E02D16"/>
    <w:rsid w:val="00E02D2F"/>
    <w:rsid w:val="00E02D62"/>
    <w:rsid w:val="00E02E6D"/>
    <w:rsid w:val="00E02ECB"/>
    <w:rsid w:val="00E03137"/>
    <w:rsid w:val="00E031BA"/>
    <w:rsid w:val="00E032A4"/>
    <w:rsid w:val="00E033A3"/>
    <w:rsid w:val="00E0372A"/>
    <w:rsid w:val="00E0396C"/>
    <w:rsid w:val="00E03993"/>
    <w:rsid w:val="00E03A6B"/>
    <w:rsid w:val="00E03AEE"/>
    <w:rsid w:val="00E03B61"/>
    <w:rsid w:val="00E03C6F"/>
    <w:rsid w:val="00E03E59"/>
    <w:rsid w:val="00E04725"/>
    <w:rsid w:val="00E048F2"/>
    <w:rsid w:val="00E04A99"/>
    <w:rsid w:val="00E04B8F"/>
    <w:rsid w:val="00E04BBB"/>
    <w:rsid w:val="00E04D11"/>
    <w:rsid w:val="00E04D59"/>
    <w:rsid w:val="00E0535A"/>
    <w:rsid w:val="00E05576"/>
    <w:rsid w:val="00E05657"/>
    <w:rsid w:val="00E0597E"/>
    <w:rsid w:val="00E05AB5"/>
    <w:rsid w:val="00E05AEA"/>
    <w:rsid w:val="00E05BEC"/>
    <w:rsid w:val="00E05CFD"/>
    <w:rsid w:val="00E05D2C"/>
    <w:rsid w:val="00E05E62"/>
    <w:rsid w:val="00E0602C"/>
    <w:rsid w:val="00E060F7"/>
    <w:rsid w:val="00E062A2"/>
    <w:rsid w:val="00E0656A"/>
    <w:rsid w:val="00E0658D"/>
    <w:rsid w:val="00E066F7"/>
    <w:rsid w:val="00E067BC"/>
    <w:rsid w:val="00E067E0"/>
    <w:rsid w:val="00E0680C"/>
    <w:rsid w:val="00E06830"/>
    <w:rsid w:val="00E06844"/>
    <w:rsid w:val="00E0684D"/>
    <w:rsid w:val="00E06897"/>
    <w:rsid w:val="00E06951"/>
    <w:rsid w:val="00E06971"/>
    <w:rsid w:val="00E069DC"/>
    <w:rsid w:val="00E069FA"/>
    <w:rsid w:val="00E06B54"/>
    <w:rsid w:val="00E06BE6"/>
    <w:rsid w:val="00E06E71"/>
    <w:rsid w:val="00E0704F"/>
    <w:rsid w:val="00E0729F"/>
    <w:rsid w:val="00E07386"/>
    <w:rsid w:val="00E073CF"/>
    <w:rsid w:val="00E076E5"/>
    <w:rsid w:val="00E07AF2"/>
    <w:rsid w:val="00E07CCA"/>
    <w:rsid w:val="00E07D35"/>
    <w:rsid w:val="00E07E6B"/>
    <w:rsid w:val="00E07EFF"/>
    <w:rsid w:val="00E10076"/>
    <w:rsid w:val="00E10090"/>
    <w:rsid w:val="00E100B7"/>
    <w:rsid w:val="00E1013A"/>
    <w:rsid w:val="00E10198"/>
    <w:rsid w:val="00E101BA"/>
    <w:rsid w:val="00E101E6"/>
    <w:rsid w:val="00E1053B"/>
    <w:rsid w:val="00E1065B"/>
    <w:rsid w:val="00E1081D"/>
    <w:rsid w:val="00E10B01"/>
    <w:rsid w:val="00E10B41"/>
    <w:rsid w:val="00E10BF3"/>
    <w:rsid w:val="00E10CAB"/>
    <w:rsid w:val="00E10D0D"/>
    <w:rsid w:val="00E10D21"/>
    <w:rsid w:val="00E10EE1"/>
    <w:rsid w:val="00E10F09"/>
    <w:rsid w:val="00E10F33"/>
    <w:rsid w:val="00E10F79"/>
    <w:rsid w:val="00E1106B"/>
    <w:rsid w:val="00E11133"/>
    <w:rsid w:val="00E113F7"/>
    <w:rsid w:val="00E115B0"/>
    <w:rsid w:val="00E115F9"/>
    <w:rsid w:val="00E1162D"/>
    <w:rsid w:val="00E116D2"/>
    <w:rsid w:val="00E11713"/>
    <w:rsid w:val="00E11757"/>
    <w:rsid w:val="00E11759"/>
    <w:rsid w:val="00E11794"/>
    <w:rsid w:val="00E11859"/>
    <w:rsid w:val="00E118F0"/>
    <w:rsid w:val="00E11933"/>
    <w:rsid w:val="00E119BB"/>
    <w:rsid w:val="00E12279"/>
    <w:rsid w:val="00E122AF"/>
    <w:rsid w:val="00E12382"/>
    <w:rsid w:val="00E124C0"/>
    <w:rsid w:val="00E124D7"/>
    <w:rsid w:val="00E12AC7"/>
    <w:rsid w:val="00E13267"/>
    <w:rsid w:val="00E135A9"/>
    <w:rsid w:val="00E13619"/>
    <w:rsid w:val="00E1364A"/>
    <w:rsid w:val="00E136BF"/>
    <w:rsid w:val="00E13745"/>
    <w:rsid w:val="00E138A4"/>
    <w:rsid w:val="00E139ED"/>
    <w:rsid w:val="00E13B8A"/>
    <w:rsid w:val="00E13BBE"/>
    <w:rsid w:val="00E13BBF"/>
    <w:rsid w:val="00E13C4A"/>
    <w:rsid w:val="00E13C4E"/>
    <w:rsid w:val="00E13CA2"/>
    <w:rsid w:val="00E13D24"/>
    <w:rsid w:val="00E14003"/>
    <w:rsid w:val="00E14135"/>
    <w:rsid w:val="00E14144"/>
    <w:rsid w:val="00E142E1"/>
    <w:rsid w:val="00E14368"/>
    <w:rsid w:val="00E1437D"/>
    <w:rsid w:val="00E146C6"/>
    <w:rsid w:val="00E147D7"/>
    <w:rsid w:val="00E14BF3"/>
    <w:rsid w:val="00E14D84"/>
    <w:rsid w:val="00E15017"/>
    <w:rsid w:val="00E15158"/>
    <w:rsid w:val="00E15451"/>
    <w:rsid w:val="00E15721"/>
    <w:rsid w:val="00E159E5"/>
    <w:rsid w:val="00E15A89"/>
    <w:rsid w:val="00E15BE1"/>
    <w:rsid w:val="00E15EE0"/>
    <w:rsid w:val="00E16003"/>
    <w:rsid w:val="00E16249"/>
    <w:rsid w:val="00E1629D"/>
    <w:rsid w:val="00E162B8"/>
    <w:rsid w:val="00E1644D"/>
    <w:rsid w:val="00E16682"/>
    <w:rsid w:val="00E1670A"/>
    <w:rsid w:val="00E16790"/>
    <w:rsid w:val="00E167D0"/>
    <w:rsid w:val="00E16A50"/>
    <w:rsid w:val="00E16D00"/>
    <w:rsid w:val="00E1702E"/>
    <w:rsid w:val="00E17124"/>
    <w:rsid w:val="00E1725F"/>
    <w:rsid w:val="00E1727C"/>
    <w:rsid w:val="00E17435"/>
    <w:rsid w:val="00E17A38"/>
    <w:rsid w:val="00E17A73"/>
    <w:rsid w:val="00E17AC7"/>
    <w:rsid w:val="00E17BCC"/>
    <w:rsid w:val="00E17D35"/>
    <w:rsid w:val="00E17D99"/>
    <w:rsid w:val="00E17E33"/>
    <w:rsid w:val="00E17E40"/>
    <w:rsid w:val="00E17E84"/>
    <w:rsid w:val="00E201E3"/>
    <w:rsid w:val="00E202D0"/>
    <w:rsid w:val="00E202E1"/>
    <w:rsid w:val="00E2061C"/>
    <w:rsid w:val="00E206A8"/>
    <w:rsid w:val="00E207B0"/>
    <w:rsid w:val="00E2086B"/>
    <w:rsid w:val="00E208E3"/>
    <w:rsid w:val="00E208FE"/>
    <w:rsid w:val="00E2097C"/>
    <w:rsid w:val="00E209F8"/>
    <w:rsid w:val="00E20D4B"/>
    <w:rsid w:val="00E21016"/>
    <w:rsid w:val="00E211FD"/>
    <w:rsid w:val="00E21229"/>
    <w:rsid w:val="00E21316"/>
    <w:rsid w:val="00E2133A"/>
    <w:rsid w:val="00E21357"/>
    <w:rsid w:val="00E213BC"/>
    <w:rsid w:val="00E213D9"/>
    <w:rsid w:val="00E21623"/>
    <w:rsid w:val="00E21AE8"/>
    <w:rsid w:val="00E21B16"/>
    <w:rsid w:val="00E21BC1"/>
    <w:rsid w:val="00E21D8F"/>
    <w:rsid w:val="00E21DD5"/>
    <w:rsid w:val="00E21E5C"/>
    <w:rsid w:val="00E21F21"/>
    <w:rsid w:val="00E221B0"/>
    <w:rsid w:val="00E221D7"/>
    <w:rsid w:val="00E222A1"/>
    <w:rsid w:val="00E22347"/>
    <w:rsid w:val="00E2245A"/>
    <w:rsid w:val="00E2248D"/>
    <w:rsid w:val="00E2256F"/>
    <w:rsid w:val="00E227CD"/>
    <w:rsid w:val="00E22864"/>
    <w:rsid w:val="00E2291A"/>
    <w:rsid w:val="00E22C6E"/>
    <w:rsid w:val="00E22CFC"/>
    <w:rsid w:val="00E22D8B"/>
    <w:rsid w:val="00E22EA8"/>
    <w:rsid w:val="00E22EEE"/>
    <w:rsid w:val="00E230AE"/>
    <w:rsid w:val="00E23292"/>
    <w:rsid w:val="00E232F3"/>
    <w:rsid w:val="00E23579"/>
    <w:rsid w:val="00E23584"/>
    <w:rsid w:val="00E236BA"/>
    <w:rsid w:val="00E236C3"/>
    <w:rsid w:val="00E237A4"/>
    <w:rsid w:val="00E239B3"/>
    <w:rsid w:val="00E239D6"/>
    <w:rsid w:val="00E23BEB"/>
    <w:rsid w:val="00E23C12"/>
    <w:rsid w:val="00E23D83"/>
    <w:rsid w:val="00E24112"/>
    <w:rsid w:val="00E2436F"/>
    <w:rsid w:val="00E243D7"/>
    <w:rsid w:val="00E2458A"/>
    <w:rsid w:val="00E24685"/>
    <w:rsid w:val="00E24831"/>
    <w:rsid w:val="00E248A6"/>
    <w:rsid w:val="00E24932"/>
    <w:rsid w:val="00E24A7B"/>
    <w:rsid w:val="00E24A9D"/>
    <w:rsid w:val="00E24CD7"/>
    <w:rsid w:val="00E24F39"/>
    <w:rsid w:val="00E250F9"/>
    <w:rsid w:val="00E25111"/>
    <w:rsid w:val="00E251BF"/>
    <w:rsid w:val="00E2530F"/>
    <w:rsid w:val="00E2546F"/>
    <w:rsid w:val="00E25470"/>
    <w:rsid w:val="00E25996"/>
    <w:rsid w:val="00E25D2F"/>
    <w:rsid w:val="00E260CA"/>
    <w:rsid w:val="00E2610F"/>
    <w:rsid w:val="00E26242"/>
    <w:rsid w:val="00E265A2"/>
    <w:rsid w:val="00E265A4"/>
    <w:rsid w:val="00E265C0"/>
    <w:rsid w:val="00E267EE"/>
    <w:rsid w:val="00E26B32"/>
    <w:rsid w:val="00E26C35"/>
    <w:rsid w:val="00E26E30"/>
    <w:rsid w:val="00E26E7D"/>
    <w:rsid w:val="00E27053"/>
    <w:rsid w:val="00E27190"/>
    <w:rsid w:val="00E27262"/>
    <w:rsid w:val="00E2729C"/>
    <w:rsid w:val="00E272AE"/>
    <w:rsid w:val="00E27310"/>
    <w:rsid w:val="00E27364"/>
    <w:rsid w:val="00E273BC"/>
    <w:rsid w:val="00E273E5"/>
    <w:rsid w:val="00E27407"/>
    <w:rsid w:val="00E27428"/>
    <w:rsid w:val="00E27647"/>
    <w:rsid w:val="00E27946"/>
    <w:rsid w:val="00E27C5C"/>
    <w:rsid w:val="00E27CC3"/>
    <w:rsid w:val="00E27E69"/>
    <w:rsid w:val="00E27EAD"/>
    <w:rsid w:val="00E30045"/>
    <w:rsid w:val="00E300C6"/>
    <w:rsid w:val="00E30144"/>
    <w:rsid w:val="00E301D1"/>
    <w:rsid w:val="00E30261"/>
    <w:rsid w:val="00E302DC"/>
    <w:rsid w:val="00E30328"/>
    <w:rsid w:val="00E303FD"/>
    <w:rsid w:val="00E30427"/>
    <w:rsid w:val="00E3042E"/>
    <w:rsid w:val="00E3045D"/>
    <w:rsid w:val="00E30470"/>
    <w:rsid w:val="00E30692"/>
    <w:rsid w:val="00E307E7"/>
    <w:rsid w:val="00E308E3"/>
    <w:rsid w:val="00E30950"/>
    <w:rsid w:val="00E309B9"/>
    <w:rsid w:val="00E30C80"/>
    <w:rsid w:val="00E30CAA"/>
    <w:rsid w:val="00E30CFB"/>
    <w:rsid w:val="00E30ECC"/>
    <w:rsid w:val="00E30FBD"/>
    <w:rsid w:val="00E31139"/>
    <w:rsid w:val="00E31212"/>
    <w:rsid w:val="00E315CA"/>
    <w:rsid w:val="00E3173F"/>
    <w:rsid w:val="00E317C3"/>
    <w:rsid w:val="00E318CA"/>
    <w:rsid w:val="00E31B31"/>
    <w:rsid w:val="00E31BF7"/>
    <w:rsid w:val="00E31C56"/>
    <w:rsid w:val="00E31D90"/>
    <w:rsid w:val="00E31FD4"/>
    <w:rsid w:val="00E320B3"/>
    <w:rsid w:val="00E321D6"/>
    <w:rsid w:val="00E3239A"/>
    <w:rsid w:val="00E323EE"/>
    <w:rsid w:val="00E32505"/>
    <w:rsid w:val="00E32A29"/>
    <w:rsid w:val="00E32D0B"/>
    <w:rsid w:val="00E32F10"/>
    <w:rsid w:val="00E330D4"/>
    <w:rsid w:val="00E33142"/>
    <w:rsid w:val="00E331D0"/>
    <w:rsid w:val="00E335A8"/>
    <w:rsid w:val="00E335BD"/>
    <w:rsid w:val="00E3361E"/>
    <w:rsid w:val="00E3368A"/>
    <w:rsid w:val="00E337F0"/>
    <w:rsid w:val="00E339F9"/>
    <w:rsid w:val="00E33BFD"/>
    <w:rsid w:val="00E33F5F"/>
    <w:rsid w:val="00E345F1"/>
    <w:rsid w:val="00E34948"/>
    <w:rsid w:val="00E34C4D"/>
    <w:rsid w:val="00E34CB6"/>
    <w:rsid w:val="00E34D81"/>
    <w:rsid w:val="00E34E83"/>
    <w:rsid w:val="00E34FF0"/>
    <w:rsid w:val="00E34FF3"/>
    <w:rsid w:val="00E3502E"/>
    <w:rsid w:val="00E351A0"/>
    <w:rsid w:val="00E351AC"/>
    <w:rsid w:val="00E351DF"/>
    <w:rsid w:val="00E351FB"/>
    <w:rsid w:val="00E352C7"/>
    <w:rsid w:val="00E35303"/>
    <w:rsid w:val="00E358A9"/>
    <w:rsid w:val="00E35B74"/>
    <w:rsid w:val="00E35D1B"/>
    <w:rsid w:val="00E35E4D"/>
    <w:rsid w:val="00E35EC2"/>
    <w:rsid w:val="00E35EE6"/>
    <w:rsid w:val="00E35FA9"/>
    <w:rsid w:val="00E36014"/>
    <w:rsid w:val="00E360CE"/>
    <w:rsid w:val="00E36170"/>
    <w:rsid w:val="00E361EF"/>
    <w:rsid w:val="00E36234"/>
    <w:rsid w:val="00E363A9"/>
    <w:rsid w:val="00E367D1"/>
    <w:rsid w:val="00E36C2A"/>
    <w:rsid w:val="00E37077"/>
    <w:rsid w:val="00E3709F"/>
    <w:rsid w:val="00E372E0"/>
    <w:rsid w:val="00E37398"/>
    <w:rsid w:val="00E37638"/>
    <w:rsid w:val="00E37646"/>
    <w:rsid w:val="00E377C2"/>
    <w:rsid w:val="00E378B8"/>
    <w:rsid w:val="00E37A8C"/>
    <w:rsid w:val="00E37AE6"/>
    <w:rsid w:val="00E37B13"/>
    <w:rsid w:val="00E37C68"/>
    <w:rsid w:val="00E37C7A"/>
    <w:rsid w:val="00E37CBE"/>
    <w:rsid w:val="00E37D48"/>
    <w:rsid w:val="00E37D60"/>
    <w:rsid w:val="00E37DAE"/>
    <w:rsid w:val="00E37FB5"/>
    <w:rsid w:val="00E400BC"/>
    <w:rsid w:val="00E4013F"/>
    <w:rsid w:val="00E40567"/>
    <w:rsid w:val="00E40672"/>
    <w:rsid w:val="00E406DB"/>
    <w:rsid w:val="00E406E5"/>
    <w:rsid w:val="00E408AF"/>
    <w:rsid w:val="00E40B1B"/>
    <w:rsid w:val="00E40DB7"/>
    <w:rsid w:val="00E40DC6"/>
    <w:rsid w:val="00E40E2B"/>
    <w:rsid w:val="00E4108C"/>
    <w:rsid w:val="00E41098"/>
    <w:rsid w:val="00E41252"/>
    <w:rsid w:val="00E4128D"/>
    <w:rsid w:val="00E4131D"/>
    <w:rsid w:val="00E41328"/>
    <w:rsid w:val="00E41333"/>
    <w:rsid w:val="00E41397"/>
    <w:rsid w:val="00E4145A"/>
    <w:rsid w:val="00E4148B"/>
    <w:rsid w:val="00E41659"/>
    <w:rsid w:val="00E416E8"/>
    <w:rsid w:val="00E4174A"/>
    <w:rsid w:val="00E417D5"/>
    <w:rsid w:val="00E41819"/>
    <w:rsid w:val="00E41850"/>
    <w:rsid w:val="00E41C8F"/>
    <w:rsid w:val="00E41CD8"/>
    <w:rsid w:val="00E41E3A"/>
    <w:rsid w:val="00E420C8"/>
    <w:rsid w:val="00E42148"/>
    <w:rsid w:val="00E42160"/>
    <w:rsid w:val="00E421DA"/>
    <w:rsid w:val="00E42626"/>
    <w:rsid w:val="00E42854"/>
    <w:rsid w:val="00E42A36"/>
    <w:rsid w:val="00E42B1D"/>
    <w:rsid w:val="00E42B24"/>
    <w:rsid w:val="00E42BA3"/>
    <w:rsid w:val="00E42DC7"/>
    <w:rsid w:val="00E431CF"/>
    <w:rsid w:val="00E43225"/>
    <w:rsid w:val="00E433CD"/>
    <w:rsid w:val="00E43403"/>
    <w:rsid w:val="00E4341E"/>
    <w:rsid w:val="00E434B6"/>
    <w:rsid w:val="00E43704"/>
    <w:rsid w:val="00E4386C"/>
    <w:rsid w:val="00E43895"/>
    <w:rsid w:val="00E438D3"/>
    <w:rsid w:val="00E43AAA"/>
    <w:rsid w:val="00E43AF6"/>
    <w:rsid w:val="00E43B47"/>
    <w:rsid w:val="00E43C40"/>
    <w:rsid w:val="00E43C4B"/>
    <w:rsid w:val="00E43D22"/>
    <w:rsid w:val="00E43DEE"/>
    <w:rsid w:val="00E43F1A"/>
    <w:rsid w:val="00E43F34"/>
    <w:rsid w:val="00E43F7B"/>
    <w:rsid w:val="00E44160"/>
    <w:rsid w:val="00E44245"/>
    <w:rsid w:val="00E44270"/>
    <w:rsid w:val="00E442AB"/>
    <w:rsid w:val="00E44319"/>
    <w:rsid w:val="00E443BD"/>
    <w:rsid w:val="00E443D6"/>
    <w:rsid w:val="00E444A3"/>
    <w:rsid w:val="00E447C3"/>
    <w:rsid w:val="00E4493A"/>
    <w:rsid w:val="00E44950"/>
    <w:rsid w:val="00E44C41"/>
    <w:rsid w:val="00E44CB6"/>
    <w:rsid w:val="00E44E2F"/>
    <w:rsid w:val="00E44E53"/>
    <w:rsid w:val="00E44E88"/>
    <w:rsid w:val="00E45040"/>
    <w:rsid w:val="00E450B5"/>
    <w:rsid w:val="00E45293"/>
    <w:rsid w:val="00E452CC"/>
    <w:rsid w:val="00E45318"/>
    <w:rsid w:val="00E45392"/>
    <w:rsid w:val="00E45418"/>
    <w:rsid w:val="00E4548C"/>
    <w:rsid w:val="00E457B8"/>
    <w:rsid w:val="00E457CB"/>
    <w:rsid w:val="00E45DC4"/>
    <w:rsid w:val="00E45EBD"/>
    <w:rsid w:val="00E45F1B"/>
    <w:rsid w:val="00E46151"/>
    <w:rsid w:val="00E4618E"/>
    <w:rsid w:val="00E46945"/>
    <w:rsid w:val="00E469BA"/>
    <w:rsid w:val="00E46A8C"/>
    <w:rsid w:val="00E46BC7"/>
    <w:rsid w:val="00E46E4D"/>
    <w:rsid w:val="00E46F7A"/>
    <w:rsid w:val="00E4710D"/>
    <w:rsid w:val="00E47194"/>
    <w:rsid w:val="00E4724F"/>
    <w:rsid w:val="00E4731D"/>
    <w:rsid w:val="00E47340"/>
    <w:rsid w:val="00E4735F"/>
    <w:rsid w:val="00E47398"/>
    <w:rsid w:val="00E47452"/>
    <w:rsid w:val="00E474E3"/>
    <w:rsid w:val="00E477AA"/>
    <w:rsid w:val="00E4794E"/>
    <w:rsid w:val="00E479D4"/>
    <w:rsid w:val="00E479DC"/>
    <w:rsid w:val="00E47AE8"/>
    <w:rsid w:val="00E47BB4"/>
    <w:rsid w:val="00E47D0C"/>
    <w:rsid w:val="00E47DD1"/>
    <w:rsid w:val="00E47E55"/>
    <w:rsid w:val="00E47EA2"/>
    <w:rsid w:val="00E47EBA"/>
    <w:rsid w:val="00E50074"/>
    <w:rsid w:val="00E500C7"/>
    <w:rsid w:val="00E5020C"/>
    <w:rsid w:val="00E50343"/>
    <w:rsid w:val="00E50630"/>
    <w:rsid w:val="00E50BD0"/>
    <w:rsid w:val="00E50C2E"/>
    <w:rsid w:val="00E50C5A"/>
    <w:rsid w:val="00E50EA5"/>
    <w:rsid w:val="00E50FF4"/>
    <w:rsid w:val="00E51112"/>
    <w:rsid w:val="00E51234"/>
    <w:rsid w:val="00E512D2"/>
    <w:rsid w:val="00E512FB"/>
    <w:rsid w:val="00E513F8"/>
    <w:rsid w:val="00E51511"/>
    <w:rsid w:val="00E5161A"/>
    <w:rsid w:val="00E5167E"/>
    <w:rsid w:val="00E51C76"/>
    <w:rsid w:val="00E51CA1"/>
    <w:rsid w:val="00E51D7D"/>
    <w:rsid w:val="00E523FE"/>
    <w:rsid w:val="00E52497"/>
    <w:rsid w:val="00E52668"/>
    <w:rsid w:val="00E52A69"/>
    <w:rsid w:val="00E52AB7"/>
    <w:rsid w:val="00E52B20"/>
    <w:rsid w:val="00E52B27"/>
    <w:rsid w:val="00E52C08"/>
    <w:rsid w:val="00E52E21"/>
    <w:rsid w:val="00E52EE1"/>
    <w:rsid w:val="00E52F0C"/>
    <w:rsid w:val="00E52F1F"/>
    <w:rsid w:val="00E52FB2"/>
    <w:rsid w:val="00E531E5"/>
    <w:rsid w:val="00E53725"/>
    <w:rsid w:val="00E53744"/>
    <w:rsid w:val="00E537B1"/>
    <w:rsid w:val="00E5387B"/>
    <w:rsid w:val="00E5393F"/>
    <w:rsid w:val="00E539EF"/>
    <w:rsid w:val="00E53AF9"/>
    <w:rsid w:val="00E53B2B"/>
    <w:rsid w:val="00E53B51"/>
    <w:rsid w:val="00E53C57"/>
    <w:rsid w:val="00E53EEC"/>
    <w:rsid w:val="00E53F81"/>
    <w:rsid w:val="00E54157"/>
    <w:rsid w:val="00E54224"/>
    <w:rsid w:val="00E542FF"/>
    <w:rsid w:val="00E543FF"/>
    <w:rsid w:val="00E5442B"/>
    <w:rsid w:val="00E54467"/>
    <w:rsid w:val="00E54860"/>
    <w:rsid w:val="00E54B22"/>
    <w:rsid w:val="00E54B34"/>
    <w:rsid w:val="00E54CA1"/>
    <w:rsid w:val="00E54DE8"/>
    <w:rsid w:val="00E54EE9"/>
    <w:rsid w:val="00E550BD"/>
    <w:rsid w:val="00E5523E"/>
    <w:rsid w:val="00E552F3"/>
    <w:rsid w:val="00E55430"/>
    <w:rsid w:val="00E55529"/>
    <w:rsid w:val="00E555A6"/>
    <w:rsid w:val="00E55609"/>
    <w:rsid w:val="00E55858"/>
    <w:rsid w:val="00E55A63"/>
    <w:rsid w:val="00E55A71"/>
    <w:rsid w:val="00E55D88"/>
    <w:rsid w:val="00E55EB5"/>
    <w:rsid w:val="00E56002"/>
    <w:rsid w:val="00E562BC"/>
    <w:rsid w:val="00E563BF"/>
    <w:rsid w:val="00E56627"/>
    <w:rsid w:val="00E566B1"/>
    <w:rsid w:val="00E56744"/>
    <w:rsid w:val="00E567AD"/>
    <w:rsid w:val="00E568C0"/>
    <w:rsid w:val="00E5699E"/>
    <w:rsid w:val="00E56A49"/>
    <w:rsid w:val="00E56B18"/>
    <w:rsid w:val="00E56BAF"/>
    <w:rsid w:val="00E56E92"/>
    <w:rsid w:val="00E572B7"/>
    <w:rsid w:val="00E574F3"/>
    <w:rsid w:val="00E5750C"/>
    <w:rsid w:val="00E575E0"/>
    <w:rsid w:val="00E5781C"/>
    <w:rsid w:val="00E57C55"/>
    <w:rsid w:val="00E57CC1"/>
    <w:rsid w:val="00E57CD8"/>
    <w:rsid w:val="00E57D36"/>
    <w:rsid w:val="00E57E9B"/>
    <w:rsid w:val="00E57EA5"/>
    <w:rsid w:val="00E60166"/>
    <w:rsid w:val="00E601AF"/>
    <w:rsid w:val="00E60331"/>
    <w:rsid w:val="00E605B5"/>
    <w:rsid w:val="00E60631"/>
    <w:rsid w:val="00E6063E"/>
    <w:rsid w:val="00E608D6"/>
    <w:rsid w:val="00E60960"/>
    <w:rsid w:val="00E60BF9"/>
    <w:rsid w:val="00E60CEB"/>
    <w:rsid w:val="00E61901"/>
    <w:rsid w:val="00E61AF0"/>
    <w:rsid w:val="00E61BFC"/>
    <w:rsid w:val="00E61E00"/>
    <w:rsid w:val="00E61E66"/>
    <w:rsid w:val="00E6204B"/>
    <w:rsid w:val="00E620A2"/>
    <w:rsid w:val="00E620C9"/>
    <w:rsid w:val="00E620F5"/>
    <w:rsid w:val="00E621E9"/>
    <w:rsid w:val="00E624D9"/>
    <w:rsid w:val="00E62579"/>
    <w:rsid w:val="00E625A0"/>
    <w:rsid w:val="00E62655"/>
    <w:rsid w:val="00E627C6"/>
    <w:rsid w:val="00E62BDD"/>
    <w:rsid w:val="00E62BEC"/>
    <w:rsid w:val="00E62DA4"/>
    <w:rsid w:val="00E62DEF"/>
    <w:rsid w:val="00E62EA8"/>
    <w:rsid w:val="00E62F72"/>
    <w:rsid w:val="00E6340D"/>
    <w:rsid w:val="00E6346E"/>
    <w:rsid w:val="00E63560"/>
    <w:rsid w:val="00E63582"/>
    <w:rsid w:val="00E63596"/>
    <w:rsid w:val="00E636E1"/>
    <w:rsid w:val="00E63842"/>
    <w:rsid w:val="00E6384C"/>
    <w:rsid w:val="00E63906"/>
    <w:rsid w:val="00E63AE6"/>
    <w:rsid w:val="00E63C1F"/>
    <w:rsid w:val="00E63D3A"/>
    <w:rsid w:val="00E63EBE"/>
    <w:rsid w:val="00E63F2A"/>
    <w:rsid w:val="00E6400B"/>
    <w:rsid w:val="00E64136"/>
    <w:rsid w:val="00E6426A"/>
    <w:rsid w:val="00E6436B"/>
    <w:rsid w:val="00E643C5"/>
    <w:rsid w:val="00E64467"/>
    <w:rsid w:val="00E644E5"/>
    <w:rsid w:val="00E6454E"/>
    <w:rsid w:val="00E64686"/>
    <w:rsid w:val="00E6479E"/>
    <w:rsid w:val="00E64ACE"/>
    <w:rsid w:val="00E64C80"/>
    <w:rsid w:val="00E64C8D"/>
    <w:rsid w:val="00E64CEC"/>
    <w:rsid w:val="00E64DE8"/>
    <w:rsid w:val="00E64E19"/>
    <w:rsid w:val="00E64E45"/>
    <w:rsid w:val="00E64EC5"/>
    <w:rsid w:val="00E64F60"/>
    <w:rsid w:val="00E6541B"/>
    <w:rsid w:val="00E65686"/>
    <w:rsid w:val="00E658DB"/>
    <w:rsid w:val="00E65A3B"/>
    <w:rsid w:val="00E65B8F"/>
    <w:rsid w:val="00E65BD2"/>
    <w:rsid w:val="00E65DE0"/>
    <w:rsid w:val="00E65E04"/>
    <w:rsid w:val="00E65F65"/>
    <w:rsid w:val="00E661DB"/>
    <w:rsid w:val="00E6628F"/>
    <w:rsid w:val="00E6648F"/>
    <w:rsid w:val="00E664C2"/>
    <w:rsid w:val="00E664F4"/>
    <w:rsid w:val="00E66548"/>
    <w:rsid w:val="00E6664A"/>
    <w:rsid w:val="00E66749"/>
    <w:rsid w:val="00E66808"/>
    <w:rsid w:val="00E66A61"/>
    <w:rsid w:val="00E66F7F"/>
    <w:rsid w:val="00E6704A"/>
    <w:rsid w:val="00E6708D"/>
    <w:rsid w:val="00E670A9"/>
    <w:rsid w:val="00E6718E"/>
    <w:rsid w:val="00E67260"/>
    <w:rsid w:val="00E6736F"/>
    <w:rsid w:val="00E67551"/>
    <w:rsid w:val="00E675FE"/>
    <w:rsid w:val="00E6786A"/>
    <w:rsid w:val="00E678B9"/>
    <w:rsid w:val="00E67AC7"/>
    <w:rsid w:val="00E67ADD"/>
    <w:rsid w:val="00E67BEB"/>
    <w:rsid w:val="00E67C61"/>
    <w:rsid w:val="00E67E1E"/>
    <w:rsid w:val="00E67E6E"/>
    <w:rsid w:val="00E7006E"/>
    <w:rsid w:val="00E7011C"/>
    <w:rsid w:val="00E702F9"/>
    <w:rsid w:val="00E705CA"/>
    <w:rsid w:val="00E705F5"/>
    <w:rsid w:val="00E70615"/>
    <w:rsid w:val="00E706F2"/>
    <w:rsid w:val="00E707E4"/>
    <w:rsid w:val="00E7082B"/>
    <w:rsid w:val="00E70888"/>
    <w:rsid w:val="00E7095A"/>
    <w:rsid w:val="00E70A0A"/>
    <w:rsid w:val="00E70AE2"/>
    <w:rsid w:val="00E70B0D"/>
    <w:rsid w:val="00E70B45"/>
    <w:rsid w:val="00E70D7B"/>
    <w:rsid w:val="00E70DA1"/>
    <w:rsid w:val="00E71289"/>
    <w:rsid w:val="00E71391"/>
    <w:rsid w:val="00E719C7"/>
    <w:rsid w:val="00E719E1"/>
    <w:rsid w:val="00E71EC1"/>
    <w:rsid w:val="00E721FA"/>
    <w:rsid w:val="00E72332"/>
    <w:rsid w:val="00E723CC"/>
    <w:rsid w:val="00E72413"/>
    <w:rsid w:val="00E7244E"/>
    <w:rsid w:val="00E725CF"/>
    <w:rsid w:val="00E725DB"/>
    <w:rsid w:val="00E72746"/>
    <w:rsid w:val="00E72758"/>
    <w:rsid w:val="00E7277F"/>
    <w:rsid w:val="00E727F7"/>
    <w:rsid w:val="00E7286C"/>
    <w:rsid w:val="00E72906"/>
    <w:rsid w:val="00E72BAB"/>
    <w:rsid w:val="00E72D88"/>
    <w:rsid w:val="00E72DC7"/>
    <w:rsid w:val="00E730C9"/>
    <w:rsid w:val="00E730FA"/>
    <w:rsid w:val="00E7328E"/>
    <w:rsid w:val="00E73324"/>
    <w:rsid w:val="00E73459"/>
    <w:rsid w:val="00E7345A"/>
    <w:rsid w:val="00E734EC"/>
    <w:rsid w:val="00E73527"/>
    <w:rsid w:val="00E7355B"/>
    <w:rsid w:val="00E735C4"/>
    <w:rsid w:val="00E735E6"/>
    <w:rsid w:val="00E73B1B"/>
    <w:rsid w:val="00E73E02"/>
    <w:rsid w:val="00E73F23"/>
    <w:rsid w:val="00E73F2D"/>
    <w:rsid w:val="00E74016"/>
    <w:rsid w:val="00E740BF"/>
    <w:rsid w:val="00E740E8"/>
    <w:rsid w:val="00E7426D"/>
    <w:rsid w:val="00E74313"/>
    <w:rsid w:val="00E74428"/>
    <w:rsid w:val="00E744AE"/>
    <w:rsid w:val="00E7471D"/>
    <w:rsid w:val="00E748D1"/>
    <w:rsid w:val="00E74923"/>
    <w:rsid w:val="00E74A08"/>
    <w:rsid w:val="00E74A8A"/>
    <w:rsid w:val="00E74CED"/>
    <w:rsid w:val="00E74D0C"/>
    <w:rsid w:val="00E74D18"/>
    <w:rsid w:val="00E74F0A"/>
    <w:rsid w:val="00E74FB5"/>
    <w:rsid w:val="00E7502B"/>
    <w:rsid w:val="00E7506D"/>
    <w:rsid w:val="00E75416"/>
    <w:rsid w:val="00E754C5"/>
    <w:rsid w:val="00E7556D"/>
    <w:rsid w:val="00E755F9"/>
    <w:rsid w:val="00E757DC"/>
    <w:rsid w:val="00E7581C"/>
    <w:rsid w:val="00E75B75"/>
    <w:rsid w:val="00E75BB4"/>
    <w:rsid w:val="00E760A4"/>
    <w:rsid w:val="00E7659D"/>
    <w:rsid w:val="00E765E3"/>
    <w:rsid w:val="00E768A3"/>
    <w:rsid w:val="00E769A9"/>
    <w:rsid w:val="00E76A24"/>
    <w:rsid w:val="00E76BBE"/>
    <w:rsid w:val="00E76BD5"/>
    <w:rsid w:val="00E76C09"/>
    <w:rsid w:val="00E77043"/>
    <w:rsid w:val="00E771EC"/>
    <w:rsid w:val="00E77293"/>
    <w:rsid w:val="00E772AF"/>
    <w:rsid w:val="00E77385"/>
    <w:rsid w:val="00E773D2"/>
    <w:rsid w:val="00E774E0"/>
    <w:rsid w:val="00E7759F"/>
    <w:rsid w:val="00E776A6"/>
    <w:rsid w:val="00E7790B"/>
    <w:rsid w:val="00E77A30"/>
    <w:rsid w:val="00E77A96"/>
    <w:rsid w:val="00E77A9B"/>
    <w:rsid w:val="00E77B13"/>
    <w:rsid w:val="00E77B69"/>
    <w:rsid w:val="00E77B74"/>
    <w:rsid w:val="00E77E59"/>
    <w:rsid w:val="00E77F50"/>
    <w:rsid w:val="00E80073"/>
    <w:rsid w:val="00E8014C"/>
    <w:rsid w:val="00E802B3"/>
    <w:rsid w:val="00E8035A"/>
    <w:rsid w:val="00E803FE"/>
    <w:rsid w:val="00E8044A"/>
    <w:rsid w:val="00E80752"/>
    <w:rsid w:val="00E808A1"/>
    <w:rsid w:val="00E809A5"/>
    <w:rsid w:val="00E809D1"/>
    <w:rsid w:val="00E809EE"/>
    <w:rsid w:val="00E80A58"/>
    <w:rsid w:val="00E80B21"/>
    <w:rsid w:val="00E812D3"/>
    <w:rsid w:val="00E812ED"/>
    <w:rsid w:val="00E8134E"/>
    <w:rsid w:val="00E81514"/>
    <w:rsid w:val="00E816BE"/>
    <w:rsid w:val="00E81720"/>
    <w:rsid w:val="00E81744"/>
    <w:rsid w:val="00E81840"/>
    <w:rsid w:val="00E81955"/>
    <w:rsid w:val="00E81EDF"/>
    <w:rsid w:val="00E82042"/>
    <w:rsid w:val="00E820D9"/>
    <w:rsid w:val="00E8222E"/>
    <w:rsid w:val="00E82328"/>
    <w:rsid w:val="00E82480"/>
    <w:rsid w:val="00E8268F"/>
    <w:rsid w:val="00E826AC"/>
    <w:rsid w:val="00E827BA"/>
    <w:rsid w:val="00E82840"/>
    <w:rsid w:val="00E828FA"/>
    <w:rsid w:val="00E82955"/>
    <w:rsid w:val="00E82985"/>
    <w:rsid w:val="00E829A7"/>
    <w:rsid w:val="00E82ABF"/>
    <w:rsid w:val="00E82AFD"/>
    <w:rsid w:val="00E82B1C"/>
    <w:rsid w:val="00E82B26"/>
    <w:rsid w:val="00E82CB8"/>
    <w:rsid w:val="00E82F40"/>
    <w:rsid w:val="00E83295"/>
    <w:rsid w:val="00E832D0"/>
    <w:rsid w:val="00E832F6"/>
    <w:rsid w:val="00E83323"/>
    <w:rsid w:val="00E83704"/>
    <w:rsid w:val="00E83A1E"/>
    <w:rsid w:val="00E83A7A"/>
    <w:rsid w:val="00E83BC5"/>
    <w:rsid w:val="00E83C5C"/>
    <w:rsid w:val="00E83D88"/>
    <w:rsid w:val="00E83F42"/>
    <w:rsid w:val="00E83FD7"/>
    <w:rsid w:val="00E8401F"/>
    <w:rsid w:val="00E840D1"/>
    <w:rsid w:val="00E840DC"/>
    <w:rsid w:val="00E84220"/>
    <w:rsid w:val="00E842A8"/>
    <w:rsid w:val="00E846CA"/>
    <w:rsid w:val="00E847B8"/>
    <w:rsid w:val="00E847BB"/>
    <w:rsid w:val="00E847E3"/>
    <w:rsid w:val="00E84A43"/>
    <w:rsid w:val="00E84AB2"/>
    <w:rsid w:val="00E84AF3"/>
    <w:rsid w:val="00E84B2C"/>
    <w:rsid w:val="00E84B5F"/>
    <w:rsid w:val="00E84C9B"/>
    <w:rsid w:val="00E84D8F"/>
    <w:rsid w:val="00E84F0D"/>
    <w:rsid w:val="00E84FD3"/>
    <w:rsid w:val="00E85293"/>
    <w:rsid w:val="00E853DF"/>
    <w:rsid w:val="00E8548C"/>
    <w:rsid w:val="00E8556C"/>
    <w:rsid w:val="00E8559B"/>
    <w:rsid w:val="00E858A7"/>
    <w:rsid w:val="00E85CB3"/>
    <w:rsid w:val="00E85D5F"/>
    <w:rsid w:val="00E85EBC"/>
    <w:rsid w:val="00E86240"/>
    <w:rsid w:val="00E863CA"/>
    <w:rsid w:val="00E864EB"/>
    <w:rsid w:val="00E8667D"/>
    <w:rsid w:val="00E8678D"/>
    <w:rsid w:val="00E867E5"/>
    <w:rsid w:val="00E86AC4"/>
    <w:rsid w:val="00E8728E"/>
    <w:rsid w:val="00E87654"/>
    <w:rsid w:val="00E8767D"/>
    <w:rsid w:val="00E87A21"/>
    <w:rsid w:val="00E87AE3"/>
    <w:rsid w:val="00E87B24"/>
    <w:rsid w:val="00E87C54"/>
    <w:rsid w:val="00E87DA3"/>
    <w:rsid w:val="00E87E8B"/>
    <w:rsid w:val="00E90271"/>
    <w:rsid w:val="00E90334"/>
    <w:rsid w:val="00E90366"/>
    <w:rsid w:val="00E90385"/>
    <w:rsid w:val="00E904AF"/>
    <w:rsid w:val="00E90C0C"/>
    <w:rsid w:val="00E90C74"/>
    <w:rsid w:val="00E90CD3"/>
    <w:rsid w:val="00E90E43"/>
    <w:rsid w:val="00E90F20"/>
    <w:rsid w:val="00E91180"/>
    <w:rsid w:val="00E91184"/>
    <w:rsid w:val="00E91397"/>
    <w:rsid w:val="00E913D6"/>
    <w:rsid w:val="00E9147D"/>
    <w:rsid w:val="00E9149A"/>
    <w:rsid w:val="00E91729"/>
    <w:rsid w:val="00E919E2"/>
    <w:rsid w:val="00E91A0C"/>
    <w:rsid w:val="00E91B56"/>
    <w:rsid w:val="00E91B9F"/>
    <w:rsid w:val="00E91CD2"/>
    <w:rsid w:val="00E920AE"/>
    <w:rsid w:val="00E920B2"/>
    <w:rsid w:val="00E9213A"/>
    <w:rsid w:val="00E9223E"/>
    <w:rsid w:val="00E9225C"/>
    <w:rsid w:val="00E92318"/>
    <w:rsid w:val="00E9236A"/>
    <w:rsid w:val="00E9247C"/>
    <w:rsid w:val="00E92849"/>
    <w:rsid w:val="00E92855"/>
    <w:rsid w:val="00E92BF7"/>
    <w:rsid w:val="00E92CDB"/>
    <w:rsid w:val="00E92D28"/>
    <w:rsid w:val="00E92D70"/>
    <w:rsid w:val="00E930E8"/>
    <w:rsid w:val="00E9316C"/>
    <w:rsid w:val="00E932CE"/>
    <w:rsid w:val="00E93529"/>
    <w:rsid w:val="00E937A6"/>
    <w:rsid w:val="00E93877"/>
    <w:rsid w:val="00E9395A"/>
    <w:rsid w:val="00E939AA"/>
    <w:rsid w:val="00E93D5F"/>
    <w:rsid w:val="00E93E1C"/>
    <w:rsid w:val="00E93E63"/>
    <w:rsid w:val="00E93F0F"/>
    <w:rsid w:val="00E94141"/>
    <w:rsid w:val="00E9422D"/>
    <w:rsid w:val="00E942C9"/>
    <w:rsid w:val="00E94667"/>
    <w:rsid w:val="00E946C7"/>
    <w:rsid w:val="00E94867"/>
    <w:rsid w:val="00E948E9"/>
    <w:rsid w:val="00E94B1E"/>
    <w:rsid w:val="00E94B8E"/>
    <w:rsid w:val="00E94CE4"/>
    <w:rsid w:val="00E94D28"/>
    <w:rsid w:val="00E94E92"/>
    <w:rsid w:val="00E94FF4"/>
    <w:rsid w:val="00E95423"/>
    <w:rsid w:val="00E954AF"/>
    <w:rsid w:val="00E9552B"/>
    <w:rsid w:val="00E95586"/>
    <w:rsid w:val="00E955A8"/>
    <w:rsid w:val="00E95748"/>
    <w:rsid w:val="00E9574D"/>
    <w:rsid w:val="00E9592B"/>
    <w:rsid w:val="00E95A90"/>
    <w:rsid w:val="00E95F02"/>
    <w:rsid w:val="00E95FA5"/>
    <w:rsid w:val="00E9628A"/>
    <w:rsid w:val="00E962BB"/>
    <w:rsid w:val="00E965B9"/>
    <w:rsid w:val="00E96664"/>
    <w:rsid w:val="00E96924"/>
    <w:rsid w:val="00E969E8"/>
    <w:rsid w:val="00E96C55"/>
    <w:rsid w:val="00E96F00"/>
    <w:rsid w:val="00E971D9"/>
    <w:rsid w:val="00E97245"/>
    <w:rsid w:val="00E97376"/>
    <w:rsid w:val="00E97412"/>
    <w:rsid w:val="00E97478"/>
    <w:rsid w:val="00E9763C"/>
    <w:rsid w:val="00E977BC"/>
    <w:rsid w:val="00E97807"/>
    <w:rsid w:val="00E97887"/>
    <w:rsid w:val="00E97964"/>
    <w:rsid w:val="00E97AB2"/>
    <w:rsid w:val="00E97AD8"/>
    <w:rsid w:val="00E97B09"/>
    <w:rsid w:val="00E97B0B"/>
    <w:rsid w:val="00E97D4E"/>
    <w:rsid w:val="00E97F97"/>
    <w:rsid w:val="00EA0264"/>
    <w:rsid w:val="00EA03DA"/>
    <w:rsid w:val="00EA058D"/>
    <w:rsid w:val="00EA05A8"/>
    <w:rsid w:val="00EA0730"/>
    <w:rsid w:val="00EA078B"/>
    <w:rsid w:val="00EA07F2"/>
    <w:rsid w:val="00EA0B69"/>
    <w:rsid w:val="00EA0DBD"/>
    <w:rsid w:val="00EA0DEF"/>
    <w:rsid w:val="00EA10A1"/>
    <w:rsid w:val="00EA10CE"/>
    <w:rsid w:val="00EA1888"/>
    <w:rsid w:val="00EA1B22"/>
    <w:rsid w:val="00EA1C94"/>
    <w:rsid w:val="00EA274D"/>
    <w:rsid w:val="00EA2806"/>
    <w:rsid w:val="00EA2939"/>
    <w:rsid w:val="00EA2951"/>
    <w:rsid w:val="00EA2BBE"/>
    <w:rsid w:val="00EA2C7A"/>
    <w:rsid w:val="00EA2E47"/>
    <w:rsid w:val="00EA2E5D"/>
    <w:rsid w:val="00EA2E9F"/>
    <w:rsid w:val="00EA2F36"/>
    <w:rsid w:val="00EA3343"/>
    <w:rsid w:val="00EA339E"/>
    <w:rsid w:val="00EA35E6"/>
    <w:rsid w:val="00EA3621"/>
    <w:rsid w:val="00EA3778"/>
    <w:rsid w:val="00EA3B58"/>
    <w:rsid w:val="00EA3C47"/>
    <w:rsid w:val="00EA3F7E"/>
    <w:rsid w:val="00EA405E"/>
    <w:rsid w:val="00EA422E"/>
    <w:rsid w:val="00EA445B"/>
    <w:rsid w:val="00EA460B"/>
    <w:rsid w:val="00EA479B"/>
    <w:rsid w:val="00EA47C3"/>
    <w:rsid w:val="00EA4867"/>
    <w:rsid w:val="00EA48D8"/>
    <w:rsid w:val="00EA48ED"/>
    <w:rsid w:val="00EA4A14"/>
    <w:rsid w:val="00EA4AA0"/>
    <w:rsid w:val="00EA4C89"/>
    <w:rsid w:val="00EA4CDB"/>
    <w:rsid w:val="00EA4E0D"/>
    <w:rsid w:val="00EA4E72"/>
    <w:rsid w:val="00EA5016"/>
    <w:rsid w:val="00EA5043"/>
    <w:rsid w:val="00EA5244"/>
    <w:rsid w:val="00EA5248"/>
    <w:rsid w:val="00EA5259"/>
    <w:rsid w:val="00EA5292"/>
    <w:rsid w:val="00EA54DC"/>
    <w:rsid w:val="00EA564C"/>
    <w:rsid w:val="00EA56D2"/>
    <w:rsid w:val="00EA56FC"/>
    <w:rsid w:val="00EA5734"/>
    <w:rsid w:val="00EA5A05"/>
    <w:rsid w:val="00EA5A74"/>
    <w:rsid w:val="00EA5B63"/>
    <w:rsid w:val="00EA5CB9"/>
    <w:rsid w:val="00EA5DBF"/>
    <w:rsid w:val="00EA5F19"/>
    <w:rsid w:val="00EA6023"/>
    <w:rsid w:val="00EA60BB"/>
    <w:rsid w:val="00EA6135"/>
    <w:rsid w:val="00EA6168"/>
    <w:rsid w:val="00EA62DB"/>
    <w:rsid w:val="00EA6506"/>
    <w:rsid w:val="00EA6800"/>
    <w:rsid w:val="00EA6A00"/>
    <w:rsid w:val="00EA6B1E"/>
    <w:rsid w:val="00EA6CFC"/>
    <w:rsid w:val="00EA6D2A"/>
    <w:rsid w:val="00EA6E5E"/>
    <w:rsid w:val="00EA7042"/>
    <w:rsid w:val="00EA7270"/>
    <w:rsid w:val="00EA73EC"/>
    <w:rsid w:val="00EA749A"/>
    <w:rsid w:val="00EA7549"/>
    <w:rsid w:val="00EA769B"/>
    <w:rsid w:val="00EA77F6"/>
    <w:rsid w:val="00EA7851"/>
    <w:rsid w:val="00EA7C7A"/>
    <w:rsid w:val="00EA7E7A"/>
    <w:rsid w:val="00EA7ECB"/>
    <w:rsid w:val="00EB01EE"/>
    <w:rsid w:val="00EB028C"/>
    <w:rsid w:val="00EB02B2"/>
    <w:rsid w:val="00EB02C8"/>
    <w:rsid w:val="00EB043A"/>
    <w:rsid w:val="00EB05DD"/>
    <w:rsid w:val="00EB0631"/>
    <w:rsid w:val="00EB0823"/>
    <w:rsid w:val="00EB13CF"/>
    <w:rsid w:val="00EB14BA"/>
    <w:rsid w:val="00EB1552"/>
    <w:rsid w:val="00EB1647"/>
    <w:rsid w:val="00EB17FD"/>
    <w:rsid w:val="00EB1944"/>
    <w:rsid w:val="00EB1A3D"/>
    <w:rsid w:val="00EB1B4D"/>
    <w:rsid w:val="00EB1B8E"/>
    <w:rsid w:val="00EB1CE8"/>
    <w:rsid w:val="00EB1D37"/>
    <w:rsid w:val="00EB1DC1"/>
    <w:rsid w:val="00EB1DF8"/>
    <w:rsid w:val="00EB1FBA"/>
    <w:rsid w:val="00EB2027"/>
    <w:rsid w:val="00EB2315"/>
    <w:rsid w:val="00EB247E"/>
    <w:rsid w:val="00EB24F8"/>
    <w:rsid w:val="00EB2519"/>
    <w:rsid w:val="00EB2821"/>
    <w:rsid w:val="00EB2855"/>
    <w:rsid w:val="00EB2A0D"/>
    <w:rsid w:val="00EB2BB4"/>
    <w:rsid w:val="00EB2BF3"/>
    <w:rsid w:val="00EB2C82"/>
    <w:rsid w:val="00EB2DD9"/>
    <w:rsid w:val="00EB2E2F"/>
    <w:rsid w:val="00EB2FE0"/>
    <w:rsid w:val="00EB2FE7"/>
    <w:rsid w:val="00EB33DC"/>
    <w:rsid w:val="00EB33F3"/>
    <w:rsid w:val="00EB36E8"/>
    <w:rsid w:val="00EB36F7"/>
    <w:rsid w:val="00EB37DF"/>
    <w:rsid w:val="00EB3A22"/>
    <w:rsid w:val="00EB3C43"/>
    <w:rsid w:val="00EB3CA9"/>
    <w:rsid w:val="00EB4095"/>
    <w:rsid w:val="00EB4199"/>
    <w:rsid w:val="00EB448A"/>
    <w:rsid w:val="00EB44F9"/>
    <w:rsid w:val="00EB4625"/>
    <w:rsid w:val="00EB472F"/>
    <w:rsid w:val="00EB48C3"/>
    <w:rsid w:val="00EB49E0"/>
    <w:rsid w:val="00EB4A69"/>
    <w:rsid w:val="00EB4B5A"/>
    <w:rsid w:val="00EB4C1B"/>
    <w:rsid w:val="00EB4D8D"/>
    <w:rsid w:val="00EB4D97"/>
    <w:rsid w:val="00EB4FB0"/>
    <w:rsid w:val="00EB4FB2"/>
    <w:rsid w:val="00EB5062"/>
    <w:rsid w:val="00EB5125"/>
    <w:rsid w:val="00EB52C1"/>
    <w:rsid w:val="00EB5551"/>
    <w:rsid w:val="00EB55E3"/>
    <w:rsid w:val="00EB587F"/>
    <w:rsid w:val="00EB59C5"/>
    <w:rsid w:val="00EB5A6F"/>
    <w:rsid w:val="00EB5AD6"/>
    <w:rsid w:val="00EB5B66"/>
    <w:rsid w:val="00EB5E79"/>
    <w:rsid w:val="00EB5EFF"/>
    <w:rsid w:val="00EB5F6B"/>
    <w:rsid w:val="00EB6138"/>
    <w:rsid w:val="00EB613F"/>
    <w:rsid w:val="00EB61C6"/>
    <w:rsid w:val="00EB6872"/>
    <w:rsid w:val="00EB6CE6"/>
    <w:rsid w:val="00EB6CF7"/>
    <w:rsid w:val="00EB6DE5"/>
    <w:rsid w:val="00EB6F6C"/>
    <w:rsid w:val="00EB6FE6"/>
    <w:rsid w:val="00EB7235"/>
    <w:rsid w:val="00EB72CC"/>
    <w:rsid w:val="00EB7419"/>
    <w:rsid w:val="00EB75B8"/>
    <w:rsid w:val="00EB776E"/>
    <w:rsid w:val="00EB77BC"/>
    <w:rsid w:val="00EB78AA"/>
    <w:rsid w:val="00EB7A15"/>
    <w:rsid w:val="00EB7BFC"/>
    <w:rsid w:val="00EB7C5A"/>
    <w:rsid w:val="00EB7CCC"/>
    <w:rsid w:val="00EB7DF2"/>
    <w:rsid w:val="00EB7F3B"/>
    <w:rsid w:val="00EC000D"/>
    <w:rsid w:val="00EC0051"/>
    <w:rsid w:val="00EC0063"/>
    <w:rsid w:val="00EC00D4"/>
    <w:rsid w:val="00EC0292"/>
    <w:rsid w:val="00EC035A"/>
    <w:rsid w:val="00EC039A"/>
    <w:rsid w:val="00EC0545"/>
    <w:rsid w:val="00EC06AF"/>
    <w:rsid w:val="00EC0729"/>
    <w:rsid w:val="00EC088B"/>
    <w:rsid w:val="00EC0C26"/>
    <w:rsid w:val="00EC0C5B"/>
    <w:rsid w:val="00EC0C6B"/>
    <w:rsid w:val="00EC0D98"/>
    <w:rsid w:val="00EC0E63"/>
    <w:rsid w:val="00EC0EA9"/>
    <w:rsid w:val="00EC126D"/>
    <w:rsid w:val="00EC12A4"/>
    <w:rsid w:val="00EC1309"/>
    <w:rsid w:val="00EC1467"/>
    <w:rsid w:val="00EC1508"/>
    <w:rsid w:val="00EC16CD"/>
    <w:rsid w:val="00EC1983"/>
    <w:rsid w:val="00EC1B1B"/>
    <w:rsid w:val="00EC1B84"/>
    <w:rsid w:val="00EC1C06"/>
    <w:rsid w:val="00EC1C5C"/>
    <w:rsid w:val="00EC1CB4"/>
    <w:rsid w:val="00EC1D1C"/>
    <w:rsid w:val="00EC1DFF"/>
    <w:rsid w:val="00EC1FC5"/>
    <w:rsid w:val="00EC212C"/>
    <w:rsid w:val="00EC2240"/>
    <w:rsid w:val="00EC22C9"/>
    <w:rsid w:val="00EC233B"/>
    <w:rsid w:val="00EC2373"/>
    <w:rsid w:val="00EC247C"/>
    <w:rsid w:val="00EC2580"/>
    <w:rsid w:val="00EC2694"/>
    <w:rsid w:val="00EC289F"/>
    <w:rsid w:val="00EC297A"/>
    <w:rsid w:val="00EC29E4"/>
    <w:rsid w:val="00EC2A56"/>
    <w:rsid w:val="00EC2A6B"/>
    <w:rsid w:val="00EC2D2B"/>
    <w:rsid w:val="00EC2E72"/>
    <w:rsid w:val="00EC2FE2"/>
    <w:rsid w:val="00EC31A9"/>
    <w:rsid w:val="00EC34AE"/>
    <w:rsid w:val="00EC34B6"/>
    <w:rsid w:val="00EC350B"/>
    <w:rsid w:val="00EC3526"/>
    <w:rsid w:val="00EC3586"/>
    <w:rsid w:val="00EC35F6"/>
    <w:rsid w:val="00EC36B5"/>
    <w:rsid w:val="00EC3735"/>
    <w:rsid w:val="00EC374E"/>
    <w:rsid w:val="00EC3887"/>
    <w:rsid w:val="00EC38B1"/>
    <w:rsid w:val="00EC38D1"/>
    <w:rsid w:val="00EC3A1F"/>
    <w:rsid w:val="00EC3D10"/>
    <w:rsid w:val="00EC3D13"/>
    <w:rsid w:val="00EC3D3B"/>
    <w:rsid w:val="00EC3D9A"/>
    <w:rsid w:val="00EC3E58"/>
    <w:rsid w:val="00EC41C2"/>
    <w:rsid w:val="00EC473A"/>
    <w:rsid w:val="00EC489A"/>
    <w:rsid w:val="00EC49FC"/>
    <w:rsid w:val="00EC4A54"/>
    <w:rsid w:val="00EC4AC1"/>
    <w:rsid w:val="00EC4AC9"/>
    <w:rsid w:val="00EC4BA5"/>
    <w:rsid w:val="00EC4C6F"/>
    <w:rsid w:val="00EC4D57"/>
    <w:rsid w:val="00EC5092"/>
    <w:rsid w:val="00EC5161"/>
    <w:rsid w:val="00EC5252"/>
    <w:rsid w:val="00EC53D8"/>
    <w:rsid w:val="00EC5424"/>
    <w:rsid w:val="00EC59A2"/>
    <w:rsid w:val="00EC5EAE"/>
    <w:rsid w:val="00EC60A8"/>
    <w:rsid w:val="00EC6152"/>
    <w:rsid w:val="00EC6269"/>
    <w:rsid w:val="00EC64E2"/>
    <w:rsid w:val="00EC65F1"/>
    <w:rsid w:val="00EC67AF"/>
    <w:rsid w:val="00EC68CF"/>
    <w:rsid w:val="00EC6B46"/>
    <w:rsid w:val="00EC6E3A"/>
    <w:rsid w:val="00EC6F5C"/>
    <w:rsid w:val="00EC7009"/>
    <w:rsid w:val="00EC7068"/>
    <w:rsid w:val="00EC7263"/>
    <w:rsid w:val="00EC73A7"/>
    <w:rsid w:val="00EC7826"/>
    <w:rsid w:val="00EC7944"/>
    <w:rsid w:val="00EC7A2C"/>
    <w:rsid w:val="00EC7CE8"/>
    <w:rsid w:val="00EC7D58"/>
    <w:rsid w:val="00EC7D6B"/>
    <w:rsid w:val="00ED0006"/>
    <w:rsid w:val="00ED008D"/>
    <w:rsid w:val="00ED0330"/>
    <w:rsid w:val="00ED03E5"/>
    <w:rsid w:val="00ED0589"/>
    <w:rsid w:val="00ED05D6"/>
    <w:rsid w:val="00ED05F0"/>
    <w:rsid w:val="00ED07BF"/>
    <w:rsid w:val="00ED086D"/>
    <w:rsid w:val="00ED0BB7"/>
    <w:rsid w:val="00ED11E6"/>
    <w:rsid w:val="00ED11ED"/>
    <w:rsid w:val="00ED1367"/>
    <w:rsid w:val="00ED1622"/>
    <w:rsid w:val="00ED1623"/>
    <w:rsid w:val="00ED1631"/>
    <w:rsid w:val="00ED16F3"/>
    <w:rsid w:val="00ED1A08"/>
    <w:rsid w:val="00ED1B07"/>
    <w:rsid w:val="00ED1BB2"/>
    <w:rsid w:val="00ED1BCB"/>
    <w:rsid w:val="00ED1CD1"/>
    <w:rsid w:val="00ED1E41"/>
    <w:rsid w:val="00ED1E44"/>
    <w:rsid w:val="00ED1FF5"/>
    <w:rsid w:val="00ED21B0"/>
    <w:rsid w:val="00ED22E4"/>
    <w:rsid w:val="00ED2346"/>
    <w:rsid w:val="00ED2449"/>
    <w:rsid w:val="00ED24E2"/>
    <w:rsid w:val="00ED2553"/>
    <w:rsid w:val="00ED25F0"/>
    <w:rsid w:val="00ED25FC"/>
    <w:rsid w:val="00ED2BE5"/>
    <w:rsid w:val="00ED2C3D"/>
    <w:rsid w:val="00ED2F3F"/>
    <w:rsid w:val="00ED2F47"/>
    <w:rsid w:val="00ED30D9"/>
    <w:rsid w:val="00ED32DB"/>
    <w:rsid w:val="00ED369D"/>
    <w:rsid w:val="00ED36DD"/>
    <w:rsid w:val="00ED385B"/>
    <w:rsid w:val="00ED38AB"/>
    <w:rsid w:val="00ED3AD6"/>
    <w:rsid w:val="00ED3B84"/>
    <w:rsid w:val="00ED3C25"/>
    <w:rsid w:val="00ED3E51"/>
    <w:rsid w:val="00ED3E63"/>
    <w:rsid w:val="00ED4207"/>
    <w:rsid w:val="00ED42E1"/>
    <w:rsid w:val="00ED44D9"/>
    <w:rsid w:val="00ED4589"/>
    <w:rsid w:val="00ED4612"/>
    <w:rsid w:val="00ED46DB"/>
    <w:rsid w:val="00ED48BE"/>
    <w:rsid w:val="00ED498E"/>
    <w:rsid w:val="00ED4BE4"/>
    <w:rsid w:val="00ED4EC0"/>
    <w:rsid w:val="00ED4F66"/>
    <w:rsid w:val="00ED4FAA"/>
    <w:rsid w:val="00ED5040"/>
    <w:rsid w:val="00ED50B1"/>
    <w:rsid w:val="00ED5172"/>
    <w:rsid w:val="00ED540A"/>
    <w:rsid w:val="00ED551D"/>
    <w:rsid w:val="00ED58AB"/>
    <w:rsid w:val="00ED5997"/>
    <w:rsid w:val="00ED5A67"/>
    <w:rsid w:val="00ED5BBE"/>
    <w:rsid w:val="00ED5EAC"/>
    <w:rsid w:val="00ED619E"/>
    <w:rsid w:val="00ED62EF"/>
    <w:rsid w:val="00ED6311"/>
    <w:rsid w:val="00ED6494"/>
    <w:rsid w:val="00ED681D"/>
    <w:rsid w:val="00ED6911"/>
    <w:rsid w:val="00ED6CAA"/>
    <w:rsid w:val="00ED6D37"/>
    <w:rsid w:val="00ED6F32"/>
    <w:rsid w:val="00ED70A3"/>
    <w:rsid w:val="00ED70C0"/>
    <w:rsid w:val="00ED7153"/>
    <w:rsid w:val="00ED7173"/>
    <w:rsid w:val="00ED72EF"/>
    <w:rsid w:val="00ED73B0"/>
    <w:rsid w:val="00ED73C4"/>
    <w:rsid w:val="00ED7421"/>
    <w:rsid w:val="00ED7489"/>
    <w:rsid w:val="00ED77EC"/>
    <w:rsid w:val="00ED795A"/>
    <w:rsid w:val="00ED79D2"/>
    <w:rsid w:val="00ED7B12"/>
    <w:rsid w:val="00ED7C41"/>
    <w:rsid w:val="00ED7C81"/>
    <w:rsid w:val="00ED7D12"/>
    <w:rsid w:val="00ED7D76"/>
    <w:rsid w:val="00ED7D77"/>
    <w:rsid w:val="00ED7FAF"/>
    <w:rsid w:val="00EE01B9"/>
    <w:rsid w:val="00EE01C3"/>
    <w:rsid w:val="00EE03A1"/>
    <w:rsid w:val="00EE0434"/>
    <w:rsid w:val="00EE0436"/>
    <w:rsid w:val="00EE0A43"/>
    <w:rsid w:val="00EE0AFC"/>
    <w:rsid w:val="00EE0B28"/>
    <w:rsid w:val="00EE1067"/>
    <w:rsid w:val="00EE123E"/>
    <w:rsid w:val="00EE15F6"/>
    <w:rsid w:val="00EE174D"/>
    <w:rsid w:val="00EE18C9"/>
    <w:rsid w:val="00EE19F0"/>
    <w:rsid w:val="00EE1EC5"/>
    <w:rsid w:val="00EE1F91"/>
    <w:rsid w:val="00EE2004"/>
    <w:rsid w:val="00EE2049"/>
    <w:rsid w:val="00EE222A"/>
    <w:rsid w:val="00EE227B"/>
    <w:rsid w:val="00EE25E9"/>
    <w:rsid w:val="00EE2603"/>
    <w:rsid w:val="00EE26BF"/>
    <w:rsid w:val="00EE28EA"/>
    <w:rsid w:val="00EE2BAD"/>
    <w:rsid w:val="00EE2CD0"/>
    <w:rsid w:val="00EE2E37"/>
    <w:rsid w:val="00EE2E56"/>
    <w:rsid w:val="00EE2F53"/>
    <w:rsid w:val="00EE300A"/>
    <w:rsid w:val="00EE32C6"/>
    <w:rsid w:val="00EE3367"/>
    <w:rsid w:val="00EE33C0"/>
    <w:rsid w:val="00EE3613"/>
    <w:rsid w:val="00EE36F8"/>
    <w:rsid w:val="00EE37FD"/>
    <w:rsid w:val="00EE3ABC"/>
    <w:rsid w:val="00EE3B9E"/>
    <w:rsid w:val="00EE3BE1"/>
    <w:rsid w:val="00EE3C5B"/>
    <w:rsid w:val="00EE3CAB"/>
    <w:rsid w:val="00EE3D92"/>
    <w:rsid w:val="00EE3DC1"/>
    <w:rsid w:val="00EE3E29"/>
    <w:rsid w:val="00EE3F23"/>
    <w:rsid w:val="00EE3F2F"/>
    <w:rsid w:val="00EE3FF1"/>
    <w:rsid w:val="00EE416E"/>
    <w:rsid w:val="00EE4205"/>
    <w:rsid w:val="00EE4392"/>
    <w:rsid w:val="00EE4682"/>
    <w:rsid w:val="00EE46C8"/>
    <w:rsid w:val="00EE498D"/>
    <w:rsid w:val="00EE4C04"/>
    <w:rsid w:val="00EE4C48"/>
    <w:rsid w:val="00EE4C69"/>
    <w:rsid w:val="00EE4D32"/>
    <w:rsid w:val="00EE51AB"/>
    <w:rsid w:val="00EE5260"/>
    <w:rsid w:val="00EE53A3"/>
    <w:rsid w:val="00EE5412"/>
    <w:rsid w:val="00EE5437"/>
    <w:rsid w:val="00EE5440"/>
    <w:rsid w:val="00EE5608"/>
    <w:rsid w:val="00EE5759"/>
    <w:rsid w:val="00EE58C2"/>
    <w:rsid w:val="00EE5D83"/>
    <w:rsid w:val="00EE5FDD"/>
    <w:rsid w:val="00EE625F"/>
    <w:rsid w:val="00EE62E7"/>
    <w:rsid w:val="00EE64B9"/>
    <w:rsid w:val="00EE64C2"/>
    <w:rsid w:val="00EE64CD"/>
    <w:rsid w:val="00EE64FC"/>
    <w:rsid w:val="00EE654C"/>
    <w:rsid w:val="00EE6778"/>
    <w:rsid w:val="00EE68D8"/>
    <w:rsid w:val="00EE695A"/>
    <w:rsid w:val="00EE6A81"/>
    <w:rsid w:val="00EE6C67"/>
    <w:rsid w:val="00EE6C88"/>
    <w:rsid w:val="00EE6D7F"/>
    <w:rsid w:val="00EE6E6C"/>
    <w:rsid w:val="00EE6F1A"/>
    <w:rsid w:val="00EE70D9"/>
    <w:rsid w:val="00EE74F9"/>
    <w:rsid w:val="00EE75EA"/>
    <w:rsid w:val="00EE7796"/>
    <w:rsid w:val="00EE7A04"/>
    <w:rsid w:val="00EE7A8B"/>
    <w:rsid w:val="00EE7B12"/>
    <w:rsid w:val="00EE7B28"/>
    <w:rsid w:val="00EE7C6C"/>
    <w:rsid w:val="00EE7CBB"/>
    <w:rsid w:val="00EE7D2E"/>
    <w:rsid w:val="00EE7F53"/>
    <w:rsid w:val="00EF0038"/>
    <w:rsid w:val="00EF03B1"/>
    <w:rsid w:val="00EF0427"/>
    <w:rsid w:val="00EF048D"/>
    <w:rsid w:val="00EF0586"/>
    <w:rsid w:val="00EF06BF"/>
    <w:rsid w:val="00EF06D2"/>
    <w:rsid w:val="00EF0723"/>
    <w:rsid w:val="00EF0747"/>
    <w:rsid w:val="00EF0768"/>
    <w:rsid w:val="00EF086A"/>
    <w:rsid w:val="00EF0872"/>
    <w:rsid w:val="00EF0961"/>
    <w:rsid w:val="00EF0966"/>
    <w:rsid w:val="00EF0A0C"/>
    <w:rsid w:val="00EF0E46"/>
    <w:rsid w:val="00EF0F05"/>
    <w:rsid w:val="00EF11EE"/>
    <w:rsid w:val="00EF1980"/>
    <w:rsid w:val="00EF1A1F"/>
    <w:rsid w:val="00EF1B3C"/>
    <w:rsid w:val="00EF1B9B"/>
    <w:rsid w:val="00EF1C82"/>
    <w:rsid w:val="00EF1EBC"/>
    <w:rsid w:val="00EF1EDF"/>
    <w:rsid w:val="00EF1F6C"/>
    <w:rsid w:val="00EF1F9C"/>
    <w:rsid w:val="00EF221D"/>
    <w:rsid w:val="00EF2419"/>
    <w:rsid w:val="00EF24C3"/>
    <w:rsid w:val="00EF255C"/>
    <w:rsid w:val="00EF25A9"/>
    <w:rsid w:val="00EF25EB"/>
    <w:rsid w:val="00EF2733"/>
    <w:rsid w:val="00EF28E4"/>
    <w:rsid w:val="00EF2997"/>
    <w:rsid w:val="00EF29FE"/>
    <w:rsid w:val="00EF2A53"/>
    <w:rsid w:val="00EF2AEB"/>
    <w:rsid w:val="00EF2B0F"/>
    <w:rsid w:val="00EF2C20"/>
    <w:rsid w:val="00EF2C2B"/>
    <w:rsid w:val="00EF2CAF"/>
    <w:rsid w:val="00EF2EF2"/>
    <w:rsid w:val="00EF2F3D"/>
    <w:rsid w:val="00EF3088"/>
    <w:rsid w:val="00EF3194"/>
    <w:rsid w:val="00EF32E6"/>
    <w:rsid w:val="00EF3306"/>
    <w:rsid w:val="00EF342B"/>
    <w:rsid w:val="00EF37CC"/>
    <w:rsid w:val="00EF37D3"/>
    <w:rsid w:val="00EF383E"/>
    <w:rsid w:val="00EF3AE2"/>
    <w:rsid w:val="00EF3C77"/>
    <w:rsid w:val="00EF402F"/>
    <w:rsid w:val="00EF40B0"/>
    <w:rsid w:val="00EF4218"/>
    <w:rsid w:val="00EF430C"/>
    <w:rsid w:val="00EF4478"/>
    <w:rsid w:val="00EF44E5"/>
    <w:rsid w:val="00EF450A"/>
    <w:rsid w:val="00EF48DB"/>
    <w:rsid w:val="00EF4B95"/>
    <w:rsid w:val="00EF4CDB"/>
    <w:rsid w:val="00EF4EE2"/>
    <w:rsid w:val="00EF4F9B"/>
    <w:rsid w:val="00EF505A"/>
    <w:rsid w:val="00EF54AD"/>
    <w:rsid w:val="00EF56F7"/>
    <w:rsid w:val="00EF5729"/>
    <w:rsid w:val="00EF587B"/>
    <w:rsid w:val="00EF5D10"/>
    <w:rsid w:val="00EF5D6C"/>
    <w:rsid w:val="00EF5DC0"/>
    <w:rsid w:val="00EF5E9E"/>
    <w:rsid w:val="00EF5F2D"/>
    <w:rsid w:val="00EF6114"/>
    <w:rsid w:val="00EF6312"/>
    <w:rsid w:val="00EF64AC"/>
    <w:rsid w:val="00EF64F5"/>
    <w:rsid w:val="00EF66B7"/>
    <w:rsid w:val="00EF688C"/>
    <w:rsid w:val="00EF695F"/>
    <w:rsid w:val="00EF6A64"/>
    <w:rsid w:val="00EF6A71"/>
    <w:rsid w:val="00EF6A7D"/>
    <w:rsid w:val="00EF6B15"/>
    <w:rsid w:val="00EF6B88"/>
    <w:rsid w:val="00EF6CC9"/>
    <w:rsid w:val="00EF6CF6"/>
    <w:rsid w:val="00EF6D5B"/>
    <w:rsid w:val="00EF6EC6"/>
    <w:rsid w:val="00EF6F2A"/>
    <w:rsid w:val="00EF6F8B"/>
    <w:rsid w:val="00EF6FBF"/>
    <w:rsid w:val="00EF7252"/>
    <w:rsid w:val="00EF747E"/>
    <w:rsid w:val="00EF7557"/>
    <w:rsid w:val="00EF7631"/>
    <w:rsid w:val="00EF782A"/>
    <w:rsid w:val="00EF79FB"/>
    <w:rsid w:val="00EF7A11"/>
    <w:rsid w:val="00EF7A2E"/>
    <w:rsid w:val="00EF7B41"/>
    <w:rsid w:val="00EF7C6D"/>
    <w:rsid w:val="00EF7ECF"/>
    <w:rsid w:val="00EF7F29"/>
    <w:rsid w:val="00EF7F4A"/>
    <w:rsid w:val="00EF7FA3"/>
    <w:rsid w:val="00F0003D"/>
    <w:rsid w:val="00F00079"/>
    <w:rsid w:val="00F00445"/>
    <w:rsid w:val="00F0055F"/>
    <w:rsid w:val="00F00681"/>
    <w:rsid w:val="00F007D5"/>
    <w:rsid w:val="00F0081A"/>
    <w:rsid w:val="00F00A3D"/>
    <w:rsid w:val="00F00E29"/>
    <w:rsid w:val="00F00F00"/>
    <w:rsid w:val="00F00F13"/>
    <w:rsid w:val="00F00F7D"/>
    <w:rsid w:val="00F0102C"/>
    <w:rsid w:val="00F01137"/>
    <w:rsid w:val="00F0138D"/>
    <w:rsid w:val="00F014A5"/>
    <w:rsid w:val="00F014F0"/>
    <w:rsid w:val="00F01547"/>
    <w:rsid w:val="00F015E4"/>
    <w:rsid w:val="00F01A42"/>
    <w:rsid w:val="00F01E96"/>
    <w:rsid w:val="00F01F65"/>
    <w:rsid w:val="00F01F6D"/>
    <w:rsid w:val="00F02195"/>
    <w:rsid w:val="00F02307"/>
    <w:rsid w:val="00F0232C"/>
    <w:rsid w:val="00F02400"/>
    <w:rsid w:val="00F02524"/>
    <w:rsid w:val="00F02755"/>
    <w:rsid w:val="00F0278D"/>
    <w:rsid w:val="00F02835"/>
    <w:rsid w:val="00F02867"/>
    <w:rsid w:val="00F02BD6"/>
    <w:rsid w:val="00F02E15"/>
    <w:rsid w:val="00F02EC7"/>
    <w:rsid w:val="00F02F7A"/>
    <w:rsid w:val="00F02FD4"/>
    <w:rsid w:val="00F03146"/>
    <w:rsid w:val="00F03270"/>
    <w:rsid w:val="00F033BB"/>
    <w:rsid w:val="00F033C5"/>
    <w:rsid w:val="00F034E6"/>
    <w:rsid w:val="00F035A9"/>
    <w:rsid w:val="00F0379A"/>
    <w:rsid w:val="00F03908"/>
    <w:rsid w:val="00F0395A"/>
    <w:rsid w:val="00F03B98"/>
    <w:rsid w:val="00F03BE0"/>
    <w:rsid w:val="00F03CA8"/>
    <w:rsid w:val="00F03D85"/>
    <w:rsid w:val="00F04051"/>
    <w:rsid w:val="00F04082"/>
    <w:rsid w:val="00F040E7"/>
    <w:rsid w:val="00F04203"/>
    <w:rsid w:val="00F042F8"/>
    <w:rsid w:val="00F04510"/>
    <w:rsid w:val="00F0458F"/>
    <w:rsid w:val="00F045C7"/>
    <w:rsid w:val="00F04870"/>
    <w:rsid w:val="00F04A58"/>
    <w:rsid w:val="00F04B97"/>
    <w:rsid w:val="00F04E91"/>
    <w:rsid w:val="00F05032"/>
    <w:rsid w:val="00F051DB"/>
    <w:rsid w:val="00F0523D"/>
    <w:rsid w:val="00F052FD"/>
    <w:rsid w:val="00F053C5"/>
    <w:rsid w:val="00F0547C"/>
    <w:rsid w:val="00F054A6"/>
    <w:rsid w:val="00F05646"/>
    <w:rsid w:val="00F05660"/>
    <w:rsid w:val="00F056BC"/>
    <w:rsid w:val="00F057D6"/>
    <w:rsid w:val="00F05866"/>
    <w:rsid w:val="00F0586F"/>
    <w:rsid w:val="00F05A2C"/>
    <w:rsid w:val="00F05F08"/>
    <w:rsid w:val="00F05FF2"/>
    <w:rsid w:val="00F06044"/>
    <w:rsid w:val="00F0628F"/>
    <w:rsid w:val="00F06305"/>
    <w:rsid w:val="00F06421"/>
    <w:rsid w:val="00F06664"/>
    <w:rsid w:val="00F067B8"/>
    <w:rsid w:val="00F0691F"/>
    <w:rsid w:val="00F06A7C"/>
    <w:rsid w:val="00F06B55"/>
    <w:rsid w:val="00F06DD9"/>
    <w:rsid w:val="00F06FAC"/>
    <w:rsid w:val="00F070D3"/>
    <w:rsid w:val="00F071E0"/>
    <w:rsid w:val="00F07259"/>
    <w:rsid w:val="00F0728C"/>
    <w:rsid w:val="00F07466"/>
    <w:rsid w:val="00F074A0"/>
    <w:rsid w:val="00F07962"/>
    <w:rsid w:val="00F07FEB"/>
    <w:rsid w:val="00F1018E"/>
    <w:rsid w:val="00F102AF"/>
    <w:rsid w:val="00F102FB"/>
    <w:rsid w:val="00F103A3"/>
    <w:rsid w:val="00F10492"/>
    <w:rsid w:val="00F10768"/>
    <w:rsid w:val="00F1078E"/>
    <w:rsid w:val="00F10A25"/>
    <w:rsid w:val="00F10CD6"/>
    <w:rsid w:val="00F10DD2"/>
    <w:rsid w:val="00F10F06"/>
    <w:rsid w:val="00F110D3"/>
    <w:rsid w:val="00F1111F"/>
    <w:rsid w:val="00F11198"/>
    <w:rsid w:val="00F1128E"/>
    <w:rsid w:val="00F1134A"/>
    <w:rsid w:val="00F11456"/>
    <w:rsid w:val="00F11502"/>
    <w:rsid w:val="00F1154D"/>
    <w:rsid w:val="00F115B2"/>
    <w:rsid w:val="00F118D6"/>
    <w:rsid w:val="00F119B4"/>
    <w:rsid w:val="00F11A56"/>
    <w:rsid w:val="00F11BD1"/>
    <w:rsid w:val="00F11C28"/>
    <w:rsid w:val="00F11C36"/>
    <w:rsid w:val="00F11CC9"/>
    <w:rsid w:val="00F11EC7"/>
    <w:rsid w:val="00F11FE1"/>
    <w:rsid w:val="00F1212A"/>
    <w:rsid w:val="00F122A1"/>
    <w:rsid w:val="00F123F5"/>
    <w:rsid w:val="00F1288A"/>
    <w:rsid w:val="00F12A17"/>
    <w:rsid w:val="00F12A60"/>
    <w:rsid w:val="00F12B5C"/>
    <w:rsid w:val="00F12D72"/>
    <w:rsid w:val="00F12ED4"/>
    <w:rsid w:val="00F12FE1"/>
    <w:rsid w:val="00F132D8"/>
    <w:rsid w:val="00F13355"/>
    <w:rsid w:val="00F134D3"/>
    <w:rsid w:val="00F1364B"/>
    <w:rsid w:val="00F1377D"/>
    <w:rsid w:val="00F1378E"/>
    <w:rsid w:val="00F1384F"/>
    <w:rsid w:val="00F13869"/>
    <w:rsid w:val="00F138CE"/>
    <w:rsid w:val="00F13B14"/>
    <w:rsid w:val="00F13B28"/>
    <w:rsid w:val="00F13B5D"/>
    <w:rsid w:val="00F13C1B"/>
    <w:rsid w:val="00F13E28"/>
    <w:rsid w:val="00F14019"/>
    <w:rsid w:val="00F14056"/>
    <w:rsid w:val="00F14088"/>
    <w:rsid w:val="00F142DC"/>
    <w:rsid w:val="00F14333"/>
    <w:rsid w:val="00F14433"/>
    <w:rsid w:val="00F1447D"/>
    <w:rsid w:val="00F144D3"/>
    <w:rsid w:val="00F1492D"/>
    <w:rsid w:val="00F149AB"/>
    <w:rsid w:val="00F14D5A"/>
    <w:rsid w:val="00F14EDB"/>
    <w:rsid w:val="00F14FC2"/>
    <w:rsid w:val="00F15045"/>
    <w:rsid w:val="00F15075"/>
    <w:rsid w:val="00F150DA"/>
    <w:rsid w:val="00F15138"/>
    <w:rsid w:val="00F15233"/>
    <w:rsid w:val="00F15566"/>
    <w:rsid w:val="00F15622"/>
    <w:rsid w:val="00F158B9"/>
    <w:rsid w:val="00F158C7"/>
    <w:rsid w:val="00F15C12"/>
    <w:rsid w:val="00F15C80"/>
    <w:rsid w:val="00F15F3B"/>
    <w:rsid w:val="00F15F6E"/>
    <w:rsid w:val="00F15F73"/>
    <w:rsid w:val="00F16053"/>
    <w:rsid w:val="00F16180"/>
    <w:rsid w:val="00F161C6"/>
    <w:rsid w:val="00F16200"/>
    <w:rsid w:val="00F162BF"/>
    <w:rsid w:val="00F164BC"/>
    <w:rsid w:val="00F164C4"/>
    <w:rsid w:val="00F169B8"/>
    <w:rsid w:val="00F16DBE"/>
    <w:rsid w:val="00F16DCE"/>
    <w:rsid w:val="00F16DD4"/>
    <w:rsid w:val="00F16E52"/>
    <w:rsid w:val="00F16E88"/>
    <w:rsid w:val="00F171AB"/>
    <w:rsid w:val="00F17248"/>
    <w:rsid w:val="00F1726F"/>
    <w:rsid w:val="00F172AF"/>
    <w:rsid w:val="00F172ED"/>
    <w:rsid w:val="00F1730A"/>
    <w:rsid w:val="00F173F2"/>
    <w:rsid w:val="00F17470"/>
    <w:rsid w:val="00F17510"/>
    <w:rsid w:val="00F175DC"/>
    <w:rsid w:val="00F17959"/>
    <w:rsid w:val="00F179B0"/>
    <w:rsid w:val="00F17BDE"/>
    <w:rsid w:val="00F17D2E"/>
    <w:rsid w:val="00F17EA2"/>
    <w:rsid w:val="00F200CD"/>
    <w:rsid w:val="00F2011D"/>
    <w:rsid w:val="00F20135"/>
    <w:rsid w:val="00F201BF"/>
    <w:rsid w:val="00F201E4"/>
    <w:rsid w:val="00F20207"/>
    <w:rsid w:val="00F203C6"/>
    <w:rsid w:val="00F2055A"/>
    <w:rsid w:val="00F2060D"/>
    <w:rsid w:val="00F20792"/>
    <w:rsid w:val="00F208B5"/>
    <w:rsid w:val="00F20A96"/>
    <w:rsid w:val="00F20AB8"/>
    <w:rsid w:val="00F20CDF"/>
    <w:rsid w:val="00F20F4B"/>
    <w:rsid w:val="00F2102E"/>
    <w:rsid w:val="00F2103A"/>
    <w:rsid w:val="00F21184"/>
    <w:rsid w:val="00F21286"/>
    <w:rsid w:val="00F212F5"/>
    <w:rsid w:val="00F21558"/>
    <w:rsid w:val="00F218D6"/>
    <w:rsid w:val="00F21A2C"/>
    <w:rsid w:val="00F21B10"/>
    <w:rsid w:val="00F21BE4"/>
    <w:rsid w:val="00F21C3F"/>
    <w:rsid w:val="00F21CAB"/>
    <w:rsid w:val="00F21D65"/>
    <w:rsid w:val="00F21D68"/>
    <w:rsid w:val="00F2205C"/>
    <w:rsid w:val="00F2247E"/>
    <w:rsid w:val="00F22512"/>
    <w:rsid w:val="00F22548"/>
    <w:rsid w:val="00F22560"/>
    <w:rsid w:val="00F225B8"/>
    <w:rsid w:val="00F227A0"/>
    <w:rsid w:val="00F227BD"/>
    <w:rsid w:val="00F229C1"/>
    <w:rsid w:val="00F229F7"/>
    <w:rsid w:val="00F22B79"/>
    <w:rsid w:val="00F22C03"/>
    <w:rsid w:val="00F23256"/>
    <w:rsid w:val="00F2354D"/>
    <w:rsid w:val="00F2358B"/>
    <w:rsid w:val="00F23664"/>
    <w:rsid w:val="00F236DF"/>
    <w:rsid w:val="00F2377F"/>
    <w:rsid w:val="00F238A8"/>
    <w:rsid w:val="00F23A36"/>
    <w:rsid w:val="00F23A6A"/>
    <w:rsid w:val="00F23B79"/>
    <w:rsid w:val="00F23C6D"/>
    <w:rsid w:val="00F23CF2"/>
    <w:rsid w:val="00F23D57"/>
    <w:rsid w:val="00F23F47"/>
    <w:rsid w:val="00F23F68"/>
    <w:rsid w:val="00F23FD9"/>
    <w:rsid w:val="00F241FF"/>
    <w:rsid w:val="00F242A5"/>
    <w:rsid w:val="00F242DB"/>
    <w:rsid w:val="00F2451B"/>
    <w:rsid w:val="00F2455C"/>
    <w:rsid w:val="00F24932"/>
    <w:rsid w:val="00F24958"/>
    <w:rsid w:val="00F249FB"/>
    <w:rsid w:val="00F24B6F"/>
    <w:rsid w:val="00F24BA5"/>
    <w:rsid w:val="00F24D7A"/>
    <w:rsid w:val="00F24F31"/>
    <w:rsid w:val="00F24F54"/>
    <w:rsid w:val="00F24FF5"/>
    <w:rsid w:val="00F25300"/>
    <w:rsid w:val="00F2533A"/>
    <w:rsid w:val="00F2536F"/>
    <w:rsid w:val="00F256A4"/>
    <w:rsid w:val="00F25767"/>
    <w:rsid w:val="00F257EA"/>
    <w:rsid w:val="00F25800"/>
    <w:rsid w:val="00F258C4"/>
    <w:rsid w:val="00F25D2D"/>
    <w:rsid w:val="00F25E38"/>
    <w:rsid w:val="00F2625F"/>
    <w:rsid w:val="00F262D9"/>
    <w:rsid w:val="00F26463"/>
    <w:rsid w:val="00F264AB"/>
    <w:rsid w:val="00F26526"/>
    <w:rsid w:val="00F2653F"/>
    <w:rsid w:val="00F26951"/>
    <w:rsid w:val="00F269F7"/>
    <w:rsid w:val="00F26D91"/>
    <w:rsid w:val="00F26E29"/>
    <w:rsid w:val="00F26EBF"/>
    <w:rsid w:val="00F26FA4"/>
    <w:rsid w:val="00F26FCA"/>
    <w:rsid w:val="00F27078"/>
    <w:rsid w:val="00F270A3"/>
    <w:rsid w:val="00F270CA"/>
    <w:rsid w:val="00F2713B"/>
    <w:rsid w:val="00F27291"/>
    <w:rsid w:val="00F27334"/>
    <w:rsid w:val="00F273F3"/>
    <w:rsid w:val="00F275CE"/>
    <w:rsid w:val="00F2765F"/>
    <w:rsid w:val="00F27927"/>
    <w:rsid w:val="00F279C5"/>
    <w:rsid w:val="00F279F3"/>
    <w:rsid w:val="00F27A8C"/>
    <w:rsid w:val="00F27B85"/>
    <w:rsid w:val="00F27B97"/>
    <w:rsid w:val="00F27D3B"/>
    <w:rsid w:val="00F27E29"/>
    <w:rsid w:val="00F27E85"/>
    <w:rsid w:val="00F3010A"/>
    <w:rsid w:val="00F3010E"/>
    <w:rsid w:val="00F30166"/>
    <w:rsid w:val="00F30184"/>
    <w:rsid w:val="00F302BD"/>
    <w:rsid w:val="00F30691"/>
    <w:rsid w:val="00F3096D"/>
    <w:rsid w:val="00F309D5"/>
    <w:rsid w:val="00F30A40"/>
    <w:rsid w:val="00F30B71"/>
    <w:rsid w:val="00F30C14"/>
    <w:rsid w:val="00F30C4B"/>
    <w:rsid w:val="00F30E93"/>
    <w:rsid w:val="00F30F13"/>
    <w:rsid w:val="00F30FBA"/>
    <w:rsid w:val="00F315A9"/>
    <w:rsid w:val="00F31617"/>
    <w:rsid w:val="00F318A9"/>
    <w:rsid w:val="00F31AF8"/>
    <w:rsid w:val="00F31D2D"/>
    <w:rsid w:val="00F32036"/>
    <w:rsid w:val="00F32096"/>
    <w:rsid w:val="00F321DE"/>
    <w:rsid w:val="00F323EE"/>
    <w:rsid w:val="00F324AA"/>
    <w:rsid w:val="00F32561"/>
    <w:rsid w:val="00F325AB"/>
    <w:rsid w:val="00F328B2"/>
    <w:rsid w:val="00F32937"/>
    <w:rsid w:val="00F32975"/>
    <w:rsid w:val="00F32A52"/>
    <w:rsid w:val="00F32B74"/>
    <w:rsid w:val="00F32BBF"/>
    <w:rsid w:val="00F32D63"/>
    <w:rsid w:val="00F32F57"/>
    <w:rsid w:val="00F33106"/>
    <w:rsid w:val="00F3328C"/>
    <w:rsid w:val="00F332DA"/>
    <w:rsid w:val="00F33448"/>
    <w:rsid w:val="00F334F7"/>
    <w:rsid w:val="00F3365B"/>
    <w:rsid w:val="00F3377B"/>
    <w:rsid w:val="00F33AD3"/>
    <w:rsid w:val="00F33B7A"/>
    <w:rsid w:val="00F33E18"/>
    <w:rsid w:val="00F33E35"/>
    <w:rsid w:val="00F33FE3"/>
    <w:rsid w:val="00F34039"/>
    <w:rsid w:val="00F3422A"/>
    <w:rsid w:val="00F34288"/>
    <w:rsid w:val="00F343A9"/>
    <w:rsid w:val="00F34593"/>
    <w:rsid w:val="00F345D9"/>
    <w:rsid w:val="00F34624"/>
    <w:rsid w:val="00F34646"/>
    <w:rsid w:val="00F3484C"/>
    <w:rsid w:val="00F34917"/>
    <w:rsid w:val="00F3497C"/>
    <w:rsid w:val="00F34D3A"/>
    <w:rsid w:val="00F3502D"/>
    <w:rsid w:val="00F350F6"/>
    <w:rsid w:val="00F3534D"/>
    <w:rsid w:val="00F356F1"/>
    <w:rsid w:val="00F3585C"/>
    <w:rsid w:val="00F35AF9"/>
    <w:rsid w:val="00F35D35"/>
    <w:rsid w:val="00F35D66"/>
    <w:rsid w:val="00F35EE3"/>
    <w:rsid w:val="00F35F39"/>
    <w:rsid w:val="00F362A0"/>
    <w:rsid w:val="00F364D0"/>
    <w:rsid w:val="00F36647"/>
    <w:rsid w:val="00F3668C"/>
    <w:rsid w:val="00F3674B"/>
    <w:rsid w:val="00F367A4"/>
    <w:rsid w:val="00F367C3"/>
    <w:rsid w:val="00F36A6C"/>
    <w:rsid w:val="00F36E0A"/>
    <w:rsid w:val="00F36F9E"/>
    <w:rsid w:val="00F36FE3"/>
    <w:rsid w:val="00F374CD"/>
    <w:rsid w:val="00F37742"/>
    <w:rsid w:val="00F37766"/>
    <w:rsid w:val="00F37828"/>
    <w:rsid w:val="00F37B23"/>
    <w:rsid w:val="00F37B96"/>
    <w:rsid w:val="00F37BD3"/>
    <w:rsid w:val="00F37E94"/>
    <w:rsid w:val="00F4008E"/>
    <w:rsid w:val="00F4019A"/>
    <w:rsid w:val="00F4043A"/>
    <w:rsid w:val="00F4044F"/>
    <w:rsid w:val="00F40643"/>
    <w:rsid w:val="00F40663"/>
    <w:rsid w:val="00F40778"/>
    <w:rsid w:val="00F40783"/>
    <w:rsid w:val="00F4088B"/>
    <w:rsid w:val="00F409A7"/>
    <w:rsid w:val="00F409F2"/>
    <w:rsid w:val="00F40E9A"/>
    <w:rsid w:val="00F41738"/>
    <w:rsid w:val="00F417CA"/>
    <w:rsid w:val="00F4189F"/>
    <w:rsid w:val="00F41958"/>
    <w:rsid w:val="00F41981"/>
    <w:rsid w:val="00F419D7"/>
    <w:rsid w:val="00F419F6"/>
    <w:rsid w:val="00F41A23"/>
    <w:rsid w:val="00F41AF4"/>
    <w:rsid w:val="00F41D66"/>
    <w:rsid w:val="00F42155"/>
    <w:rsid w:val="00F4236E"/>
    <w:rsid w:val="00F42472"/>
    <w:rsid w:val="00F4247A"/>
    <w:rsid w:val="00F4259E"/>
    <w:rsid w:val="00F426AB"/>
    <w:rsid w:val="00F42B6F"/>
    <w:rsid w:val="00F42EC1"/>
    <w:rsid w:val="00F42F81"/>
    <w:rsid w:val="00F43008"/>
    <w:rsid w:val="00F43150"/>
    <w:rsid w:val="00F43157"/>
    <w:rsid w:val="00F43337"/>
    <w:rsid w:val="00F43446"/>
    <w:rsid w:val="00F4353A"/>
    <w:rsid w:val="00F4359C"/>
    <w:rsid w:val="00F4370D"/>
    <w:rsid w:val="00F43918"/>
    <w:rsid w:val="00F43926"/>
    <w:rsid w:val="00F43AF7"/>
    <w:rsid w:val="00F43D46"/>
    <w:rsid w:val="00F43E66"/>
    <w:rsid w:val="00F43F3D"/>
    <w:rsid w:val="00F43FCC"/>
    <w:rsid w:val="00F44162"/>
    <w:rsid w:val="00F4437A"/>
    <w:rsid w:val="00F4467F"/>
    <w:rsid w:val="00F44835"/>
    <w:rsid w:val="00F44838"/>
    <w:rsid w:val="00F4497C"/>
    <w:rsid w:val="00F44A09"/>
    <w:rsid w:val="00F44B64"/>
    <w:rsid w:val="00F44C13"/>
    <w:rsid w:val="00F44CFD"/>
    <w:rsid w:val="00F44F37"/>
    <w:rsid w:val="00F44F3E"/>
    <w:rsid w:val="00F45226"/>
    <w:rsid w:val="00F45540"/>
    <w:rsid w:val="00F45698"/>
    <w:rsid w:val="00F45836"/>
    <w:rsid w:val="00F45863"/>
    <w:rsid w:val="00F459EF"/>
    <w:rsid w:val="00F45A63"/>
    <w:rsid w:val="00F45D3B"/>
    <w:rsid w:val="00F45D44"/>
    <w:rsid w:val="00F45E74"/>
    <w:rsid w:val="00F45E83"/>
    <w:rsid w:val="00F45EF3"/>
    <w:rsid w:val="00F46251"/>
    <w:rsid w:val="00F46760"/>
    <w:rsid w:val="00F469D5"/>
    <w:rsid w:val="00F46A25"/>
    <w:rsid w:val="00F46AB5"/>
    <w:rsid w:val="00F46CEB"/>
    <w:rsid w:val="00F46E94"/>
    <w:rsid w:val="00F4713E"/>
    <w:rsid w:val="00F47332"/>
    <w:rsid w:val="00F475D8"/>
    <w:rsid w:val="00F476EB"/>
    <w:rsid w:val="00F4778A"/>
    <w:rsid w:val="00F477D2"/>
    <w:rsid w:val="00F4782A"/>
    <w:rsid w:val="00F478A4"/>
    <w:rsid w:val="00F47BED"/>
    <w:rsid w:val="00F47CD1"/>
    <w:rsid w:val="00F5010C"/>
    <w:rsid w:val="00F50233"/>
    <w:rsid w:val="00F503CD"/>
    <w:rsid w:val="00F50473"/>
    <w:rsid w:val="00F507AA"/>
    <w:rsid w:val="00F50948"/>
    <w:rsid w:val="00F50CA2"/>
    <w:rsid w:val="00F50CDA"/>
    <w:rsid w:val="00F50E55"/>
    <w:rsid w:val="00F51065"/>
    <w:rsid w:val="00F510DD"/>
    <w:rsid w:val="00F510FE"/>
    <w:rsid w:val="00F5118C"/>
    <w:rsid w:val="00F51447"/>
    <w:rsid w:val="00F514CE"/>
    <w:rsid w:val="00F51515"/>
    <w:rsid w:val="00F51568"/>
    <w:rsid w:val="00F515CF"/>
    <w:rsid w:val="00F519EE"/>
    <w:rsid w:val="00F51A85"/>
    <w:rsid w:val="00F51C45"/>
    <w:rsid w:val="00F51F25"/>
    <w:rsid w:val="00F51FA6"/>
    <w:rsid w:val="00F522B9"/>
    <w:rsid w:val="00F52302"/>
    <w:rsid w:val="00F523A1"/>
    <w:rsid w:val="00F52826"/>
    <w:rsid w:val="00F52831"/>
    <w:rsid w:val="00F529F5"/>
    <w:rsid w:val="00F52B04"/>
    <w:rsid w:val="00F52C5A"/>
    <w:rsid w:val="00F52DD4"/>
    <w:rsid w:val="00F52E01"/>
    <w:rsid w:val="00F52FA5"/>
    <w:rsid w:val="00F52FB2"/>
    <w:rsid w:val="00F530D2"/>
    <w:rsid w:val="00F530E1"/>
    <w:rsid w:val="00F532D1"/>
    <w:rsid w:val="00F532E1"/>
    <w:rsid w:val="00F53342"/>
    <w:rsid w:val="00F533B5"/>
    <w:rsid w:val="00F533BD"/>
    <w:rsid w:val="00F53961"/>
    <w:rsid w:val="00F5397F"/>
    <w:rsid w:val="00F539A7"/>
    <w:rsid w:val="00F539CC"/>
    <w:rsid w:val="00F539CE"/>
    <w:rsid w:val="00F53A5C"/>
    <w:rsid w:val="00F53B24"/>
    <w:rsid w:val="00F53BA2"/>
    <w:rsid w:val="00F53CF6"/>
    <w:rsid w:val="00F5434B"/>
    <w:rsid w:val="00F5435A"/>
    <w:rsid w:val="00F544B1"/>
    <w:rsid w:val="00F5492E"/>
    <w:rsid w:val="00F54953"/>
    <w:rsid w:val="00F54AB2"/>
    <w:rsid w:val="00F54C43"/>
    <w:rsid w:val="00F54F54"/>
    <w:rsid w:val="00F5500A"/>
    <w:rsid w:val="00F55014"/>
    <w:rsid w:val="00F55125"/>
    <w:rsid w:val="00F552D4"/>
    <w:rsid w:val="00F553DF"/>
    <w:rsid w:val="00F554FF"/>
    <w:rsid w:val="00F555CC"/>
    <w:rsid w:val="00F555FA"/>
    <w:rsid w:val="00F5585F"/>
    <w:rsid w:val="00F55870"/>
    <w:rsid w:val="00F5588B"/>
    <w:rsid w:val="00F559BF"/>
    <w:rsid w:val="00F55D67"/>
    <w:rsid w:val="00F55F8E"/>
    <w:rsid w:val="00F56097"/>
    <w:rsid w:val="00F560A1"/>
    <w:rsid w:val="00F56108"/>
    <w:rsid w:val="00F561D7"/>
    <w:rsid w:val="00F56286"/>
    <w:rsid w:val="00F5634B"/>
    <w:rsid w:val="00F5635B"/>
    <w:rsid w:val="00F56395"/>
    <w:rsid w:val="00F564BB"/>
    <w:rsid w:val="00F56546"/>
    <w:rsid w:val="00F5669D"/>
    <w:rsid w:val="00F56721"/>
    <w:rsid w:val="00F56730"/>
    <w:rsid w:val="00F567E1"/>
    <w:rsid w:val="00F56877"/>
    <w:rsid w:val="00F56A19"/>
    <w:rsid w:val="00F56B79"/>
    <w:rsid w:val="00F56C2C"/>
    <w:rsid w:val="00F56C3D"/>
    <w:rsid w:val="00F56D1D"/>
    <w:rsid w:val="00F56F12"/>
    <w:rsid w:val="00F56F42"/>
    <w:rsid w:val="00F5708A"/>
    <w:rsid w:val="00F57094"/>
    <w:rsid w:val="00F5752C"/>
    <w:rsid w:val="00F57549"/>
    <w:rsid w:val="00F57900"/>
    <w:rsid w:val="00F5793D"/>
    <w:rsid w:val="00F5798E"/>
    <w:rsid w:val="00F579EE"/>
    <w:rsid w:val="00F57A58"/>
    <w:rsid w:val="00F57ADE"/>
    <w:rsid w:val="00F57D68"/>
    <w:rsid w:val="00F57E83"/>
    <w:rsid w:val="00F57E8A"/>
    <w:rsid w:val="00F57F3E"/>
    <w:rsid w:val="00F6004D"/>
    <w:rsid w:val="00F6039B"/>
    <w:rsid w:val="00F604A6"/>
    <w:rsid w:val="00F60978"/>
    <w:rsid w:val="00F609F2"/>
    <w:rsid w:val="00F60AD7"/>
    <w:rsid w:val="00F60AE6"/>
    <w:rsid w:val="00F60C34"/>
    <w:rsid w:val="00F60EA8"/>
    <w:rsid w:val="00F61123"/>
    <w:rsid w:val="00F612D9"/>
    <w:rsid w:val="00F612DD"/>
    <w:rsid w:val="00F61378"/>
    <w:rsid w:val="00F614AA"/>
    <w:rsid w:val="00F614E2"/>
    <w:rsid w:val="00F6159C"/>
    <w:rsid w:val="00F6174D"/>
    <w:rsid w:val="00F61767"/>
    <w:rsid w:val="00F61899"/>
    <w:rsid w:val="00F618CC"/>
    <w:rsid w:val="00F619DB"/>
    <w:rsid w:val="00F61A30"/>
    <w:rsid w:val="00F61AE1"/>
    <w:rsid w:val="00F61C18"/>
    <w:rsid w:val="00F61D7B"/>
    <w:rsid w:val="00F61F6D"/>
    <w:rsid w:val="00F620BF"/>
    <w:rsid w:val="00F6223D"/>
    <w:rsid w:val="00F62A84"/>
    <w:rsid w:val="00F62D83"/>
    <w:rsid w:val="00F62DE7"/>
    <w:rsid w:val="00F63112"/>
    <w:rsid w:val="00F63270"/>
    <w:rsid w:val="00F633EB"/>
    <w:rsid w:val="00F633FD"/>
    <w:rsid w:val="00F63451"/>
    <w:rsid w:val="00F634BA"/>
    <w:rsid w:val="00F63657"/>
    <w:rsid w:val="00F6375E"/>
    <w:rsid w:val="00F637F6"/>
    <w:rsid w:val="00F638CB"/>
    <w:rsid w:val="00F639E0"/>
    <w:rsid w:val="00F63A5C"/>
    <w:rsid w:val="00F63AD8"/>
    <w:rsid w:val="00F63AE8"/>
    <w:rsid w:val="00F63BE4"/>
    <w:rsid w:val="00F63D2E"/>
    <w:rsid w:val="00F63E98"/>
    <w:rsid w:val="00F6420D"/>
    <w:rsid w:val="00F6452E"/>
    <w:rsid w:val="00F645C1"/>
    <w:rsid w:val="00F647C0"/>
    <w:rsid w:val="00F64BBE"/>
    <w:rsid w:val="00F64D4C"/>
    <w:rsid w:val="00F65120"/>
    <w:rsid w:val="00F65237"/>
    <w:rsid w:val="00F65497"/>
    <w:rsid w:val="00F6556F"/>
    <w:rsid w:val="00F655C7"/>
    <w:rsid w:val="00F65763"/>
    <w:rsid w:val="00F65830"/>
    <w:rsid w:val="00F65867"/>
    <w:rsid w:val="00F65996"/>
    <w:rsid w:val="00F65AD5"/>
    <w:rsid w:val="00F65C63"/>
    <w:rsid w:val="00F65CD9"/>
    <w:rsid w:val="00F65CDE"/>
    <w:rsid w:val="00F65CEE"/>
    <w:rsid w:val="00F65DA9"/>
    <w:rsid w:val="00F65FD7"/>
    <w:rsid w:val="00F66125"/>
    <w:rsid w:val="00F662D9"/>
    <w:rsid w:val="00F66550"/>
    <w:rsid w:val="00F66784"/>
    <w:rsid w:val="00F667A9"/>
    <w:rsid w:val="00F667B4"/>
    <w:rsid w:val="00F669A9"/>
    <w:rsid w:val="00F66A08"/>
    <w:rsid w:val="00F66CEF"/>
    <w:rsid w:val="00F66FB4"/>
    <w:rsid w:val="00F67235"/>
    <w:rsid w:val="00F675BB"/>
    <w:rsid w:val="00F676FE"/>
    <w:rsid w:val="00F67C7C"/>
    <w:rsid w:val="00F67F67"/>
    <w:rsid w:val="00F700D0"/>
    <w:rsid w:val="00F70195"/>
    <w:rsid w:val="00F701C5"/>
    <w:rsid w:val="00F70255"/>
    <w:rsid w:val="00F70333"/>
    <w:rsid w:val="00F704A4"/>
    <w:rsid w:val="00F706B6"/>
    <w:rsid w:val="00F70761"/>
    <w:rsid w:val="00F707E0"/>
    <w:rsid w:val="00F70853"/>
    <w:rsid w:val="00F709E6"/>
    <w:rsid w:val="00F70B1A"/>
    <w:rsid w:val="00F70CFA"/>
    <w:rsid w:val="00F70D0F"/>
    <w:rsid w:val="00F70DB2"/>
    <w:rsid w:val="00F70E00"/>
    <w:rsid w:val="00F70FD2"/>
    <w:rsid w:val="00F70FDF"/>
    <w:rsid w:val="00F70FE3"/>
    <w:rsid w:val="00F7104F"/>
    <w:rsid w:val="00F71069"/>
    <w:rsid w:val="00F710A9"/>
    <w:rsid w:val="00F711B2"/>
    <w:rsid w:val="00F711BA"/>
    <w:rsid w:val="00F712F2"/>
    <w:rsid w:val="00F71354"/>
    <w:rsid w:val="00F713A5"/>
    <w:rsid w:val="00F713DD"/>
    <w:rsid w:val="00F714AD"/>
    <w:rsid w:val="00F7180A"/>
    <w:rsid w:val="00F71852"/>
    <w:rsid w:val="00F71CA5"/>
    <w:rsid w:val="00F71D6B"/>
    <w:rsid w:val="00F71D86"/>
    <w:rsid w:val="00F71FFD"/>
    <w:rsid w:val="00F72301"/>
    <w:rsid w:val="00F72343"/>
    <w:rsid w:val="00F7235E"/>
    <w:rsid w:val="00F723C5"/>
    <w:rsid w:val="00F72640"/>
    <w:rsid w:val="00F72A94"/>
    <w:rsid w:val="00F72F39"/>
    <w:rsid w:val="00F72F57"/>
    <w:rsid w:val="00F732E1"/>
    <w:rsid w:val="00F733F5"/>
    <w:rsid w:val="00F73526"/>
    <w:rsid w:val="00F73607"/>
    <w:rsid w:val="00F737FA"/>
    <w:rsid w:val="00F738A6"/>
    <w:rsid w:val="00F738DB"/>
    <w:rsid w:val="00F73D62"/>
    <w:rsid w:val="00F73D70"/>
    <w:rsid w:val="00F7413A"/>
    <w:rsid w:val="00F741E3"/>
    <w:rsid w:val="00F74492"/>
    <w:rsid w:val="00F745A1"/>
    <w:rsid w:val="00F746C5"/>
    <w:rsid w:val="00F74756"/>
    <w:rsid w:val="00F74765"/>
    <w:rsid w:val="00F74812"/>
    <w:rsid w:val="00F74830"/>
    <w:rsid w:val="00F7485B"/>
    <w:rsid w:val="00F74992"/>
    <w:rsid w:val="00F749EA"/>
    <w:rsid w:val="00F74A3E"/>
    <w:rsid w:val="00F74B0D"/>
    <w:rsid w:val="00F74CAD"/>
    <w:rsid w:val="00F74D56"/>
    <w:rsid w:val="00F74E84"/>
    <w:rsid w:val="00F74F28"/>
    <w:rsid w:val="00F74FC0"/>
    <w:rsid w:val="00F74FE9"/>
    <w:rsid w:val="00F751E7"/>
    <w:rsid w:val="00F75439"/>
    <w:rsid w:val="00F75784"/>
    <w:rsid w:val="00F75883"/>
    <w:rsid w:val="00F759A1"/>
    <w:rsid w:val="00F75B0F"/>
    <w:rsid w:val="00F75B2A"/>
    <w:rsid w:val="00F75DAC"/>
    <w:rsid w:val="00F75F56"/>
    <w:rsid w:val="00F760EB"/>
    <w:rsid w:val="00F761B0"/>
    <w:rsid w:val="00F76232"/>
    <w:rsid w:val="00F7626D"/>
    <w:rsid w:val="00F7635B"/>
    <w:rsid w:val="00F7646E"/>
    <w:rsid w:val="00F7665F"/>
    <w:rsid w:val="00F766E4"/>
    <w:rsid w:val="00F76731"/>
    <w:rsid w:val="00F767C6"/>
    <w:rsid w:val="00F76894"/>
    <w:rsid w:val="00F768A4"/>
    <w:rsid w:val="00F769F7"/>
    <w:rsid w:val="00F76C07"/>
    <w:rsid w:val="00F76C55"/>
    <w:rsid w:val="00F76FE3"/>
    <w:rsid w:val="00F77080"/>
    <w:rsid w:val="00F77137"/>
    <w:rsid w:val="00F77228"/>
    <w:rsid w:val="00F77445"/>
    <w:rsid w:val="00F774D6"/>
    <w:rsid w:val="00F775FE"/>
    <w:rsid w:val="00F7770A"/>
    <w:rsid w:val="00F77864"/>
    <w:rsid w:val="00F778D2"/>
    <w:rsid w:val="00F778FF"/>
    <w:rsid w:val="00F77950"/>
    <w:rsid w:val="00F77AE9"/>
    <w:rsid w:val="00F77C40"/>
    <w:rsid w:val="00F77D01"/>
    <w:rsid w:val="00F77D55"/>
    <w:rsid w:val="00F77DF7"/>
    <w:rsid w:val="00F77F6D"/>
    <w:rsid w:val="00F80021"/>
    <w:rsid w:val="00F8004B"/>
    <w:rsid w:val="00F80561"/>
    <w:rsid w:val="00F808EA"/>
    <w:rsid w:val="00F80A8E"/>
    <w:rsid w:val="00F80B3B"/>
    <w:rsid w:val="00F80D92"/>
    <w:rsid w:val="00F80EB0"/>
    <w:rsid w:val="00F80F36"/>
    <w:rsid w:val="00F80F77"/>
    <w:rsid w:val="00F80FC8"/>
    <w:rsid w:val="00F81037"/>
    <w:rsid w:val="00F811DF"/>
    <w:rsid w:val="00F813AB"/>
    <w:rsid w:val="00F814F7"/>
    <w:rsid w:val="00F81672"/>
    <w:rsid w:val="00F81CEC"/>
    <w:rsid w:val="00F81EB1"/>
    <w:rsid w:val="00F81FE7"/>
    <w:rsid w:val="00F8212D"/>
    <w:rsid w:val="00F82209"/>
    <w:rsid w:val="00F82269"/>
    <w:rsid w:val="00F824D9"/>
    <w:rsid w:val="00F8256F"/>
    <w:rsid w:val="00F82574"/>
    <w:rsid w:val="00F8261E"/>
    <w:rsid w:val="00F82629"/>
    <w:rsid w:val="00F82677"/>
    <w:rsid w:val="00F82764"/>
    <w:rsid w:val="00F827B4"/>
    <w:rsid w:val="00F82877"/>
    <w:rsid w:val="00F82A7E"/>
    <w:rsid w:val="00F82B24"/>
    <w:rsid w:val="00F82CA6"/>
    <w:rsid w:val="00F82EF4"/>
    <w:rsid w:val="00F82FE6"/>
    <w:rsid w:val="00F83080"/>
    <w:rsid w:val="00F830AC"/>
    <w:rsid w:val="00F8328E"/>
    <w:rsid w:val="00F83420"/>
    <w:rsid w:val="00F836D2"/>
    <w:rsid w:val="00F83722"/>
    <w:rsid w:val="00F83A2B"/>
    <w:rsid w:val="00F83BA5"/>
    <w:rsid w:val="00F83BB0"/>
    <w:rsid w:val="00F83C64"/>
    <w:rsid w:val="00F83C80"/>
    <w:rsid w:val="00F83DE2"/>
    <w:rsid w:val="00F83F1B"/>
    <w:rsid w:val="00F83F8E"/>
    <w:rsid w:val="00F84376"/>
    <w:rsid w:val="00F84668"/>
    <w:rsid w:val="00F846DF"/>
    <w:rsid w:val="00F8473B"/>
    <w:rsid w:val="00F84965"/>
    <w:rsid w:val="00F84A98"/>
    <w:rsid w:val="00F84CC8"/>
    <w:rsid w:val="00F84F39"/>
    <w:rsid w:val="00F84F53"/>
    <w:rsid w:val="00F85059"/>
    <w:rsid w:val="00F851C3"/>
    <w:rsid w:val="00F85445"/>
    <w:rsid w:val="00F85462"/>
    <w:rsid w:val="00F858B4"/>
    <w:rsid w:val="00F858EF"/>
    <w:rsid w:val="00F859A5"/>
    <w:rsid w:val="00F85A93"/>
    <w:rsid w:val="00F85B8F"/>
    <w:rsid w:val="00F85D60"/>
    <w:rsid w:val="00F85E75"/>
    <w:rsid w:val="00F85FA9"/>
    <w:rsid w:val="00F864DF"/>
    <w:rsid w:val="00F86983"/>
    <w:rsid w:val="00F86CBF"/>
    <w:rsid w:val="00F87013"/>
    <w:rsid w:val="00F8703F"/>
    <w:rsid w:val="00F87073"/>
    <w:rsid w:val="00F8720C"/>
    <w:rsid w:val="00F87257"/>
    <w:rsid w:val="00F87265"/>
    <w:rsid w:val="00F87453"/>
    <w:rsid w:val="00F87553"/>
    <w:rsid w:val="00F876EE"/>
    <w:rsid w:val="00F87A69"/>
    <w:rsid w:val="00F900DB"/>
    <w:rsid w:val="00F901CE"/>
    <w:rsid w:val="00F903C7"/>
    <w:rsid w:val="00F90507"/>
    <w:rsid w:val="00F909AE"/>
    <w:rsid w:val="00F90AD2"/>
    <w:rsid w:val="00F90C67"/>
    <w:rsid w:val="00F90CF5"/>
    <w:rsid w:val="00F90D9B"/>
    <w:rsid w:val="00F90DAD"/>
    <w:rsid w:val="00F91329"/>
    <w:rsid w:val="00F91374"/>
    <w:rsid w:val="00F91415"/>
    <w:rsid w:val="00F91681"/>
    <w:rsid w:val="00F916E9"/>
    <w:rsid w:val="00F91715"/>
    <w:rsid w:val="00F91974"/>
    <w:rsid w:val="00F91A44"/>
    <w:rsid w:val="00F91A8C"/>
    <w:rsid w:val="00F91CE6"/>
    <w:rsid w:val="00F91E38"/>
    <w:rsid w:val="00F91FB5"/>
    <w:rsid w:val="00F9204A"/>
    <w:rsid w:val="00F92136"/>
    <w:rsid w:val="00F9215E"/>
    <w:rsid w:val="00F924E7"/>
    <w:rsid w:val="00F92637"/>
    <w:rsid w:val="00F92691"/>
    <w:rsid w:val="00F92787"/>
    <w:rsid w:val="00F928A2"/>
    <w:rsid w:val="00F928F1"/>
    <w:rsid w:val="00F92B7C"/>
    <w:rsid w:val="00F9310B"/>
    <w:rsid w:val="00F93163"/>
    <w:rsid w:val="00F934AD"/>
    <w:rsid w:val="00F934F5"/>
    <w:rsid w:val="00F935C0"/>
    <w:rsid w:val="00F93679"/>
    <w:rsid w:val="00F93726"/>
    <w:rsid w:val="00F93885"/>
    <w:rsid w:val="00F939D4"/>
    <w:rsid w:val="00F93B75"/>
    <w:rsid w:val="00F93BD6"/>
    <w:rsid w:val="00F9407F"/>
    <w:rsid w:val="00F9422B"/>
    <w:rsid w:val="00F94274"/>
    <w:rsid w:val="00F942DF"/>
    <w:rsid w:val="00F94332"/>
    <w:rsid w:val="00F94674"/>
    <w:rsid w:val="00F946C9"/>
    <w:rsid w:val="00F94712"/>
    <w:rsid w:val="00F94815"/>
    <w:rsid w:val="00F948E6"/>
    <w:rsid w:val="00F94905"/>
    <w:rsid w:val="00F94A48"/>
    <w:rsid w:val="00F94A53"/>
    <w:rsid w:val="00F94A5C"/>
    <w:rsid w:val="00F94A7C"/>
    <w:rsid w:val="00F94EFF"/>
    <w:rsid w:val="00F95084"/>
    <w:rsid w:val="00F95086"/>
    <w:rsid w:val="00F95104"/>
    <w:rsid w:val="00F951FE"/>
    <w:rsid w:val="00F95363"/>
    <w:rsid w:val="00F95461"/>
    <w:rsid w:val="00F9563C"/>
    <w:rsid w:val="00F95644"/>
    <w:rsid w:val="00F9598C"/>
    <w:rsid w:val="00F95B62"/>
    <w:rsid w:val="00F95D28"/>
    <w:rsid w:val="00F95DA1"/>
    <w:rsid w:val="00F96576"/>
    <w:rsid w:val="00F965F9"/>
    <w:rsid w:val="00F9669D"/>
    <w:rsid w:val="00F9677E"/>
    <w:rsid w:val="00F9684B"/>
    <w:rsid w:val="00F96895"/>
    <w:rsid w:val="00F969A2"/>
    <w:rsid w:val="00F96C4B"/>
    <w:rsid w:val="00F96D52"/>
    <w:rsid w:val="00F96DB2"/>
    <w:rsid w:val="00F96EF6"/>
    <w:rsid w:val="00F970A1"/>
    <w:rsid w:val="00F970CF"/>
    <w:rsid w:val="00F97156"/>
    <w:rsid w:val="00F97329"/>
    <w:rsid w:val="00F9737A"/>
    <w:rsid w:val="00F97527"/>
    <w:rsid w:val="00F97A01"/>
    <w:rsid w:val="00F97B28"/>
    <w:rsid w:val="00F97BC8"/>
    <w:rsid w:val="00F97BF7"/>
    <w:rsid w:val="00F97D7B"/>
    <w:rsid w:val="00F97E31"/>
    <w:rsid w:val="00F97E7D"/>
    <w:rsid w:val="00FA0034"/>
    <w:rsid w:val="00FA03D7"/>
    <w:rsid w:val="00FA070C"/>
    <w:rsid w:val="00FA0785"/>
    <w:rsid w:val="00FA0AF5"/>
    <w:rsid w:val="00FA0B3B"/>
    <w:rsid w:val="00FA0C8D"/>
    <w:rsid w:val="00FA0D4E"/>
    <w:rsid w:val="00FA0E55"/>
    <w:rsid w:val="00FA0E84"/>
    <w:rsid w:val="00FA1130"/>
    <w:rsid w:val="00FA113D"/>
    <w:rsid w:val="00FA116B"/>
    <w:rsid w:val="00FA1289"/>
    <w:rsid w:val="00FA14F0"/>
    <w:rsid w:val="00FA157E"/>
    <w:rsid w:val="00FA183C"/>
    <w:rsid w:val="00FA1A27"/>
    <w:rsid w:val="00FA1BA9"/>
    <w:rsid w:val="00FA1BC9"/>
    <w:rsid w:val="00FA1E02"/>
    <w:rsid w:val="00FA1E7A"/>
    <w:rsid w:val="00FA1F13"/>
    <w:rsid w:val="00FA1F22"/>
    <w:rsid w:val="00FA20B7"/>
    <w:rsid w:val="00FA227B"/>
    <w:rsid w:val="00FA2460"/>
    <w:rsid w:val="00FA2539"/>
    <w:rsid w:val="00FA2595"/>
    <w:rsid w:val="00FA2A3B"/>
    <w:rsid w:val="00FA2B40"/>
    <w:rsid w:val="00FA2B64"/>
    <w:rsid w:val="00FA2D94"/>
    <w:rsid w:val="00FA2E3A"/>
    <w:rsid w:val="00FA2EC4"/>
    <w:rsid w:val="00FA3077"/>
    <w:rsid w:val="00FA315F"/>
    <w:rsid w:val="00FA3165"/>
    <w:rsid w:val="00FA32D5"/>
    <w:rsid w:val="00FA381E"/>
    <w:rsid w:val="00FA383D"/>
    <w:rsid w:val="00FA39F5"/>
    <w:rsid w:val="00FA3A4C"/>
    <w:rsid w:val="00FA3B80"/>
    <w:rsid w:val="00FA3C94"/>
    <w:rsid w:val="00FA3F04"/>
    <w:rsid w:val="00FA3FAB"/>
    <w:rsid w:val="00FA3FB0"/>
    <w:rsid w:val="00FA4108"/>
    <w:rsid w:val="00FA41A1"/>
    <w:rsid w:val="00FA41D3"/>
    <w:rsid w:val="00FA4268"/>
    <w:rsid w:val="00FA4275"/>
    <w:rsid w:val="00FA42A6"/>
    <w:rsid w:val="00FA4836"/>
    <w:rsid w:val="00FA4A66"/>
    <w:rsid w:val="00FA4C64"/>
    <w:rsid w:val="00FA51A1"/>
    <w:rsid w:val="00FA5360"/>
    <w:rsid w:val="00FA5630"/>
    <w:rsid w:val="00FA5689"/>
    <w:rsid w:val="00FA5743"/>
    <w:rsid w:val="00FA5863"/>
    <w:rsid w:val="00FA5BFF"/>
    <w:rsid w:val="00FA5D33"/>
    <w:rsid w:val="00FA5E91"/>
    <w:rsid w:val="00FA6008"/>
    <w:rsid w:val="00FA60E1"/>
    <w:rsid w:val="00FA64A4"/>
    <w:rsid w:val="00FA64CB"/>
    <w:rsid w:val="00FA66CD"/>
    <w:rsid w:val="00FA68A8"/>
    <w:rsid w:val="00FA68CB"/>
    <w:rsid w:val="00FA6941"/>
    <w:rsid w:val="00FA699F"/>
    <w:rsid w:val="00FA6A25"/>
    <w:rsid w:val="00FA6A29"/>
    <w:rsid w:val="00FA6C69"/>
    <w:rsid w:val="00FA6E35"/>
    <w:rsid w:val="00FA6F17"/>
    <w:rsid w:val="00FA6F65"/>
    <w:rsid w:val="00FA6FA8"/>
    <w:rsid w:val="00FA7258"/>
    <w:rsid w:val="00FA7273"/>
    <w:rsid w:val="00FA7289"/>
    <w:rsid w:val="00FA72BF"/>
    <w:rsid w:val="00FA76E8"/>
    <w:rsid w:val="00FA76FD"/>
    <w:rsid w:val="00FA790A"/>
    <w:rsid w:val="00FA79C2"/>
    <w:rsid w:val="00FA7A21"/>
    <w:rsid w:val="00FA7A6A"/>
    <w:rsid w:val="00FA7A8B"/>
    <w:rsid w:val="00FA7C5A"/>
    <w:rsid w:val="00FA7C95"/>
    <w:rsid w:val="00FA7E25"/>
    <w:rsid w:val="00FA7F95"/>
    <w:rsid w:val="00FB004A"/>
    <w:rsid w:val="00FB0184"/>
    <w:rsid w:val="00FB0192"/>
    <w:rsid w:val="00FB01D1"/>
    <w:rsid w:val="00FB02B3"/>
    <w:rsid w:val="00FB02F1"/>
    <w:rsid w:val="00FB03B6"/>
    <w:rsid w:val="00FB0460"/>
    <w:rsid w:val="00FB0555"/>
    <w:rsid w:val="00FB055F"/>
    <w:rsid w:val="00FB0739"/>
    <w:rsid w:val="00FB075E"/>
    <w:rsid w:val="00FB0D2A"/>
    <w:rsid w:val="00FB0D78"/>
    <w:rsid w:val="00FB0E87"/>
    <w:rsid w:val="00FB0EDA"/>
    <w:rsid w:val="00FB1163"/>
    <w:rsid w:val="00FB1297"/>
    <w:rsid w:val="00FB12FF"/>
    <w:rsid w:val="00FB15AD"/>
    <w:rsid w:val="00FB1717"/>
    <w:rsid w:val="00FB186D"/>
    <w:rsid w:val="00FB199F"/>
    <w:rsid w:val="00FB19E1"/>
    <w:rsid w:val="00FB1A36"/>
    <w:rsid w:val="00FB1C2D"/>
    <w:rsid w:val="00FB1D06"/>
    <w:rsid w:val="00FB1FB1"/>
    <w:rsid w:val="00FB219E"/>
    <w:rsid w:val="00FB2246"/>
    <w:rsid w:val="00FB226D"/>
    <w:rsid w:val="00FB227A"/>
    <w:rsid w:val="00FB2283"/>
    <w:rsid w:val="00FB22A1"/>
    <w:rsid w:val="00FB282E"/>
    <w:rsid w:val="00FB284C"/>
    <w:rsid w:val="00FB285A"/>
    <w:rsid w:val="00FB2A49"/>
    <w:rsid w:val="00FB2B64"/>
    <w:rsid w:val="00FB2BD7"/>
    <w:rsid w:val="00FB2EA5"/>
    <w:rsid w:val="00FB2EBD"/>
    <w:rsid w:val="00FB2EC1"/>
    <w:rsid w:val="00FB2F20"/>
    <w:rsid w:val="00FB301E"/>
    <w:rsid w:val="00FB3174"/>
    <w:rsid w:val="00FB319B"/>
    <w:rsid w:val="00FB3532"/>
    <w:rsid w:val="00FB3664"/>
    <w:rsid w:val="00FB3726"/>
    <w:rsid w:val="00FB38F4"/>
    <w:rsid w:val="00FB3913"/>
    <w:rsid w:val="00FB3A74"/>
    <w:rsid w:val="00FB3B31"/>
    <w:rsid w:val="00FB3D05"/>
    <w:rsid w:val="00FB3DF6"/>
    <w:rsid w:val="00FB3F63"/>
    <w:rsid w:val="00FB4082"/>
    <w:rsid w:val="00FB42C5"/>
    <w:rsid w:val="00FB42CF"/>
    <w:rsid w:val="00FB4346"/>
    <w:rsid w:val="00FB4353"/>
    <w:rsid w:val="00FB437A"/>
    <w:rsid w:val="00FB43E3"/>
    <w:rsid w:val="00FB4922"/>
    <w:rsid w:val="00FB49C5"/>
    <w:rsid w:val="00FB4C88"/>
    <w:rsid w:val="00FB4CAD"/>
    <w:rsid w:val="00FB4CC8"/>
    <w:rsid w:val="00FB4D4F"/>
    <w:rsid w:val="00FB505D"/>
    <w:rsid w:val="00FB5080"/>
    <w:rsid w:val="00FB5152"/>
    <w:rsid w:val="00FB54EA"/>
    <w:rsid w:val="00FB558F"/>
    <w:rsid w:val="00FB5707"/>
    <w:rsid w:val="00FB57B1"/>
    <w:rsid w:val="00FB5A87"/>
    <w:rsid w:val="00FB5C0D"/>
    <w:rsid w:val="00FB5F73"/>
    <w:rsid w:val="00FB61A8"/>
    <w:rsid w:val="00FB6258"/>
    <w:rsid w:val="00FB6451"/>
    <w:rsid w:val="00FB675D"/>
    <w:rsid w:val="00FB6768"/>
    <w:rsid w:val="00FB6AAE"/>
    <w:rsid w:val="00FB6BD7"/>
    <w:rsid w:val="00FB6D4F"/>
    <w:rsid w:val="00FB6ED2"/>
    <w:rsid w:val="00FB6F23"/>
    <w:rsid w:val="00FB7063"/>
    <w:rsid w:val="00FB7175"/>
    <w:rsid w:val="00FB717D"/>
    <w:rsid w:val="00FB72B6"/>
    <w:rsid w:val="00FB73A3"/>
    <w:rsid w:val="00FB73E5"/>
    <w:rsid w:val="00FB771F"/>
    <w:rsid w:val="00FB77DA"/>
    <w:rsid w:val="00FB78A7"/>
    <w:rsid w:val="00FB7A26"/>
    <w:rsid w:val="00FB7A39"/>
    <w:rsid w:val="00FB7A3C"/>
    <w:rsid w:val="00FB7A9D"/>
    <w:rsid w:val="00FB7AEF"/>
    <w:rsid w:val="00FB7B1A"/>
    <w:rsid w:val="00FB7B75"/>
    <w:rsid w:val="00FB7C4C"/>
    <w:rsid w:val="00FB7CE0"/>
    <w:rsid w:val="00FB7DBE"/>
    <w:rsid w:val="00FB7EE5"/>
    <w:rsid w:val="00FB7F50"/>
    <w:rsid w:val="00FC015F"/>
    <w:rsid w:val="00FC01AA"/>
    <w:rsid w:val="00FC0261"/>
    <w:rsid w:val="00FC02A3"/>
    <w:rsid w:val="00FC04C4"/>
    <w:rsid w:val="00FC0537"/>
    <w:rsid w:val="00FC0625"/>
    <w:rsid w:val="00FC0680"/>
    <w:rsid w:val="00FC0761"/>
    <w:rsid w:val="00FC07E5"/>
    <w:rsid w:val="00FC0920"/>
    <w:rsid w:val="00FC09C1"/>
    <w:rsid w:val="00FC0ADB"/>
    <w:rsid w:val="00FC0B6E"/>
    <w:rsid w:val="00FC0E46"/>
    <w:rsid w:val="00FC0F2A"/>
    <w:rsid w:val="00FC0F46"/>
    <w:rsid w:val="00FC1465"/>
    <w:rsid w:val="00FC1496"/>
    <w:rsid w:val="00FC155B"/>
    <w:rsid w:val="00FC1627"/>
    <w:rsid w:val="00FC17F6"/>
    <w:rsid w:val="00FC1830"/>
    <w:rsid w:val="00FC1874"/>
    <w:rsid w:val="00FC1883"/>
    <w:rsid w:val="00FC1996"/>
    <w:rsid w:val="00FC19B3"/>
    <w:rsid w:val="00FC1AAA"/>
    <w:rsid w:val="00FC1AB4"/>
    <w:rsid w:val="00FC20B0"/>
    <w:rsid w:val="00FC2472"/>
    <w:rsid w:val="00FC2544"/>
    <w:rsid w:val="00FC261C"/>
    <w:rsid w:val="00FC27A0"/>
    <w:rsid w:val="00FC27F3"/>
    <w:rsid w:val="00FC2915"/>
    <w:rsid w:val="00FC2A8B"/>
    <w:rsid w:val="00FC2AC2"/>
    <w:rsid w:val="00FC2C85"/>
    <w:rsid w:val="00FC2E1D"/>
    <w:rsid w:val="00FC2E7B"/>
    <w:rsid w:val="00FC2F36"/>
    <w:rsid w:val="00FC3103"/>
    <w:rsid w:val="00FC332B"/>
    <w:rsid w:val="00FC33AC"/>
    <w:rsid w:val="00FC3478"/>
    <w:rsid w:val="00FC36B0"/>
    <w:rsid w:val="00FC379B"/>
    <w:rsid w:val="00FC38C2"/>
    <w:rsid w:val="00FC38DA"/>
    <w:rsid w:val="00FC38E9"/>
    <w:rsid w:val="00FC3940"/>
    <w:rsid w:val="00FC3A67"/>
    <w:rsid w:val="00FC3B02"/>
    <w:rsid w:val="00FC3B43"/>
    <w:rsid w:val="00FC412F"/>
    <w:rsid w:val="00FC416D"/>
    <w:rsid w:val="00FC416F"/>
    <w:rsid w:val="00FC4273"/>
    <w:rsid w:val="00FC432F"/>
    <w:rsid w:val="00FC4668"/>
    <w:rsid w:val="00FC48CB"/>
    <w:rsid w:val="00FC4A9C"/>
    <w:rsid w:val="00FC4B69"/>
    <w:rsid w:val="00FC4B9D"/>
    <w:rsid w:val="00FC4C79"/>
    <w:rsid w:val="00FC4DCC"/>
    <w:rsid w:val="00FC4F1C"/>
    <w:rsid w:val="00FC4F47"/>
    <w:rsid w:val="00FC5025"/>
    <w:rsid w:val="00FC5179"/>
    <w:rsid w:val="00FC5500"/>
    <w:rsid w:val="00FC5601"/>
    <w:rsid w:val="00FC5828"/>
    <w:rsid w:val="00FC5929"/>
    <w:rsid w:val="00FC5937"/>
    <w:rsid w:val="00FC5942"/>
    <w:rsid w:val="00FC59A9"/>
    <w:rsid w:val="00FC5A30"/>
    <w:rsid w:val="00FC5D39"/>
    <w:rsid w:val="00FC5EBE"/>
    <w:rsid w:val="00FC5F89"/>
    <w:rsid w:val="00FC5F96"/>
    <w:rsid w:val="00FC601F"/>
    <w:rsid w:val="00FC637B"/>
    <w:rsid w:val="00FC64C5"/>
    <w:rsid w:val="00FC655E"/>
    <w:rsid w:val="00FC671F"/>
    <w:rsid w:val="00FC678E"/>
    <w:rsid w:val="00FC6D81"/>
    <w:rsid w:val="00FC6FA0"/>
    <w:rsid w:val="00FC6FF0"/>
    <w:rsid w:val="00FC7170"/>
    <w:rsid w:val="00FC739D"/>
    <w:rsid w:val="00FC73BE"/>
    <w:rsid w:val="00FC77D3"/>
    <w:rsid w:val="00FC78E8"/>
    <w:rsid w:val="00FC7952"/>
    <w:rsid w:val="00FC7C89"/>
    <w:rsid w:val="00FC7F35"/>
    <w:rsid w:val="00FC7F94"/>
    <w:rsid w:val="00FD02C0"/>
    <w:rsid w:val="00FD048A"/>
    <w:rsid w:val="00FD05D3"/>
    <w:rsid w:val="00FD06D6"/>
    <w:rsid w:val="00FD09D2"/>
    <w:rsid w:val="00FD0BE7"/>
    <w:rsid w:val="00FD0CF8"/>
    <w:rsid w:val="00FD0E1C"/>
    <w:rsid w:val="00FD0F8F"/>
    <w:rsid w:val="00FD10C3"/>
    <w:rsid w:val="00FD1294"/>
    <w:rsid w:val="00FD13BA"/>
    <w:rsid w:val="00FD147E"/>
    <w:rsid w:val="00FD14AC"/>
    <w:rsid w:val="00FD15ED"/>
    <w:rsid w:val="00FD1739"/>
    <w:rsid w:val="00FD179C"/>
    <w:rsid w:val="00FD197D"/>
    <w:rsid w:val="00FD1AA4"/>
    <w:rsid w:val="00FD1AB2"/>
    <w:rsid w:val="00FD1B48"/>
    <w:rsid w:val="00FD1BB5"/>
    <w:rsid w:val="00FD20CC"/>
    <w:rsid w:val="00FD2170"/>
    <w:rsid w:val="00FD21BD"/>
    <w:rsid w:val="00FD2285"/>
    <w:rsid w:val="00FD22A2"/>
    <w:rsid w:val="00FD22EE"/>
    <w:rsid w:val="00FD24BB"/>
    <w:rsid w:val="00FD25E8"/>
    <w:rsid w:val="00FD299C"/>
    <w:rsid w:val="00FD2A0C"/>
    <w:rsid w:val="00FD2A56"/>
    <w:rsid w:val="00FD2C4A"/>
    <w:rsid w:val="00FD2CB0"/>
    <w:rsid w:val="00FD2CBD"/>
    <w:rsid w:val="00FD2E68"/>
    <w:rsid w:val="00FD3186"/>
    <w:rsid w:val="00FD318A"/>
    <w:rsid w:val="00FD31B9"/>
    <w:rsid w:val="00FD3388"/>
    <w:rsid w:val="00FD3419"/>
    <w:rsid w:val="00FD360B"/>
    <w:rsid w:val="00FD3678"/>
    <w:rsid w:val="00FD371D"/>
    <w:rsid w:val="00FD399D"/>
    <w:rsid w:val="00FD3A39"/>
    <w:rsid w:val="00FD3ABF"/>
    <w:rsid w:val="00FD3C75"/>
    <w:rsid w:val="00FD3C87"/>
    <w:rsid w:val="00FD41F8"/>
    <w:rsid w:val="00FD443A"/>
    <w:rsid w:val="00FD4690"/>
    <w:rsid w:val="00FD46F8"/>
    <w:rsid w:val="00FD47B0"/>
    <w:rsid w:val="00FD4952"/>
    <w:rsid w:val="00FD49C1"/>
    <w:rsid w:val="00FD4A59"/>
    <w:rsid w:val="00FD4B6E"/>
    <w:rsid w:val="00FD4C91"/>
    <w:rsid w:val="00FD4CBA"/>
    <w:rsid w:val="00FD4CBE"/>
    <w:rsid w:val="00FD4D7E"/>
    <w:rsid w:val="00FD5038"/>
    <w:rsid w:val="00FD5259"/>
    <w:rsid w:val="00FD5443"/>
    <w:rsid w:val="00FD56AE"/>
    <w:rsid w:val="00FD575E"/>
    <w:rsid w:val="00FD57CB"/>
    <w:rsid w:val="00FD5828"/>
    <w:rsid w:val="00FD584A"/>
    <w:rsid w:val="00FD5A9E"/>
    <w:rsid w:val="00FD5BD2"/>
    <w:rsid w:val="00FD5FB3"/>
    <w:rsid w:val="00FD60B3"/>
    <w:rsid w:val="00FD60ED"/>
    <w:rsid w:val="00FD61D8"/>
    <w:rsid w:val="00FD6318"/>
    <w:rsid w:val="00FD6333"/>
    <w:rsid w:val="00FD63CF"/>
    <w:rsid w:val="00FD63F9"/>
    <w:rsid w:val="00FD64F6"/>
    <w:rsid w:val="00FD657E"/>
    <w:rsid w:val="00FD6636"/>
    <w:rsid w:val="00FD6961"/>
    <w:rsid w:val="00FD6A91"/>
    <w:rsid w:val="00FD6A97"/>
    <w:rsid w:val="00FD6CF2"/>
    <w:rsid w:val="00FD6E71"/>
    <w:rsid w:val="00FD6F24"/>
    <w:rsid w:val="00FD6F6E"/>
    <w:rsid w:val="00FD6F94"/>
    <w:rsid w:val="00FD71AB"/>
    <w:rsid w:val="00FD72BD"/>
    <w:rsid w:val="00FD7384"/>
    <w:rsid w:val="00FD74F3"/>
    <w:rsid w:val="00FD7675"/>
    <w:rsid w:val="00FD76D3"/>
    <w:rsid w:val="00FD7864"/>
    <w:rsid w:val="00FD78AE"/>
    <w:rsid w:val="00FD79CB"/>
    <w:rsid w:val="00FD7B8A"/>
    <w:rsid w:val="00FD7BF0"/>
    <w:rsid w:val="00FD7FCE"/>
    <w:rsid w:val="00FE02D1"/>
    <w:rsid w:val="00FE032D"/>
    <w:rsid w:val="00FE0476"/>
    <w:rsid w:val="00FE04C0"/>
    <w:rsid w:val="00FE05F1"/>
    <w:rsid w:val="00FE0600"/>
    <w:rsid w:val="00FE0790"/>
    <w:rsid w:val="00FE0875"/>
    <w:rsid w:val="00FE088F"/>
    <w:rsid w:val="00FE096C"/>
    <w:rsid w:val="00FE09C3"/>
    <w:rsid w:val="00FE09C8"/>
    <w:rsid w:val="00FE09FD"/>
    <w:rsid w:val="00FE0D9A"/>
    <w:rsid w:val="00FE1164"/>
    <w:rsid w:val="00FE1187"/>
    <w:rsid w:val="00FE1417"/>
    <w:rsid w:val="00FE15E2"/>
    <w:rsid w:val="00FE1672"/>
    <w:rsid w:val="00FE16D4"/>
    <w:rsid w:val="00FE1857"/>
    <w:rsid w:val="00FE18AA"/>
    <w:rsid w:val="00FE1DD8"/>
    <w:rsid w:val="00FE2087"/>
    <w:rsid w:val="00FE208E"/>
    <w:rsid w:val="00FE214B"/>
    <w:rsid w:val="00FE22F3"/>
    <w:rsid w:val="00FE2311"/>
    <w:rsid w:val="00FE23C6"/>
    <w:rsid w:val="00FE2485"/>
    <w:rsid w:val="00FE2487"/>
    <w:rsid w:val="00FE248D"/>
    <w:rsid w:val="00FE253A"/>
    <w:rsid w:val="00FE288B"/>
    <w:rsid w:val="00FE28C3"/>
    <w:rsid w:val="00FE2B24"/>
    <w:rsid w:val="00FE2B91"/>
    <w:rsid w:val="00FE2D35"/>
    <w:rsid w:val="00FE2D64"/>
    <w:rsid w:val="00FE2FD8"/>
    <w:rsid w:val="00FE311B"/>
    <w:rsid w:val="00FE340F"/>
    <w:rsid w:val="00FE34BF"/>
    <w:rsid w:val="00FE3614"/>
    <w:rsid w:val="00FE3643"/>
    <w:rsid w:val="00FE3786"/>
    <w:rsid w:val="00FE3815"/>
    <w:rsid w:val="00FE3919"/>
    <w:rsid w:val="00FE3A25"/>
    <w:rsid w:val="00FE3A37"/>
    <w:rsid w:val="00FE3DE9"/>
    <w:rsid w:val="00FE3ED8"/>
    <w:rsid w:val="00FE3F85"/>
    <w:rsid w:val="00FE40C7"/>
    <w:rsid w:val="00FE412D"/>
    <w:rsid w:val="00FE42AB"/>
    <w:rsid w:val="00FE42CA"/>
    <w:rsid w:val="00FE4335"/>
    <w:rsid w:val="00FE434C"/>
    <w:rsid w:val="00FE43B6"/>
    <w:rsid w:val="00FE44AC"/>
    <w:rsid w:val="00FE44DD"/>
    <w:rsid w:val="00FE457A"/>
    <w:rsid w:val="00FE45D2"/>
    <w:rsid w:val="00FE45F8"/>
    <w:rsid w:val="00FE468A"/>
    <w:rsid w:val="00FE4722"/>
    <w:rsid w:val="00FE475E"/>
    <w:rsid w:val="00FE47DF"/>
    <w:rsid w:val="00FE48DB"/>
    <w:rsid w:val="00FE4ACE"/>
    <w:rsid w:val="00FE4B6F"/>
    <w:rsid w:val="00FE4D9F"/>
    <w:rsid w:val="00FE4E70"/>
    <w:rsid w:val="00FE4E99"/>
    <w:rsid w:val="00FE4F4F"/>
    <w:rsid w:val="00FE4FD7"/>
    <w:rsid w:val="00FE505D"/>
    <w:rsid w:val="00FE530B"/>
    <w:rsid w:val="00FE5398"/>
    <w:rsid w:val="00FE54B8"/>
    <w:rsid w:val="00FE54FD"/>
    <w:rsid w:val="00FE550D"/>
    <w:rsid w:val="00FE5784"/>
    <w:rsid w:val="00FE5832"/>
    <w:rsid w:val="00FE5910"/>
    <w:rsid w:val="00FE5AF5"/>
    <w:rsid w:val="00FE5B82"/>
    <w:rsid w:val="00FE5D8E"/>
    <w:rsid w:val="00FE5F17"/>
    <w:rsid w:val="00FE6018"/>
    <w:rsid w:val="00FE6199"/>
    <w:rsid w:val="00FE6283"/>
    <w:rsid w:val="00FE6296"/>
    <w:rsid w:val="00FE62F2"/>
    <w:rsid w:val="00FE62FC"/>
    <w:rsid w:val="00FE6311"/>
    <w:rsid w:val="00FE6411"/>
    <w:rsid w:val="00FE652B"/>
    <w:rsid w:val="00FE6616"/>
    <w:rsid w:val="00FE6999"/>
    <w:rsid w:val="00FE6A25"/>
    <w:rsid w:val="00FE6AEB"/>
    <w:rsid w:val="00FE6B78"/>
    <w:rsid w:val="00FE6C37"/>
    <w:rsid w:val="00FE6EE2"/>
    <w:rsid w:val="00FE7058"/>
    <w:rsid w:val="00FE715C"/>
    <w:rsid w:val="00FE726F"/>
    <w:rsid w:val="00FE74D8"/>
    <w:rsid w:val="00FE753C"/>
    <w:rsid w:val="00FE75DF"/>
    <w:rsid w:val="00FE764E"/>
    <w:rsid w:val="00FE799D"/>
    <w:rsid w:val="00FE7B23"/>
    <w:rsid w:val="00FE7C2B"/>
    <w:rsid w:val="00FE7ECD"/>
    <w:rsid w:val="00FF0050"/>
    <w:rsid w:val="00FF0350"/>
    <w:rsid w:val="00FF04E0"/>
    <w:rsid w:val="00FF04ED"/>
    <w:rsid w:val="00FF0731"/>
    <w:rsid w:val="00FF0DE8"/>
    <w:rsid w:val="00FF1077"/>
    <w:rsid w:val="00FF108B"/>
    <w:rsid w:val="00FF10C6"/>
    <w:rsid w:val="00FF1574"/>
    <w:rsid w:val="00FF1755"/>
    <w:rsid w:val="00FF1953"/>
    <w:rsid w:val="00FF19B0"/>
    <w:rsid w:val="00FF1A28"/>
    <w:rsid w:val="00FF1BB7"/>
    <w:rsid w:val="00FF1C1F"/>
    <w:rsid w:val="00FF1E30"/>
    <w:rsid w:val="00FF2100"/>
    <w:rsid w:val="00FF2804"/>
    <w:rsid w:val="00FF2C74"/>
    <w:rsid w:val="00FF2FA3"/>
    <w:rsid w:val="00FF2FBA"/>
    <w:rsid w:val="00FF30FB"/>
    <w:rsid w:val="00FF331D"/>
    <w:rsid w:val="00FF351B"/>
    <w:rsid w:val="00FF3535"/>
    <w:rsid w:val="00FF3803"/>
    <w:rsid w:val="00FF3834"/>
    <w:rsid w:val="00FF3843"/>
    <w:rsid w:val="00FF390B"/>
    <w:rsid w:val="00FF3A4D"/>
    <w:rsid w:val="00FF3AAA"/>
    <w:rsid w:val="00FF3EC9"/>
    <w:rsid w:val="00FF3F59"/>
    <w:rsid w:val="00FF413F"/>
    <w:rsid w:val="00FF43C8"/>
    <w:rsid w:val="00FF49C5"/>
    <w:rsid w:val="00FF4B70"/>
    <w:rsid w:val="00FF4C3B"/>
    <w:rsid w:val="00FF4C6A"/>
    <w:rsid w:val="00FF4D0D"/>
    <w:rsid w:val="00FF4D28"/>
    <w:rsid w:val="00FF4F00"/>
    <w:rsid w:val="00FF4F07"/>
    <w:rsid w:val="00FF4FFD"/>
    <w:rsid w:val="00FF5202"/>
    <w:rsid w:val="00FF55C8"/>
    <w:rsid w:val="00FF55E8"/>
    <w:rsid w:val="00FF571A"/>
    <w:rsid w:val="00FF586B"/>
    <w:rsid w:val="00FF5939"/>
    <w:rsid w:val="00FF5A32"/>
    <w:rsid w:val="00FF5A3A"/>
    <w:rsid w:val="00FF5ADA"/>
    <w:rsid w:val="00FF5EAD"/>
    <w:rsid w:val="00FF5F46"/>
    <w:rsid w:val="00FF6115"/>
    <w:rsid w:val="00FF6409"/>
    <w:rsid w:val="00FF6529"/>
    <w:rsid w:val="00FF653F"/>
    <w:rsid w:val="00FF656A"/>
    <w:rsid w:val="00FF656B"/>
    <w:rsid w:val="00FF6672"/>
    <w:rsid w:val="00FF6773"/>
    <w:rsid w:val="00FF69D0"/>
    <w:rsid w:val="00FF6B67"/>
    <w:rsid w:val="00FF6C04"/>
    <w:rsid w:val="00FF6D08"/>
    <w:rsid w:val="00FF7081"/>
    <w:rsid w:val="00FF7102"/>
    <w:rsid w:val="00FF7305"/>
    <w:rsid w:val="00FF7578"/>
    <w:rsid w:val="00FF77B1"/>
    <w:rsid w:val="00FF7828"/>
    <w:rsid w:val="00FF7832"/>
    <w:rsid w:val="00FF7856"/>
    <w:rsid w:val="00FF7915"/>
    <w:rsid w:val="00FF7C86"/>
    <w:rsid w:val="00FF7C90"/>
    <w:rsid w:val="00FF7D8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Theme="minorHAnsi" w:hAnsi="Calibri" w:cs="Times New Roman"/>
        <w:color w:val="62777F" w:themeColor="text1"/>
        <w:lang w:val="en-US" w:eastAsia="en-US" w:bidi="ar-SA"/>
      </w:rPr>
    </w:rPrDefault>
    <w:pPrDefault>
      <w:pPr>
        <w:spacing w:after="120" w:line="260" w:lineRule="atLeast"/>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uiPriority="0"/>
    <w:lsdException w:name="index 2" w:uiPriority="0"/>
    <w:lsdException w:name="index 3" w:uiPriority="0"/>
    <w:lsdException w:name="index 4" w:uiPriority="0"/>
    <w:lsdException w:name="index 5" w:uiPriority="0"/>
    <w:lsdException w:name="index 6" w:uiPriority="0"/>
    <w:lsdException w:name="index 7" w:uiPriority="0"/>
    <w:lsdException w:name="index 8" w:uiPriority="0"/>
    <w:lsdException w:name="index 9" w:uiPriority="0"/>
    <w:lsdException w:name="toc 1" w:uiPriority="39" w:qFormat="1"/>
    <w:lsdException w:name="toc 2" w:uiPriority="39" w:qFormat="1"/>
    <w:lsdException w:name="toc 3" w:uiPriority="39" w:qFormat="1"/>
    <w:lsdException w:name="toc 4" w:uiPriority="39" w:qFormat="1"/>
    <w:lsdException w:name="toc 5" w:uiPriority="39" w:qFormat="1"/>
    <w:lsdException w:name="toc 6" w:uiPriority="39" w:qFormat="1"/>
    <w:lsdException w:name="toc 7" w:uiPriority="39" w:qFormat="1"/>
    <w:lsdException w:name="toc 8" w:uiPriority="39" w:qFormat="1"/>
    <w:lsdException w:name="toc 9" w:uiPriority="39" w:qFormat="1"/>
    <w:lsdException w:name="Normal Indent" w:uiPriority="0"/>
    <w:lsdException w:name="footnote text" w:qFormat="1"/>
    <w:lsdException w:name="index heading" w:uiPriority="0"/>
    <w:lsdException w:name="caption" w:uiPriority="35" w:qFormat="1"/>
    <w:lsdException w:name="envelope address" w:uiPriority="0"/>
    <w:lsdException w:name="envelope return" w:uiPriority="0"/>
    <w:lsdException w:name="footnote reference" w:qFormat="1"/>
    <w:lsdException w:name="page number" w:uiPriority="0"/>
    <w:lsdException w:name="table of authorities" w:uiPriority="0"/>
    <w:lsdException w:name="macro" w:uiPriority="0"/>
    <w:lsdException w:name="toa heading" w:uiPriority="0"/>
    <w:lsdException w:name="List" w:uiPriority="0"/>
    <w:lsdException w:name="List Bullet" w:uiPriority="0"/>
    <w:lsdException w:name="List Number" w:uiPriority="0"/>
    <w:lsdException w:name="List 2" w:uiPriority="0"/>
    <w:lsdException w:name="List 3" w:uiPriority="0"/>
    <w:lsdException w:name="List 4" w:uiPriority="0"/>
    <w:lsdException w:name="List 5" w:uiPriority="0"/>
    <w:lsdException w:name="List Bullet 2" w:uiPriority="0"/>
    <w:lsdException w:name="List Bullet 3" w:uiPriority="0"/>
    <w:lsdException w:name="List Bullet 4" w:uiPriority="0"/>
    <w:lsdException w:name="List Bullet 5" w:uiPriority="0"/>
    <w:lsdException w:name="List Number 2" w:uiPriority="0"/>
    <w:lsdException w:name="List Number 3" w:uiPriority="0"/>
    <w:lsdException w:name="List Number 4" w:uiPriority="0"/>
    <w:lsdException w:name="List Number 5" w:uiPriority="0"/>
    <w:lsdException w:name="Title" w:semiHidden="0" w:uiPriority="0" w:unhideWhenUsed="0" w:qFormat="1"/>
    <w:lsdException w:name="Closing" w:uiPriority="0"/>
    <w:lsdException w:name="Signature" w:uiPriority="0"/>
    <w:lsdException w:name="Default Paragraph Font" w:uiPriority="1"/>
    <w:lsdException w:name="Body Text" w:uiPriority="0"/>
    <w:lsdException w:name="Body Text Indent" w:uiPriority="0"/>
    <w:lsdException w:name="List Continue" w:uiPriority="0"/>
    <w:lsdException w:name="List Continue 2" w:uiPriority="0"/>
    <w:lsdException w:name="List Continue 3" w:uiPriority="0"/>
    <w:lsdException w:name="List Continue 4" w:uiPriority="0"/>
    <w:lsdException w:name="List Continue 5" w:uiPriority="0"/>
    <w:lsdException w:name="Message Header" w:uiPriority="0"/>
    <w:lsdException w:name="Subtitle" w:semiHidden="0" w:uiPriority="0" w:unhideWhenUsed="0" w:qFormat="1"/>
    <w:lsdException w:name="Salutation" w:uiPriority="0"/>
    <w:lsdException w:name="Date" w:uiPriority="0"/>
    <w:lsdException w:name="Body Text First Indent" w:uiPriority="0"/>
    <w:lsdException w:name="Body Text First Indent 2" w:uiPriority="0"/>
    <w:lsdException w:name="Note Heading" w:uiPriority="0"/>
    <w:lsdException w:name="Body Text 2" w:uiPriority="0"/>
    <w:lsdException w:name="Body Text 3" w:uiPriority="0"/>
    <w:lsdException w:name="Body Text Indent 2" w:uiPriority="0"/>
    <w:lsdException w:name="Body Text Indent 3" w:uiPriority="0"/>
    <w:lsdException w:name="Block Text" w:uiPriority="0" w:qFormat="1"/>
    <w:lsdException w:name="FollowedHyperlink" w:uiPriority="0"/>
    <w:lsdException w:name="Strong" w:semiHidden="0" w:uiPriority="22" w:unhideWhenUsed="0" w:qFormat="1"/>
    <w:lsdException w:name="Emphasis" w:semiHidden="0" w:uiPriority="0" w:unhideWhenUsed="0" w:qFormat="1"/>
    <w:lsdException w:name="Document Map" w:uiPriority="0"/>
    <w:lsdException w:name="E-mail Signature" w:uiPriority="0"/>
    <w:lsdException w:name="HTML Address" w:uiPriority="0"/>
    <w:lsdException w:name="HTML Definition" w:uiPriority="0"/>
    <w:lsdException w:name="HTML Preformatted" w:uiPriority="0"/>
    <w:lsdException w:name="Balloon Text"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qFormat="1"/>
    <w:lsdException w:name="TOC Heading" w:uiPriority="39" w:qFormat="1"/>
  </w:latentStyles>
  <w:style w:type="paragraph" w:default="1" w:styleId="Normal">
    <w:name w:val="Normal"/>
    <w:qFormat/>
    <w:rsid w:val="001F78DF"/>
    <w:pPr>
      <w:spacing w:after="240"/>
    </w:pPr>
    <w:rPr>
      <w:rFonts w:ascii="Cambria" w:hAnsi="Cambria"/>
      <w:color w:val="auto"/>
    </w:rPr>
  </w:style>
  <w:style w:type="paragraph" w:styleId="Heading1">
    <w:name w:val="heading 1"/>
    <w:basedOn w:val="Normal"/>
    <w:next w:val="Normal"/>
    <w:link w:val="Heading1Char9"/>
    <w:qFormat/>
    <w:rsid w:val="00D945E2"/>
    <w:pPr>
      <w:keepNext/>
      <w:keepLines/>
      <w:pageBreakBefore/>
      <w:numPr>
        <w:numId w:val="26"/>
      </w:numPr>
      <w:outlineLvl w:val="0"/>
    </w:pPr>
    <w:rPr>
      <w:rFonts w:ascii="Calibri" w:eastAsiaTheme="majorEastAsia" w:hAnsi="Calibri" w:cstheme="majorBidi"/>
      <w:b/>
      <w:bCs/>
      <w:color w:val="1795D2" w:themeColor="accent1"/>
      <w:sz w:val="36"/>
      <w:szCs w:val="28"/>
    </w:rPr>
  </w:style>
  <w:style w:type="paragraph" w:styleId="Heading2">
    <w:name w:val="heading 2"/>
    <w:basedOn w:val="Normal"/>
    <w:next w:val="Normal"/>
    <w:link w:val="Heading2Char10"/>
    <w:unhideWhenUsed/>
    <w:qFormat/>
    <w:rsid w:val="00B62AF0"/>
    <w:pPr>
      <w:keepNext/>
      <w:keepLines/>
      <w:numPr>
        <w:ilvl w:val="1"/>
        <w:numId w:val="26"/>
      </w:numPr>
      <w:pBdr>
        <w:bottom w:val="single" w:sz="2" w:space="1" w:color="auto"/>
      </w:pBdr>
      <w:spacing w:after="120"/>
      <w:outlineLvl w:val="1"/>
    </w:pPr>
    <w:rPr>
      <w:rFonts w:ascii="Calibri" w:eastAsiaTheme="majorEastAsia" w:hAnsi="Calibri" w:cstheme="majorBidi"/>
      <w:b/>
      <w:bCs/>
      <w:sz w:val="24"/>
      <w:szCs w:val="26"/>
    </w:rPr>
  </w:style>
  <w:style w:type="paragraph" w:styleId="Heading3">
    <w:name w:val="heading 3"/>
    <w:basedOn w:val="Normal"/>
    <w:next w:val="Normal"/>
    <w:link w:val="Heading3Char17"/>
    <w:unhideWhenUsed/>
    <w:qFormat/>
    <w:rsid w:val="00AD30BF"/>
    <w:pPr>
      <w:keepNext/>
      <w:keepLines/>
      <w:numPr>
        <w:ilvl w:val="2"/>
        <w:numId w:val="26"/>
      </w:numPr>
      <w:spacing w:after="120"/>
      <w:outlineLvl w:val="2"/>
    </w:pPr>
    <w:rPr>
      <w:rFonts w:ascii="Calibri" w:eastAsiaTheme="majorEastAsia" w:hAnsi="Calibri" w:cstheme="majorBidi"/>
      <w:b/>
      <w:bCs/>
    </w:rPr>
  </w:style>
  <w:style w:type="paragraph" w:styleId="Heading4">
    <w:name w:val="heading 4"/>
    <w:basedOn w:val="Normal"/>
    <w:next w:val="Normal"/>
    <w:link w:val="Heading4Char10"/>
    <w:unhideWhenUsed/>
    <w:qFormat/>
    <w:rsid w:val="00A72CA4"/>
    <w:pPr>
      <w:keepNext/>
      <w:keepLines/>
      <w:numPr>
        <w:ilvl w:val="3"/>
        <w:numId w:val="26"/>
      </w:numPr>
      <w:spacing w:after="120"/>
      <w:outlineLvl w:val="3"/>
    </w:pPr>
    <w:rPr>
      <w:rFonts w:ascii="Calibri" w:eastAsiaTheme="majorEastAsia" w:hAnsi="Calibri" w:cstheme="majorBidi"/>
      <w:bCs/>
      <w:i/>
      <w:iCs/>
    </w:rPr>
  </w:style>
  <w:style w:type="paragraph" w:styleId="Heading5">
    <w:name w:val="heading 5"/>
    <w:basedOn w:val="Normal"/>
    <w:next w:val="Normal"/>
    <w:link w:val="Heading5Char"/>
    <w:autoRedefine/>
    <w:unhideWhenUsed/>
    <w:qFormat/>
    <w:rsid w:val="00AC69C3"/>
    <w:pPr>
      <w:keepNext/>
      <w:keepLines/>
      <w:numPr>
        <w:ilvl w:val="4"/>
        <w:numId w:val="26"/>
      </w:numPr>
      <w:spacing w:before="200"/>
      <w:outlineLvl w:val="4"/>
    </w:pPr>
    <w:rPr>
      <w:rFonts w:eastAsiaTheme="majorEastAsia" w:cstheme="majorBidi"/>
    </w:rPr>
  </w:style>
  <w:style w:type="paragraph" w:styleId="Heading6">
    <w:name w:val="heading 6"/>
    <w:basedOn w:val="Normal"/>
    <w:next w:val="Normal"/>
    <w:link w:val="Heading6Char"/>
    <w:autoRedefine/>
    <w:unhideWhenUsed/>
    <w:qFormat/>
    <w:rsid w:val="00AC69C3"/>
    <w:pPr>
      <w:keepNext/>
      <w:keepLines/>
      <w:numPr>
        <w:ilvl w:val="5"/>
        <w:numId w:val="26"/>
      </w:numPr>
      <w:spacing w:before="200"/>
      <w:outlineLvl w:val="5"/>
    </w:pPr>
    <w:rPr>
      <w:rFonts w:eastAsiaTheme="majorEastAsia" w:cstheme="majorBidi"/>
      <w:i/>
      <w:iCs/>
      <w:color w:val="0B4968" w:themeColor="accent1" w:themeShade="7F"/>
    </w:rPr>
  </w:style>
  <w:style w:type="paragraph" w:styleId="Heading7">
    <w:name w:val="heading 7"/>
    <w:basedOn w:val="Normal"/>
    <w:next w:val="Normal"/>
    <w:link w:val="Heading7Char"/>
    <w:autoRedefine/>
    <w:unhideWhenUsed/>
    <w:qFormat/>
    <w:rsid w:val="00AC69C3"/>
    <w:pPr>
      <w:keepNext/>
      <w:keepLines/>
      <w:numPr>
        <w:ilvl w:val="6"/>
        <w:numId w:val="26"/>
      </w:numPr>
      <w:spacing w:before="200"/>
      <w:outlineLvl w:val="6"/>
    </w:pPr>
    <w:rPr>
      <w:rFonts w:eastAsiaTheme="majorEastAsia" w:cstheme="majorBidi"/>
      <w:i/>
      <w:iCs/>
      <w:color w:val="869AA2" w:themeColor="text1" w:themeTint="BF"/>
    </w:rPr>
  </w:style>
  <w:style w:type="paragraph" w:styleId="Heading8">
    <w:name w:val="heading 8"/>
    <w:basedOn w:val="Normal"/>
    <w:next w:val="Normal"/>
    <w:link w:val="Heading8Char"/>
    <w:autoRedefine/>
    <w:unhideWhenUsed/>
    <w:qFormat/>
    <w:rsid w:val="00AC69C3"/>
    <w:pPr>
      <w:keepNext/>
      <w:keepLines/>
      <w:numPr>
        <w:ilvl w:val="7"/>
        <w:numId w:val="26"/>
      </w:numPr>
      <w:spacing w:before="200"/>
      <w:outlineLvl w:val="7"/>
    </w:pPr>
    <w:rPr>
      <w:rFonts w:eastAsiaTheme="majorEastAsia" w:cstheme="majorBidi"/>
      <w:color w:val="869AA2" w:themeColor="text1" w:themeTint="BF"/>
    </w:rPr>
  </w:style>
  <w:style w:type="paragraph" w:styleId="Heading9">
    <w:name w:val="heading 9"/>
    <w:basedOn w:val="Normal"/>
    <w:next w:val="Normal"/>
    <w:link w:val="Heading9Char"/>
    <w:autoRedefine/>
    <w:unhideWhenUsed/>
    <w:qFormat/>
    <w:rsid w:val="00AC69C3"/>
    <w:pPr>
      <w:keepNext/>
      <w:keepLines/>
      <w:numPr>
        <w:ilvl w:val="8"/>
        <w:numId w:val="26"/>
      </w:numPr>
      <w:spacing w:before="200"/>
      <w:outlineLvl w:val="8"/>
    </w:pPr>
    <w:rPr>
      <w:rFonts w:eastAsiaTheme="majorEastAsia" w:cstheme="majorBidi"/>
      <w:i/>
      <w:iCs/>
      <w:color w:val="869AA2" w:themeColor="text1" w:themeTint="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numbering" w:customStyle="1" w:styleId="CurrentList1">
    <w:name w:val="Current List1"/>
    <w:rsid w:val="00D56240"/>
  </w:style>
  <w:style w:type="character" w:customStyle="1" w:styleId="Heading1Char">
    <w:name w:val="Heading 1 Char"/>
    <w:basedOn w:val="DefaultParagraphFont"/>
    <w:rsid w:val="009845AD"/>
    <w:rPr>
      <w:rFonts w:ascii="Calibri" w:eastAsia="Times New Roman" w:hAnsi="Calibri" w:cs="Times New Roman"/>
      <w:b/>
      <w:bCs/>
      <w:color w:val="1E6A9A" w:themeColor="text2"/>
      <w:sz w:val="32"/>
      <w:szCs w:val="36"/>
    </w:rPr>
  </w:style>
  <w:style w:type="character" w:customStyle="1" w:styleId="Heading2Char">
    <w:name w:val="Heading 2 Char"/>
    <w:basedOn w:val="DefaultParagraphFont"/>
    <w:rsid w:val="009C2478"/>
    <w:rPr>
      <w:rFonts w:asciiTheme="minorHAnsi" w:eastAsia="Times New Roman" w:hAnsiTheme="minorHAnsi"/>
      <w:b/>
      <w:color w:val="62777F" w:themeColor="text1"/>
      <w:sz w:val="24"/>
      <w:szCs w:val="28"/>
    </w:rPr>
  </w:style>
  <w:style w:type="character" w:customStyle="1" w:styleId="Heading3Char">
    <w:name w:val="Heading 3 Char"/>
    <w:basedOn w:val="DefaultParagraphFont"/>
    <w:rsid w:val="00E70B45"/>
    <w:rPr>
      <w:rFonts w:cs="Arial"/>
      <w:b/>
      <w:color w:val="62777F" w:themeColor="text1"/>
      <w:sz w:val="20"/>
      <w:szCs w:val="20"/>
    </w:rPr>
  </w:style>
  <w:style w:type="character" w:customStyle="1" w:styleId="Heading4Char">
    <w:name w:val="Heading 4 Char"/>
    <w:basedOn w:val="DefaultParagraphFont"/>
    <w:rsid w:val="00473FBA"/>
    <w:rPr>
      <w:rFonts w:ascii="Calibri" w:hAnsi="Calibri"/>
      <w:i/>
      <w:iCs/>
      <w:color w:val="62777F" w:themeColor="text1"/>
      <w:sz w:val="20"/>
      <w:szCs w:val="20"/>
    </w:rPr>
  </w:style>
  <w:style w:type="paragraph" w:styleId="Title">
    <w:name w:val="Title"/>
    <w:basedOn w:val="Normal"/>
    <w:next w:val="Normal"/>
    <w:link w:val="TitleChar"/>
    <w:autoRedefine/>
    <w:qFormat/>
    <w:rsid w:val="00AC69C3"/>
    <w:pPr>
      <w:pBdr>
        <w:bottom w:val="single" w:sz="12" w:space="4" w:color="auto"/>
      </w:pBdr>
      <w:spacing w:after="300" w:line="240" w:lineRule="auto"/>
      <w:contextualSpacing/>
    </w:pPr>
    <w:rPr>
      <w:rFonts w:eastAsiaTheme="majorEastAsia" w:cstheme="majorBidi"/>
      <w:spacing w:val="5"/>
      <w:kern w:val="28"/>
      <w:sz w:val="52"/>
      <w:szCs w:val="52"/>
    </w:rPr>
  </w:style>
  <w:style w:type="character" w:customStyle="1" w:styleId="TitleChar">
    <w:name w:val="Title Char"/>
    <w:basedOn w:val="DefaultParagraphFont"/>
    <w:link w:val="Title"/>
    <w:rsid w:val="00AC69C3"/>
    <w:rPr>
      <w:rFonts w:ascii="Times New Roman" w:eastAsiaTheme="majorEastAsia" w:hAnsi="Times New Roman" w:cstheme="majorBidi"/>
      <w:spacing w:val="5"/>
      <w:kern w:val="28"/>
      <w:sz w:val="52"/>
      <w:szCs w:val="52"/>
    </w:rPr>
  </w:style>
  <w:style w:type="character" w:styleId="IntenseEmphasis">
    <w:name w:val="Intense Emphasis"/>
    <w:basedOn w:val="DefaultParagraphFont"/>
    <w:uiPriority w:val="21"/>
    <w:qFormat/>
    <w:rsid w:val="00AC69C3"/>
    <w:rPr>
      <w:rFonts w:ascii="Arial" w:hAnsi="Arial"/>
      <w:b/>
      <w:bCs/>
      <w:i/>
      <w:iCs/>
      <w:color w:val="auto"/>
    </w:rPr>
  </w:style>
  <w:style w:type="paragraph" w:styleId="Subtitle">
    <w:name w:val="Subtitle"/>
    <w:basedOn w:val="Normal"/>
    <w:next w:val="Normal"/>
    <w:link w:val="SubtitleChar"/>
    <w:autoRedefine/>
    <w:qFormat/>
    <w:rsid w:val="00AC69C3"/>
    <w:pPr>
      <w:numPr>
        <w:ilvl w:val="1"/>
      </w:numPr>
    </w:pPr>
    <w:rPr>
      <w:rFonts w:eastAsiaTheme="majorEastAsia" w:cstheme="majorBidi"/>
      <w:i/>
      <w:iCs/>
      <w:spacing w:val="15"/>
      <w:sz w:val="24"/>
      <w:szCs w:val="24"/>
    </w:rPr>
  </w:style>
  <w:style w:type="character" w:customStyle="1" w:styleId="SubtitleChar">
    <w:name w:val="Subtitle Char"/>
    <w:basedOn w:val="DefaultParagraphFont"/>
    <w:link w:val="Subtitle"/>
    <w:rsid w:val="00AC69C3"/>
    <w:rPr>
      <w:rFonts w:ascii="Times New Roman" w:eastAsiaTheme="majorEastAsia" w:hAnsi="Times New Roman" w:cstheme="majorBidi"/>
      <w:i/>
      <w:iCs/>
      <w:spacing w:val="15"/>
      <w:sz w:val="24"/>
      <w:szCs w:val="24"/>
    </w:rPr>
  </w:style>
  <w:style w:type="character" w:styleId="SubtleEmphasis">
    <w:name w:val="Subtle Emphasis"/>
    <w:basedOn w:val="DefaultParagraphFont"/>
    <w:uiPriority w:val="19"/>
    <w:qFormat/>
    <w:rsid w:val="00AC69C3"/>
    <w:rPr>
      <w:rFonts w:ascii="Times New Roman" w:hAnsi="Times New Roman"/>
      <w:i/>
      <w:iCs/>
      <w:color w:val="AEBCC1" w:themeColor="text1" w:themeTint="7F"/>
    </w:rPr>
  </w:style>
  <w:style w:type="character" w:customStyle="1" w:styleId="Heading5Char">
    <w:name w:val="Heading 5 Char"/>
    <w:basedOn w:val="DefaultParagraphFont"/>
    <w:link w:val="Heading5"/>
    <w:rsid w:val="00AC69C3"/>
    <w:rPr>
      <w:rFonts w:ascii="Cambria" w:eastAsiaTheme="majorEastAsia" w:hAnsi="Cambria" w:cstheme="majorBidi"/>
      <w:color w:val="auto"/>
    </w:rPr>
  </w:style>
  <w:style w:type="paragraph" w:styleId="IntenseQuote">
    <w:name w:val="Intense Quote"/>
    <w:basedOn w:val="Normal"/>
    <w:next w:val="Normal"/>
    <w:link w:val="IntenseQuoteChar"/>
    <w:autoRedefine/>
    <w:uiPriority w:val="30"/>
    <w:qFormat/>
    <w:rsid w:val="00AC69C3"/>
    <w:pPr>
      <w:spacing w:before="200" w:after="280"/>
      <w:ind w:left="936" w:right="936"/>
    </w:pPr>
    <w:rPr>
      <w:b/>
      <w:bCs/>
      <w:i/>
      <w:iCs/>
      <w:color w:val="AEBBC0" w:themeColor="text1" w:themeTint="80"/>
    </w:rPr>
  </w:style>
  <w:style w:type="character" w:customStyle="1" w:styleId="IntenseQuoteChar">
    <w:name w:val="Intense Quote Char"/>
    <w:basedOn w:val="DefaultParagraphFont"/>
    <w:link w:val="IntenseQuote"/>
    <w:uiPriority w:val="30"/>
    <w:rsid w:val="00AC69C3"/>
    <w:rPr>
      <w:rFonts w:ascii="Times New Roman" w:hAnsi="Times New Roman"/>
      <w:b/>
      <w:bCs/>
      <w:i/>
      <w:iCs/>
      <w:color w:val="AEBBC0" w:themeColor="text1" w:themeTint="80"/>
    </w:rPr>
  </w:style>
  <w:style w:type="character" w:styleId="BookTitle">
    <w:name w:val="Book Title"/>
    <w:basedOn w:val="DefaultParagraphFont"/>
    <w:uiPriority w:val="33"/>
    <w:qFormat/>
    <w:rsid w:val="00AC69C3"/>
    <w:rPr>
      <w:rFonts w:ascii="Arial" w:hAnsi="Arial"/>
      <w:b/>
      <w:bCs/>
      <w:smallCaps/>
      <w:spacing w:val="5"/>
    </w:rPr>
  </w:style>
  <w:style w:type="character" w:styleId="IntenseReference">
    <w:name w:val="Intense Reference"/>
    <w:basedOn w:val="DefaultParagraphFont"/>
    <w:uiPriority w:val="32"/>
    <w:qFormat/>
    <w:rsid w:val="00AC69C3"/>
    <w:rPr>
      <w:rFonts w:ascii="Arial" w:hAnsi="Arial"/>
      <w:b/>
      <w:bCs/>
      <w:smallCaps/>
      <w:color w:val="8555A1" w:themeColor="accent2"/>
      <w:spacing w:val="5"/>
      <w:u w:val="single"/>
    </w:rPr>
  </w:style>
  <w:style w:type="character" w:styleId="SubtleReference">
    <w:name w:val="Subtle Reference"/>
    <w:basedOn w:val="DefaultParagraphFont"/>
    <w:uiPriority w:val="31"/>
    <w:qFormat/>
    <w:rsid w:val="00AC69C3"/>
    <w:rPr>
      <w:rFonts w:ascii="Arial" w:hAnsi="Arial"/>
      <w:smallCaps/>
      <w:color w:val="8555A1" w:themeColor="accent2"/>
      <w:u w:val="single"/>
    </w:rPr>
  </w:style>
  <w:style w:type="paragraph" w:styleId="Quote">
    <w:name w:val="Quote"/>
    <w:basedOn w:val="Normal"/>
    <w:next w:val="Normal"/>
    <w:link w:val="QuoteChar"/>
    <w:autoRedefine/>
    <w:uiPriority w:val="29"/>
    <w:qFormat/>
    <w:rsid w:val="00AC69C3"/>
    <w:rPr>
      <w:i/>
      <w:iCs/>
    </w:rPr>
  </w:style>
  <w:style w:type="character" w:customStyle="1" w:styleId="QuoteChar">
    <w:name w:val="Quote Char"/>
    <w:basedOn w:val="DefaultParagraphFont"/>
    <w:link w:val="Quote"/>
    <w:uiPriority w:val="29"/>
    <w:rsid w:val="00AC69C3"/>
    <w:rPr>
      <w:rFonts w:ascii="Times New Roman" w:hAnsi="Times New Roman"/>
      <w:i/>
      <w:iCs/>
      <w:color w:val="62777F" w:themeColor="text1"/>
    </w:rPr>
  </w:style>
  <w:style w:type="character" w:styleId="Strong">
    <w:name w:val="Strong"/>
    <w:basedOn w:val="DefaultParagraphFont"/>
    <w:uiPriority w:val="22"/>
    <w:qFormat/>
    <w:rsid w:val="00AC69C3"/>
    <w:rPr>
      <w:b/>
      <w:bCs/>
    </w:rPr>
  </w:style>
  <w:style w:type="paragraph" w:styleId="NoSpacing">
    <w:name w:val="No Spacing"/>
    <w:link w:val="NoSpacingChar"/>
    <w:autoRedefine/>
    <w:uiPriority w:val="1"/>
    <w:qFormat/>
    <w:rsid w:val="00437B98"/>
    <w:pPr>
      <w:numPr>
        <w:numId w:val="22"/>
      </w:numPr>
      <w:spacing w:after="240"/>
    </w:pPr>
    <w:rPr>
      <w:rFonts w:asciiTheme="majorHAnsi" w:hAnsiTheme="majorHAnsi"/>
    </w:rPr>
  </w:style>
  <w:style w:type="character" w:customStyle="1" w:styleId="Heading6Char">
    <w:name w:val="Heading 6 Char"/>
    <w:basedOn w:val="DefaultParagraphFont"/>
    <w:link w:val="Heading6"/>
    <w:rsid w:val="00AC69C3"/>
    <w:rPr>
      <w:rFonts w:ascii="Cambria" w:eastAsiaTheme="majorEastAsia" w:hAnsi="Cambria" w:cstheme="majorBidi"/>
      <w:i/>
      <w:iCs/>
      <w:color w:val="0B4968" w:themeColor="accent1" w:themeShade="7F"/>
    </w:rPr>
  </w:style>
  <w:style w:type="character" w:customStyle="1" w:styleId="Heading7Char">
    <w:name w:val="Heading 7 Char"/>
    <w:basedOn w:val="DefaultParagraphFont"/>
    <w:link w:val="Heading7"/>
    <w:rsid w:val="00AC69C3"/>
    <w:rPr>
      <w:rFonts w:ascii="Cambria" w:eastAsiaTheme="majorEastAsia" w:hAnsi="Cambria" w:cstheme="majorBidi"/>
      <w:i/>
      <w:iCs/>
      <w:color w:val="869AA2" w:themeColor="text1" w:themeTint="BF"/>
    </w:rPr>
  </w:style>
  <w:style w:type="character" w:customStyle="1" w:styleId="Heading8Char">
    <w:name w:val="Heading 8 Char"/>
    <w:basedOn w:val="DefaultParagraphFont"/>
    <w:link w:val="Heading8"/>
    <w:rsid w:val="00AC69C3"/>
    <w:rPr>
      <w:rFonts w:ascii="Cambria" w:eastAsiaTheme="majorEastAsia" w:hAnsi="Cambria" w:cstheme="majorBidi"/>
      <w:color w:val="869AA2" w:themeColor="text1" w:themeTint="BF"/>
    </w:rPr>
  </w:style>
  <w:style w:type="character" w:customStyle="1" w:styleId="Heading9Char">
    <w:name w:val="Heading 9 Char"/>
    <w:basedOn w:val="DefaultParagraphFont"/>
    <w:link w:val="Heading9"/>
    <w:rsid w:val="00AC69C3"/>
    <w:rPr>
      <w:rFonts w:ascii="Cambria" w:eastAsiaTheme="majorEastAsia" w:hAnsi="Cambria" w:cstheme="majorBidi"/>
      <w:i/>
      <w:iCs/>
      <w:color w:val="869AA2" w:themeColor="text1" w:themeTint="BF"/>
    </w:rPr>
  </w:style>
  <w:style w:type="character" w:customStyle="1" w:styleId="Heading1Char2">
    <w:name w:val="Heading 1 Char2"/>
    <w:basedOn w:val="DefaultParagraphFont"/>
    <w:rsid w:val="006B5C31"/>
    <w:rPr>
      <w:rFonts w:ascii="Calibri" w:eastAsiaTheme="majorEastAsia" w:hAnsi="Calibri" w:cstheme="majorBidi"/>
      <w:b/>
      <w:bCs/>
      <w:color w:val="0070C0"/>
      <w:sz w:val="36"/>
      <w:szCs w:val="28"/>
    </w:rPr>
  </w:style>
  <w:style w:type="paragraph" w:styleId="Bibliography">
    <w:name w:val="Bibliography"/>
    <w:basedOn w:val="Normal"/>
    <w:next w:val="Normal"/>
    <w:autoRedefine/>
    <w:uiPriority w:val="37"/>
    <w:semiHidden/>
    <w:unhideWhenUsed/>
    <w:qFormat/>
    <w:rsid w:val="00AC69C3"/>
  </w:style>
  <w:style w:type="character" w:customStyle="1" w:styleId="Heading3Char7">
    <w:name w:val="Heading 3 Char7"/>
    <w:basedOn w:val="DefaultParagraphFont"/>
    <w:rsid w:val="006B5C31"/>
    <w:rPr>
      <w:rFonts w:ascii="Calibri" w:eastAsiaTheme="majorEastAsia" w:hAnsi="Calibri" w:cstheme="majorBidi"/>
      <w:b/>
      <w:bCs/>
    </w:rPr>
  </w:style>
  <w:style w:type="paragraph" w:styleId="TOC2">
    <w:name w:val="toc 2"/>
    <w:basedOn w:val="Normal"/>
    <w:next w:val="Normal"/>
    <w:autoRedefine/>
    <w:uiPriority w:val="39"/>
    <w:unhideWhenUsed/>
    <w:qFormat/>
    <w:rsid w:val="00D945E2"/>
    <w:pPr>
      <w:tabs>
        <w:tab w:val="right" w:leader="dot" w:pos="9360"/>
      </w:tabs>
      <w:spacing w:after="120" w:line="240" w:lineRule="auto"/>
    </w:pPr>
    <w:rPr>
      <w:rFonts w:asciiTheme="majorHAnsi" w:eastAsiaTheme="majorEastAsia" w:hAnsiTheme="majorHAnsi" w:cstheme="majorBidi"/>
      <w:bCs/>
      <w:iCs/>
      <w:noProof/>
      <w14:scene3d>
        <w14:camera w14:prst="orthographicFront"/>
        <w14:lightRig w14:rig="threePt" w14:dir="t">
          <w14:rot w14:lat="0" w14:lon="0" w14:rev="0"/>
        </w14:lightRig>
      </w14:scene3d>
    </w:rPr>
  </w:style>
  <w:style w:type="paragraph" w:styleId="TOC3">
    <w:name w:val="toc 3"/>
    <w:basedOn w:val="Normal"/>
    <w:next w:val="Normal"/>
    <w:autoRedefine/>
    <w:uiPriority w:val="39"/>
    <w:unhideWhenUsed/>
    <w:qFormat/>
    <w:rsid w:val="005852D8"/>
    <w:pPr>
      <w:tabs>
        <w:tab w:val="right" w:leader="dot" w:pos="9360"/>
        <w:tab w:val="right" w:leader="dot" w:pos="9450"/>
      </w:tabs>
      <w:spacing w:after="40"/>
      <w:ind w:left="907" w:hanging="547"/>
    </w:pPr>
    <w:rPr>
      <w:rFonts w:ascii="Calibri" w:eastAsiaTheme="majorEastAsia" w:hAnsi="Calibri" w:cstheme="majorBidi"/>
      <w:noProof/>
      <w14:scene3d>
        <w14:camera w14:prst="orthographicFront"/>
        <w14:lightRig w14:rig="threePt" w14:dir="t">
          <w14:rot w14:lat="0" w14:lon="0" w14:rev="0"/>
        </w14:lightRig>
      </w14:scene3d>
    </w:rPr>
  </w:style>
  <w:style w:type="paragraph" w:styleId="TOC4">
    <w:name w:val="toc 4"/>
    <w:basedOn w:val="Normal"/>
    <w:next w:val="Normal"/>
    <w:autoRedefine/>
    <w:uiPriority w:val="39"/>
    <w:unhideWhenUsed/>
    <w:qFormat/>
    <w:rsid w:val="00AC69C3"/>
    <w:pPr>
      <w:ind w:left="360"/>
    </w:pPr>
  </w:style>
  <w:style w:type="paragraph" w:styleId="TOC5">
    <w:name w:val="toc 5"/>
    <w:basedOn w:val="Normal"/>
    <w:next w:val="Normal"/>
    <w:autoRedefine/>
    <w:uiPriority w:val="39"/>
    <w:unhideWhenUsed/>
    <w:qFormat/>
    <w:rsid w:val="00AC69C3"/>
    <w:pPr>
      <w:ind w:left="360"/>
    </w:pPr>
  </w:style>
  <w:style w:type="paragraph" w:styleId="TOC6">
    <w:name w:val="toc 6"/>
    <w:basedOn w:val="Normal"/>
    <w:next w:val="Normal"/>
    <w:autoRedefine/>
    <w:uiPriority w:val="39"/>
    <w:unhideWhenUsed/>
    <w:qFormat/>
    <w:rsid w:val="00AC69C3"/>
    <w:pPr>
      <w:ind w:left="360"/>
    </w:pPr>
    <w:rPr>
      <w:rFonts w:ascii="Arial" w:hAnsi="Arial"/>
      <w:sz w:val="18"/>
    </w:rPr>
  </w:style>
  <w:style w:type="paragraph" w:styleId="TOC7">
    <w:name w:val="toc 7"/>
    <w:basedOn w:val="Normal"/>
    <w:next w:val="Normal"/>
    <w:autoRedefine/>
    <w:uiPriority w:val="39"/>
    <w:unhideWhenUsed/>
    <w:qFormat/>
    <w:rsid w:val="00AC69C3"/>
    <w:pPr>
      <w:ind w:left="360"/>
    </w:pPr>
    <w:rPr>
      <w:sz w:val="18"/>
    </w:rPr>
  </w:style>
  <w:style w:type="paragraph" w:styleId="TOC9">
    <w:name w:val="toc 9"/>
    <w:basedOn w:val="Normal"/>
    <w:next w:val="Normal"/>
    <w:autoRedefine/>
    <w:uiPriority w:val="39"/>
    <w:unhideWhenUsed/>
    <w:qFormat/>
    <w:rsid w:val="00AC69C3"/>
    <w:pPr>
      <w:ind w:left="360"/>
    </w:pPr>
    <w:rPr>
      <w:rFonts w:ascii="Arial" w:hAnsi="Arial"/>
      <w:i/>
      <w:sz w:val="18"/>
    </w:rPr>
  </w:style>
  <w:style w:type="paragraph" w:styleId="TOC8">
    <w:name w:val="toc 8"/>
    <w:basedOn w:val="Normal"/>
    <w:next w:val="Normal"/>
    <w:autoRedefine/>
    <w:uiPriority w:val="39"/>
    <w:unhideWhenUsed/>
    <w:qFormat/>
    <w:rsid w:val="00AC69C3"/>
    <w:pPr>
      <w:ind w:left="360"/>
    </w:pPr>
    <w:rPr>
      <w:i/>
      <w:sz w:val="18"/>
    </w:rPr>
  </w:style>
  <w:style w:type="paragraph" w:styleId="TOCHeading">
    <w:name w:val="TOC Heading"/>
    <w:basedOn w:val="Normal"/>
    <w:next w:val="Normal"/>
    <w:autoRedefine/>
    <w:uiPriority w:val="39"/>
    <w:unhideWhenUsed/>
    <w:qFormat/>
    <w:rsid w:val="00E239B3"/>
    <w:pPr>
      <w:keepLines/>
      <w:spacing w:after="480"/>
    </w:pPr>
    <w:rPr>
      <w:rFonts w:eastAsiaTheme="majorEastAsia" w:cs="Arial"/>
      <w:szCs w:val="28"/>
    </w:rPr>
  </w:style>
  <w:style w:type="paragraph" w:styleId="BalloonText">
    <w:name w:val="Balloon Text"/>
    <w:basedOn w:val="Normal"/>
    <w:link w:val="BalloonTextChar"/>
    <w:autoRedefine/>
    <w:uiPriority w:val="99"/>
    <w:semiHidden/>
    <w:unhideWhenUsed/>
    <w:qFormat/>
    <w:rsid w:val="00AC69C3"/>
    <w:pPr>
      <w:spacing w:line="240" w:lineRule="auto"/>
    </w:pPr>
    <w:rPr>
      <w:rFonts w:ascii="Arial" w:hAnsi="Arial" w:cs="Tahoma"/>
      <w:sz w:val="16"/>
      <w:szCs w:val="16"/>
    </w:rPr>
  </w:style>
  <w:style w:type="character" w:customStyle="1" w:styleId="BalloonTextChar">
    <w:name w:val="Balloon Text Char"/>
    <w:basedOn w:val="DefaultParagraphFont"/>
    <w:link w:val="BalloonText"/>
    <w:uiPriority w:val="99"/>
    <w:semiHidden/>
    <w:rsid w:val="00AC69C3"/>
    <w:rPr>
      <w:rFonts w:ascii="Arial" w:hAnsi="Arial" w:cs="Tahoma"/>
      <w:sz w:val="16"/>
      <w:szCs w:val="16"/>
    </w:rPr>
  </w:style>
  <w:style w:type="paragraph" w:styleId="BlockText">
    <w:name w:val="Block Text"/>
    <w:basedOn w:val="Normal"/>
    <w:autoRedefine/>
    <w:semiHidden/>
    <w:unhideWhenUsed/>
    <w:qFormat/>
    <w:rsid w:val="00AC69C3"/>
    <w:pPr>
      <w:keepLines/>
      <w:pBdr>
        <w:top w:val="single" w:sz="12" w:space="10" w:color="auto"/>
        <w:left w:val="single" w:sz="12" w:space="10" w:color="auto"/>
        <w:bottom w:val="single" w:sz="12" w:space="10" w:color="auto"/>
        <w:right w:val="single" w:sz="12" w:space="10" w:color="auto"/>
      </w:pBdr>
      <w:ind w:left="1152" w:right="1152"/>
    </w:pPr>
    <w:rPr>
      <w:rFonts w:ascii="Arial" w:eastAsiaTheme="minorEastAsia" w:hAnsi="Arial"/>
      <w:i/>
      <w:iCs/>
    </w:rPr>
  </w:style>
  <w:style w:type="paragraph" w:styleId="BodyText">
    <w:name w:val="Body Text"/>
    <w:aliases w:val="b"/>
    <w:basedOn w:val="Normal"/>
    <w:link w:val="BodyTextChar"/>
    <w:autoRedefine/>
    <w:unhideWhenUsed/>
    <w:rsid w:val="00AC69C3"/>
  </w:style>
  <w:style w:type="character" w:customStyle="1" w:styleId="BodyTextChar">
    <w:name w:val="Body Text Char"/>
    <w:aliases w:val="b Char1"/>
    <w:basedOn w:val="DefaultParagraphFont"/>
    <w:link w:val="BodyText"/>
    <w:rsid w:val="00AC69C3"/>
    <w:rPr>
      <w:rFonts w:ascii="Times New Roman" w:hAnsi="Times New Roman"/>
    </w:rPr>
  </w:style>
  <w:style w:type="paragraph" w:styleId="BodyText2">
    <w:name w:val="Body Text 2"/>
    <w:basedOn w:val="Normal"/>
    <w:link w:val="BodyText2Char"/>
    <w:autoRedefine/>
    <w:unhideWhenUsed/>
    <w:rsid w:val="00AC69C3"/>
    <w:pPr>
      <w:spacing w:after="120" w:line="480" w:lineRule="auto"/>
    </w:pPr>
  </w:style>
  <w:style w:type="character" w:customStyle="1" w:styleId="BodyText2Char">
    <w:name w:val="Body Text 2 Char"/>
    <w:basedOn w:val="DefaultParagraphFont"/>
    <w:link w:val="BodyText2"/>
    <w:rsid w:val="00AC69C3"/>
    <w:rPr>
      <w:rFonts w:ascii="Times New Roman" w:hAnsi="Times New Roman"/>
    </w:rPr>
  </w:style>
  <w:style w:type="paragraph" w:styleId="BodyText3">
    <w:name w:val="Body Text 3"/>
    <w:basedOn w:val="Normal"/>
    <w:link w:val="BodyText3Char"/>
    <w:autoRedefine/>
    <w:unhideWhenUsed/>
    <w:rsid w:val="005D729D"/>
    <w:pPr>
      <w:spacing w:after="120"/>
    </w:pPr>
    <w:rPr>
      <w:sz w:val="18"/>
      <w:szCs w:val="16"/>
    </w:rPr>
  </w:style>
  <w:style w:type="character" w:customStyle="1" w:styleId="BodyText3Char">
    <w:name w:val="Body Text 3 Char"/>
    <w:basedOn w:val="DefaultParagraphFont"/>
    <w:link w:val="BodyText3"/>
    <w:rsid w:val="005D729D"/>
    <w:rPr>
      <w:rFonts w:ascii="Times New Roman" w:hAnsi="Times New Roman"/>
      <w:sz w:val="18"/>
      <w:szCs w:val="16"/>
    </w:rPr>
  </w:style>
  <w:style w:type="paragraph" w:styleId="BodyTextFirstIndent">
    <w:name w:val="Body Text First Indent"/>
    <w:basedOn w:val="BodyText"/>
    <w:link w:val="BodyTextFirstIndentChar"/>
    <w:autoRedefine/>
    <w:unhideWhenUsed/>
    <w:rsid w:val="005D729D"/>
    <w:pPr>
      <w:spacing w:after="0"/>
      <w:ind w:left="360"/>
    </w:pPr>
  </w:style>
  <w:style w:type="character" w:customStyle="1" w:styleId="BodyTextFirstIndentChar">
    <w:name w:val="Body Text First Indent Char"/>
    <w:basedOn w:val="BodyTextChar"/>
    <w:link w:val="BodyTextFirstIndent"/>
    <w:rsid w:val="005D729D"/>
    <w:rPr>
      <w:rFonts w:ascii="Times New Roman" w:hAnsi="Times New Roman"/>
    </w:rPr>
  </w:style>
  <w:style w:type="paragraph" w:styleId="BodyTextIndent">
    <w:name w:val="Body Text Indent"/>
    <w:basedOn w:val="Normal"/>
    <w:link w:val="BodyTextIndentChar"/>
    <w:unhideWhenUsed/>
    <w:rsid w:val="00AC69C3"/>
    <w:pPr>
      <w:spacing w:after="120"/>
      <w:ind w:left="360"/>
    </w:pPr>
  </w:style>
  <w:style w:type="character" w:customStyle="1" w:styleId="BodyTextIndentChar">
    <w:name w:val="Body Text Indent Char"/>
    <w:basedOn w:val="DefaultParagraphFont"/>
    <w:link w:val="BodyTextIndent"/>
    <w:rsid w:val="00AC69C3"/>
    <w:rPr>
      <w:rFonts w:ascii="Times New Roman" w:hAnsi="Times New Roman"/>
    </w:rPr>
  </w:style>
  <w:style w:type="paragraph" w:styleId="BodyTextFirstIndent2">
    <w:name w:val="Body Text First Indent 2"/>
    <w:basedOn w:val="BodyTextIndent"/>
    <w:link w:val="BodyTextFirstIndent2Char"/>
    <w:autoRedefine/>
    <w:unhideWhenUsed/>
    <w:rsid w:val="00AC69C3"/>
    <w:pPr>
      <w:spacing w:after="0"/>
      <w:ind w:left="720"/>
    </w:pPr>
  </w:style>
  <w:style w:type="character" w:customStyle="1" w:styleId="BodyTextFirstIndent2Char">
    <w:name w:val="Body Text First Indent 2 Char"/>
    <w:basedOn w:val="BodyTextIndentChar"/>
    <w:link w:val="BodyTextFirstIndent2"/>
    <w:rsid w:val="00AC69C3"/>
    <w:rPr>
      <w:rFonts w:ascii="Times New Roman" w:hAnsi="Times New Roman"/>
    </w:rPr>
  </w:style>
  <w:style w:type="character" w:styleId="Hyperlink">
    <w:name w:val="Hyperlink"/>
    <w:basedOn w:val="DefaultParagraphFont"/>
    <w:uiPriority w:val="99"/>
    <w:unhideWhenUsed/>
    <w:rsid w:val="00A44AD1"/>
    <w:rPr>
      <w:color w:val="000000"/>
      <w:u w:val="none"/>
    </w:rPr>
  </w:style>
  <w:style w:type="paragraph" w:customStyle="1" w:styleId="ISOBodyCopy">
    <w:name w:val="ISO Body Copy"/>
    <w:basedOn w:val="Normal"/>
    <w:link w:val="ISOBodyCopyChar"/>
    <w:rsid w:val="00196ECD"/>
    <w:rPr>
      <w:rFonts w:eastAsia="Times New Roman"/>
    </w:rPr>
  </w:style>
  <w:style w:type="character" w:customStyle="1" w:styleId="FootnoteTextChar">
    <w:name w:val="Footnote Text Char"/>
    <w:aliases w:val="ft Char,Footnote Text Char1 Char,Footnote Text Char Char Char,fn Char Char Char,Footnote Text Char1 Char1 Char Char,Footnote Text Char Char Char1 Char Char,Footnote Text Char1 Char Char Char Char,Footnote Text Char Char1 Char,fn Char"/>
    <w:basedOn w:val="DefaultParagraphFont"/>
    <w:uiPriority w:val="99"/>
    <w:qFormat/>
    <w:rsid w:val="00125D52"/>
    <w:rPr>
      <w:rFonts w:asciiTheme="majorHAnsi" w:eastAsia="Times New Roman" w:hAnsiTheme="majorHAnsi"/>
      <w:color w:val="auto"/>
      <w:sz w:val="18"/>
      <w:szCs w:val="18"/>
    </w:rPr>
  </w:style>
  <w:style w:type="paragraph" w:customStyle="1" w:styleId="ISOBulletList">
    <w:name w:val="ISO Bullet List"/>
    <w:basedOn w:val="Normal"/>
    <w:rsid w:val="00196ECD"/>
    <w:pPr>
      <w:numPr>
        <w:numId w:val="2"/>
      </w:numPr>
      <w:spacing w:after="120"/>
    </w:pPr>
    <w:rPr>
      <w:rFonts w:eastAsia="Times New Roman"/>
    </w:rPr>
  </w:style>
  <w:style w:type="character" w:styleId="CommentReference">
    <w:name w:val="annotation reference"/>
    <w:basedOn w:val="DefaultParagraphFont"/>
    <w:uiPriority w:val="99"/>
    <w:rsid w:val="00196ECD"/>
    <w:rPr>
      <w:rFonts w:cs="Times New Roman"/>
      <w:sz w:val="16"/>
      <w:szCs w:val="16"/>
    </w:rPr>
  </w:style>
  <w:style w:type="paragraph" w:styleId="CommentText">
    <w:name w:val="annotation text"/>
    <w:basedOn w:val="Normal"/>
    <w:link w:val="CommentTextChar"/>
    <w:uiPriority w:val="99"/>
    <w:rsid w:val="00196ECD"/>
    <w:pPr>
      <w:spacing w:line="240" w:lineRule="auto"/>
    </w:pPr>
    <w:rPr>
      <w:rFonts w:eastAsia="Times New Roman"/>
    </w:rPr>
  </w:style>
  <w:style w:type="character" w:customStyle="1" w:styleId="CommentTextChar">
    <w:name w:val="Comment Text Char"/>
    <w:basedOn w:val="DefaultParagraphFont"/>
    <w:link w:val="CommentText"/>
    <w:uiPriority w:val="99"/>
    <w:rsid w:val="00196ECD"/>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rsid w:val="00196ECD"/>
    <w:rPr>
      <w:b/>
      <w:bCs/>
    </w:rPr>
  </w:style>
  <w:style w:type="character" w:customStyle="1" w:styleId="CommentSubjectChar">
    <w:name w:val="Comment Subject Char"/>
    <w:basedOn w:val="CommentTextChar"/>
    <w:link w:val="CommentSubject"/>
    <w:uiPriority w:val="99"/>
    <w:semiHidden/>
    <w:rsid w:val="00196ECD"/>
    <w:rPr>
      <w:rFonts w:ascii="Times New Roman" w:eastAsia="Times New Roman" w:hAnsi="Times New Roman" w:cs="Times New Roman"/>
      <w:b/>
      <w:bCs/>
      <w:sz w:val="20"/>
      <w:szCs w:val="20"/>
    </w:rPr>
  </w:style>
  <w:style w:type="character" w:customStyle="1" w:styleId="Heading1Char7">
    <w:name w:val="Heading 1 Char7"/>
    <w:basedOn w:val="DefaultParagraphFont"/>
    <w:rsid w:val="00A66C3B"/>
    <w:rPr>
      <w:rFonts w:eastAsiaTheme="majorEastAsia" w:cstheme="majorBidi"/>
      <w:b/>
      <w:bCs/>
      <w:color w:val="0070C0"/>
      <w:sz w:val="36"/>
      <w:szCs w:val="28"/>
    </w:rPr>
  </w:style>
  <w:style w:type="paragraph" w:styleId="NormalWeb">
    <w:name w:val="Normal (Web)"/>
    <w:basedOn w:val="Normal"/>
    <w:uiPriority w:val="99"/>
    <w:rsid w:val="00196ECD"/>
    <w:pPr>
      <w:spacing w:before="100" w:beforeAutospacing="1" w:after="100" w:afterAutospacing="1" w:line="240" w:lineRule="auto"/>
    </w:pPr>
    <w:rPr>
      <w:rFonts w:eastAsia="Times New Roman"/>
      <w:sz w:val="24"/>
      <w:szCs w:val="24"/>
    </w:rPr>
  </w:style>
  <w:style w:type="character" w:customStyle="1" w:styleId="EmailStyle802">
    <w:name w:val="EmailStyle802"/>
    <w:basedOn w:val="DefaultParagraphFont"/>
    <w:semiHidden/>
    <w:rsid w:val="00196ECD"/>
    <w:rPr>
      <w:rFonts w:ascii="Arial" w:hAnsi="Arial" w:cs="Arial"/>
      <w:color w:val="993366"/>
      <w:sz w:val="20"/>
    </w:rPr>
  </w:style>
  <w:style w:type="paragraph" w:customStyle="1" w:styleId="ISOBullets2">
    <w:name w:val="ISO Bullets 2"/>
    <w:basedOn w:val="Normal"/>
    <w:rsid w:val="00196ECD"/>
    <w:pPr>
      <w:numPr>
        <w:numId w:val="3"/>
      </w:numPr>
      <w:spacing w:line="240" w:lineRule="auto"/>
    </w:pPr>
    <w:rPr>
      <w:rFonts w:eastAsia="Times New Roman"/>
    </w:rPr>
  </w:style>
  <w:style w:type="paragraph" w:styleId="DocumentMap">
    <w:name w:val="Document Map"/>
    <w:basedOn w:val="Normal"/>
    <w:link w:val="DocumentMapChar"/>
    <w:semiHidden/>
    <w:rsid w:val="00196ECD"/>
    <w:pPr>
      <w:shd w:val="clear" w:color="auto" w:fill="000080"/>
    </w:pPr>
    <w:rPr>
      <w:rFonts w:ascii="Tahoma" w:eastAsia="Times New Roman" w:hAnsi="Tahoma" w:cs="Tahoma"/>
    </w:rPr>
  </w:style>
  <w:style w:type="character" w:customStyle="1" w:styleId="DocumentMapChar">
    <w:name w:val="Document Map Char"/>
    <w:basedOn w:val="DefaultParagraphFont"/>
    <w:link w:val="DocumentMap"/>
    <w:semiHidden/>
    <w:rsid w:val="00196ECD"/>
    <w:rPr>
      <w:rFonts w:ascii="Tahoma" w:eastAsia="Times New Roman" w:hAnsi="Tahoma" w:cs="Tahoma"/>
      <w:szCs w:val="20"/>
      <w:shd w:val="clear" w:color="auto" w:fill="000080"/>
    </w:rPr>
  </w:style>
  <w:style w:type="paragraph" w:customStyle="1" w:styleId="TofCHeading">
    <w:name w:val="TofCHeading"/>
    <w:basedOn w:val="Normal"/>
    <w:rsid w:val="00196ECD"/>
    <w:pPr>
      <w:spacing w:line="240" w:lineRule="auto"/>
      <w:jc w:val="center"/>
      <w:outlineLvl w:val="0"/>
    </w:pPr>
    <w:rPr>
      <w:rFonts w:ascii="Arial" w:eastAsia="Times New Roman" w:hAnsi="Arial" w:cs="Arial"/>
      <w:b/>
      <w:bCs/>
      <w:sz w:val="36"/>
      <w:szCs w:val="24"/>
    </w:rPr>
  </w:style>
  <w:style w:type="character" w:styleId="FootnoteReference">
    <w:name w:val="footnote reference"/>
    <w:aliases w:val="o,Style 17,fr,Style 13,Style 12,Style 15,Style 9,o1,fr1,o2,fr2,o3,fr3,Style 18,(NECG) Footnote Reference,Style 20,Style 7,Style 8,Style 19,Style 32,o + Times New Roman,Style 16,StyFootnote Reference,Style 11,Style 28,Styl"/>
    <w:basedOn w:val="DefaultParagraphFont"/>
    <w:uiPriority w:val="99"/>
    <w:qFormat/>
    <w:rsid w:val="0084532F"/>
    <w:rPr>
      <w:rFonts w:ascii="Cambria" w:hAnsi="Cambria" w:cs="Times New Roman"/>
      <w:dstrike w:val="0"/>
      <w:sz w:val="20"/>
      <w:vertAlign w:val="superscript"/>
    </w:rPr>
  </w:style>
  <w:style w:type="paragraph" w:customStyle="1" w:styleId="Caption-Table">
    <w:name w:val="Caption-Table"/>
    <w:basedOn w:val="Normal"/>
    <w:autoRedefine/>
    <w:rsid w:val="002A7F89"/>
    <w:pPr>
      <w:spacing w:after="60"/>
    </w:pPr>
    <w:rPr>
      <w:rFonts w:eastAsia="Times New Roman" w:cs="Arial"/>
      <w:bCs/>
      <w:szCs w:val="22"/>
    </w:rPr>
  </w:style>
  <w:style w:type="paragraph" w:customStyle="1" w:styleId="TableNote">
    <w:name w:val="Table Note"/>
    <w:rsid w:val="00196ECD"/>
    <w:pPr>
      <w:keepNext/>
      <w:spacing w:before="80" w:after="0" w:line="240" w:lineRule="auto"/>
    </w:pPr>
    <w:rPr>
      <w:rFonts w:ascii="Arial" w:eastAsia="Times New Roman" w:hAnsi="Arial"/>
      <w:sz w:val="16"/>
    </w:rPr>
  </w:style>
  <w:style w:type="character" w:styleId="EndnoteReference">
    <w:name w:val="endnote reference"/>
    <w:basedOn w:val="DefaultParagraphFont"/>
    <w:uiPriority w:val="99"/>
    <w:semiHidden/>
    <w:rsid w:val="00196ECD"/>
    <w:rPr>
      <w:rFonts w:cs="Times New Roman"/>
      <w:vertAlign w:val="superscript"/>
    </w:rPr>
  </w:style>
  <w:style w:type="paragraph" w:customStyle="1" w:styleId="StyleNormalBefore0pt">
    <w:name w:val="Style Normal + Before:  0 pt"/>
    <w:basedOn w:val="Normal"/>
    <w:link w:val="StyleNormalBefore0ptChar"/>
    <w:rsid w:val="00196ECD"/>
    <w:pPr>
      <w:tabs>
        <w:tab w:val="num" w:pos="720"/>
      </w:tabs>
      <w:adjustRightInd w:val="0"/>
      <w:spacing w:after="120"/>
      <w:ind w:left="720" w:hanging="360"/>
      <w:textAlignment w:val="baseline"/>
    </w:pPr>
    <w:rPr>
      <w:rFonts w:eastAsia="Times New Roman"/>
    </w:rPr>
  </w:style>
  <w:style w:type="paragraph" w:customStyle="1" w:styleId="TablefontHeading">
    <w:name w:val="TablefontHeading"/>
    <w:basedOn w:val="Tablefont"/>
    <w:rsid w:val="00196ECD"/>
    <w:pPr>
      <w:jc w:val="center"/>
    </w:pPr>
    <w:rPr>
      <w:rFonts w:eastAsia="Arial Unicode MS"/>
      <w:b/>
      <w:bCs/>
      <w:szCs w:val="16"/>
    </w:rPr>
  </w:style>
  <w:style w:type="paragraph" w:customStyle="1" w:styleId="Tablefont">
    <w:name w:val="Tablefont"/>
    <w:basedOn w:val="Normal"/>
    <w:rsid w:val="00196ECD"/>
    <w:pPr>
      <w:keepNext/>
      <w:keepLines/>
      <w:spacing w:before="40" w:after="20" w:line="240" w:lineRule="auto"/>
    </w:pPr>
    <w:rPr>
      <w:rFonts w:ascii="Arial" w:eastAsia="Times New Roman" w:hAnsi="Arial"/>
      <w:sz w:val="16"/>
      <w:szCs w:val="24"/>
    </w:rPr>
  </w:style>
  <w:style w:type="paragraph" w:customStyle="1" w:styleId="Tablefont-num">
    <w:name w:val="Tablefont-num"/>
    <w:basedOn w:val="Tablefont"/>
    <w:rsid w:val="00196ECD"/>
    <w:pPr>
      <w:ind w:right="144"/>
      <w:jc w:val="right"/>
    </w:pPr>
  </w:style>
  <w:style w:type="paragraph" w:customStyle="1" w:styleId="TableTop">
    <w:name w:val="TableTop"/>
    <w:basedOn w:val="Normal"/>
    <w:rsid w:val="00196ECD"/>
    <w:pPr>
      <w:keepNext/>
      <w:keepLines/>
      <w:tabs>
        <w:tab w:val="left" w:pos="2880"/>
        <w:tab w:val="right" w:pos="8550"/>
      </w:tabs>
      <w:spacing w:before="240" w:line="240" w:lineRule="auto"/>
    </w:pPr>
    <w:rPr>
      <w:rFonts w:ascii="Arial" w:eastAsia="Times New Roman" w:hAnsi="Arial" w:cs="Arial"/>
      <w:b/>
      <w:bCs/>
      <w:szCs w:val="24"/>
    </w:rPr>
  </w:style>
  <w:style w:type="paragraph" w:styleId="Footer">
    <w:name w:val="footer"/>
    <w:basedOn w:val="Normal"/>
    <w:link w:val="FooterChar"/>
    <w:uiPriority w:val="99"/>
    <w:rsid w:val="00675B9F"/>
    <w:pPr>
      <w:tabs>
        <w:tab w:val="center" w:pos="4500"/>
        <w:tab w:val="right" w:pos="9360"/>
      </w:tabs>
      <w:spacing w:line="240" w:lineRule="auto"/>
      <w:ind w:right="-360"/>
    </w:pPr>
    <w:rPr>
      <w:rFonts w:eastAsia="Times New Roman"/>
      <w:sz w:val="18"/>
      <w:szCs w:val="24"/>
    </w:rPr>
  </w:style>
  <w:style w:type="character" w:customStyle="1" w:styleId="FooterChar">
    <w:name w:val="Footer Char"/>
    <w:basedOn w:val="DefaultParagraphFont"/>
    <w:link w:val="Footer"/>
    <w:uiPriority w:val="99"/>
    <w:rsid w:val="00675B9F"/>
    <w:rPr>
      <w:rFonts w:ascii="Times New Roman" w:eastAsia="Times New Roman" w:hAnsi="Times New Roman" w:cs="Times New Roman"/>
      <w:sz w:val="18"/>
      <w:szCs w:val="24"/>
    </w:rPr>
  </w:style>
  <w:style w:type="paragraph" w:styleId="Header">
    <w:name w:val="header"/>
    <w:basedOn w:val="Normal"/>
    <w:link w:val="HeaderChar"/>
    <w:uiPriority w:val="99"/>
    <w:rsid w:val="00196ECD"/>
    <w:pPr>
      <w:tabs>
        <w:tab w:val="center" w:pos="4320"/>
        <w:tab w:val="right" w:pos="8640"/>
      </w:tabs>
      <w:spacing w:after="360" w:line="240" w:lineRule="auto"/>
      <w:jc w:val="center"/>
    </w:pPr>
    <w:rPr>
      <w:rFonts w:eastAsia="Times New Roman"/>
      <w:sz w:val="16"/>
      <w:szCs w:val="16"/>
    </w:rPr>
  </w:style>
  <w:style w:type="character" w:customStyle="1" w:styleId="HeaderChar">
    <w:name w:val="Header Char"/>
    <w:basedOn w:val="DefaultParagraphFont"/>
    <w:link w:val="Header"/>
    <w:uiPriority w:val="99"/>
    <w:rsid w:val="00196ECD"/>
    <w:rPr>
      <w:rFonts w:ascii="Times New Roman" w:eastAsia="Times New Roman" w:hAnsi="Times New Roman" w:cs="Times New Roman"/>
      <w:sz w:val="16"/>
      <w:szCs w:val="16"/>
    </w:rPr>
  </w:style>
  <w:style w:type="character" w:styleId="FollowedHyperlink">
    <w:name w:val="FollowedHyperlink"/>
    <w:basedOn w:val="DefaultParagraphFont"/>
    <w:rsid w:val="00196ECD"/>
    <w:rPr>
      <w:rFonts w:cs="Times New Roman"/>
      <w:color w:val="800080"/>
      <w:u w:val="single"/>
    </w:rPr>
  </w:style>
  <w:style w:type="paragraph" w:customStyle="1" w:styleId="body">
    <w:name w:val="body"/>
    <w:basedOn w:val="Normal"/>
    <w:uiPriority w:val="99"/>
    <w:rsid w:val="004935E3"/>
    <w:pPr>
      <w:widowControl w:val="0"/>
      <w:suppressAutoHyphens/>
      <w:autoSpaceDE w:val="0"/>
      <w:autoSpaceDN w:val="0"/>
      <w:adjustRightInd w:val="0"/>
      <w:spacing w:before="260" w:after="0"/>
      <w:textAlignment w:val="center"/>
    </w:pPr>
    <w:rPr>
      <w:rFonts w:ascii="Whitney-Book" w:eastAsiaTheme="minorEastAsia" w:hAnsi="Whitney-Book" w:cs="Whitney-Book"/>
      <w:color w:val="000000"/>
      <w:sz w:val="18"/>
      <w:szCs w:val="18"/>
    </w:rPr>
  </w:style>
  <w:style w:type="character" w:customStyle="1" w:styleId="StyleNormalBefore0ptChar">
    <w:name w:val="Style Normal + Before:  0 pt Char"/>
    <w:basedOn w:val="DefaultParagraphFont"/>
    <w:link w:val="StyleNormalBefore0pt"/>
    <w:locked/>
    <w:rsid w:val="00196ECD"/>
    <w:rPr>
      <w:rFonts w:ascii="Times New Roman" w:eastAsia="Times New Roman" w:hAnsi="Times New Roman" w:cs="Times New Roman"/>
    </w:rPr>
  </w:style>
  <w:style w:type="paragraph" w:customStyle="1" w:styleId="ISOFootnoteText">
    <w:name w:val="ISO Footnote Text"/>
    <w:basedOn w:val="Normal"/>
    <w:rsid w:val="00196ECD"/>
    <w:pPr>
      <w:ind w:left="144" w:hanging="144"/>
    </w:pPr>
  </w:style>
  <w:style w:type="paragraph" w:customStyle="1" w:styleId="TableText">
    <w:name w:val="Table Text"/>
    <w:basedOn w:val="Normal"/>
    <w:autoRedefine/>
    <w:rsid w:val="00196ECD"/>
    <w:pPr>
      <w:spacing w:before="60" w:after="60" w:line="240" w:lineRule="auto"/>
      <w:jc w:val="center"/>
    </w:pPr>
    <w:rPr>
      <w:rFonts w:ascii="Arial" w:eastAsia="Times New Roman" w:hAnsi="Arial" w:cs="Arial"/>
      <w:color w:val="000000"/>
      <w:sz w:val="18"/>
      <w:szCs w:val="24"/>
    </w:rPr>
  </w:style>
  <w:style w:type="paragraph" w:customStyle="1" w:styleId="TableTextLeftCol">
    <w:name w:val="Table Text Left Col"/>
    <w:basedOn w:val="Normal"/>
    <w:rsid w:val="00196ECD"/>
    <w:pPr>
      <w:spacing w:before="60" w:after="60" w:line="240" w:lineRule="auto"/>
    </w:pPr>
    <w:rPr>
      <w:rFonts w:ascii="Arial" w:eastAsia="Times New Roman" w:hAnsi="Arial" w:cs="Arial"/>
      <w:b/>
      <w:bCs/>
      <w:color w:val="000000"/>
      <w:sz w:val="18"/>
      <w:szCs w:val="24"/>
    </w:rPr>
  </w:style>
  <w:style w:type="paragraph" w:customStyle="1" w:styleId="ISOHeader2">
    <w:name w:val="ISO Header 2"/>
    <w:basedOn w:val="Normal"/>
    <w:rsid w:val="00196ECD"/>
    <w:pPr>
      <w:keepNext/>
      <w:spacing w:before="240" w:after="120"/>
      <w:outlineLvl w:val="1"/>
    </w:pPr>
    <w:rPr>
      <w:rFonts w:ascii="Arial" w:eastAsia="Times New Roman" w:hAnsi="Arial"/>
      <w:b/>
      <w:sz w:val="28"/>
      <w:u w:val="single"/>
    </w:rPr>
  </w:style>
  <w:style w:type="paragraph" w:customStyle="1" w:styleId="ISOChapterSectionTitle">
    <w:name w:val="ISO Chapter/Section Title"/>
    <w:basedOn w:val="Title"/>
    <w:rsid w:val="00196ECD"/>
    <w:pPr>
      <w:pageBreakBefore/>
      <w:pBdr>
        <w:bottom w:val="none" w:sz="0" w:space="0" w:color="auto"/>
      </w:pBdr>
      <w:spacing w:before="80" w:after="240" w:line="260" w:lineRule="atLeast"/>
      <w:contextualSpacing w:val="0"/>
    </w:pPr>
    <w:rPr>
      <w:rFonts w:ascii="Arial" w:eastAsia="Times New Roman" w:hAnsi="Arial" w:cs="Times New Roman"/>
      <w:b/>
      <w:spacing w:val="0"/>
      <w:kern w:val="0"/>
      <w:sz w:val="36"/>
      <w:szCs w:val="20"/>
    </w:rPr>
  </w:style>
  <w:style w:type="paragraph" w:customStyle="1" w:styleId="ISOHeading4">
    <w:name w:val="ISO Heading 4"/>
    <w:basedOn w:val="Normal"/>
    <w:rsid w:val="00196ECD"/>
    <w:pPr>
      <w:spacing w:line="240" w:lineRule="atLeast"/>
    </w:pPr>
    <w:rPr>
      <w:bCs/>
    </w:rPr>
  </w:style>
  <w:style w:type="paragraph" w:customStyle="1" w:styleId="ISOHeading3">
    <w:name w:val="ISO Heading 3"/>
    <w:basedOn w:val="Normal"/>
    <w:autoRedefine/>
    <w:rsid w:val="00196ECD"/>
    <w:pPr>
      <w:spacing w:line="240" w:lineRule="atLeast"/>
    </w:pPr>
    <w:rPr>
      <w:rFonts w:ascii="Times New Roman" w:hAnsi="Times New Roman"/>
      <w:b/>
    </w:rPr>
  </w:style>
  <w:style w:type="paragraph" w:customStyle="1" w:styleId="Table-FigureBox">
    <w:name w:val="Table-FigureBox"/>
    <w:basedOn w:val="Normal"/>
    <w:rsid w:val="00196ECD"/>
    <w:pPr>
      <w:spacing w:before="240" w:after="120" w:line="240" w:lineRule="auto"/>
      <w:jc w:val="center"/>
    </w:pPr>
    <w:rPr>
      <w:rFonts w:ascii="Arial" w:eastAsia="Times New Roman" w:hAnsi="Arial"/>
      <w:noProof/>
      <w:sz w:val="24"/>
      <w:szCs w:val="24"/>
    </w:rPr>
  </w:style>
  <w:style w:type="paragraph" w:customStyle="1" w:styleId="TableHeaderText">
    <w:name w:val="Table Header Text"/>
    <w:basedOn w:val="Normal"/>
    <w:rsid w:val="00196ECD"/>
    <w:pPr>
      <w:keepNext/>
      <w:keepLines/>
      <w:spacing w:before="120" w:after="40" w:line="240" w:lineRule="auto"/>
      <w:jc w:val="center"/>
    </w:pPr>
    <w:rPr>
      <w:rFonts w:ascii="Arial" w:eastAsia="Times New Roman" w:hAnsi="Arial" w:cs="Arial"/>
      <w:b/>
      <w:bCs/>
      <w:szCs w:val="24"/>
    </w:rPr>
  </w:style>
  <w:style w:type="paragraph" w:styleId="ListBullet2">
    <w:name w:val="List Bullet 2"/>
    <w:basedOn w:val="Normal"/>
    <w:autoRedefine/>
    <w:rsid w:val="00196ECD"/>
    <w:pPr>
      <w:tabs>
        <w:tab w:val="num" w:pos="1080"/>
      </w:tabs>
      <w:spacing w:line="240" w:lineRule="auto"/>
      <w:ind w:left="1080" w:hanging="360"/>
    </w:pPr>
    <w:rPr>
      <w:rFonts w:eastAsia="Times New Roman"/>
      <w:sz w:val="24"/>
      <w:szCs w:val="24"/>
    </w:rPr>
  </w:style>
  <w:style w:type="character" w:customStyle="1" w:styleId="EmailStyle1112">
    <w:name w:val="EmailStyle1112"/>
    <w:basedOn w:val="DefaultParagraphFont"/>
    <w:semiHidden/>
    <w:rsid w:val="00196ECD"/>
    <w:rPr>
      <w:rFonts w:ascii="Arial" w:hAnsi="Arial" w:cs="Arial"/>
      <w:color w:val="000080"/>
      <w:sz w:val="20"/>
    </w:rPr>
  </w:style>
  <w:style w:type="paragraph" w:customStyle="1" w:styleId="Notes">
    <w:name w:val="Notes"/>
    <w:basedOn w:val="Normal"/>
    <w:rsid w:val="00196ECD"/>
    <w:pPr>
      <w:spacing w:after="480" w:line="240" w:lineRule="auto"/>
      <w:ind w:left="432" w:hanging="101"/>
    </w:pPr>
    <w:rPr>
      <w:rFonts w:ascii="Arial" w:eastAsia="Times New Roman" w:hAnsi="Arial" w:cs="Arial"/>
      <w:sz w:val="16"/>
      <w:szCs w:val="24"/>
    </w:rPr>
  </w:style>
  <w:style w:type="paragraph" w:customStyle="1" w:styleId="StyleCaption-FigureLeft0">
    <w:name w:val="Style Caption-Figure + Left:  0&quot;"/>
    <w:basedOn w:val="Normal"/>
    <w:autoRedefine/>
    <w:rsid w:val="00196ECD"/>
    <w:rPr>
      <w:b/>
    </w:rPr>
  </w:style>
  <w:style w:type="paragraph" w:customStyle="1" w:styleId="StyleCaption-FigureLeft031">
    <w:name w:val="Style Caption-Figure + Left:  0.31&quot;"/>
    <w:basedOn w:val="Normal"/>
    <w:autoRedefine/>
    <w:rsid w:val="00196ECD"/>
    <w:pPr>
      <w:ind w:left="450"/>
    </w:pPr>
    <w:rPr>
      <w:b/>
    </w:rPr>
  </w:style>
  <w:style w:type="paragraph" w:customStyle="1" w:styleId="StyleCaption-FigureLeft031Right025">
    <w:name w:val="Style Caption-Figure + Left:  0.31&quot; Right:  0.25&quot;"/>
    <w:basedOn w:val="Normal"/>
    <w:autoRedefine/>
    <w:rsid w:val="00196ECD"/>
    <w:pPr>
      <w:ind w:left="450" w:right="360"/>
    </w:pPr>
    <w:rPr>
      <w:b/>
    </w:rPr>
  </w:style>
  <w:style w:type="paragraph" w:customStyle="1" w:styleId="StyleTOC2Right038">
    <w:name w:val="Style TOC 2 + Right:  0.38&quot;"/>
    <w:basedOn w:val="TOC2"/>
    <w:next w:val="TOC2"/>
    <w:rsid w:val="00196ECD"/>
    <w:pPr>
      <w:tabs>
        <w:tab w:val="right" w:leader="dot" w:pos="9000"/>
      </w:tabs>
      <w:spacing w:before="120" w:after="60"/>
      <w:ind w:left="540" w:right="540" w:hanging="540"/>
    </w:pPr>
  </w:style>
  <w:style w:type="paragraph" w:customStyle="1" w:styleId="TableCaption">
    <w:name w:val="Table Caption"/>
    <w:basedOn w:val="Normal"/>
    <w:autoRedefine/>
    <w:rsid w:val="00196ECD"/>
    <w:pPr>
      <w:tabs>
        <w:tab w:val="left" w:pos="1260"/>
        <w:tab w:val="left" w:pos="7740"/>
        <w:tab w:val="left" w:pos="9000"/>
      </w:tabs>
      <w:adjustRightInd w:val="0"/>
      <w:ind w:left="1260" w:right="1260"/>
      <w:textAlignment w:val="baseline"/>
    </w:pPr>
    <w:rPr>
      <w:rFonts w:eastAsia="Times New Roman"/>
    </w:rPr>
  </w:style>
  <w:style w:type="character" w:customStyle="1" w:styleId="CaptionChar">
    <w:name w:val="Caption Char"/>
    <w:basedOn w:val="DefaultParagraphFont"/>
    <w:locked/>
    <w:rsid w:val="00B55E5E"/>
    <w:rPr>
      <w:rFonts w:ascii="Calibri" w:hAnsi="Calibri"/>
      <w:b/>
      <w:bCs/>
      <w:szCs w:val="18"/>
    </w:rPr>
  </w:style>
  <w:style w:type="character" w:styleId="HTMLDefinition">
    <w:name w:val="HTML Definition"/>
    <w:basedOn w:val="DefaultParagraphFont"/>
    <w:rsid w:val="00196ECD"/>
    <w:rPr>
      <w:rFonts w:cs="Times New Roman"/>
      <w:i/>
      <w:iCs/>
    </w:rPr>
  </w:style>
  <w:style w:type="paragraph" w:styleId="HTMLPreformatted">
    <w:name w:val="HTML Preformatted"/>
    <w:basedOn w:val="Normal"/>
    <w:link w:val="HTMLPreformattedChar"/>
    <w:rsid w:val="00196E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pPr>
    <w:rPr>
      <w:rFonts w:ascii="Verdana" w:eastAsia="Times New Roman" w:hAnsi="Verdana" w:cs="Courier New"/>
      <w:color w:val="14254B"/>
      <w:sz w:val="18"/>
      <w:szCs w:val="18"/>
    </w:rPr>
  </w:style>
  <w:style w:type="character" w:customStyle="1" w:styleId="HTMLPreformattedChar">
    <w:name w:val="HTML Preformatted Char"/>
    <w:basedOn w:val="DefaultParagraphFont"/>
    <w:link w:val="HTMLPreformatted"/>
    <w:rsid w:val="00196ECD"/>
    <w:rPr>
      <w:rFonts w:ascii="Verdana" w:eastAsia="Times New Roman" w:hAnsi="Verdana" w:cs="Courier New"/>
      <w:color w:val="14254B"/>
      <w:sz w:val="18"/>
      <w:szCs w:val="18"/>
    </w:rPr>
  </w:style>
  <w:style w:type="paragraph" w:customStyle="1" w:styleId="Bullets2">
    <w:name w:val="Bullets 2"/>
    <w:basedOn w:val="Normal"/>
    <w:rsid w:val="00196ECD"/>
    <w:pPr>
      <w:spacing w:before="120" w:after="120"/>
    </w:pPr>
    <w:rPr>
      <w:rFonts w:eastAsia="Times New Roman"/>
      <w:szCs w:val="24"/>
    </w:rPr>
  </w:style>
  <w:style w:type="paragraph" w:customStyle="1" w:styleId="StyleHeading1After6pt">
    <w:name w:val="Style Heading 1 + After:  6 pt"/>
    <w:basedOn w:val="Normal"/>
    <w:autoRedefine/>
    <w:rsid w:val="00196ECD"/>
    <w:pPr>
      <w:keepLines/>
      <w:tabs>
        <w:tab w:val="num" w:pos="1800"/>
      </w:tabs>
      <w:autoSpaceDE w:val="0"/>
      <w:autoSpaceDN w:val="0"/>
      <w:adjustRightInd w:val="0"/>
      <w:ind w:left="288" w:hanging="360"/>
    </w:pPr>
    <w:rPr>
      <w:color w:val="000000"/>
    </w:rPr>
  </w:style>
  <w:style w:type="paragraph" w:customStyle="1" w:styleId="TableofFiguresLeft0">
    <w:name w:val="Table of Figures + Left:  0&quot;"/>
    <w:aliases w:val="Hanging:  0.75&quot;,Right:  0.25&quot;,Before:  6 pt"/>
    <w:basedOn w:val="Normal"/>
    <w:rsid w:val="00196ECD"/>
    <w:pPr>
      <w:ind w:right="360"/>
    </w:pPr>
  </w:style>
  <w:style w:type="table" w:styleId="TableGrid">
    <w:name w:val="Table Grid"/>
    <w:basedOn w:val="TableNormal"/>
    <w:uiPriority w:val="59"/>
    <w:rsid w:val="00196ECD"/>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Index1">
    <w:name w:val="index 1"/>
    <w:basedOn w:val="Normal"/>
    <w:next w:val="Normal"/>
    <w:autoRedefine/>
    <w:semiHidden/>
    <w:rsid w:val="00196ECD"/>
    <w:pPr>
      <w:tabs>
        <w:tab w:val="right" w:leader="dot" w:pos="8990"/>
      </w:tabs>
      <w:ind w:left="280" w:hanging="280"/>
    </w:pPr>
    <w:rPr>
      <w:rFonts w:eastAsia="Times New Roman"/>
      <w:noProof/>
    </w:rPr>
  </w:style>
  <w:style w:type="paragraph" w:styleId="Index2">
    <w:name w:val="index 2"/>
    <w:basedOn w:val="Normal"/>
    <w:next w:val="Normal"/>
    <w:autoRedefine/>
    <w:semiHidden/>
    <w:rsid w:val="00196ECD"/>
    <w:pPr>
      <w:tabs>
        <w:tab w:val="right" w:leader="dot" w:pos="8990"/>
      </w:tabs>
      <w:ind w:left="560" w:hanging="280"/>
    </w:pPr>
    <w:rPr>
      <w:rFonts w:eastAsia="Times New Roman"/>
      <w:noProof/>
    </w:rPr>
  </w:style>
  <w:style w:type="paragraph" w:styleId="Index3">
    <w:name w:val="index 3"/>
    <w:basedOn w:val="Normal"/>
    <w:next w:val="Normal"/>
    <w:autoRedefine/>
    <w:semiHidden/>
    <w:rsid w:val="00196ECD"/>
    <w:pPr>
      <w:ind w:left="840" w:hanging="280"/>
    </w:pPr>
    <w:rPr>
      <w:rFonts w:eastAsia="Times New Roman"/>
    </w:rPr>
  </w:style>
  <w:style w:type="character" w:customStyle="1" w:styleId="StyleCaption-Figure-Text8ptNotBold">
    <w:name w:val="Style Caption-Figure-Text + 8 pt Not Bold"/>
    <w:basedOn w:val="DefaultParagraphFont"/>
    <w:rsid w:val="00196ECD"/>
    <w:rPr>
      <w:rFonts w:ascii="Arial" w:hAnsi="Arial" w:cs="Times New Roman"/>
      <w:b/>
      <w:sz w:val="20"/>
      <w:szCs w:val="20"/>
    </w:rPr>
  </w:style>
  <w:style w:type="paragraph" w:customStyle="1" w:styleId="Default">
    <w:name w:val="Default"/>
    <w:rsid w:val="00196ECD"/>
    <w:pPr>
      <w:autoSpaceDE w:val="0"/>
      <w:autoSpaceDN w:val="0"/>
      <w:adjustRightInd w:val="0"/>
      <w:spacing w:after="0" w:line="240" w:lineRule="auto"/>
    </w:pPr>
    <w:rPr>
      <w:rFonts w:ascii="Times New Roman" w:eastAsia="Times New Roman" w:hAnsi="Times New Roman"/>
      <w:color w:val="000000"/>
      <w:sz w:val="24"/>
      <w:szCs w:val="24"/>
    </w:rPr>
  </w:style>
  <w:style w:type="character" w:customStyle="1" w:styleId="Caption-FigureChar">
    <w:name w:val="Caption-Figure Char"/>
    <w:basedOn w:val="CaptionChar"/>
    <w:link w:val="Caption-Figure"/>
    <w:locked/>
    <w:rsid w:val="00FB12FF"/>
    <w:rPr>
      <w:rFonts w:ascii="Calibri" w:hAnsi="Calibri"/>
      <w:b/>
      <w:bCs w:val="0"/>
      <w:szCs w:val="18"/>
    </w:rPr>
  </w:style>
  <w:style w:type="character" w:customStyle="1" w:styleId="CaptionFigureChar">
    <w:name w:val="CaptionFigure Char"/>
    <w:basedOn w:val="CaptionChar"/>
    <w:link w:val="CaptionFigure"/>
    <w:locked/>
    <w:rsid w:val="00196ECD"/>
    <w:rPr>
      <w:rFonts w:ascii="Calibri" w:hAnsi="Calibri"/>
      <w:b/>
      <w:bCs/>
      <w:sz w:val="20"/>
      <w:szCs w:val="18"/>
    </w:rPr>
  </w:style>
  <w:style w:type="paragraph" w:customStyle="1" w:styleId="StyleNormalBefore6ptJustified">
    <w:name w:val="Style Normal + Before:  6 pt + Justified"/>
    <w:basedOn w:val="NormalBefore6pt"/>
    <w:rsid w:val="00196ECD"/>
    <w:pPr>
      <w:jc w:val="both"/>
    </w:pPr>
    <w:rPr>
      <w:szCs w:val="20"/>
    </w:rPr>
  </w:style>
  <w:style w:type="paragraph" w:customStyle="1" w:styleId="Footer1ptspace">
    <w:name w:val="Footer 1pt space"/>
    <w:basedOn w:val="Footer"/>
    <w:rsid w:val="00196ECD"/>
  </w:style>
  <w:style w:type="paragraph" w:customStyle="1" w:styleId="CaptionFigure">
    <w:name w:val="CaptionFigure"/>
    <w:basedOn w:val="Normal"/>
    <w:link w:val="CaptionFigureChar"/>
    <w:rsid w:val="00196ECD"/>
  </w:style>
  <w:style w:type="character" w:customStyle="1" w:styleId="Caption-Figure-Text">
    <w:name w:val="Caption-Figure-Text"/>
    <w:qFormat/>
    <w:rsid w:val="00CF53C9"/>
    <w:rPr>
      <w:rFonts w:ascii="Calibri" w:hAnsi="Calibri"/>
      <w:b/>
      <w:sz w:val="20"/>
    </w:rPr>
  </w:style>
  <w:style w:type="paragraph" w:customStyle="1" w:styleId="Style1">
    <w:name w:val="Style1"/>
    <w:basedOn w:val="CaptionFigure"/>
    <w:rsid w:val="00196ECD"/>
    <w:pPr>
      <w:ind w:left="360"/>
    </w:pPr>
    <w:rPr>
      <w:b/>
    </w:rPr>
  </w:style>
  <w:style w:type="paragraph" w:customStyle="1" w:styleId="NormalBefore6pt">
    <w:name w:val="Normal + Before:  6 pt"/>
    <w:basedOn w:val="Normal"/>
    <w:rsid w:val="00196ECD"/>
    <w:pPr>
      <w:spacing w:before="120" w:line="240" w:lineRule="auto"/>
    </w:pPr>
    <w:rPr>
      <w:rFonts w:eastAsia="Times New Roman"/>
      <w:szCs w:val="24"/>
    </w:rPr>
  </w:style>
  <w:style w:type="paragraph" w:customStyle="1" w:styleId="FoonoteText">
    <w:name w:val="Foonote Text"/>
    <w:basedOn w:val="Normal"/>
    <w:link w:val="FoonoteTextChar"/>
    <w:qFormat/>
    <w:rsid w:val="00484D6C"/>
    <w:pPr>
      <w:adjustRightInd w:val="0"/>
      <w:textAlignment w:val="baseline"/>
    </w:pPr>
  </w:style>
  <w:style w:type="character" w:styleId="Emphasis">
    <w:name w:val="Emphasis"/>
    <w:basedOn w:val="DefaultParagraphFont"/>
    <w:qFormat/>
    <w:rsid w:val="00196ECD"/>
    <w:rPr>
      <w:rFonts w:cs="Times New Roman"/>
      <w:i/>
      <w:iCs/>
    </w:rPr>
  </w:style>
  <w:style w:type="paragraph" w:styleId="BodyTextIndent2">
    <w:name w:val="Body Text Indent 2"/>
    <w:basedOn w:val="Normal"/>
    <w:link w:val="BodyTextIndent2Char"/>
    <w:rsid w:val="00196ECD"/>
    <w:pPr>
      <w:spacing w:after="120" w:line="480" w:lineRule="auto"/>
      <w:ind w:left="360"/>
    </w:pPr>
    <w:rPr>
      <w:rFonts w:eastAsia="Times New Roman"/>
    </w:rPr>
  </w:style>
  <w:style w:type="character" w:customStyle="1" w:styleId="BodyTextIndent2Char">
    <w:name w:val="Body Text Indent 2 Char"/>
    <w:basedOn w:val="DefaultParagraphFont"/>
    <w:link w:val="BodyTextIndent2"/>
    <w:rsid w:val="00196ECD"/>
    <w:rPr>
      <w:rFonts w:ascii="Times New Roman" w:eastAsia="Times New Roman" w:hAnsi="Times New Roman" w:cs="Times New Roman"/>
      <w:szCs w:val="20"/>
    </w:rPr>
  </w:style>
  <w:style w:type="paragraph" w:styleId="BodyTextIndent3">
    <w:name w:val="Body Text Indent 3"/>
    <w:basedOn w:val="Normal"/>
    <w:link w:val="BodyTextIndent3Char"/>
    <w:rsid w:val="00196ECD"/>
    <w:pPr>
      <w:spacing w:after="120"/>
      <w:ind w:left="360"/>
    </w:pPr>
    <w:rPr>
      <w:rFonts w:eastAsia="Times New Roman"/>
      <w:sz w:val="16"/>
      <w:szCs w:val="16"/>
    </w:rPr>
  </w:style>
  <w:style w:type="character" w:customStyle="1" w:styleId="BodyTextIndent3Char">
    <w:name w:val="Body Text Indent 3 Char"/>
    <w:basedOn w:val="DefaultParagraphFont"/>
    <w:link w:val="BodyTextIndent3"/>
    <w:rsid w:val="00196ECD"/>
    <w:rPr>
      <w:rFonts w:ascii="Times New Roman" w:eastAsia="Times New Roman" w:hAnsi="Times New Roman" w:cs="Times New Roman"/>
      <w:sz w:val="16"/>
      <w:szCs w:val="16"/>
    </w:rPr>
  </w:style>
  <w:style w:type="character" w:customStyle="1" w:styleId="FoonoteTextChar">
    <w:name w:val="Foonote Text Char"/>
    <w:basedOn w:val="FootnoteTextChar"/>
    <w:link w:val="FoonoteText"/>
    <w:locked/>
    <w:rsid w:val="00484D6C"/>
    <w:rPr>
      <w:rFonts w:ascii="Cambria" w:eastAsia="Times New Roman" w:hAnsi="Cambria"/>
      <w:color w:val="auto"/>
      <w:sz w:val="18"/>
      <w:szCs w:val="18"/>
    </w:rPr>
  </w:style>
  <w:style w:type="paragraph" w:customStyle="1" w:styleId="Keyfacts-Text">
    <w:name w:val="Keyfacts-Text"/>
    <w:basedOn w:val="Normal"/>
    <w:rsid w:val="00196ECD"/>
    <w:pPr>
      <w:widowControl w:val="0"/>
      <w:numPr>
        <w:numId w:val="5"/>
      </w:numPr>
      <w:tabs>
        <w:tab w:val="clear" w:pos="720"/>
      </w:tabs>
      <w:spacing w:after="20" w:line="240" w:lineRule="auto"/>
      <w:ind w:left="540" w:hanging="180"/>
    </w:pPr>
    <w:rPr>
      <w:rFonts w:ascii="Arial" w:eastAsia="Times New Roman" w:hAnsi="Arial" w:cs="Arial"/>
      <w:color w:val="000000"/>
      <w:sz w:val="16"/>
      <w:szCs w:val="16"/>
    </w:rPr>
  </w:style>
  <w:style w:type="paragraph" w:customStyle="1" w:styleId="Keyfacts-Space">
    <w:name w:val="Keyfacts-Space"/>
    <w:basedOn w:val="Normal"/>
    <w:rsid w:val="00196ECD"/>
    <w:pPr>
      <w:widowControl w:val="0"/>
      <w:spacing w:after="20" w:line="240" w:lineRule="auto"/>
      <w:ind w:left="360"/>
    </w:pPr>
    <w:rPr>
      <w:rFonts w:ascii="Arial" w:eastAsia="Times New Roman" w:hAnsi="Arial" w:cs="Arial"/>
      <w:color w:val="000000"/>
      <w:sz w:val="16"/>
      <w:szCs w:val="16"/>
    </w:rPr>
  </w:style>
  <w:style w:type="numbering" w:customStyle="1" w:styleId="BulletedList">
    <w:name w:val="Bulleted List"/>
    <w:rsid w:val="00196ECD"/>
    <w:pPr>
      <w:numPr>
        <w:numId w:val="4"/>
      </w:numPr>
    </w:pPr>
  </w:style>
  <w:style w:type="character" w:customStyle="1" w:styleId="NoSpacingChar">
    <w:name w:val="No Spacing Char"/>
    <w:basedOn w:val="DefaultParagraphFont"/>
    <w:link w:val="NoSpacing"/>
    <w:uiPriority w:val="1"/>
    <w:rsid w:val="00437B98"/>
    <w:rPr>
      <w:rFonts w:asciiTheme="majorHAnsi" w:hAnsiTheme="majorHAnsi"/>
    </w:rPr>
  </w:style>
  <w:style w:type="character" w:customStyle="1" w:styleId="EmailStyle1502">
    <w:name w:val="EmailStyle1502"/>
    <w:basedOn w:val="DefaultParagraphFont"/>
    <w:semiHidden/>
    <w:rsid w:val="00196ECD"/>
    <w:rPr>
      <w:rFonts w:ascii="Arial" w:hAnsi="Arial" w:cs="Arial"/>
      <w:color w:val="993366"/>
      <w:sz w:val="20"/>
    </w:rPr>
  </w:style>
  <w:style w:type="character" w:customStyle="1" w:styleId="EmailStyle1512">
    <w:name w:val="EmailStyle1512"/>
    <w:basedOn w:val="DefaultParagraphFont"/>
    <w:semiHidden/>
    <w:rsid w:val="00196ECD"/>
    <w:rPr>
      <w:rFonts w:ascii="Arial" w:hAnsi="Arial" w:cs="Arial"/>
      <w:color w:val="000080"/>
      <w:sz w:val="20"/>
    </w:rPr>
  </w:style>
  <w:style w:type="paragraph" w:styleId="EndnoteText">
    <w:name w:val="endnote text"/>
    <w:basedOn w:val="Normal"/>
    <w:link w:val="EndnoteTextChar"/>
    <w:uiPriority w:val="99"/>
    <w:rsid w:val="00196ECD"/>
    <w:pPr>
      <w:spacing w:line="240" w:lineRule="auto"/>
    </w:pPr>
    <w:rPr>
      <w:rFonts w:eastAsia="Times New Roman"/>
    </w:rPr>
  </w:style>
  <w:style w:type="character" w:customStyle="1" w:styleId="EndnoteTextChar">
    <w:name w:val="Endnote Text Char"/>
    <w:basedOn w:val="DefaultParagraphFont"/>
    <w:link w:val="EndnoteText"/>
    <w:uiPriority w:val="99"/>
    <w:rsid w:val="00196ECD"/>
    <w:rPr>
      <w:rFonts w:ascii="Times New Roman" w:eastAsia="Times New Roman" w:hAnsi="Times New Roman" w:cs="Times New Roman"/>
      <w:sz w:val="20"/>
      <w:szCs w:val="20"/>
    </w:rPr>
  </w:style>
  <w:style w:type="paragraph" w:styleId="PlainText">
    <w:name w:val="Plain Text"/>
    <w:basedOn w:val="Normal"/>
    <w:link w:val="PlainTextChar"/>
    <w:uiPriority w:val="99"/>
    <w:unhideWhenUsed/>
    <w:rsid w:val="00196ECD"/>
    <w:pPr>
      <w:spacing w:line="240" w:lineRule="auto"/>
    </w:pPr>
    <w:rPr>
      <w:rFonts w:ascii="Consolas" w:eastAsia="Calibri" w:hAnsi="Consolas"/>
      <w:sz w:val="21"/>
      <w:szCs w:val="21"/>
    </w:rPr>
  </w:style>
  <w:style w:type="character" w:customStyle="1" w:styleId="PlainTextChar">
    <w:name w:val="Plain Text Char"/>
    <w:basedOn w:val="DefaultParagraphFont"/>
    <w:link w:val="PlainText"/>
    <w:uiPriority w:val="99"/>
    <w:rsid w:val="00196ECD"/>
    <w:rPr>
      <w:rFonts w:ascii="Consolas" w:eastAsia="Calibri" w:hAnsi="Consolas" w:cs="Times New Roman"/>
      <w:sz w:val="21"/>
      <w:szCs w:val="21"/>
    </w:rPr>
  </w:style>
  <w:style w:type="character" w:customStyle="1" w:styleId="EmailStyle1562">
    <w:name w:val="EmailStyle1562"/>
    <w:basedOn w:val="DefaultParagraphFont"/>
    <w:semiHidden/>
    <w:rsid w:val="00196ECD"/>
    <w:rPr>
      <w:rFonts w:ascii="Arial" w:hAnsi="Arial" w:cs="Arial"/>
      <w:color w:val="993366"/>
      <w:sz w:val="20"/>
    </w:rPr>
  </w:style>
  <w:style w:type="character" w:customStyle="1" w:styleId="EmailStyle1572">
    <w:name w:val="EmailStyle1572"/>
    <w:basedOn w:val="DefaultParagraphFont"/>
    <w:semiHidden/>
    <w:rsid w:val="00196ECD"/>
    <w:rPr>
      <w:rFonts w:ascii="Arial" w:hAnsi="Arial" w:cs="Arial"/>
      <w:color w:val="000080"/>
      <w:sz w:val="20"/>
    </w:rPr>
  </w:style>
  <w:style w:type="character" w:customStyle="1" w:styleId="FootnoteCharacters">
    <w:name w:val="Footnote Characters"/>
    <w:basedOn w:val="DefaultParagraphFont"/>
    <w:uiPriority w:val="99"/>
    <w:rsid w:val="00196ECD"/>
    <w:rPr>
      <w:vertAlign w:val="superscript"/>
    </w:rPr>
  </w:style>
  <w:style w:type="paragraph" w:customStyle="1" w:styleId="Body1">
    <w:name w:val="Body 1"/>
    <w:basedOn w:val="Normal"/>
    <w:rsid w:val="00196ECD"/>
    <w:pPr>
      <w:suppressAutoHyphens/>
      <w:spacing w:line="240" w:lineRule="auto"/>
      <w:ind w:firstLine="720"/>
      <w:jc w:val="both"/>
    </w:pPr>
    <w:rPr>
      <w:rFonts w:eastAsia="Times New Roman"/>
      <w:szCs w:val="24"/>
      <w:lang w:eastAsia="ar-SA"/>
    </w:rPr>
  </w:style>
  <w:style w:type="paragraph" w:styleId="Revision">
    <w:name w:val="Revision"/>
    <w:hidden/>
    <w:uiPriority w:val="99"/>
    <w:semiHidden/>
    <w:rsid w:val="00196ECD"/>
    <w:pPr>
      <w:spacing w:after="0" w:line="240" w:lineRule="auto"/>
    </w:pPr>
    <w:rPr>
      <w:rFonts w:ascii="Times New Roman" w:eastAsia="Times New Roman" w:hAnsi="Times New Roman"/>
    </w:rPr>
  </w:style>
  <w:style w:type="character" w:customStyle="1" w:styleId="FootnoteTextChar2">
    <w:name w:val="Footnote Text Char2"/>
    <w:aliases w:val="Footnote Text Char1 Char1,Footnote Text Char Char Char1,fn Char Char Char1,Footnote Text Char1 Char1 Char Char1,Footnote Text Char Char Char1 Char Char1,Footnote Text Char1 Char Char Char Char1,Footnote Text Char Char1 Char1,ft Char2"/>
    <w:basedOn w:val="DefaultParagraphFont"/>
    <w:uiPriority w:val="99"/>
    <w:rsid w:val="00196ECD"/>
    <w:rPr>
      <w:sz w:val="18"/>
      <w:szCs w:val="18"/>
    </w:rPr>
  </w:style>
  <w:style w:type="character" w:customStyle="1" w:styleId="BodyTextChar1">
    <w:name w:val="Body Text Char1"/>
    <w:aliases w:val="b Char,b Char2"/>
    <w:basedOn w:val="DefaultParagraphFont"/>
    <w:rsid w:val="00196ECD"/>
    <w:rPr>
      <w:rFonts w:ascii="Times New Roman" w:eastAsia="Times New Roman" w:hAnsi="Times New Roman"/>
      <w:sz w:val="22"/>
      <w:szCs w:val="22"/>
    </w:rPr>
  </w:style>
  <w:style w:type="paragraph" w:customStyle="1" w:styleId="TextBullet">
    <w:name w:val="Text Bullet"/>
    <w:basedOn w:val="Normal"/>
    <w:autoRedefine/>
    <w:rsid w:val="00196ECD"/>
    <w:pPr>
      <w:spacing w:line="240" w:lineRule="auto"/>
      <w:ind w:left="360"/>
    </w:pPr>
    <w:rPr>
      <w:rFonts w:eastAsia="Times New Roman"/>
    </w:rPr>
  </w:style>
  <w:style w:type="paragraph" w:customStyle="1" w:styleId="nobottom">
    <w:name w:val="nobottom"/>
    <w:basedOn w:val="Normal"/>
    <w:rsid w:val="00196ECD"/>
    <w:pPr>
      <w:spacing w:line="240" w:lineRule="auto"/>
    </w:pPr>
    <w:rPr>
      <w:rFonts w:eastAsia="Times New Roman"/>
      <w:sz w:val="19"/>
      <w:szCs w:val="19"/>
    </w:rPr>
  </w:style>
  <w:style w:type="character" w:customStyle="1" w:styleId="StyleFootnoteReferenceLatinTimesNewRoman">
    <w:name w:val="Style Footnote Reference + (Latin) Times New Roman"/>
    <w:basedOn w:val="FootnoteReference"/>
    <w:rsid w:val="00196ECD"/>
    <w:rPr>
      <w:rFonts w:ascii="Cambria" w:hAnsi="Cambria" w:cs="Times New Roman"/>
      <w:dstrike w:val="0"/>
      <w:sz w:val="20"/>
      <w:vertAlign w:val="superscript"/>
    </w:rPr>
  </w:style>
  <w:style w:type="paragraph" w:customStyle="1" w:styleId="Table-FigureHeading">
    <w:name w:val="Table-FigureHeading"/>
    <w:basedOn w:val="Normal"/>
    <w:rsid w:val="00196ECD"/>
    <w:pPr>
      <w:keepNext/>
      <w:keepLines/>
      <w:spacing w:before="240" w:after="120" w:line="240" w:lineRule="auto"/>
      <w:jc w:val="center"/>
    </w:pPr>
    <w:rPr>
      <w:rFonts w:ascii="Arial" w:eastAsia="Times New Roman" w:hAnsi="Arial"/>
      <w:b/>
      <w:sz w:val="24"/>
    </w:rPr>
  </w:style>
  <w:style w:type="paragraph" w:customStyle="1" w:styleId="Underline">
    <w:name w:val="Underline"/>
    <w:basedOn w:val="Normal"/>
    <w:rsid w:val="00196ECD"/>
    <w:pPr>
      <w:keepNext/>
      <w:keepLines/>
      <w:spacing w:before="120" w:line="240" w:lineRule="auto"/>
      <w:outlineLvl w:val="3"/>
    </w:pPr>
    <w:rPr>
      <w:rFonts w:ascii="Arial" w:eastAsia="Times New Roman" w:hAnsi="Arial" w:cs="Arial"/>
      <w:smallCaps/>
      <w:color w:val="008080"/>
      <w:sz w:val="24"/>
      <w:szCs w:val="24"/>
      <w:u w:val="single"/>
    </w:rPr>
  </w:style>
  <w:style w:type="paragraph" w:customStyle="1" w:styleId="Heading">
    <w:name w:val="Heading"/>
    <w:basedOn w:val="Normal"/>
    <w:rsid w:val="00196ECD"/>
    <w:pPr>
      <w:keepNext/>
      <w:keepLines/>
      <w:pageBreakBefore/>
      <w:spacing w:before="240" w:line="240" w:lineRule="auto"/>
      <w:jc w:val="center"/>
      <w:outlineLvl w:val="0"/>
    </w:pPr>
    <w:rPr>
      <w:rFonts w:ascii="Arial" w:eastAsia="Times New Roman" w:hAnsi="Arial"/>
      <w:b/>
      <w:sz w:val="32"/>
      <w:szCs w:val="24"/>
    </w:rPr>
  </w:style>
  <w:style w:type="paragraph" w:customStyle="1" w:styleId="Bullets">
    <w:name w:val="Bullets"/>
    <w:basedOn w:val="Normal"/>
    <w:rsid w:val="00196ECD"/>
    <w:pPr>
      <w:numPr>
        <w:numId w:val="8"/>
      </w:numPr>
      <w:spacing w:after="60" w:line="240" w:lineRule="auto"/>
    </w:pPr>
    <w:rPr>
      <w:rFonts w:eastAsia="Times New Roman"/>
      <w:sz w:val="24"/>
      <w:szCs w:val="24"/>
    </w:rPr>
  </w:style>
  <w:style w:type="paragraph" w:customStyle="1" w:styleId="NumberedList">
    <w:name w:val="NumberedList"/>
    <w:rsid w:val="00196ECD"/>
    <w:pPr>
      <w:numPr>
        <w:ilvl w:val="1"/>
        <w:numId w:val="7"/>
      </w:numPr>
      <w:spacing w:after="0" w:line="240" w:lineRule="auto"/>
    </w:pPr>
    <w:rPr>
      <w:rFonts w:ascii="Times New Roman" w:eastAsia="Times New Roman" w:hAnsi="Times New Roman"/>
      <w:sz w:val="24"/>
    </w:rPr>
  </w:style>
  <w:style w:type="paragraph" w:customStyle="1" w:styleId="Reference">
    <w:name w:val="Reference"/>
    <w:basedOn w:val="Normal"/>
    <w:rsid w:val="00196ECD"/>
    <w:pPr>
      <w:spacing w:line="240" w:lineRule="auto"/>
    </w:pPr>
    <w:rPr>
      <w:rFonts w:eastAsia="Times New Roman"/>
      <w:sz w:val="24"/>
      <w:szCs w:val="24"/>
    </w:rPr>
  </w:style>
  <w:style w:type="paragraph" w:styleId="Index4">
    <w:name w:val="index 4"/>
    <w:basedOn w:val="Normal"/>
    <w:next w:val="Normal"/>
    <w:autoRedefine/>
    <w:semiHidden/>
    <w:rsid w:val="00196ECD"/>
    <w:pPr>
      <w:spacing w:line="240" w:lineRule="auto"/>
      <w:ind w:left="960" w:hanging="240"/>
    </w:pPr>
    <w:rPr>
      <w:rFonts w:eastAsia="Times New Roman"/>
      <w:sz w:val="24"/>
      <w:szCs w:val="21"/>
    </w:rPr>
  </w:style>
  <w:style w:type="paragraph" w:styleId="Index5">
    <w:name w:val="index 5"/>
    <w:basedOn w:val="Normal"/>
    <w:next w:val="Normal"/>
    <w:autoRedefine/>
    <w:semiHidden/>
    <w:rsid w:val="00196ECD"/>
    <w:pPr>
      <w:spacing w:line="240" w:lineRule="auto"/>
      <w:ind w:left="1200" w:hanging="240"/>
    </w:pPr>
    <w:rPr>
      <w:rFonts w:eastAsia="Times New Roman"/>
      <w:sz w:val="24"/>
      <w:szCs w:val="21"/>
    </w:rPr>
  </w:style>
  <w:style w:type="paragraph" w:styleId="Index6">
    <w:name w:val="index 6"/>
    <w:basedOn w:val="Normal"/>
    <w:next w:val="Normal"/>
    <w:autoRedefine/>
    <w:semiHidden/>
    <w:rsid w:val="00196ECD"/>
    <w:pPr>
      <w:spacing w:line="240" w:lineRule="auto"/>
      <w:ind w:left="1440" w:hanging="240"/>
    </w:pPr>
    <w:rPr>
      <w:rFonts w:eastAsia="Times New Roman"/>
      <w:sz w:val="24"/>
      <w:szCs w:val="21"/>
    </w:rPr>
  </w:style>
  <w:style w:type="paragraph" w:styleId="Index7">
    <w:name w:val="index 7"/>
    <w:basedOn w:val="Normal"/>
    <w:next w:val="Normal"/>
    <w:autoRedefine/>
    <w:semiHidden/>
    <w:rsid w:val="00196ECD"/>
    <w:pPr>
      <w:spacing w:line="240" w:lineRule="auto"/>
      <w:ind w:left="1680" w:hanging="240"/>
    </w:pPr>
    <w:rPr>
      <w:rFonts w:eastAsia="Times New Roman"/>
      <w:sz w:val="24"/>
      <w:szCs w:val="21"/>
    </w:rPr>
  </w:style>
  <w:style w:type="paragraph" w:styleId="Index8">
    <w:name w:val="index 8"/>
    <w:basedOn w:val="Normal"/>
    <w:next w:val="Normal"/>
    <w:autoRedefine/>
    <w:semiHidden/>
    <w:rsid w:val="00196ECD"/>
    <w:pPr>
      <w:spacing w:line="240" w:lineRule="auto"/>
      <w:ind w:left="1920" w:hanging="240"/>
    </w:pPr>
    <w:rPr>
      <w:rFonts w:eastAsia="Times New Roman"/>
      <w:sz w:val="24"/>
      <w:szCs w:val="21"/>
    </w:rPr>
  </w:style>
  <w:style w:type="paragraph" w:styleId="Index9">
    <w:name w:val="index 9"/>
    <w:basedOn w:val="Normal"/>
    <w:next w:val="Normal"/>
    <w:autoRedefine/>
    <w:semiHidden/>
    <w:rsid w:val="00196ECD"/>
    <w:pPr>
      <w:spacing w:line="240" w:lineRule="auto"/>
      <w:ind w:left="2160" w:hanging="240"/>
    </w:pPr>
    <w:rPr>
      <w:rFonts w:eastAsia="Times New Roman"/>
      <w:sz w:val="24"/>
      <w:szCs w:val="21"/>
    </w:rPr>
  </w:style>
  <w:style w:type="paragraph" w:styleId="IndexHeading">
    <w:name w:val="index heading"/>
    <w:basedOn w:val="Normal"/>
    <w:next w:val="Index1"/>
    <w:semiHidden/>
    <w:rsid w:val="00196ECD"/>
    <w:pPr>
      <w:keepNext/>
      <w:pBdr>
        <w:top w:val="double" w:sz="6" w:space="0" w:color="auto" w:shadow="1"/>
        <w:left w:val="double" w:sz="6" w:space="0" w:color="auto" w:shadow="1"/>
        <w:bottom w:val="double" w:sz="6" w:space="0" w:color="auto" w:shadow="1"/>
        <w:right w:val="double" w:sz="6" w:space="0" w:color="auto" w:shadow="1"/>
      </w:pBdr>
      <w:tabs>
        <w:tab w:val="right" w:leader="dot" w:pos="2630"/>
      </w:tabs>
      <w:spacing w:before="240" w:after="120" w:line="240" w:lineRule="auto"/>
      <w:jc w:val="center"/>
    </w:pPr>
    <w:rPr>
      <w:rFonts w:ascii="Arial" w:eastAsia="Times New Roman" w:hAnsi="Arial"/>
      <w:b/>
      <w:bCs/>
      <w:noProof/>
      <w:color w:val="008080"/>
      <w:sz w:val="16"/>
      <w:szCs w:val="26"/>
    </w:rPr>
  </w:style>
  <w:style w:type="paragraph" w:customStyle="1" w:styleId="FigureBox">
    <w:name w:val="FigureBox"/>
    <w:basedOn w:val="Normal"/>
    <w:rsid w:val="00196ECD"/>
    <w:pPr>
      <w:spacing w:before="60" w:after="120" w:line="240" w:lineRule="auto"/>
      <w:jc w:val="center"/>
    </w:pPr>
    <w:rPr>
      <w:rFonts w:ascii="Arial" w:eastAsia="Times New Roman" w:hAnsi="Arial"/>
      <w:noProof/>
      <w:sz w:val="24"/>
    </w:rPr>
  </w:style>
  <w:style w:type="paragraph" w:customStyle="1" w:styleId="1Numbering">
    <w:name w:val="1.Numbering"/>
    <w:basedOn w:val="Normal"/>
    <w:rsid w:val="00196ECD"/>
    <w:pPr>
      <w:tabs>
        <w:tab w:val="num" w:pos="1080"/>
      </w:tabs>
      <w:spacing w:line="240" w:lineRule="auto"/>
      <w:ind w:left="1080" w:hanging="360"/>
    </w:pPr>
    <w:rPr>
      <w:rFonts w:eastAsia="Times New Roman"/>
      <w:sz w:val="24"/>
      <w:szCs w:val="24"/>
    </w:rPr>
  </w:style>
  <w:style w:type="paragraph" w:customStyle="1" w:styleId="StudyRef1">
    <w:name w:val="StudyRef1"/>
    <w:basedOn w:val="Normal"/>
    <w:rsid w:val="00196ECD"/>
    <w:pPr>
      <w:keepNext/>
      <w:tabs>
        <w:tab w:val="right" w:pos="1170"/>
        <w:tab w:val="left" w:pos="2160"/>
      </w:tabs>
      <w:spacing w:before="360" w:line="240" w:lineRule="auto"/>
      <w:ind w:left="2160" w:hanging="1526"/>
    </w:pPr>
    <w:rPr>
      <w:rFonts w:ascii="Arial" w:eastAsia="Times New Roman" w:hAnsi="Arial"/>
      <w:b/>
      <w:sz w:val="24"/>
    </w:rPr>
  </w:style>
  <w:style w:type="paragraph" w:customStyle="1" w:styleId="NumberedList1">
    <w:name w:val="NumberedList1"/>
    <w:rsid w:val="00196ECD"/>
    <w:pPr>
      <w:tabs>
        <w:tab w:val="num" w:pos="1440"/>
      </w:tabs>
      <w:spacing w:after="0" w:line="240" w:lineRule="auto"/>
      <w:ind w:left="1440" w:hanging="360"/>
    </w:pPr>
    <w:rPr>
      <w:rFonts w:ascii="Times New Roman" w:eastAsia="Times New Roman" w:hAnsi="Times New Roman"/>
      <w:sz w:val="24"/>
    </w:rPr>
  </w:style>
  <w:style w:type="paragraph" w:customStyle="1" w:styleId="R521DocumentTitle">
    <w:name w:val="R521 Document Title"/>
    <w:basedOn w:val="Normal"/>
    <w:rsid w:val="00196ECD"/>
    <w:pPr>
      <w:keepLines/>
      <w:tabs>
        <w:tab w:val="num" w:pos="1080"/>
      </w:tabs>
      <w:ind w:left="1080" w:hanging="360"/>
    </w:pPr>
    <w:rPr>
      <w:rFonts w:ascii="Verdana" w:hAnsi="Verdana"/>
      <w:bCs/>
      <w:smallCaps/>
      <w:color w:val="008080"/>
      <w:sz w:val="40"/>
    </w:rPr>
  </w:style>
  <w:style w:type="paragraph" w:customStyle="1" w:styleId="FigureHeading">
    <w:name w:val="FigureHeading"/>
    <w:basedOn w:val="Normal"/>
    <w:rsid w:val="00196ECD"/>
    <w:pPr>
      <w:keepNext/>
      <w:keepLines/>
      <w:spacing w:after="120" w:line="240" w:lineRule="auto"/>
      <w:jc w:val="center"/>
    </w:pPr>
    <w:rPr>
      <w:rFonts w:ascii="Arial" w:eastAsia="Times New Roman" w:hAnsi="Arial"/>
      <w:b/>
      <w:sz w:val="24"/>
      <w:szCs w:val="24"/>
    </w:rPr>
  </w:style>
  <w:style w:type="paragraph" w:customStyle="1" w:styleId="Heading-plain">
    <w:name w:val="Heading-plain"/>
    <w:basedOn w:val="Heading"/>
    <w:rsid w:val="00196ECD"/>
    <w:rPr>
      <w:smallCaps/>
      <w:color w:val="008080"/>
    </w:rPr>
  </w:style>
  <w:style w:type="character" w:styleId="PageNumber">
    <w:name w:val="page number"/>
    <w:basedOn w:val="DefaultParagraphFont"/>
    <w:semiHidden/>
    <w:rsid w:val="00196ECD"/>
  </w:style>
  <w:style w:type="paragraph" w:styleId="EnvelopeReturn">
    <w:name w:val="envelope return"/>
    <w:basedOn w:val="Normal"/>
    <w:semiHidden/>
    <w:rsid w:val="00196ECD"/>
    <w:pPr>
      <w:spacing w:line="240" w:lineRule="auto"/>
    </w:pPr>
    <w:rPr>
      <w:rFonts w:eastAsia="Times New Roman" w:cs="Arial"/>
    </w:rPr>
  </w:style>
  <w:style w:type="paragraph" w:customStyle="1" w:styleId="Bullets-indented">
    <w:name w:val="Bullets-indented"/>
    <w:basedOn w:val="Bullets"/>
    <w:rsid w:val="00196ECD"/>
    <w:pPr>
      <w:tabs>
        <w:tab w:val="clear" w:pos="720"/>
        <w:tab w:val="left" w:pos="1080"/>
      </w:tabs>
      <w:ind w:left="1080"/>
    </w:pPr>
  </w:style>
  <w:style w:type="paragraph" w:customStyle="1" w:styleId="font5">
    <w:name w:val="font5"/>
    <w:basedOn w:val="Normal"/>
    <w:rsid w:val="00196ECD"/>
    <w:pPr>
      <w:spacing w:before="100" w:beforeAutospacing="1" w:after="100" w:afterAutospacing="1" w:line="240" w:lineRule="auto"/>
    </w:pPr>
    <w:rPr>
      <w:rFonts w:ascii="Tahoma" w:eastAsia="Times New Roman" w:hAnsi="Tahoma" w:cs="Tahoma"/>
      <w:b/>
      <w:bCs/>
      <w:color w:val="000000"/>
      <w:sz w:val="16"/>
      <w:szCs w:val="16"/>
    </w:rPr>
  </w:style>
  <w:style w:type="paragraph" w:customStyle="1" w:styleId="font6">
    <w:name w:val="font6"/>
    <w:basedOn w:val="Normal"/>
    <w:rsid w:val="00196ECD"/>
    <w:pPr>
      <w:spacing w:before="100" w:beforeAutospacing="1" w:after="100" w:afterAutospacing="1" w:line="240" w:lineRule="auto"/>
    </w:pPr>
    <w:rPr>
      <w:rFonts w:ascii="Tahoma" w:eastAsia="Times New Roman" w:hAnsi="Tahoma" w:cs="Tahoma"/>
      <w:color w:val="000000"/>
      <w:sz w:val="16"/>
      <w:szCs w:val="16"/>
    </w:rPr>
  </w:style>
  <w:style w:type="paragraph" w:styleId="Closing">
    <w:name w:val="Closing"/>
    <w:basedOn w:val="Normal"/>
    <w:link w:val="ClosingChar"/>
    <w:semiHidden/>
    <w:rsid w:val="00196ECD"/>
    <w:pPr>
      <w:spacing w:line="240" w:lineRule="auto"/>
      <w:ind w:left="4320"/>
    </w:pPr>
    <w:rPr>
      <w:rFonts w:eastAsia="Times New Roman"/>
      <w:sz w:val="24"/>
      <w:szCs w:val="24"/>
    </w:rPr>
  </w:style>
  <w:style w:type="character" w:customStyle="1" w:styleId="ClosingChar">
    <w:name w:val="Closing Char"/>
    <w:basedOn w:val="DefaultParagraphFont"/>
    <w:link w:val="Closing"/>
    <w:semiHidden/>
    <w:rsid w:val="00196ECD"/>
    <w:rPr>
      <w:rFonts w:ascii="Times New Roman" w:eastAsia="Times New Roman" w:hAnsi="Times New Roman" w:cs="Times New Roman"/>
      <w:sz w:val="24"/>
      <w:szCs w:val="24"/>
    </w:rPr>
  </w:style>
  <w:style w:type="paragraph" w:styleId="Date">
    <w:name w:val="Date"/>
    <w:basedOn w:val="Normal"/>
    <w:next w:val="Normal"/>
    <w:link w:val="DateChar"/>
    <w:rsid w:val="00196ECD"/>
    <w:pPr>
      <w:spacing w:line="240" w:lineRule="auto"/>
    </w:pPr>
    <w:rPr>
      <w:rFonts w:eastAsia="Times New Roman"/>
      <w:sz w:val="24"/>
      <w:szCs w:val="24"/>
    </w:rPr>
  </w:style>
  <w:style w:type="character" w:customStyle="1" w:styleId="DateChar">
    <w:name w:val="Date Char"/>
    <w:basedOn w:val="DefaultParagraphFont"/>
    <w:link w:val="Date"/>
    <w:rsid w:val="00196ECD"/>
    <w:rPr>
      <w:rFonts w:ascii="Times New Roman" w:eastAsia="Times New Roman" w:hAnsi="Times New Roman" w:cs="Times New Roman"/>
      <w:sz w:val="24"/>
      <w:szCs w:val="24"/>
    </w:rPr>
  </w:style>
  <w:style w:type="paragraph" w:styleId="E-mailSignature">
    <w:name w:val="E-mail Signature"/>
    <w:basedOn w:val="Normal"/>
    <w:link w:val="E-mailSignatureChar"/>
    <w:semiHidden/>
    <w:rsid w:val="00196ECD"/>
    <w:pPr>
      <w:spacing w:line="240" w:lineRule="auto"/>
    </w:pPr>
    <w:rPr>
      <w:rFonts w:eastAsia="Times New Roman"/>
      <w:sz w:val="24"/>
      <w:szCs w:val="24"/>
    </w:rPr>
  </w:style>
  <w:style w:type="character" w:customStyle="1" w:styleId="E-mailSignatureChar">
    <w:name w:val="E-mail Signature Char"/>
    <w:basedOn w:val="DefaultParagraphFont"/>
    <w:link w:val="E-mailSignature"/>
    <w:semiHidden/>
    <w:rsid w:val="00196ECD"/>
    <w:rPr>
      <w:rFonts w:ascii="Times New Roman" w:eastAsia="Times New Roman" w:hAnsi="Times New Roman" w:cs="Times New Roman"/>
      <w:sz w:val="24"/>
      <w:szCs w:val="24"/>
    </w:rPr>
  </w:style>
  <w:style w:type="paragraph" w:styleId="EnvelopeAddress">
    <w:name w:val="envelope address"/>
    <w:basedOn w:val="Normal"/>
    <w:semiHidden/>
    <w:rsid w:val="00196ECD"/>
    <w:pPr>
      <w:framePr w:w="7920" w:h="1980" w:hRule="exact" w:hSpace="180" w:wrap="auto" w:hAnchor="page" w:xAlign="center" w:yAlign="bottom"/>
      <w:spacing w:line="240" w:lineRule="auto"/>
      <w:ind w:left="2880"/>
    </w:pPr>
    <w:rPr>
      <w:rFonts w:ascii="Arial" w:eastAsia="Times New Roman" w:hAnsi="Arial" w:cs="Arial"/>
      <w:sz w:val="24"/>
      <w:szCs w:val="24"/>
    </w:rPr>
  </w:style>
  <w:style w:type="paragraph" w:styleId="HTMLAddress">
    <w:name w:val="HTML Address"/>
    <w:basedOn w:val="Normal"/>
    <w:link w:val="HTMLAddressChar"/>
    <w:semiHidden/>
    <w:rsid w:val="00196ECD"/>
    <w:pPr>
      <w:spacing w:line="240" w:lineRule="auto"/>
    </w:pPr>
    <w:rPr>
      <w:rFonts w:eastAsia="Times New Roman"/>
      <w:i/>
      <w:iCs/>
      <w:sz w:val="24"/>
      <w:szCs w:val="24"/>
    </w:rPr>
  </w:style>
  <w:style w:type="character" w:customStyle="1" w:styleId="HTMLAddressChar">
    <w:name w:val="HTML Address Char"/>
    <w:basedOn w:val="DefaultParagraphFont"/>
    <w:link w:val="HTMLAddress"/>
    <w:semiHidden/>
    <w:rsid w:val="00196ECD"/>
    <w:rPr>
      <w:rFonts w:ascii="Times New Roman" w:eastAsia="Times New Roman" w:hAnsi="Times New Roman" w:cs="Times New Roman"/>
      <w:i/>
      <w:iCs/>
      <w:sz w:val="24"/>
      <w:szCs w:val="24"/>
    </w:rPr>
  </w:style>
  <w:style w:type="paragraph" w:styleId="List">
    <w:name w:val="List"/>
    <w:basedOn w:val="Normal"/>
    <w:semiHidden/>
    <w:rsid w:val="00196ECD"/>
    <w:pPr>
      <w:spacing w:line="240" w:lineRule="auto"/>
      <w:ind w:left="360" w:hanging="360"/>
    </w:pPr>
    <w:rPr>
      <w:rFonts w:eastAsia="Times New Roman"/>
      <w:sz w:val="24"/>
      <w:szCs w:val="24"/>
    </w:rPr>
  </w:style>
  <w:style w:type="paragraph" w:styleId="List2">
    <w:name w:val="List 2"/>
    <w:basedOn w:val="Normal"/>
    <w:semiHidden/>
    <w:rsid w:val="00196ECD"/>
    <w:pPr>
      <w:spacing w:line="240" w:lineRule="auto"/>
      <w:ind w:left="720" w:hanging="360"/>
    </w:pPr>
    <w:rPr>
      <w:rFonts w:eastAsia="Times New Roman"/>
      <w:sz w:val="24"/>
      <w:szCs w:val="24"/>
    </w:rPr>
  </w:style>
  <w:style w:type="paragraph" w:styleId="List3">
    <w:name w:val="List 3"/>
    <w:basedOn w:val="Normal"/>
    <w:semiHidden/>
    <w:rsid w:val="00196ECD"/>
    <w:pPr>
      <w:spacing w:line="240" w:lineRule="auto"/>
      <w:ind w:left="1080" w:hanging="360"/>
    </w:pPr>
    <w:rPr>
      <w:rFonts w:eastAsia="Times New Roman"/>
      <w:sz w:val="24"/>
      <w:szCs w:val="24"/>
    </w:rPr>
  </w:style>
  <w:style w:type="paragraph" w:styleId="List4">
    <w:name w:val="List 4"/>
    <w:basedOn w:val="Normal"/>
    <w:semiHidden/>
    <w:rsid w:val="00196ECD"/>
    <w:pPr>
      <w:spacing w:line="240" w:lineRule="auto"/>
      <w:ind w:left="1440" w:hanging="360"/>
    </w:pPr>
    <w:rPr>
      <w:rFonts w:eastAsia="Times New Roman"/>
      <w:sz w:val="24"/>
      <w:szCs w:val="24"/>
    </w:rPr>
  </w:style>
  <w:style w:type="paragraph" w:styleId="List5">
    <w:name w:val="List 5"/>
    <w:basedOn w:val="Normal"/>
    <w:semiHidden/>
    <w:rsid w:val="00196ECD"/>
    <w:pPr>
      <w:spacing w:line="240" w:lineRule="auto"/>
      <w:ind w:left="1800" w:hanging="360"/>
    </w:pPr>
    <w:rPr>
      <w:rFonts w:eastAsia="Times New Roman"/>
      <w:sz w:val="24"/>
      <w:szCs w:val="24"/>
    </w:rPr>
  </w:style>
  <w:style w:type="paragraph" w:styleId="ListBullet">
    <w:name w:val="List Bullet"/>
    <w:basedOn w:val="Normal"/>
    <w:autoRedefine/>
    <w:semiHidden/>
    <w:rsid w:val="00196ECD"/>
    <w:pPr>
      <w:tabs>
        <w:tab w:val="num" w:pos="1800"/>
      </w:tabs>
      <w:spacing w:line="240" w:lineRule="auto"/>
      <w:ind w:left="1800" w:hanging="360"/>
    </w:pPr>
    <w:rPr>
      <w:rFonts w:eastAsia="Times New Roman"/>
      <w:sz w:val="24"/>
      <w:szCs w:val="24"/>
    </w:rPr>
  </w:style>
  <w:style w:type="paragraph" w:styleId="ListBullet3">
    <w:name w:val="List Bullet 3"/>
    <w:basedOn w:val="Normal"/>
    <w:autoRedefine/>
    <w:semiHidden/>
    <w:rsid w:val="00196ECD"/>
    <w:pPr>
      <w:numPr>
        <w:numId w:val="9"/>
      </w:numPr>
      <w:tabs>
        <w:tab w:val="clear" w:pos="720"/>
        <w:tab w:val="num" w:pos="1080"/>
      </w:tabs>
      <w:spacing w:line="240" w:lineRule="auto"/>
      <w:ind w:left="1080"/>
    </w:pPr>
    <w:rPr>
      <w:rFonts w:eastAsia="Times New Roman"/>
      <w:sz w:val="24"/>
      <w:szCs w:val="24"/>
    </w:rPr>
  </w:style>
  <w:style w:type="paragraph" w:styleId="ListBullet4">
    <w:name w:val="List Bullet 4"/>
    <w:basedOn w:val="Normal"/>
    <w:autoRedefine/>
    <w:semiHidden/>
    <w:rsid w:val="00196ECD"/>
    <w:pPr>
      <w:numPr>
        <w:numId w:val="10"/>
      </w:numPr>
      <w:tabs>
        <w:tab w:val="clear" w:pos="1080"/>
        <w:tab w:val="num" w:pos="1440"/>
      </w:tabs>
      <w:spacing w:line="240" w:lineRule="auto"/>
      <w:ind w:left="1440"/>
    </w:pPr>
    <w:rPr>
      <w:rFonts w:eastAsia="Times New Roman"/>
      <w:sz w:val="24"/>
      <w:szCs w:val="24"/>
    </w:rPr>
  </w:style>
  <w:style w:type="paragraph" w:styleId="ListBullet5">
    <w:name w:val="List Bullet 5"/>
    <w:basedOn w:val="Normal"/>
    <w:autoRedefine/>
    <w:semiHidden/>
    <w:rsid w:val="00196ECD"/>
    <w:pPr>
      <w:numPr>
        <w:numId w:val="11"/>
      </w:numPr>
      <w:tabs>
        <w:tab w:val="clear" w:pos="1440"/>
        <w:tab w:val="num" w:pos="1800"/>
      </w:tabs>
      <w:spacing w:line="240" w:lineRule="auto"/>
      <w:ind w:left="1800"/>
    </w:pPr>
    <w:rPr>
      <w:rFonts w:eastAsia="Times New Roman"/>
      <w:sz w:val="24"/>
      <w:szCs w:val="24"/>
    </w:rPr>
  </w:style>
  <w:style w:type="paragraph" w:styleId="ListContinue">
    <w:name w:val="List Continue"/>
    <w:basedOn w:val="Normal"/>
    <w:semiHidden/>
    <w:rsid w:val="00196ECD"/>
    <w:pPr>
      <w:numPr>
        <w:numId w:val="12"/>
      </w:numPr>
      <w:tabs>
        <w:tab w:val="clear" w:pos="1800"/>
      </w:tabs>
      <w:spacing w:after="120" w:line="240" w:lineRule="auto"/>
      <w:ind w:left="360" w:firstLine="0"/>
    </w:pPr>
    <w:rPr>
      <w:rFonts w:eastAsia="Times New Roman"/>
      <w:sz w:val="24"/>
      <w:szCs w:val="24"/>
    </w:rPr>
  </w:style>
  <w:style w:type="paragraph" w:styleId="ListContinue2">
    <w:name w:val="List Continue 2"/>
    <w:basedOn w:val="Normal"/>
    <w:semiHidden/>
    <w:rsid w:val="00196ECD"/>
    <w:pPr>
      <w:spacing w:after="120" w:line="240" w:lineRule="auto"/>
      <w:ind w:left="720"/>
    </w:pPr>
    <w:rPr>
      <w:rFonts w:eastAsia="Times New Roman"/>
      <w:sz w:val="24"/>
      <w:szCs w:val="24"/>
    </w:rPr>
  </w:style>
  <w:style w:type="paragraph" w:styleId="ListContinue3">
    <w:name w:val="List Continue 3"/>
    <w:basedOn w:val="Normal"/>
    <w:semiHidden/>
    <w:rsid w:val="00196ECD"/>
    <w:pPr>
      <w:spacing w:after="120" w:line="240" w:lineRule="auto"/>
      <w:ind w:left="1080"/>
    </w:pPr>
    <w:rPr>
      <w:rFonts w:eastAsia="Times New Roman"/>
      <w:sz w:val="24"/>
      <w:szCs w:val="24"/>
    </w:rPr>
  </w:style>
  <w:style w:type="paragraph" w:styleId="ListContinue4">
    <w:name w:val="List Continue 4"/>
    <w:basedOn w:val="Normal"/>
    <w:semiHidden/>
    <w:rsid w:val="00196ECD"/>
    <w:pPr>
      <w:spacing w:after="120" w:line="240" w:lineRule="auto"/>
      <w:ind w:left="1440"/>
    </w:pPr>
    <w:rPr>
      <w:rFonts w:eastAsia="Times New Roman"/>
      <w:sz w:val="24"/>
      <w:szCs w:val="24"/>
    </w:rPr>
  </w:style>
  <w:style w:type="paragraph" w:styleId="ListContinue5">
    <w:name w:val="List Continue 5"/>
    <w:basedOn w:val="Normal"/>
    <w:semiHidden/>
    <w:rsid w:val="00196ECD"/>
    <w:pPr>
      <w:spacing w:after="120" w:line="240" w:lineRule="auto"/>
      <w:ind w:left="1800"/>
    </w:pPr>
    <w:rPr>
      <w:rFonts w:eastAsia="Times New Roman"/>
      <w:sz w:val="24"/>
      <w:szCs w:val="24"/>
    </w:rPr>
  </w:style>
  <w:style w:type="paragraph" w:styleId="ListNumber">
    <w:name w:val="List Number"/>
    <w:basedOn w:val="Normal"/>
    <w:semiHidden/>
    <w:rsid w:val="00196ECD"/>
    <w:pPr>
      <w:tabs>
        <w:tab w:val="num" w:pos="360"/>
      </w:tabs>
      <w:spacing w:line="240" w:lineRule="auto"/>
      <w:ind w:left="360" w:hanging="360"/>
    </w:pPr>
    <w:rPr>
      <w:rFonts w:eastAsia="Times New Roman"/>
      <w:sz w:val="24"/>
      <w:szCs w:val="24"/>
    </w:rPr>
  </w:style>
  <w:style w:type="paragraph" w:styleId="ListNumber2">
    <w:name w:val="List Number 2"/>
    <w:basedOn w:val="Normal"/>
    <w:semiHidden/>
    <w:rsid w:val="00196ECD"/>
    <w:pPr>
      <w:numPr>
        <w:numId w:val="13"/>
      </w:numPr>
      <w:tabs>
        <w:tab w:val="clear" w:pos="360"/>
        <w:tab w:val="num" w:pos="720"/>
      </w:tabs>
      <w:spacing w:line="240" w:lineRule="auto"/>
      <w:ind w:left="720"/>
    </w:pPr>
    <w:rPr>
      <w:rFonts w:eastAsia="Times New Roman"/>
      <w:sz w:val="24"/>
      <w:szCs w:val="24"/>
    </w:rPr>
  </w:style>
  <w:style w:type="paragraph" w:styleId="ListNumber3">
    <w:name w:val="List Number 3"/>
    <w:basedOn w:val="Normal"/>
    <w:semiHidden/>
    <w:rsid w:val="00196ECD"/>
    <w:pPr>
      <w:numPr>
        <w:numId w:val="14"/>
      </w:numPr>
      <w:tabs>
        <w:tab w:val="clear" w:pos="720"/>
        <w:tab w:val="num" w:pos="1080"/>
      </w:tabs>
      <w:spacing w:line="240" w:lineRule="auto"/>
      <w:ind w:left="1080"/>
    </w:pPr>
    <w:rPr>
      <w:rFonts w:eastAsia="Times New Roman"/>
      <w:sz w:val="24"/>
      <w:szCs w:val="24"/>
    </w:rPr>
  </w:style>
  <w:style w:type="paragraph" w:styleId="ListNumber4">
    <w:name w:val="List Number 4"/>
    <w:basedOn w:val="Normal"/>
    <w:semiHidden/>
    <w:rsid w:val="00196ECD"/>
    <w:pPr>
      <w:numPr>
        <w:numId w:val="15"/>
      </w:numPr>
      <w:tabs>
        <w:tab w:val="clear" w:pos="1080"/>
        <w:tab w:val="num" w:pos="1440"/>
      </w:tabs>
      <w:spacing w:line="240" w:lineRule="auto"/>
      <w:ind w:left="1440"/>
    </w:pPr>
    <w:rPr>
      <w:rFonts w:eastAsia="Times New Roman"/>
      <w:sz w:val="24"/>
      <w:szCs w:val="24"/>
    </w:rPr>
  </w:style>
  <w:style w:type="paragraph" w:styleId="ListNumber5">
    <w:name w:val="List Number 5"/>
    <w:basedOn w:val="Normal"/>
    <w:semiHidden/>
    <w:rsid w:val="00196ECD"/>
    <w:pPr>
      <w:numPr>
        <w:numId w:val="16"/>
      </w:numPr>
      <w:tabs>
        <w:tab w:val="clear" w:pos="1440"/>
        <w:tab w:val="num" w:pos="1800"/>
      </w:tabs>
      <w:spacing w:line="240" w:lineRule="auto"/>
      <w:ind w:left="1800"/>
    </w:pPr>
    <w:rPr>
      <w:rFonts w:eastAsia="Times New Roman"/>
      <w:sz w:val="24"/>
      <w:szCs w:val="24"/>
    </w:rPr>
  </w:style>
  <w:style w:type="paragraph" w:styleId="MacroText">
    <w:name w:val="macro"/>
    <w:link w:val="MacroTextChar"/>
    <w:semiHidden/>
    <w:rsid w:val="00196ECD"/>
    <w:pPr>
      <w:numPr>
        <w:numId w:val="17"/>
      </w:numPr>
      <w:tabs>
        <w:tab w:val="clear" w:pos="1800"/>
        <w:tab w:val="left" w:pos="480"/>
        <w:tab w:val="left" w:pos="960"/>
        <w:tab w:val="left" w:pos="1440"/>
        <w:tab w:val="left" w:pos="1920"/>
        <w:tab w:val="left" w:pos="2400"/>
        <w:tab w:val="left" w:pos="2880"/>
        <w:tab w:val="left" w:pos="3360"/>
        <w:tab w:val="left" w:pos="3840"/>
        <w:tab w:val="left" w:pos="4320"/>
      </w:tabs>
      <w:spacing w:after="240" w:line="240" w:lineRule="auto"/>
      <w:ind w:left="0" w:firstLine="0"/>
    </w:pPr>
    <w:rPr>
      <w:rFonts w:ascii="Courier New" w:eastAsia="Times New Roman" w:hAnsi="Courier New" w:cs="Courier New"/>
    </w:rPr>
  </w:style>
  <w:style w:type="character" w:customStyle="1" w:styleId="MacroTextChar">
    <w:name w:val="Macro Text Char"/>
    <w:basedOn w:val="DefaultParagraphFont"/>
    <w:link w:val="MacroText"/>
    <w:semiHidden/>
    <w:rsid w:val="00196ECD"/>
    <w:rPr>
      <w:rFonts w:ascii="Courier New" w:eastAsia="Times New Roman" w:hAnsi="Courier New" w:cs="Courier New"/>
    </w:rPr>
  </w:style>
  <w:style w:type="paragraph" w:styleId="MessageHeader">
    <w:name w:val="Message Header"/>
    <w:basedOn w:val="Normal"/>
    <w:link w:val="MessageHeaderChar"/>
    <w:semiHidden/>
    <w:rsid w:val="00196ECD"/>
    <w:pPr>
      <w:pBdr>
        <w:top w:val="single" w:sz="6" w:space="1" w:color="auto"/>
        <w:left w:val="single" w:sz="6" w:space="1" w:color="auto"/>
        <w:bottom w:val="single" w:sz="6" w:space="1" w:color="auto"/>
        <w:right w:val="single" w:sz="6" w:space="1" w:color="auto"/>
      </w:pBdr>
      <w:shd w:val="pct20" w:color="auto" w:fill="auto"/>
      <w:spacing w:line="240" w:lineRule="auto"/>
      <w:ind w:left="1080" w:hanging="1080"/>
    </w:pPr>
    <w:rPr>
      <w:rFonts w:ascii="Arial" w:eastAsia="Times New Roman" w:hAnsi="Arial" w:cs="Arial"/>
      <w:sz w:val="24"/>
      <w:szCs w:val="24"/>
    </w:rPr>
  </w:style>
  <w:style w:type="character" w:customStyle="1" w:styleId="MessageHeaderChar">
    <w:name w:val="Message Header Char"/>
    <w:basedOn w:val="DefaultParagraphFont"/>
    <w:link w:val="MessageHeader"/>
    <w:semiHidden/>
    <w:rsid w:val="00196ECD"/>
    <w:rPr>
      <w:rFonts w:ascii="Arial" w:eastAsia="Times New Roman" w:hAnsi="Arial" w:cs="Arial"/>
      <w:sz w:val="24"/>
      <w:szCs w:val="24"/>
      <w:shd w:val="pct20" w:color="auto" w:fill="auto"/>
    </w:rPr>
  </w:style>
  <w:style w:type="paragraph" w:styleId="NormalIndent">
    <w:name w:val="Normal Indent"/>
    <w:basedOn w:val="Normal"/>
    <w:semiHidden/>
    <w:rsid w:val="00196ECD"/>
    <w:pPr>
      <w:spacing w:line="240" w:lineRule="auto"/>
      <w:ind w:left="720"/>
    </w:pPr>
    <w:rPr>
      <w:rFonts w:eastAsia="Times New Roman"/>
      <w:sz w:val="24"/>
      <w:szCs w:val="24"/>
    </w:rPr>
  </w:style>
  <w:style w:type="paragraph" w:styleId="NoteHeading">
    <w:name w:val="Note Heading"/>
    <w:basedOn w:val="Normal"/>
    <w:next w:val="Normal"/>
    <w:link w:val="NoteHeadingChar"/>
    <w:semiHidden/>
    <w:rsid w:val="00196ECD"/>
    <w:pPr>
      <w:spacing w:line="240" w:lineRule="auto"/>
    </w:pPr>
    <w:rPr>
      <w:rFonts w:eastAsia="Times New Roman"/>
      <w:sz w:val="24"/>
      <w:szCs w:val="24"/>
    </w:rPr>
  </w:style>
  <w:style w:type="character" w:customStyle="1" w:styleId="NoteHeadingChar">
    <w:name w:val="Note Heading Char"/>
    <w:basedOn w:val="DefaultParagraphFont"/>
    <w:link w:val="NoteHeading"/>
    <w:semiHidden/>
    <w:rsid w:val="00196ECD"/>
    <w:rPr>
      <w:rFonts w:ascii="Times New Roman" w:eastAsia="Times New Roman" w:hAnsi="Times New Roman" w:cs="Times New Roman"/>
      <w:sz w:val="24"/>
      <w:szCs w:val="24"/>
    </w:rPr>
  </w:style>
  <w:style w:type="paragraph" w:styleId="Salutation">
    <w:name w:val="Salutation"/>
    <w:basedOn w:val="Normal"/>
    <w:next w:val="Normal"/>
    <w:link w:val="SalutationChar"/>
    <w:semiHidden/>
    <w:rsid w:val="00196ECD"/>
    <w:pPr>
      <w:spacing w:line="240" w:lineRule="auto"/>
    </w:pPr>
    <w:rPr>
      <w:rFonts w:eastAsia="Times New Roman"/>
      <w:sz w:val="24"/>
      <w:szCs w:val="24"/>
    </w:rPr>
  </w:style>
  <w:style w:type="character" w:customStyle="1" w:styleId="SalutationChar">
    <w:name w:val="Salutation Char"/>
    <w:basedOn w:val="DefaultParagraphFont"/>
    <w:link w:val="Salutation"/>
    <w:semiHidden/>
    <w:rsid w:val="00196ECD"/>
    <w:rPr>
      <w:rFonts w:ascii="Times New Roman" w:eastAsia="Times New Roman" w:hAnsi="Times New Roman" w:cs="Times New Roman"/>
      <w:sz w:val="24"/>
      <w:szCs w:val="24"/>
    </w:rPr>
  </w:style>
  <w:style w:type="paragraph" w:styleId="Signature">
    <w:name w:val="Signature"/>
    <w:basedOn w:val="Normal"/>
    <w:link w:val="SignatureChar"/>
    <w:semiHidden/>
    <w:rsid w:val="00196ECD"/>
    <w:pPr>
      <w:spacing w:line="240" w:lineRule="auto"/>
      <w:ind w:left="4320"/>
    </w:pPr>
    <w:rPr>
      <w:rFonts w:eastAsia="Times New Roman"/>
      <w:sz w:val="24"/>
      <w:szCs w:val="24"/>
    </w:rPr>
  </w:style>
  <w:style w:type="character" w:customStyle="1" w:styleId="SignatureChar">
    <w:name w:val="Signature Char"/>
    <w:basedOn w:val="DefaultParagraphFont"/>
    <w:link w:val="Signature"/>
    <w:semiHidden/>
    <w:rsid w:val="00196ECD"/>
    <w:rPr>
      <w:rFonts w:ascii="Times New Roman" w:eastAsia="Times New Roman" w:hAnsi="Times New Roman" w:cs="Times New Roman"/>
      <w:sz w:val="24"/>
      <w:szCs w:val="24"/>
    </w:rPr>
  </w:style>
  <w:style w:type="paragraph" w:styleId="TableofAuthorities">
    <w:name w:val="table of authorities"/>
    <w:basedOn w:val="Normal"/>
    <w:next w:val="Normal"/>
    <w:semiHidden/>
    <w:rsid w:val="00196ECD"/>
    <w:pPr>
      <w:spacing w:line="240" w:lineRule="auto"/>
      <w:ind w:left="240" w:hanging="240"/>
    </w:pPr>
    <w:rPr>
      <w:rFonts w:eastAsia="Times New Roman"/>
      <w:sz w:val="24"/>
      <w:szCs w:val="24"/>
    </w:rPr>
  </w:style>
  <w:style w:type="paragraph" w:styleId="TOAHeading">
    <w:name w:val="toa heading"/>
    <w:basedOn w:val="Normal"/>
    <w:next w:val="Normal"/>
    <w:semiHidden/>
    <w:rsid w:val="00196ECD"/>
    <w:pPr>
      <w:spacing w:before="120" w:line="240" w:lineRule="auto"/>
    </w:pPr>
    <w:rPr>
      <w:rFonts w:ascii="Arial" w:eastAsia="Times New Roman" w:hAnsi="Arial" w:cs="Arial"/>
      <w:b/>
      <w:bCs/>
      <w:sz w:val="24"/>
      <w:szCs w:val="24"/>
    </w:rPr>
  </w:style>
  <w:style w:type="paragraph" w:customStyle="1" w:styleId="Normal-nospace">
    <w:name w:val="Normal-nospace"/>
    <w:basedOn w:val="Normal"/>
    <w:rsid w:val="00196ECD"/>
    <w:pPr>
      <w:spacing w:line="240" w:lineRule="auto"/>
    </w:pPr>
    <w:rPr>
      <w:rFonts w:eastAsia="Times New Roman"/>
      <w:sz w:val="24"/>
      <w:szCs w:val="24"/>
    </w:rPr>
  </w:style>
  <w:style w:type="paragraph" w:customStyle="1" w:styleId="BodyText1">
    <w:name w:val="Body Text 1"/>
    <w:basedOn w:val="BodyText"/>
    <w:qFormat/>
    <w:rsid w:val="005828A4"/>
    <w:pPr>
      <w:spacing w:after="120" w:line="200" w:lineRule="atLeast"/>
    </w:pPr>
    <w:rPr>
      <w:rFonts w:ascii="Arial" w:eastAsia="Times New Roman" w:hAnsi="Arial"/>
      <w:sz w:val="16"/>
    </w:rPr>
  </w:style>
  <w:style w:type="paragraph" w:customStyle="1" w:styleId="bulleted">
    <w:name w:val="bulleted"/>
    <w:basedOn w:val="Normal"/>
    <w:rsid w:val="00196ECD"/>
    <w:pPr>
      <w:tabs>
        <w:tab w:val="num" w:pos="360"/>
        <w:tab w:val="num" w:pos="1080"/>
      </w:tabs>
      <w:spacing w:before="120" w:after="120" w:line="240" w:lineRule="auto"/>
      <w:ind w:left="1080"/>
    </w:pPr>
    <w:rPr>
      <w:rFonts w:eastAsia="Times New Roman"/>
      <w:sz w:val="24"/>
    </w:rPr>
  </w:style>
  <w:style w:type="paragraph" w:customStyle="1" w:styleId="numbered">
    <w:name w:val="numbered"/>
    <w:basedOn w:val="Normal"/>
    <w:rsid w:val="00196ECD"/>
    <w:pPr>
      <w:tabs>
        <w:tab w:val="num" w:pos="360"/>
      </w:tabs>
      <w:spacing w:after="60" w:line="240" w:lineRule="auto"/>
      <w:ind w:left="360" w:hanging="360"/>
    </w:pPr>
    <w:rPr>
      <w:rFonts w:eastAsia="Times New Roman"/>
      <w:sz w:val="24"/>
      <w:szCs w:val="24"/>
    </w:rPr>
  </w:style>
  <w:style w:type="paragraph" w:customStyle="1" w:styleId="number-left">
    <w:name w:val="number-left"/>
    <w:basedOn w:val="1Numbering"/>
    <w:rsid w:val="00196ECD"/>
    <w:pPr>
      <w:numPr>
        <w:numId w:val="18"/>
      </w:numPr>
      <w:tabs>
        <w:tab w:val="clear" w:pos="1080"/>
        <w:tab w:val="num" w:pos="360"/>
      </w:tabs>
      <w:ind w:left="360"/>
    </w:pPr>
  </w:style>
  <w:style w:type="paragraph" w:customStyle="1" w:styleId="Normal-6">
    <w:name w:val="Normal-6"/>
    <w:basedOn w:val="Normal"/>
    <w:rsid w:val="00196ECD"/>
    <w:pPr>
      <w:spacing w:after="120" w:line="240" w:lineRule="auto"/>
    </w:pPr>
    <w:rPr>
      <w:rFonts w:eastAsia="Times New Roman"/>
      <w:sz w:val="24"/>
      <w:szCs w:val="24"/>
    </w:rPr>
  </w:style>
  <w:style w:type="paragraph" w:customStyle="1" w:styleId="Bullets-12">
    <w:name w:val="Bullets-12"/>
    <w:basedOn w:val="Bullets"/>
    <w:rsid w:val="00196ECD"/>
    <w:pPr>
      <w:spacing w:after="240"/>
    </w:pPr>
  </w:style>
  <w:style w:type="paragraph" w:customStyle="1" w:styleId="FaxBodyText">
    <w:name w:val="Fax Body Text"/>
    <w:basedOn w:val="Normal"/>
    <w:qFormat/>
    <w:rsid w:val="00196ECD"/>
    <w:pPr>
      <w:framePr w:hSpace="180" w:wrap="around" w:vAnchor="text" w:hAnchor="text" w:y="55"/>
    </w:pPr>
    <w:rPr>
      <w:rFonts w:eastAsia="Times New Roman"/>
      <w:lang w:bidi="en-US"/>
    </w:rPr>
  </w:style>
  <w:style w:type="paragraph" w:customStyle="1" w:styleId="Bullet-Open">
    <w:name w:val="Bullet-Open"/>
    <w:basedOn w:val="Normal"/>
    <w:link w:val="Bullet-OpenChar"/>
    <w:qFormat/>
    <w:rsid w:val="00AE0B3B"/>
    <w:pPr>
      <w:numPr>
        <w:numId w:val="20"/>
      </w:numPr>
      <w:spacing w:after="120"/>
    </w:pPr>
    <w:rPr>
      <w:color w:val="000000"/>
    </w:rPr>
  </w:style>
  <w:style w:type="character" w:customStyle="1" w:styleId="ListParagraphChar">
    <w:name w:val="List Paragraph Char"/>
    <w:basedOn w:val="DefaultParagraphFont"/>
    <w:uiPriority w:val="34"/>
    <w:rsid w:val="00D84966"/>
  </w:style>
  <w:style w:type="character" w:customStyle="1" w:styleId="Bullet-SolidChar">
    <w:name w:val="Bullet-Solid Char"/>
    <w:basedOn w:val="ListParagraphChar"/>
    <w:link w:val="Bullet-Solid"/>
    <w:rsid w:val="00AB55E9"/>
    <w:rPr>
      <w:color w:val="000000"/>
    </w:rPr>
  </w:style>
  <w:style w:type="paragraph" w:customStyle="1" w:styleId="Bullet-Square">
    <w:name w:val="Bullet-Square"/>
    <w:basedOn w:val="Normal"/>
    <w:link w:val="Bullet-SquareChar"/>
    <w:qFormat/>
    <w:rsid w:val="00196ECD"/>
    <w:pPr>
      <w:numPr>
        <w:ilvl w:val="1"/>
        <w:numId w:val="6"/>
      </w:numPr>
      <w:spacing w:line="240" w:lineRule="auto"/>
    </w:pPr>
    <w:rPr>
      <w:rFonts w:eastAsia="Times New Roman"/>
    </w:rPr>
  </w:style>
  <w:style w:type="character" w:customStyle="1" w:styleId="Bullet-OpenChar">
    <w:name w:val="Bullet-Open Char"/>
    <w:basedOn w:val="ListParagraphChar"/>
    <w:link w:val="Bullet-Open"/>
    <w:rsid w:val="00AE0B3B"/>
    <w:rPr>
      <w:rFonts w:ascii="Cambria" w:hAnsi="Cambria"/>
      <w:color w:val="000000"/>
    </w:rPr>
  </w:style>
  <w:style w:type="character" w:customStyle="1" w:styleId="update1">
    <w:name w:val="update1"/>
    <w:basedOn w:val="DefaultParagraphFont"/>
    <w:rsid w:val="00196ECD"/>
    <w:rPr>
      <w:rFonts w:ascii="Arial" w:hAnsi="Arial" w:cs="Arial" w:hint="default"/>
      <w:b/>
      <w:bCs/>
      <w:color w:val="666666"/>
      <w:sz w:val="16"/>
      <w:szCs w:val="16"/>
    </w:rPr>
  </w:style>
  <w:style w:type="character" w:customStyle="1" w:styleId="Bullet-SquareChar">
    <w:name w:val="Bullet-Square Char"/>
    <w:basedOn w:val="DefaultParagraphFont"/>
    <w:link w:val="Bullet-Square"/>
    <w:rsid w:val="00196ECD"/>
    <w:rPr>
      <w:rFonts w:ascii="Cambria" w:eastAsia="Times New Roman" w:hAnsi="Cambria"/>
      <w:color w:val="auto"/>
    </w:rPr>
  </w:style>
  <w:style w:type="character" w:customStyle="1" w:styleId="EmailStyle2482">
    <w:name w:val="EmailStyle2482"/>
    <w:basedOn w:val="DefaultParagraphFont"/>
    <w:semiHidden/>
    <w:rsid w:val="00B04808"/>
    <w:rPr>
      <w:rFonts w:ascii="Arial" w:hAnsi="Arial" w:cs="Arial"/>
      <w:color w:val="993366"/>
      <w:sz w:val="20"/>
    </w:rPr>
  </w:style>
  <w:style w:type="character" w:customStyle="1" w:styleId="EmailStyle2492">
    <w:name w:val="EmailStyle2492"/>
    <w:basedOn w:val="DefaultParagraphFont"/>
    <w:semiHidden/>
    <w:rsid w:val="00B04808"/>
    <w:rPr>
      <w:rFonts w:ascii="Arial" w:hAnsi="Arial" w:cs="Arial"/>
      <w:color w:val="000080"/>
      <w:sz w:val="20"/>
    </w:rPr>
  </w:style>
  <w:style w:type="character" w:customStyle="1" w:styleId="EmailStyle2502">
    <w:name w:val="EmailStyle2502"/>
    <w:basedOn w:val="DefaultParagraphFont"/>
    <w:semiHidden/>
    <w:rsid w:val="00B04808"/>
    <w:rPr>
      <w:rFonts w:ascii="Arial" w:hAnsi="Arial" w:cs="Arial"/>
      <w:color w:val="993366"/>
      <w:sz w:val="20"/>
    </w:rPr>
  </w:style>
  <w:style w:type="character" w:customStyle="1" w:styleId="EmailStyle2512">
    <w:name w:val="EmailStyle2512"/>
    <w:basedOn w:val="DefaultParagraphFont"/>
    <w:semiHidden/>
    <w:rsid w:val="00B04808"/>
    <w:rPr>
      <w:rFonts w:ascii="Arial" w:hAnsi="Arial" w:cs="Arial"/>
      <w:color w:val="000080"/>
      <w:sz w:val="20"/>
    </w:rPr>
  </w:style>
  <w:style w:type="character" w:customStyle="1" w:styleId="EmailStyle2522">
    <w:name w:val="EmailStyle2522"/>
    <w:basedOn w:val="DefaultParagraphFont"/>
    <w:semiHidden/>
    <w:rsid w:val="00B04808"/>
    <w:rPr>
      <w:rFonts w:ascii="Arial" w:hAnsi="Arial" w:cs="Arial"/>
      <w:color w:val="993366"/>
      <w:sz w:val="20"/>
    </w:rPr>
  </w:style>
  <w:style w:type="character" w:customStyle="1" w:styleId="EmailStyle2532">
    <w:name w:val="EmailStyle2532"/>
    <w:basedOn w:val="DefaultParagraphFont"/>
    <w:semiHidden/>
    <w:rsid w:val="00B04808"/>
    <w:rPr>
      <w:rFonts w:ascii="Arial" w:hAnsi="Arial" w:cs="Arial"/>
      <w:color w:val="000080"/>
      <w:sz w:val="20"/>
    </w:rPr>
  </w:style>
  <w:style w:type="table" w:customStyle="1" w:styleId="LightShading1">
    <w:name w:val="Light Shading1"/>
    <w:basedOn w:val="TableNormal"/>
    <w:uiPriority w:val="60"/>
    <w:rsid w:val="00B04808"/>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
    <w:name w:val="Light Grid1"/>
    <w:basedOn w:val="TableNormal"/>
    <w:uiPriority w:val="62"/>
    <w:rsid w:val="00B04808"/>
    <w:pPr>
      <w:spacing w:after="0" w:line="240" w:lineRule="auto"/>
    </w:pPr>
    <w:rPr>
      <w:rFonts w:ascii="Arial" w:eastAsia="Arial" w:hAnsi="Arial"/>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paragraph" w:customStyle="1" w:styleId="ParaText">
    <w:name w:val="ParaText"/>
    <w:basedOn w:val="Normal"/>
    <w:rsid w:val="00B04808"/>
    <w:pPr>
      <w:spacing w:line="312" w:lineRule="auto"/>
    </w:pPr>
    <w:rPr>
      <w:rFonts w:ascii="Arial" w:eastAsia="Times New Roman" w:hAnsi="Arial"/>
    </w:rPr>
  </w:style>
  <w:style w:type="table" w:customStyle="1" w:styleId="MediumShading1-Accent11">
    <w:name w:val="Medium Shading 1 - Accent 11"/>
    <w:basedOn w:val="TableNormal"/>
    <w:uiPriority w:val="63"/>
    <w:rsid w:val="00B04808"/>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character" w:customStyle="1" w:styleId="EmailStyle2582">
    <w:name w:val="EmailStyle2582"/>
    <w:basedOn w:val="DefaultParagraphFont"/>
    <w:semiHidden/>
    <w:rsid w:val="00B04808"/>
    <w:rPr>
      <w:rFonts w:ascii="Arial" w:hAnsi="Arial" w:cs="Arial"/>
      <w:color w:val="993366"/>
      <w:sz w:val="20"/>
    </w:rPr>
  </w:style>
  <w:style w:type="character" w:customStyle="1" w:styleId="EmailStyle2592">
    <w:name w:val="EmailStyle2592"/>
    <w:basedOn w:val="DefaultParagraphFont"/>
    <w:semiHidden/>
    <w:rsid w:val="00B04808"/>
    <w:rPr>
      <w:rFonts w:ascii="Arial" w:hAnsi="Arial" w:cs="Arial"/>
      <w:color w:val="000080"/>
      <w:sz w:val="20"/>
    </w:rPr>
  </w:style>
  <w:style w:type="character" w:customStyle="1" w:styleId="EmailStyle2602">
    <w:name w:val="EmailStyle2602"/>
    <w:basedOn w:val="DefaultParagraphFont"/>
    <w:semiHidden/>
    <w:rsid w:val="00B04808"/>
    <w:rPr>
      <w:rFonts w:ascii="Arial" w:hAnsi="Arial" w:cs="Arial"/>
      <w:color w:val="993366"/>
      <w:sz w:val="20"/>
    </w:rPr>
  </w:style>
  <w:style w:type="character" w:customStyle="1" w:styleId="EmailStyle2612">
    <w:name w:val="EmailStyle2612"/>
    <w:basedOn w:val="DefaultParagraphFont"/>
    <w:semiHidden/>
    <w:rsid w:val="00B04808"/>
    <w:rPr>
      <w:rFonts w:ascii="Arial" w:hAnsi="Arial" w:cs="Arial"/>
      <w:color w:val="000080"/>
      <w:sz w:val="20"/>
    </w:rPr>
  </w:style>
  <w:style w:type="character" w:customStyle="1" w:styleId="EmailStyle2622">
    <w:name w:val="EmailStyle2622"/>
    <w:basedOn w:val="DefaultParagraphFont"/>
    <w:semiHidden/>
    <w:rsid w:val="00B04808"/>
    <w:rPr>
      <w:rFonts w:ascii="Arial" w:hAnsi="Arial" w:cs="Arial"/>
      <w:color w:val="993366"/>
      <w:sz w:val="20"/>
    </w:rPr>
  </w:style>
  <w:style w:type="character" w:customStyle="1" w:styleId="EmailStyle2632">
    <w:name w:val="EmailStyle2632"/>
    <w:basedOn w:val="DefaultParagraphFont"/>
    <w:semiHidden/>
    <w:rsid w:val="00B04808"/>
    <w:rPr>
      <w:rFonts w:ascii="Arial" w:hAnsi="Arial" w:cs="Arial"/>
      <w:color w:val="000080"/>
      <w:sz w:val="20"/>
    </w:rPr>
  </w:style>
  <w:style w:type="character" w:styleId="HTMLAcronym">
    <w:name w:val="HTML Acronym"/>
    <w:basedOn w:val="DefaultParagraphFont"/>
    <w:uiPriority w:val="99"/>
    <w:semiHidden/>
    <w:unhideWhenUsed/>
    <w:rsid w:val="00B04808"/>
  </w:style>
  <w:style w:type="character" w:customStyle="1" w:styleId="EmailStyle2652">
    <w:name w:val="EmailStyle2652"/>
    <w:basedOn w:val="DefaultParagraphFont"/>
    <w:semiHidden/>
    <w:rsid w:val="00107F1F"/>
    <w:rPr>
      <w:rFonts w:ascii="Arial" w:hAnsi="Arial" w:cs="Arial"/>
      <w:color w:val="993366"/>
      <w:sz w:val="20"/>
    </w:rPr>
  </w:style>
  <w:style w:type="character" w:customStyle="1" w:styleId="EmailStyle2662">
    <w:name w:val="EmailStyle2662"/>
    <w:basedOn w:val="DefaultParagraphFont"/>
    <w:semiHidden/>
    <w:rsid w:val="00107F1F"/>
    <w:rPr>
      <w:rFonts w:ascii="Arial" w:hAnsi="Arial" w:cs="Arial"/>
      <w:color w:val="000080"/>
      <w:sz w:val="20"/>
    </w:rPr>
  </w:style>
  <w:style w:type="table" w:styleId="MediumGrid1-Accent1">
    <w:name w:val="Medium Grid 1 Accent 1"/>
    <w:basedOn w:val="TableNormal"/>
    <w:uiPriority w:val="67"/>
    <w:rsid w:val="00107F1F"/>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character" w:customStyle="1" w:styleId="ISOBodyCopyChar">
    <w:name w:val="ISO Body Copy Char"/>
    <w:basedOn w:val="DefaultParagraphFont"/>
    <w:link w:val="ISOBodyCopy"/>
    <w:rsid w:val="001D6F6C"/>
    <w:rPr>
      <w:rFonts w:ascii="Times New Roman" w:eastAsia="Times New Roman" w:hAnsi="Times New Roman" w:cs="Times New Roman"/>
    </w:rPr>
  </w:style>
  <w:style w:type="paragraph" w:customStyle="1" w:styleId="ISOHeading3nonumbering">
    <w:name w:val="ISO Heading 3 no numbering"/>
    <w:basedOn w:val="Normal"/>
    <w:rsid w:val="001D6F6C"/>
    <w:pPr>
      <w:keepNext/>
      <w:widowControl w:val="0"/>
      <w:spacing w:before="240" w:line="240" w:lineRule="atLeast"/>
      <w:outlineLvl w:val="2"/>
    </w:pPr>
    <w:rPr>
      <w:rFonts w:ascii="Arial" w:eastAsia="Times New Roman" w:hAnsi="Arial"/>
      <w:i/>
    </w:rPr>
  </w:style>
  <w:style w:type="paragraph" w:customStyle="1" w:styleId="ISONumberedList">
    <w:name w:val="ISO Numbered List"/>
    <w:basedOn w:val="ISOBulletList"/>
    <w:qFormat/>
    <w:rsid w:val="001D6F6C"/>
    <w:pPr>
      <w:widowControl w:val="0"/>
      <w:numPr>
        <w:numId w:val="0"/>
      </w:numPr>
      <w:spacing w:after="80" w:line="240" w:lineRule="auto"/>
      <w:ind w:left="720" w:hanging="360"/>
    </w:pPr>
  </w:style>
  <w:style w:type="table" w:customStyle="1" w:styleId="LightShading-Accent11">
    <w:name w:val="Light Shading - Accent 11"/>
    <w:basedOn w:val="TableNormal"/>
    <w:uiPriority w:val="60"/>
    <w:rsid w:val="00AB49CA"/>
    <w:pPr>
      <w:spacing w:after="0" w:line="240" w:lineRule="auto"/>
    </w:pPr>
    <w:rPr>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
    <w:name w:val="RSP_Style"/>
    <w:basedOn w:val="TableNormal"/>
    <w:uiPriority w:val="99"/>
    <w:qFormat/>
    <w:rsid w:val="005354AB"/>
    <w:pPr>
      <w:spacing w:after="0" w:line="240" w:lineRule="auto"/>
    </w:pPr>
    <w:tblPr/>
  </w:style>
  <w:style w:type="table" w:customStyle="1" w:styleId="20122tableformat">
    <w:name w:val="2012 2 table format"/>
    <w:basedOn w:val="TableNormal"/>
    <w:uiPriority w:val="63"/>
    <w:rsid w:val="008407BE"/>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paragraph" w:customStyle="1" w:styleId="HeadingBody3">
    <w:name w:val="Heading Body 3"/>
    <w:basedOn w:val="Normal"/>
    <w:rsid w:val="00D3293B"/>
    <w:pPr>
      <w:spacing w:line="480" w:lineRule="auto"/>
      <w:ind w:left="2160"/>
    </w:pPr>
    <w:rPr>
      <w:rFonts w:eastAsia="Times New Roman"/>
      <w:sz w:val="24"/>
      <w:szCs w:val="24"/>
    </w:rPr>
  </w:style>
  <w:style w:type="character" w:customStyle="1" w:styleId="EmailStyle2752">
    <w:name w:val="EmailStyle2752"/>
    <w:basedOn w:val="DefaultParagraphFont"/>
    <w:semiHidden/>
    <w:rsid w:val="0034080E"/>
    <w:rPr>
      <w:rFonts w:ascii="Arial" w:hAnsi="Arial" w:cs="Arial"/>
      <w:color w:val="993366"/>
      <w:sz w:val="20"/>
    </w:rPr>
  </w:style>
  <w:style w:type="character" w:customStyle="1" w:styleId="EmailStyle2762">
    <w:name w:val="EmailStyle2762"/>
    <w:basedOn w:val="DefaultParagraphFont"/>
    <w:semiHidden/>
    <w:rsid w:val="0034080E"/>
    <w:rPr>
      <w:rFonts w:ascii="Arial" w:hAnsi="Arial" w:cs="Arial"/>
      <w:color w:val="000080"/>
      <w:sz w:val="20"/>
    </w:rPr>
  </w:style>
  <w:style w:type="character" w:customStyle="1" w:styleId="EmailStyle2772">
    <w:name w:val="EmailStyle2772"/>
    <w:basedOn w:val="DefaultParagraphFont"/>
    <w:semiHidden/>
    <w:rsid w:val="0034080E"/>
    <w:rPr>
      <w:rFonts w:ascii="Arial" w:hAnsi="Arial" w:cs="Arial"/>
      <w:color w:val="993366"/>
      <w:sz w:val="20"/>
    </w:rPr>
  </w:style>
  <w:style w:type="character" w:customStyle="1" w:styleId="EmailStyle2782">
    <w:name w:val="EmailStyle2782"/>
    <w:basedOn w:val="DefaultParagraphFont"/>
    <w:semiHidden/>
    <w:rsid w:val="0034080E"/>
    <w:rPr>
      <w:rFonts w:ascii="Arial" w:hAnsi="Arial" w:cs="Arial"/>
      <w:color w:val="000080"/>
      <w:sz w:val="20"/>
    </w:rPr>
  </w:style>
  <w:style w:type="character" w:customStyle="1" w:styleId="EmailStyle2792">
    <w:name w:val="EmailStyle2792"/>
    <w:basedOn w:val="DefaultParagraphFont"/>
    <w:semiHidden/>
    <w:rsid w:val="0034080E"/>
    <w:rPr>
      <w:rFonts w:ascii="Arial" w:hAnsi="Arial" w:cs="Arial"/>
      <w:color w:val="993366"/>
      <w:sz w:val="20"/>
    </w:rPr>
  </w:style>
  <w:style w:type="character" w:customStyle="1" w:styleId="EmailStyle2802">
    <w:name w:val="EmailStyle2802"/>
    <w:basedOn w:val="DefaultParagraphFont"/>
    <w:semiHidden/>
    <w:rsid w:val="0034080E"/>
    <w:rPr>
      <w:rFonts w:ascii="Arial" w:hAnsi="Arial" w:cs="Arial"/>
      <w:color w:val="000080"/>
      <w:sz w:val="20"/>
    </w:rPr>
  </w:style>
  <w:style w:type="character" w:customStyle="1" w:styleId="EmailStyle2812">
    <w:name w:val="EmailStyle2812"/>
    <w:basedOn w:val="DefaultParagraphFont"/>
    <w:semiHidden/>
    <w:rsid w:val="0034080E"/>
    <w:rPr>
      <w:rFonts w:ascii="Arial" w:hAnsi="Arial" w:cs="Arial"/>
      <w:color w:val="993366"/>
      <w:sz w:val="20"/>
    </w:rPr>
  </w:style>
  <w:style w:type="character" w:customStyle="1" w:styleId="EmailStyle2822">
    <w:name w:val="EmailStyle2822"/>
    <w:basedOn w:val="DefaultParagraphFont"/>
    <w:semiHidden/>
    <w:rsid w:val="0034080E"/>
    <w:rPr>
      <w:rFonts w:ascii="Arial" w:hAnsi="Arial" w:cs="Arial"/>
      <w:color w:val="000080"/>
      <w:sz w:val="20"/>
    </w:rPr>
  </w:style>
  <w:style w:type="character" w:customStyle="1" w:styleId="EmailStyle2832">
    <w:name w:val="EmailStyle2832"/>
    <w:basedOn w:val="DefaultParagraphFont"/>
    <w:semiHidden/>
    <w:rsid w:val="0034080E"/>
    <w:rPr>
      <w:rFonts w:ascii="Arial" w:hAnsi="Arial" w:cs="Arial"/>
      <w:color w:val="993366"/>
      <w:sz w:val="20"/>
    </w:rPr>
  </w:style>
  <w:style w:type="character" w:customStyle="1" w:styleId="EmailStyle2842">
    <w:name w:val="EmailStyle2842"/>
    <w:basedOn w:val="DefaultParagraphFont"/>
    <w:semiHidden/>
    <w:rsid w:val="0034080E"/>
    <w:rPr>
      <w:rFonts w:ascii="Arial" w:hAnsi="Arial" w:cs="Arial"/>
      <w:color w:val="000080"/>
      <w:sz w:val="20"/>
    </w:rPr>
  </w:style>
  <w:style w:type="character" w:customStyle="1" w:styleId="EmailStyle2852">
    <w:name w:val="EmailStyle2852"/>
    <w:basedOn w:val="DefaultParagraphFont"/>
    <w:semiHidden/>
    <w:rsid w:val="0034080E"/>
    <w:rPr>
      <w:rFonts w:ascii="Arial" w:hAnsi="Arial" w:cs="Arial"/>
      <w:color w:val="993366"/>
      <w:sz w:val="20"/>
    </w:rPr>
  </w:style>
  <w:style w:type="character" w:customStyle="1" w:styleId="EmailStyle2862">
    <w:name w:val="EmailStyle2862"/>
    <w:basedOn w:val="DefaultParagraphFont"/>
    <w:semiHidden/>
    <w:rsid w:val="0034080E"/>
    <w:rPr>
      <w:rFonts w:ascii="Arial" w:hAnsi="Arial" w:cs="Arial"/>
      <w:color w:val="000080"/>
      <w:sz w:val="20"/>
    </w:rPr>
  </w:style>
  <w:style w:type="character" w:customStyle="1" w:styleId="EmailStyle2872">
    <w:name w:val="EmailStyle2872"/>
    <w:basedOn w:val="DefaultParagraphFont"/>
    <w:semiHidden/>
    <w:rsid w:val="0034080E"/>
    <w:rPr>
      <w:rFonts w:ascii="Arial" w:hAnsi="Arial" w:cs="Arial"/>
      <w:color w:val="993366"/>
      <w:sz w:val="20"/>
    </w:rPr>
  </w:style>
  <w:style w:type="character" w:customStyle="1" w:styleId="EmailStyle2882">
    <w:name w:val="EmailStyle2882"/>
    <w:basedOn w:val="DefaultParagraphFont"/>
    <w:semiHidden/>
    <w:rsid w:val="0034080E"/>
    <w:rPr>
      <w:rFonts w:ascii="Arial" w:hAnsi="Arial" w:cs="Arial"/>
      <w:color w:val="000080"/>
      <w:sz w:val="20"/>
    </w:rPr>
  </w:style>
  <w:style w:type="character" w:customStyle="1" w:styleId="EmailStyle2892">
    <w:name w:val="EmailStyle2892"/>
    <w:basedOn w:val="DefaultParagraphFont"/>
    <w:semiHidden/>
    <w:rsid w:val="0034080E"/>
    <w:rPr>
      <w:rFonts w:ascii="Arial" w:hAnsi="Arial" w:cs="Arial"/>
      <w:color w:val="993366"/>
      <w:sz w:val="20"/>
    </w:rPr>
  </w:style>
  <w:style w:type="character" w:customStyle="1" w:styleId="EmailStyle2902">
    <w:name w:val="EmailStyle2902"/>
    <w:basedOn w:val="DefaultParagraphFont"/>
    <w:semiHidden/>
    <w:rsid w:val="0034080E"/>
    <w:rPr>
      <w:rFonts w:ascii="Arial" w:hAnsi="Arial" w:cs="Arial"/>
      <w:color w:val="000080"/>
      <w:sz w:val="20"/>
    </w:rPr>
  </w:style>
  <w:style w:type="character" w:customStyle="1" w:styleId="EmailStyle2912">
    <w:name w:val="EmailStyle2912"/>
    <w:basedOn w:val="DefaultParagraphFont"/>
    <w:semiHidden/>
    <w:rsid w:val="0034080E"/>
    <w:rPr>
      <w:rFonts w:ascii="Arial" w:hAnsi="Arial" w:cs="Arial"/>
      <w:color w:val="993366"/>
      <w:sz w:val="20"/>
    </w:rPr>
  </w:style>
  <w:style w:type="character" w:customStyle="1" w:styleId="EmailStyle2922">
    <w:name w:val="EmailStyle2922"/>
    <w:basedOn w:val="DefaultParagraphFont"/>
    <w:semiHidden/>
    <w:rsid w:val="0034080E"/>
    <w:rPr>
      <w:rFonts w:ascii="Arial" w:hAnsi="Arial" w:cs="Arial"/>
      <w:color w:val="000080"/>
      <w:sz w:val="20"/>
    </w:rPr>
  </w:style>
  <w:style w:type="character" w:customStyle="1" w:styleId="EmailStyle2932">
    <w:name w:val="EmailStyle2932"/>
    <w:basedOn w:val="DefaultParagraphFont"/>
    <w:semiHidden/>
    <w:rsid w:val="0034080E"/>
    <w:rPr>
      <w:rFonts w:ascii="Arial" w:hAnsi="Arial" w:cs="Arial"/>
      <w:color w:val="993366"/>
      <w:sz w:val="20"/>
    </w:rPr>
  </w:style>
  <w:style w:type="character" w:customStyle="1" w:styleId="EmailStyle2942">
    <w:name w:val="EmailStyle2942"/>
    <w:basedOn w:val="DefaultParagraphFont"/>
    <w:semiHidden/>
    <w:rsid w:val="0034080E"/>
    <w:rPr>
      <w:rFonts w:ascii="Arial" w:hAnsi="Arial" w:cs="Arial"/>
      <w:color w:val="000080"/>
      <w:sz w:val="20"/>
    </w:rPr>
  </w:style>
  <w:style w:type="paragraph" w:customStyle="1" w:styleId="HeadingBody2">
    <w:name w:val="Heading Body 2"/>
    <w:basedOn w:val="Normal"/>
    <w:rsid w:val="0034080E"/>
    <w:pPr>
      <w:spacing w:line="480" w:lineRule="auto"/>
      <w:ind w:left="1440"/>
    </w:pPr>
    <w:rPr>
      <w:rFonts w:eastAsia="Times New Roman"/>
      <w:sz w:val="24"/>
      <w:szCs w:val="24"/>
    </w:rPr>
  </w:style>
  <w:style w:type="paragraph" w:customStyle="1" w:styleId="ISODocumentChapterTile">
    <w:name w:val="ISO Document/Chapter Tile"/>
    <w:basedOn w:val="Title"/>
    <w:link w:val="ISODocumentChapterTileChar"/>
    <w:rsid w:val="00ED05F0"/>
    <w:pPr>
      <w:widowControl w:val="0"/>
      <w:pBdr>
        <w:bottom w:val="none" w:sz="0" w:space="0" w:color="auto"/>
      </w:pBdr>
      <w:spacing w:before="80" w:after="0"/>
      <w:contextualSpacing w:val="0"/>
    </w:pPr>
    <w:rPr>
      <w:rFonts w:ascii="Arial" w:eastAsia="Times New Roman" w:hAnsi="Arial" w:cs="Times New Roman"/>
      <w:b/>
      <w:spacing w:val="0"/>
      <w:kern w:val="0"/>
      <w:sz w:val="36"/>
      <w:szCs w:val="20"/>
    </w:rPr>
  </w:style>
  <w:style w:type="character" w:customStyle="1" w:styleId="ISODocumentChapterTileChar">
    <w:name w:val="ISO Document/Chapter Tile Char"/>
    <w:basedOn w:val="TitleChar"/>
    <w:link w:val="ISODocumentChapterTile"/>
    <w:rsid w:val="00ED05F0"/>
    <w:rPr>
      <w:rFonts w:ascii="Arial" w:eastAsia="Times New Roman" w:hAnsi="Arial" w:cs="Times New Roman"/>
      <w:b/>
      <w:spacing w:val="5"/>
      <w:kern w:val="28"/>
      <w:sz w:val="36"/>
      <w:szCs w:val="20"/>
    </w:rPr>
  </w:style>
  <w:style w:type="paragraph" w:customStyle="1" w:styleId="BulletedPara">
    <w:name w:val="Bulleted Para"/>
    <w:rsid w:val="00ED05F0"/>
    <w:pPr>
      <w:numPr>
        <w:numId w:val="19"/>
      </w:numPr>
      <w:spacing w:before="120" w:line="240" w:lineRule="auto"/>
      <w:jc w:val="both"/>
    </w:pPr>
    <w:rPr>
      <w:rFonts w:ascii="Times New Roman" w:eastAsia="Times New Roman" w:hAnsi="Times New Roman"/>
      <w:sz w:val="24"/>
    </w:rPr>
  </w:style>
  <w:style w:type="table" w:styleId="MediumGrid1-Accent6">
    <w:name w:val="Medium Grid 1 Accent 6"/>
    <w:basedOn w:val="TableNormal"/>
    <w:uiPriority w:val="67"/>
    <w:rsid w:val="00696730"/>
    <w:pPr>
      <w:spacing w:after="0" w:line="240" w:lineRule="auto"/>
    </w:p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character" w:customStyle="1" w:styleId="EmailStyle3002">
    <w:name w:val="EmailStyle3002"/>
    <w:basedOn w:val="DefaultParagraphFont"/>
    <w:semiHidden/>
    <w:rsid w:val="004001CC"/>
    <w:rPr>
      <w:rFonts w:ascii="Arial" w:hAnsi="Arial" w:cs="Arial"/>
      <w:color w:val="993366"/>
      <w:sz w:val="20"/>
    </w:rPr>
  </w:style>
  <w:style w:type="character" w:customStyle="1" w:styleId="EmailStyle3012">
    <w:name w:val="EmailStyle3012"/>
    <w:basedOn w:val="DefaultParagraphFont"/>
    <w:semiHidden/>
    <w:rsid w:val="004001CC"/>
    <w:rPr>
      <w:rFonts w:ascii="Arial" w:hAnsi="Arial" w:cs="Arial"/>
      <w:color w:val="000080"/>
      <w:sz w:val="20"/>
    </w:rPr>
  </w:style>
  <w:style w:type="character" w:customStyle="1" w:styleId="EmailStyle3022">
    <w:name w:val="EmailStyle3022"/>
    <w:basedOn w:val="DefaultParagraphFont"/>
    <w:semiHidden/>
    <w:rsid w:val="004001CC"/>
    <w:rPr>
      <w:rFonts w:ascii="Arial" w:hAnsi="Arial" w:cs="Arial"/>
      <w:color w:val="993366"/>
      <w:sz w:val="20"/>
    </w:rPr>
  </w:style>
  <w:style w:type="character" w:customStyle="1" w:styleId="EmailStyle3032">
    <w:name w:val="EmailStyle3032"/>
    <w:basedOn w:val="DefaultParagraphFont"/>
    <w:semiHidden/>
    <w:rsid w:val="004001CC"/>
    <w:rPr>
      <w:rFonts w:ascii="Arial" w:hAnsi="Arial" w:cs="Arial"/>
      <w:color w:val="000080"/>
      <w:sz w:val="20"/>
    </w:rPr>
  </w:style>
  <w:style w:type="character" w:customStyle="1" w:styleId="EmailStyle3042">
    <w:name w:val="EmailStyle3042"/>
    <w:basedOn w:val="DefaultParagraphFont"/>
    <w:semiHidden/>
    <w:rsid w:val="004001CC"/>
    <w:rPr>
      <w:rFonts w:ascii="Arial" w:hAnsi="Arial" w:cs="Arial"/>
      <w:color w:val="993366"/>
      <w:sz w:val="20"/>
    </w:rPr>
  </w:style>
  <w:style w:type="character" w:customStyle="1" w:styleId="EmailStyle3052">
    <w:name w:val="EmailStyle3052"/>
    <w:basedOn w:val="DefaultParagraphFont"/>
    <w:semiHidden/>
    <w:rsid w:val="004001CC"/>
    <w:rPr>
      <w:rFonts w:ascii="Arial" w:hAnsi="Arial" w:cs="Arial"/>
      <w:color w:val="000080"/>
      <w:sz w:val="20"/>
    </w:rPr>
  </w:style>
  <w:style w:type="character" w:customStyle="1" w:styleId="EmailStyle3062">
    <w:name w:val="EmailStyle3062"/>
    <w:basedOn w:val="DefaultParagraphFont"/>
    <w:semiHidden/>
    <w:rsid w:val="004001CC"/>
    <w:rPr>
      <w:rFonts w:ascii="Arial" w:hAnsi="Arial" w:cs="Arial"/>
      <w:color w:val="993366"/>
      <w:sz w:val="20"/>
    </w:rPr>
  </w:style>
  <w:style w:type="character" w:customStyle="1" w:styleId="EmailStyle3072">
    <w:name w:val="EmailStyle3072"/>
    <w:basedOn w:val="DefaultParagraphFont"/>
    <w:semiHidden/>
    <w:rsid w:val="004001CC"/>
    <w:rPr>
      <w:rFonts w:ascii="Arial" w:hAnsi="Arial" w:cs="Arial"/>
      <w:color w:val="000080"/>
      <w:sz w:val="20"/>
    </w:rPr>
  </w:style>
  <w:style w:type="character" w:customStyle="1" w:styleId="EmailStyle3082">
    <w:name w:val="EmailStyle3082"/>
    <w:basedOn w:val="DefaultParagraphFont"/>
    <w:semiHidden/>
    <w:rsid w:val="004001CC"/>
    <w:rPr>
      <w:rFonts w:ascii="Arial" w:hAnsi="Arial" w:cs="Arial"/>
      <w:color w:val="993366"/>
      <w:sz w:val="20"/>
    </w:rPr>
  </w:style>
  <w:style w:type="character" w:customStyle="1" w:styleId="EmailStyle3092">
    <w:name w:val="EmailStyle3092"/>
    <w:basedOn w:val="DefaultParagraphFont"/>
    <w:semiHidden/>
    <w:rsid w:val="004001CC"/>
    <w:rPr>
      <w:rFonts w:ascii="Arial" w:hAnsi="Arial" w:cs="Arial"/>
      <w:color w:val="000080"/>
      <w:sz w:val="20"/>
    </w:rPr>
  </w:style>
  <w:style w:type="character" w:customStyle="1" w:styleId="EmailStyle3102">
    <w:name w:val="EmailStyle3102"/>
    <w:basedOn w:val="DefaultParagraphFont"/>
    <w:semiHidden/>
    <w:rsid w:val="004001CC"/>
    <w:rPr>
      <w:rFonts w:ascii="Arial" w:hAnsi="Arial" w:cs="Arial"/>
      <w:color w:val="993366"/>
      <w:sz w:val="20"/>
    </w:rPr>
  </w:style>
  <w:style w:type="character" w:customStyle="1" w:styleId="EmailStyle3112">
    <w:name w:val="EmailStyle3112"/>
    <w:basedOn w:val="DefaultParagraphFont"/>
    <w:semiHidden/>
    <w:rsid w:val="004001CC"/>
    <w:rPr>
      <w:rFonts w:ascii="Arial" w:hAnsi="Arial" w:cs="Arial"/>
      <w:color w:val="000080"/>
      <w:sz w:val="20"/>
    </w:rPr>
  </w:style>
  <w:style w:type="character" w:customStyle="1" w:styleId="EmailStyle3122">
    <w:name w:val="EmailStyle3122"/>
    <w:basedOn w:val="DefaultParagraphFont"/>
    <w:semiHidden/>
    <w:rsid w:val="004001CC"/>
    <w:rPr>
      <w:rFonts w:ascii="Arial" w:hAnsi="Arial" w:cs="Arial"/>
      <w:color w:val="993366"/>
      <w:sz w:val="20"/>
    </w:rPr>
  </w:style>
  <w:style w:type="character" w:customStyle="1" w:styleId="EmailStyle3132">
    <w:name w:val="EmailStyle3132"/>
    <w:basedOn w:val="DefaultParagraphFont"/>
    <w:semiHidden/>
    <w:rsid w:val="004001CC"/>
    <w:rPr>
      <w:rFonts w:ascii="Arial" w:hAnsi="Arial" w:cs="Arial"/>
      <w:color w:val="000080"/>
      <w:sz w:val="20"/>
    </w:rPr>
  </w:style>
  <w:style w:type="character" w:customStyle="1" w:styleId="EmailStyle3142">
    <w:name w:val="EmailStyle3142"/>
    <w:basedOn w:val="DefaultParagraphFont"/>
    <w:semiHidden/>
    <w:rsid w:val="004001CC"/>
    <w:rPr>
      <w:rFonts w:ascii="Arial" w:hAnsi="Arial" w:cs="Arial"/>
      <w:color w:val="993366"/>
      <w:sz w:val="20"/>
    </w:rPr>
  </w:style>
  <w:style w:type="character" w:customStyle="1" w:styleId="EmailStyle3152">
    <w:name w:val="EmailStyle3152"/>
    <w:basedOn w:val="DefaultParagraphFont"/>
    <w:semiHidden/>
    <w:rsid w:val="004001CC"/>
    <w:rPr>
      <w:rFonts w:ascii="Arial" w:hAnsi="Arial" w:cs="Arial"/>
      <w:color w:val="000080"/>
      <w:sz w:val="20"/>
    </w:rPr>
  </w:style>
  <w:style w:type="character" w:customStyle="1" w:styleId="EmailStyle3162">
    <w:name w:val="EmailStyle3162"/>
    <w:basedOn w:val="DefaultParagraphFont"/>
    <w:semiHidden/>
    <w:rsid w:val="004001CC"/>
    <w:rPr>
      <w:rFonts w:ascii="Arial" w:hAnsi="Arial" w:cs="Arial"/>
      <w:color w:val="993366"/>
      <w:sz w:val="20"/>
    </w:rPr>
  </w:style>
  <w:style w:type="character" w:customStyle="1" w:styleId="EmailStyle3172">
    <w:name w:val="EmailStyle3172"/>
    <w:basedOn w:val="DefaultParagraphFont"/>
    <w:semiHidden/>
    <w:rsid w:val="004001CC"/>
    <w:rPr>
      <w:rFonts w:ascii="Arial" w:hAnsi="Arial" w:cs="Arial"/>
      <w:color w:val="000080"/>
      <w:sz w:val="20"/>
    </w:rPr>
  </w:style>
  <w:style w:type="character" w:customStyle="1" w:styleId="EmailStyle3182">
    <w:name w:val="EmailStyle3182"/>
    <w:basedOn w:val="DefaultParagraphFont"/>
    <w:semiHidden/>
    <w:rsid w:val="004001CC"/>
    <w:rPr>
      <w:rFonts w:ascii="Arial" w:hAnsi="Arial" w:cs="Arial"/>
      <w:color w:val="993366"/>
      <w:sz w:val="20"/>
    </w:rPr>
  </w:style>
  <w:style w:type="character" w:customStyle="1" w:styleId="EmailStyle3192">
    <w:name w:val="EmailStyle3192"/>
    <w:basedOn w:val="DefaultParagraphFont"/>
    <w:semiHidden/>
    <w:rsid w:val="004001CC"/>
    <w:rPr>
      <w:rFonts w:ascii="Arial" w:hAnsi="Arial" w:cs="Arial"/>
      <w:color w:val="000080"/>
      <w:sz w:val="20"/>
    </w:rPr>
  </w:style>
  <w:style w:type="paragraph" w:customStyle="1" w:styleId="asdf">
    <w:name w:val="asdf"/>
    <w:basedOn w:val="Normal"/>
    <w:rsid w:val="004001CC"/>
    <w:pPr>
      <w:spacing w:before="100" w:beforeAutospacing="1" w:after="100" w:afterAutospacing="1" w:line="240" w:lineRule="auto"/>
      <w:jc w:val="center"/>
    </w:pPr>
    <w:rPr>
      <w:rFonts w:ascii="Arial Black" w:eastAsia="Times New Roman" w:hAnsi="Arial Black"/>
      <w:sz w:val="21"/>
      <w:szCs w:val="21"/>
    </w:rPr>
  </w:style>
  <w:style w:type="character" w:customStyle="1" w:styleId="sdaf1">
    <w:name w:val="sdaf1"/>
    <w:basedOn w:val="DefaultParagraphFont"/>
    <w:rsid w:val="004001CC"/>
    <w:rPr>
      <w:rFonts w:ascii="Arial" w:hAnsi="Arial" w:cs="Arial" w:hint="default"/>
      <w:sz w:val="21"/>
      <w:szCs w:val="21"/>
    </w:rPr>
  </w:style>
  <w:style w:type="character" w:customStyle="1" w:styleId="EmailStyle3222">
    <w:name w:val="EmailStyle3222"/>
    <w:basedOn w:val="DefaultParagraphFont"/>
    <w:semiHidden/>
    <w:rsid w:val="004E3B8A"/>
    <w:rPr>
      <w:rFonts w:ascii="Arial" w:hAnsi="Arial" w:cs="Arial"/>
      <w:color w:val="993366"/>
      <w:sz w:val="20"/>
    </w:rPr>
  </w:style>
  <w:style w:type="character" w:customStyle="1" w:styleId="EmailStyle3232">
    <w:name w:val="EmailStyle3232"/>
    <w:basedOn w:val="DefaultParagraphFont"/>
    <w:semiHidden/>
    <w:rsid w:val="004E3B8A"/>
    <w:rPr>
      <w:rFonts w:ascii="Arial" w:hAnsi="Arial" w:cs="Arial"/>
      <w:color w:val="000080"/>
      <w:sz w:val="20"/>
    </w:rPr>
  </w:style>
  <w:style w:type="character" w:customStyle="1" w:styleId="EmailStyle3242">
    <w:name w:val="EmailStyle3242"/>
    <w:basedOn w:val="DefaultParagraphFont"/>
    <w:semiHidden/>
    <w:rsid w:val="004E3B8A"/>
    <w:rPr>
      <w:rFonts w:ascii="Arial" w:hAnsi="Arial" w:cs="Arial"/>
      <w:color w:val="993366"/>
      <w:sz w:val="20"/>
    </w:rPr>
  </w:style>
  <w:style w:type="character" w:customStyle="1" w:styleId="EmailStyle3252">
    <w:name w:val="EmailStyle3252"/>
    <w:basedOn w:val="DefaultParagraphFont"/>
    <w:semiHidden/>
    <w:rsid w:val="004E3B8A"/>
    <w:rPr>
      <w:rFonts w:ascii="Arial" w:hAnsi="Arial" w:cs="Arial"/>
      <w:color w:val="000080"/>
      <w:sz w:val="20"/>
    </w:rPr>
  </w:style>
  <w:style w:type="character" w:customStyle="1" w:styleId="EmailStyle3262">
    <w:name w:val="EmailStyle3262"/>
    <w:basedOn w:val="DefaultParagraphFont"/>
    <w:semiHidden/>
    <w:rsid w:val="004E3B8A"/>
    <w:rPr>
      <w:rFonts w:ascii="Arial" w:hAnsi="Arial" w:cs="Arial"/>
      <w:color w:val="000080"/>
      <w:sz w:val="20"/>
    </w:rPr>
  </w:style>
  <w:style w:type="character" w:customStyle="1" w:styleId="EmailStyle3272">
    <w:name w:val="EmailStyle3272"/>
    <w:basedOn w:val="DefaultParagraphFont"/>
    <w:semiHidden/>
    <w:rsid w:val="004E3B8A"/>
    <w:rPr>
      <w:rFonts w:ascii="Arial" w:hAnsi="Arial" w:cs="Arial"/>
      <w:color w:val="993366"/>
      <w:sz w:val="20"/>
    </w:rPr>
  </w:style>
  <w:style w:type="character" w:customStyle="1" w:styleId="EmailStyle3282">
    <w:name w:val="EmailStyle3282"/>
    <w:basedOn w:val="DefaultParagraphFont"/>
    <w:semiHidden/>
    <w:rsid w:val="004E3B8A"/>
    <w:rPr>
      <w:rFonts w:ascii="Arial" w:hAnsi="Arial" w:cs="Arial"/>
      <w:color w:val="000080"/>
      <w:sz w:val="20"/>
    </w:rPr>
  </w:style>
  <w:style w:type="character" w:customStyle="1" w:styleId="EmailStyle3292">
    <w:name w:val="EmailStyle3292"/>
    <w:basedOn w:val="DefaultParagraphFont"/>
    <w:semiHidden/>
    <w:rsid w:val="004E3B8A"/>
    <w:rPr>
      <w:rFonts w:ascii="Arial" w:hAnsi="Arial" w:cs="Arial"/>
      <w:color w:val="993366"/>
      <w:sz w:val="20"/>
    </w:rPr>
  </w:style>
  <w:style w:type="character" w:customStyle="1" w:styleId="EmailStyle3302">
    <w:name w:val="EmailStyle3302"/>
    <w:basedOn w:val="DefaultParagraphFont"/>
    <w:semiHidden/>
    <w:rsid w:val="004E3B8A"/>
    <w:rPr>
      <w:rFonts w:ascii="Arial" w:hAnsi="Arial" w:cs="Arial"/>
      <w:color w:val="000080"/>
      <w:sz w:val="20"/>
    </w:rPr>
  </w:style>
  <w:style w:type="character" w:customStyle="1" w:styleId="EmailStyle3312">
    <w:name w:val="EmailStyle3312"/>
    <w:basedOn w:val="DefaultParagraphFont"/>
    <w:semiHidden/>
    <w:rsid w:val="004E3B8A"/>
    <w:rPr>
      <w:rFonts w:ascii="Arial" w:hAnsi="Arial" w:cs="Arial"/>
      <w:color w:val="000080"/>
      <w:sz w:val="20"/>
    </w:rPr>
  </w:style>
  <w:style w:type="paragraph" w:customStyle="1" w:styleId="00BodyText5">
    <w:name w:val="00 Body Text .5"/>
    <w:basedOn w:val="Normal"/>
    <w:rsid w:val="004E3B8A"/>
    <w:pPr>
      <w:spacing w:line="240" w:lineRule="auto"/>
      <w:ind w:firstLine="720"/>
    </w:pPr>
    <w:rPr>
      <w:rFonts w:eastAsia="Times New Roman"/>
      <w:sz w:val="24"/>
      <w:szCs w:val="24"/>
    </w:rPr>
  </w:style>
  <w:style w:type="paragraph" w:customStyle="1" w:styleId="TextBoxText">
    <w:name w:val="Text Box Text"/>
    <w:basedOn w:val="Normal"/>
    <w:link w:val="TextBoxTextChar"/>
    <w:qFormat/>
    <w:rsid w:val="004E3B8A"/>
    <w:pPr>
      <w:widowControl w:val="0"/>
      <w:spacing w:after="120" w:line="240" w:lineRule="auto"/>
    </w:pPr>
    <w:rPr>
      <w:i/>
      <w:sz w:val="16"/>
      <w:szCs w:val="14"/>
    </w:rPr>
  </w:style>
  <w:style w:type="character" w:customStyle="1" w:styleId="TextBoxTextChar">
    <w:name w:val="Text Box Text Char"/>
    <w:basedOn w:val="DefaultParagraphFont"/>
    <w:link w:val="TextBoxText"/>
    <w:rsid w:val="004E3B8A"/>
    <w:rPr>
      <w:rFonts w:ascii="Times New Roman" w:hAnsi="Times New Roman"/>
      <w:i/>
      <w:sz w:val="16"/>
      <w:szCs w:val="14"/>
    </w:rPr>
  </w:style>
  <w:style w:type="character" w:customStyle="1" w:styleId="EmailStyle3352">
    <w:name w:val="EmailStyle3352"/>
    <w:basedOn w:val="DefaultParagraphFont"/>
    <w:semiHidden/>
    <w:rsid w:val="00BA5816"/>
    <w:rPr>
      <w:rFonts w:ascii="Arial" w:hAnsi="Arial" w:cs="Arial"/>
      <w:color w:val="993366"/>
      <w:sz w:val="20"/>
    </w:rPr>
  </w:style>
  <w:style w:type="character" w:customStyle="1" w:styleId="EmailStyle3362">
    <w:name w:val="EmailStyle3362"/>
    <w:basedOn w:val="DefaultParagraphFont"/>
    <w:semiHidden/>
    <w:rsid w:val="00BA5816"/>
    <w:rPr>
      <w:rFonts w:ascii="Arial" w:hAnsi="Arial" w:cs="Arial"/>
      <w:color w:val="000080"/>
      <w:sz w:val="20"/>
    </w:rPr>
  </w:style>
  <w:style w:type="character" w:customStyle="1" w:styleId="EmailStyle3372">
    <w:name w:val="EmailStyle3372"/>
    <w:basedOn w:val="DefaultParagraphFont"/>
    <w:semiHidden/>
    <w:rsid w:val="00BA5816"/>
    <w:rPr>
      <w:rFonts w:ascii="Arial" w:hAnsi="Arial" w:cs="Arial"/>
      <w:color w:val="993366"/>
      <w:sz w:val="20"/>
    </w:rPr>
  </w:style>
  <w:style w:type="character" w:customStyle="1" w:styleId="EmailStyle3382">
    <w:name w:val="EmailStyle3382"/>
    <w:basedOn w:val="DefaultParagraphFont"/>
    <w:semiHidden/>
    <w:rsid w:val="00BA5816"/>
    <w:rPr>
      <w:rFonts w:ascii="Arial" w:hAnsi="Arial" w:cs="Arial"/>
      <w:color w:val="000080"/>
      <w:sz w:val="20"/>
    </w:rPr>
  </w:style>
  <w:style w:type="character" w:customStyle="1" w:styleId="EmailStyle3392">
    <w:name w:val="EmailStyle3392"/>
    <w:basedOn w:val="DefaultParagraphFont"/>
    <w:semiHidden/>
    <w:rsid w:val="00BA5816"/>
    <w:rPr>
      <w:rFonts w:ascii="Arial" w:hAnsi="Arial" w:cs="Arial"/>
      <w:color w:val="000080"/>
      <w:sz w:val="20"/>
    </w:rPr>
  </w:style>
  <w:style w:type="character" w:customStyle="1" w:styleId="EmailStyle3402">
    <w:name w:val="EmailStyle3402"/>
    <w:basedOn w:val="DefaultParagraphFont"/>
    <w:semiHidden/>
    <w:rsid w:val="00BA5816"/>
    <w:rPr>
      <w:rFonts w:ascii="Arial" w:hAnsi="Arial" w:cs="Arial"/>
      <w:color w:val="993366"/>
      <w:sz w:val="20"/>
    </w:rPr>
  </w:style>
  <w:style w:type="character" w:customStyle="1" w:styleId="EmailStyle3412">
    <w:name w:val="EmailStyle3412"/>
    <w:basedOn w:val="DefaultParagraphFont"/>
    <w:semiHidden/>
    <w:rsid w:val="00BA5816"/>
    <w:rPr>
      <w:rFonts w:ascii="Arial" w:hAnsi="Arial" w:cs="Arial"/>
      <w:color w:val="000080"/>
      <w:sz w:val="20"/>
    </w:rPr>
  </w:style>
  <w:style w:type="character" w:customStyle="1" w:styleId="EmailStyle3422">
    <w:name w:val="EmailStyle3422"/>
    <w:basedOn w:val="DefaultParagraphFont"/>
    <w:semiHidden/>
    <w:rsid w:val="00BA5816"/>
    <w:rPr>
      <w:rFonts w:ascii="Arial" w:hAnsi="Arial" w:cs="Arial"/>
      <w:color w:val="993366"/>
      <w:sz w:val="20"/>
    </w:rPr>
  </w:style>
  <w:style w:type="character" w:customStyle="1" w:styleId="EmailStyle3432">
    <w:name w:val="EmailStyle3432"/>
    <w:basedOn w:val="DefaultParagraphFont"/>
    <w:semiHidden/>
    <w:rsid w:val="00BA5816"/>
    <w:rPr>
      <w:rFonts w:ascii="Arial" w:hAnsi="Arial" w:cs="Arial"/>
      <w:color w:val="000080"/>
      <w:sz w:val="20"/>
    </w:rPr>
  </w:style>
  <w:style w:type="character" w:customStyle="1" w:styleId="EmailStyle3442">
    <w:name w:val="EmailStyle3442"/>
    <w:basedOn w:val="DefaultParagraphFont"/>
    <w:semiHidden/>
    <w:rsid w:val="00BA5816"/>
    <w:rPr>
      <w:rFonts w:ascii="Arial" w:hAnsi="Arial" w:cs="Arial"/>
      <w:color w:val="000080"/>
      <w:sz w:val="20"/>
    </w:rPr>
  </w:style>
  <w:style w:type="paragraph" w:customStyle="1" w:styleId="Pa4">
    <w:name w:val="Pa4"/>
    <w:basedOn w:val="Default"/>
    <w:next w:val="Default"/>
    <w:uiPriority w:val="99"/>
    <w:rsid w:val="00900A08"/>
    <w:pPr>
      <w:spacing w:after="80" w:line="201" w:lineRule="atLeast"/>
    </w:pPr>
    <w:rPr>
      <w:rFonts w:ascii="Helvetica 45 Light" w:hAnsi="Helvetica 45 Light"/>
      <w:color w:val="auto"/>
    </w:rPr>
  </w:style>
  <w:style w:type="paragraph" w:customStyle="1" w:styleId="Pa5">
    <w:name w:val="Pa5"/>
    <w:basedOn w:val="Normal"/>
    <w:next w:val="Normal"/>
    <w:uiPriority w:val="99"/>
    <w:rsid w:val="00900A08"/>
    <w:pPr>
      <w:autoSpaceDE w:val="0"/>
      <w:autoSpaceDN w:val="0"/>
      <w:adjustRightInd w:val="0"/>
      <w:spacing w:after="80" w:line="201" w:lineRule="atLeast"/>
    </w:pPr>
    <w:rPr>
      <w:rFonts w:ascii="Helvetica 45 Light" w:eastAsia="Calibri" w:hAnsi="Helvetica 45 Light"/>
      <w:color w:val="000000"/>
      <w:sz w:val="24"/>
      <w:szCs w:val="24"/>
    </w:rPr>
  </w:style>
  <w:style w:type="paragraph" w:customStyle="1" w:styleId="Pa6">
    <w:name w:val="Pa6"/>
    <w:basedOn w:val="Normal"/>
    <w:next w:val="Normal"/>
    <w:uiPriority w:val="99"/>
    <w:rsid w:val="00900A08"/>
    <w:pPr>
      <w:autoSpaceDE w:val="0"/>
      <w:autoSpaceDN w:val="0"/>
      <w:adjustRightInd w:val="0"/>
      <w:spacing w:after="40" w:line="141" w:lineRule="atLeast"/>
    </w:pPr>
    <w:rPr>
      <w:rFonts w:ascii="HelveticaNeue LightCond" w:eastAsia="Calibri" w:hAnsi="HelveticaNeue LightCond"/>
      <w:color w:val="000000"/>
      <w:sz w:val="24"/>
      <w:szCs w:val="24"/>
    </w:rPr>
  </w:style>
  <w:style w:type="table" w:styleId="LightList-Accent6">
    <w:name w:val="Light List Accent 6"/>
    <w:basedOn w:val="TableNormal"/>
    <w:uiPriority w:val="61"/>
    <w:rsid w:val="00FB15AD"/>
    <w:pPr>
      <w:spacing w:after="0" w:line="240" w:lineRule="auto"/>
    </w:p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character" w:customStyle="1" w:styleId="A0">
    <w:name w:val="A0"/>
    <w:uiPriority w:val="99"/>
    <w:rsid w:val="00F17D2E"/>
    <w:rPr>
      <w:rFonts w:cs="Gotham Narrow Medium"/>
      <w:color w:val="000000"/>
      <w:sz w:val="45"/>
      <w:szCs w:val="45"/>
    </w:rPr>
  </w:style>
  <w:style w:type="character" w:customStyle="1" w:styleId="EmailStyle3502">
    <w:name w:val="EmailStyle3502"/>
    <w:basedOn w:val="DefaultParagraphFont"/>
    <w:semiHidden/>
    <w:rsid w:val="00584B24"/>
    <w:rPr>
      <w:rFonts w:ascii="Arial" w:hAnsi="Arial" w:cs="Arial"/>
      <w:color w:val="993366"/>
      <w:sz w:val="20"/>
    </w:rPr>
  </w:style>
  <w:style w:type="character" w:customStyle="1" w:styleId="EmailStyle3512">
    <w:name w:val="EmailStyle3512"/>
    <w:basedOn w:val="DefaultParagraphFont"/>
    <w:semiHidden/>
    <w:rsid w:val="00584B24"/>
    <w:rPr>
      <w:rFonts w:ascii="Arial" w:hAnsi="Arial" w:cs="Arial"/>
      <w:color w:val="000080"/>
      <w:sz w:val="20"/>
    </w:rPr>
  </w:style>
  <w:style w:type="character" w:customStyle="1" w:styleId="EmailStyle3522">
    <w:name w:val="EmailStyle3522"/>
    <w:basedOn w:val="DefaultParagraphFont"/>
    <w:semiHidden/>
    <w:rsid w:val="00584B24"/>
    <w:rPr>
      <w:rFonts w:ascii="Arial" w:hAnsi="Arial" w:cs="Arial"/>
      <w:color w:val="000080"/>
      <w:sz w:val="20"/>
    </w:rPr>
  </w:style>
  <w:style w:type="character" w:customStyle="1" w:styleId="EmailStyle3532">
    <w:name w:val="EmailStyle3532"/>
    <w:basedOn w:val="DefaultParagraphFont"/>
    <w:semiHidden/>
    <w:rsid w:val="00584B24"/>
    <w:rPr>
      <w:rFonts w:ascii="Arial" w:hAnsi="Arial" w:cs="Arial"/>
      <w:color w:val="000080"/>
      <w:sz w:val="20"/>
    </w:rPr>
  </w:style>
  <w:style w:type="character" w:customStyle="1" w:styleId="EmailStyle3542">
    <w:name w:val="EmailStyle3542"/>
    <w:basedOn w:val="DefaultParagraphFont"/>
    <w:semiHidden/>
    <w:rsid w:val="00A2696F"/>
    <w:rPr>
      <w:rFonts w:ascii="Arial" w:hAnsi="Arial" w:cs="Arial"/>
      <w:color w:val="993366"/>
      <w:sz w:val="20"/>
    </w:rPr>
  </w:style>
  <w:style w:type="character" w:customStyle="1" w:styleId="EmailStyle3552">
    <w:name w:val="EmailStyle3552"/>
    <w:basedOn w:val="DefaultParagraphFont"/>
    <w:semiHidden/>
    <w:rsid w:val="00A2696F"/>
    <w:rPr>
      <w:rFonts w:ascii="Arial" w:hAnsi="Arial" w:cs="Arial"/>
      <w:color w:val="993366"/>
      <w:sz w:val="20"/>
    </w:rPr>
  </w:style>
  <w:style w:type="character" w:customStyle="1" w:styleId="EmailStyle3562">
    <w:name w:val="EmailStyle3562"/>
    <w:basedOn w:val="DefaultParagraphFont"/>
    <w:semiHidden/>
    <w:rsid w:val="00A2696F"/>
    <w:rPr>
      <w:rFonts w:ascii="Arial" w:hAnsi="Arial" w:cs="Arial"/>
      <w:color w:val="993366"/>
      <w:sz w:val="20"/>
    </w:rPr>
  </w:style>
  <w:style w:type="character" w:customStyle="1" w:styleId="EmailStyle3572">
    <w:name w:val="EmailStyle3572"/>
    <w:basedOn w:val="DefaultParagraphFont"/>
    <w:semiHidden/>
    <w:rsid w:val="00A2696F"/>
    <w:rPr>
      <w:rFonts w:ascii="Arial" w:hAnsi="Arial" w:cs="Arial"/>
      <w:color w:val="993366"/>
      <w:sz w:val="20"/>
    </w:rPr>
  </w:style>
  <w:style w:type="character" w:customStyle="1" w:styleId="EmailStyle3582">
    <w:name w:val="EmailStyle3582"/>
    <w:basedOn w:val="DefaultParagraphFont"/>
    <w:semiHidden/>
    <w:rsid w:val="00A2696F"/>
    <w:rPr>
      <w:rFonts w:ascii="Arial" w:hAnsi="Arial" w:cs="Arial"/>
      <w:color w:val="993366"/>
      <w:sz w:val="20"/>
    </w:rPr>
  </w:style>
  <w:style w:type="character" w:customStyle="1" w:styleId="EmailStyle3592">
    <w:name w:val="EmailStyle3592"/>
    <w:basedOn w:val="DefaultParagraphFont"/>
    <w:semiHidden/>
    <w:rsid w:val="00A2696F"/>
    <w:rPr>
      <w:rFonts w:ascii="Arial" w:hAnsi="Arial" w:cs="Arial"/>
      <w:color w:val="993366"/>
      <w:sz w:val="20"/>
    </w:rPr>
  </w:style>
  <w:style w:type="character" w:customStyle="1" w:styleId="EmailStyle3602">
    <w:name w:val="EmailStyle3602"/>
    <w:basedOn w:val="DefaultParagraphFont"/>
    <w:semiHidden/>
    <w:rsid w:val="00A2696F"/>
    <w:rPr>
      <w:rFonts w:ascii="Arial" w:hAnsi="Arial" w:cs="Arial"/>
      <w:color w:val="993366"/>
      <w:sz w:val="20"/>
    </w:rPr>
  </w:style>
  <w:style w:type="character" w:customStyle="1" w:styleId="EmailStyle3612">
    <w:name w:val="EmailStyle3612"/>
    <w:basedOn w:val="DefaultParagraphFont"/>
    <w:semiHidden/>
    <w:rsid w:val="00A2696F"/>
    <w:rPr>
      <w:rFonts w:ascii="Arial" w:hAnsi="Arial" w:cs="Arial"/>
      <w:color w:val="993366"/>
      <w:sz w:val="20"/>
    </w:rPr>
  </w:style>
  <w:style w:type="character" w:customStyle="1" w:styleId="EmailStyle3622">
    <w:name w:val="EmailStyle3622"/>
    <w:basedOn w:val="DefaultParagraphFont"/>
    <w:semiHidden/>
    <w:rsid w:val="00A2696F"/>
    <w:rPr>
      <w:rFonts w:ascii="Arial" w:hAnsi="Arial" w:cs="Arial"/>
      <w:color w:val="993366"/>
      <w:sz w:val="20"/>
    </w:rPr>
  </w:style>
  <w:style w:type="character" w:styleId="HTMLCite">
    <w:name w:val="HTML Cite"/>
    <w:basedOn w:val="DefaultParagraphFont"/>
    <w:uiPriority w:val="99"/>
    <w:semiHidden/>
    <w:unhideWhenUsed/>
    <w:rsid w:val="00AD41EA"/>
    <w:rPr>
      <w:i/>
      <w:iCs/>
    </w:rPr>
  </w:style>
  <w:style w:type="paragraph" w:customStyle="1" w:styleId="Label1-ISO-NE">
    <w:name w:val="Label 1 - ISO-NE"/>
    <w:basedOn w:val="Normal"/>
    <w:link w:val="Label1-ISO-NEChar"/>
    <w:qFormat/>
    <w:rsid w:val="00954952"/>
    <w:pPr>
      <w:spacing w:before="240"/>
    </w:pPr>
    <w:rPr>
      <w:rFonts w:ascii="Arial Bold" w:eastAsia="Times New Roman" w:hAnsi="Arial Bold"/>
      <w:bCs/>
    </w:rPr>
  </w:style>
  <w:style w:type="character" w:customStyle="1" w:styleId="Label1-ISO-NEChar">
    <w:name w:val="Label 1 - ISO-NE Char"/>
    <w:basedOn w:val="CaptionChar"/>
    <w:link w:val="Label1-ISO-NE"/>
    <w:locked/>
    <w:rsid w:val="00954952"/>
    <w:rPr>
      <w:rFonts w:ascii="Arial Bold" w:eastAsia="Times New Roman" w:hAnsi="Arial Bold" w:cs="Times New Roman"/>
      <w:b/>
      <w:bCs/>
      <w:sz w:val="20"/>
      <w:szCs w:val="20"/>
    </w:rPr>
  </w:style>
  <w:style w:type="table" w:customStyle="1" w:styleId="LightGrid-Accent11">
    <w:name w:val="Light Grid - Accent 11"/>
    <w:basedOn w:val="TableNormal"/>
    <w:uiPriority w:val="62"/>
    <w:rsid w:val="00954952"/>
    <w:pPr>
      <w:spacing w:after="0" w:line="240" w:lineRule="auto"/>
    </w:p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character" w:customStyle="1" w:styleId="EmailStyle3672">
    <w:name w:val="EmailStyle3672"/>
    <w:basedOn w:val="DefaultParagraphFont"/>
    <w:semiHidden/>
    <w:rsid w:val="000325A4"/>
    <w:rPr>
      <w:rFonts w:ascii="Arial" w:hAnsi="Arial" w:cs="Arial"/>
      <w:color w:val="993366"/>
      <w:sz w:val="20"/>
    </w:rPr>
  </w:style>
  <w:style w:type="character" w:customStyle="1" w:styleId="EmailStyle3682">
    <w:name w:val="EmailStyle3682"/>
    <w:basedOn w:val="DefaultParagraphFont"/>
    <w:semiHidden/>
    <w:rsid w:val="000325A4"/>
    <w:rPr>
      <w:rFonts w:ascii="Arial" w:hAnsi="Arial" w:cs="Arial"/>
      <w:color w:val="000080"/>
      <w:sz w:val="20"/>
    </w:rPr>
  </w:style>
  <w:style w:type="character" w:customStyle="1" w:styleId="EmailStyle3692">
    <w:name w:val="EmailStyle3692"/>
    <w:basedOn w:val="DefaultParagraphFont"/>
    <w:semiHidden/>
    <w:rsid w:val="000325A4"/>
    <w:rPr>
      <w:rFonts w:ascii="Arial" w:hAnsi="Arial" w:cs="Arial"/>
      <w:color w:val="993366"/>
      <w:sz w:val="20"/>
    </w:rPr>
  </w:style>
  <w:style w:type="character" w:customStyle="1" w:styleId="EmailStyle3702">
    <w:name w:val="EmailStyle3702"/>
    <w:basedOn w:val="DefaultParagraphFont"/>
    <w:semiHidden/>
    <w:rsid w:val="000325A4"/>
    <w:rPr>
      <w:rFonts w:ascii="Arial" w:hAnsi="Arial" w:cs="Arial"/>
      <w:color w:val="000080"/>
      <w:sz w:val="20"/>
    </w:rPr>
  </w:style>
  <w:style w:type="character" w:customStyle="1" w:styleId="EmailStyle3712">
    <w:name w:val="EmailStyle3712"/>
    <w:basedOn w:val="DefaultParagraphFont"/>
    <w:semiHidden/>
    <w:rsid w:val="000325A4"/>
    <w:rPr>
      <w:rFonts w:ascii="Arial" w:hAnsi="Arial" w:cs="Arial"/>
      <w:color w:val="993366"/>
      <w:sz w:val="20"/>
    </w:rPr>
  </w:style>
  <w:style w:type="character" w:customStyle="1" w:styleId="EmailStyle3722">
    <w:name w:val="EmailStyle3722"/>
    <w:basedOn w:val="DefaultParagraphFont"/>
    <w:semiHidden/>
    <w:rsid w:val="000325A4"/>
    <w:rPr>
      <w:rFonts w:ascii="Arial" w:hAnsi="Arial" w:cs="Arial"/>
      <w:color w:val="000080"/>
      <w:sz w:val="20"/>
    </w:rPr>
  </w:style>
  <w:style w:type="character" w:customStyle="1" w:styleId="EmailStyle3732">
    <w:name w:val="EmailStyle3732"/>
    <w:basedOn w:val="DefaultParagraphFont"/>
    <w:semiHidden/>
    <w:rsid w:val="000325A4"/>
    <w:rPr>
      <w:rFonts w:ascii="Arial" w:hAnsi="Arial" w:cs="Arial"/>
      <w:color w:val="993366"/>
      <w:sz w:val="20"/>
    </w:rPr>
  </w:style>
  <w:style w:type="character" w:customStyle="1" w:styleId="EmailStyle3742">
    <w:name w:val="EmailStyle3742"/>
    <w:basedOn w:val="DefaultParagraphFont"/>
    <w:semiHidden/>
    <w:rsid w:val="000325A4"/>
    <w:rPr>
      <w:rFonts w:ascii="Arial" w:hAnsi="Arial" w:cs="Arial"/>
      <w:color w:val="000080"/>
      <w:sz w:val="20"/>
    </w:rPr>
  </w:style>
  <w:style w:type="character" w:customStyle="1" w:styleId="EmailStyle3752">
    <w:name w:val="EmailStyle3752"/>
    <w:basedOn w:val="DefaultParagraphFont"/>
    <w:semiHidden/>
    <w:rsid w:val="000325A4"/>
    <w:rPr>
      <w:rFonts w:ascii="Arial" w:hAnsi="Arial" w:cs="Arial"/>
      <w:color w:val="993366"/>
      <w:sz w:val="20"/>
    </w:rPr>
  </w:style>
  <w:style w:type="character" w:customStyle="1" w:styleId="EmailStyle3762">
    <w:name w:val="EmailStyle3762"/>
    <w:basedOn w:val="DefaultParagraphFont"/>
    <w:semiHidden/>
    <w:rsid w:val="000325A4"/>
    <w:rPr>
      <w:rFonts w:ascii="Arial" w:hAnsi="Arial" w:cs="Arial"/>
      <w:color w:val="000080"/>
      <w:sz w:val="20"/>
    </w:rPr>
  </w:style>
  <w:style w:type="character" w:customStyle="1" w:styleId="EmailStyle3772">
    <w:name w:val="EmailStyle3772"/>
    <w:basedOn w:val="DefaultParagraphFont"/>
    <w:semiHidden/>
    <w:rsid w:val="000325A4"/>
    <w:rPr>
      <w:rFonts w:ascii="Arial" w:hAnsi="Arial" w:cs="Arial"/>
      <w:color w:val="993366"/>
      <w:sz w:val="20"/>
    </w:rPr>
  </w:style>
  <w:style w:type="character" w:customStyle="1" w:styleId="EmailStyle3782">
    <w:name w:val="EmailStyle3782"/>
    <w:basedOn w:val="DefaultParagraphFont"/>
    <w:semiHidden/>
    <w:rsid w:val="000325A4"/>
    <w:rPr>
      <w:rFonts w:ascii="Arial" w:hAnsi="Arial" w:cs="Arial"/>
      <w:color w:val="000080"/>
      <w:sz w:val="20"/>
    </w:rPr>
  </w:style>
  <w:style w:type="character" w:customStyle="1" w:styleId="EmailStyle3792">
    <w:name w:val="EmailStyle3792"/>
    <w:basedOn w:val="DefaultParagraphFont"/>
    <w:semiHidden/>
    <w:rsid w:val="000325A4"/>
    <w:rPr>
      <w:rFonts w:ascii="Arial" w:hAnsi="Arial" w:cs="Arial"/>
      <w:color w:val="993366"/>
      <w:sz w:val="20"/>
    </w:rPr>
  </w:style>
  <w:style w:type="character" w:customStyle="1" w:styleId="EmailStyle3802">
    <w:name w:val="EmailStyle3802"/>
    <w:basedOn w:val="DefaultParagraphFont"/>
    <w:semiHidden/>
    <w:rsid w:val="000325A4"/>
    <w:rPr>
      <w:rFonts w:ascii="Arial" w:hAnsi="Arial" w:cs="Arial"/>
      <w:color w:val="000080"/>
      <w:sz w:val="20"/>
    </w:rPr>
  </w:style>
  <w:style w:type="character" w:customStyle="1" w:styleId="EmailStyle3812">
    <w:name w:val="EmailStyle3812"/>
    <w:basedOn w:val="DefaultParagraphFont"/>
    <w:semiHidden/>
    <w:rsid w:val="000325A4"/>
    <w:rPr>
      <w:rFonts w:ascii="Arial" w:hAnsi="Arial" w:cs="Arial"/>
      <w:color w:val="993366"/>
      <w:sz w:val="20"/>
    </w:rPr>
  </w:style>
  <w:style w:type="character" w:customStyle="1" w:styleId="EmailStyle3822">
    <w:name w:val="EmailStyle3822"/>
    <w:basedOn w:val="DefaultParagraphFont"/>
    <w:semiHidden/>
    <w:rsid w:val="000325A4"/>
    <w:rPr>
      <w:rFonts w:ascii="Arial" w:hAnsi="Arial" w:cs="Arial"/>
      <w:color w:val="000080"/>
      <w:sz w:val="20"/>
    </w:rPr>
  </w:style>
  <w:style w:type="character" w:customStyle="1" w:styleId="EmailStyle3832">
    <w:name w:val="EmailStyle3832"/>
    <w:basedOn w:val="DefaultParagraphFont"/>
    <w:semiHidden/>
    <w:rsid w:val="000325A4"/>
    <w:rPr>
      <w:rFonts w:ascii="Arial" w:hAnsi="Arial" w:cs="Arial"/>
      <w:color w:val="993366"/>
      <w:sz w:val="20"/>
    </w:rPr>
  </w:style>
  <w:style w:type="character" w:customStyle="1" w:styleId="EmailStyle3842">
    <w:name w:val="EmailStyle3842"/>
    <w:basedOn w:val="DefaultParagraphFont"/>
    <w:semiHidden/>
    <w:rsid w:val="000325A4"/>
    <w:rPr>
      <w:rFonts w:ascii="Arial" w:hAnsi="Arial" w:cs="Arial"/>
      <w:color w:val="000080"/>
      <w:sz w:val="20"/>
    </w:rPr>
  </w:style>
  <w:style w:type="character" w:customStyle="1" w:styleId="EmailStyle3852">
    <w:name w:val="EmailStyle3852"/>
    <w:basedOn w:val="DefaultParagraphFont"/>
    <w:semiHidden/>
    <w:rsid w:val="000325A4"/>
    <w:rPr>
      <w:rFonts w:ascii="Arial" w:hAnsi="Arial" w:cs="Arial"/>
      <w:color w:val="993366"/>
      <w:sz w:val="20"/>
    </w:rPr>
  </w:style>
  <w:style w:type="character" w:customStyle="1" w:styleId="EmailStyle3862">
    <w:name w:val="EmailStyle3862"/>
    <w:basedOn w:val="DefaultParagraphFont"/>
    <w:semiHidden/>
    <w:rsid w:val="000325A4"/>
    <w:rPr>
      <w:rFonts w:ascii="Arial" w:hAnsi="Arial" w:cs="Arial"/>
      <w:color w:val="000080"/>
      <w:sz w:val="20"/>
    </w:rPr>
  </w:style>
  <w:style w:type="character" w:customStyle="1" w:styleId="EmailStyle3872">
    <w:name w:val="EmailStyle3872"/>
    <w:basedOn w:val="DefaultParagraphFont"/>
    <w:semiHidden/>
    <w:rsid w:val="000325A4"/>
    <w:rPr>
      <w:rFonts w:ascii="Arial" w:hAnsi="Arial" w:cs="Arial"/>
      <w:color w:val="993366"/>
      <w:sz w:val="20"/>
    </w:rPr>
  </w:style>
  <w:style w:type="character" w:customStyle="1" w:styleId="EmailStyle3882">
    <w:name w:val="EmailStyle3882"/>
    <w:basedOn w:val="DefaultParagraphFont"/>
    <w:semiHidden/>
    <w:rsid w:val="000325A4"/>
    <w:rPr>
      <w:rFonts w:ascii="Arial" w:hAnsi="Arial" w:cs="Arial"/>
      <w:color w:val="000080"/>
      <w:sz w:val="20"/>
    </w:rPr>
  </w:style>
  <w:style w:type="character" w:customStyle="1" w:styleId="EmailStyle3892">
    <w:name w:val="EmailStyle3892"/>
    <w:basedOn w:val="DefaultParagraphFont"/>
    <w:semiHidden/>
    <w:rsid w:val="000325A4"/>
    <w:rPr>
      <w:rFonts w:ascii="Arial" w:hAnsi="Arial" w:cs="Arial"/>
      <w:color w:val="993366"/>
      <w:sz w:val="20"/>
    </w:rPr>
  </w:style>
  <w:style w:type="character" w:customStyle="1" w:styleId="EmailStyle3902">
    <w:name w:val="EmailStyle3902"/>
    <w:basedOn w:val="DefaultParagraphFont"/>
    <w:semiHidden/>
    <w:rsid w:val="000325A4"/>
    <w:rPr>
      <w:rFonts w:ascii="Arial" w:hAnsi="Arial" w:cs="Arial"/>
      <w:color w:val="000080"/>
      <w:sz w:val="20"/>
    </w:rPr>
  </w:style>
  <w:style w:type="character" w:customStyle="1" w:styleId="EmailStyle3912">
    <w:name w:val="EmailStyle3912"/>
    <w:basedOn w:val="DefaultParagraphFont"/>
    <w:semiHidden/>
    <w:rsid w:val="000325A4"/>
    <w:rPr>
      <w:rFonts w:ascii="Arial" w:hAnsi="Arial" w:cs="Arial"/>
      <w:color w:val="993366"/>
      <w:sz w:val="20"/>
    </w:rPr>
  </w:style>
  <w:style w:type="character" w:customStyle="1" w:styleId="EmailStyle3922">
    <w:name w:val="EmailStyle3922"/>
    <w:basedOn w:val="DefaultParagraphFont"/>
    <w:semiHidden/>
    <w:rsid w:val="000325A4"/>
    <w:rPr>
      <w:rFonts w:ascii="Arial" w:hAnsi="Arial" w:cs="Arial"/>
      <w:color w:val="000080"/>
      <w:sz w:val="20"/>
    </w:rPr>
  </w:style>
  <w:style w:type="character" w:customStyle="1" w:styleId="EmailStyle3932">
    <w:name w:val="EmailStyle3932"/>
    <w:basedOn w:val="DefaultParagraphFont"/>
    <w:semiHidden/>
    <w:rsid w:val="000325A4"/>
    <w:rPr>
      <w:rFonts w:ascii="Arial" w:hAnsi="Arial" w:cs="Arial"/>
      <w:color w:val="993366"/>
      <w:sz w:val="20"/>
    </w:rPr>
  </w:style>
  <w:style w:type="character" w:customStyle="1" w:styleId="EmailStyle3942">
    <w:name w:val="EmailStyle3942"/>
    <w:basedOn w:val="DefaultParagraphFont"/>
    <w:semiHidden/>
    <w:rsid w:val="000325A4"/>
    <w:rPr>
      <w:rFonts w:ascii="Arial" w:hAnsi="Arial" w:cs="Arial"/>
      <w:color w:val="000080"/>
      <w:sz w:val="20"/>
    </w:rPr>
  </w:style>
  <w:style w:type="character" w:customStyle="1" w:styleId="EmailStyle3952">
    <w:name w:val="EmailStyle3952"/>
    <w:basedOn w:val="DefaultParagraphFont"/>
    <w:semiHidden/>
    <w:rsid w:val="000325A4"/>
    <w:rPr>
      <w:rFonts w:ascii="Arial" w:hAnsi="Arial" w:cs="Arial"/>
      <w:color w:val="993366"/>
      <w:sz w:val="20"/>
    </w:rPr>
  </w:style>
  <w:style w:type="character" w:customStyle="1" w:styleId="EmailStyle3962">
    <w:name w:val="EmailStyle3962"/>
    <w:basedOn w:val="DefaultParagraphFont"/>
    <w:semiHidden/>
    <w:rsid w:val="000325A4"/>
    <w:rPr>
      <w:rFonts w:ascii="Arial" w:hAnsi="Arial" w:cs="Arial"/>
      <w:color w:val="000080"/>
      <w:sz w:val="20"/>
    </w:rPr>
  </w:style>
  <w:style w:type="character" w:customStyle="1" w:styleId="EmailStyle3972">
    <w:name w:val="EmailStyle3972"/>
    <w:basedOn w:val="DefaultParagraphFont"/>
    <w:semiHidden/>
    <w:rsid w:val="000325A4"/>
    <w:rPr>
      <w:rFonts w:ascii="Arial" w:hAnsi="Arial" w:cs="Arial"/>
      <w:color w:val="993366"/>
      <w:sz w:val="20"/>
    </w:rPr>
  </w:style>
  <w:style w:type="character" w:customStyle="1" w:styleId="EmailStyle3982">
    <w:name w:val="EmailStyle3982"/>
    <w:basedOn w:val="DefaultParagraphFont"/>
    <w:semiHidden/>
    <w:rsid w:val="000325A4"/>
    <w:rPr>
      <w:rFonts w:ascii="Arial" w:hAnsi="Arial" w:cs="Arial"/>
      <w:color w:val="000080"/>
      <w:sz w:val="20"/>
    </w:rPr>
  </w:style>
  <w:style w:type="character" w:customStyle="1" w:styleId="EmailStyle3992">
    <w:name w:val="EmailStyle3992"/>
    <w:basedOn w:val="DefaultParagraphFont"/>
    <w:semiHidden/>
    <w:rsid w:val="000325A4"/>
    <w:rPr>
      <w:rFonts w:ascii="Arial" w:hAnsi="Arial" w:cs="Arial"/>
      <w:color w:val="993366"/>
      <w:sz w:val="20"/>
    </w:rPr>
  </w:style>
  <w:style w:type="character" w:customStyle="1" w:styleId="EmailStyle4002">
    <w:name w:val="EmailStyle4002"/>
    <w:basedOn w:val="DefaultParagraphFont"/>
    <w:semiHidden/>
    <w:rsid w:val="000325A4"/>
    <w:rPr>
      <w:rFonts w:ascii="Arial" w:hAnsi="Arial" w:cs="Arial"/>
      <w:color w:val="000080"/>
      <w:sz w:val="20"/>
    </w:rPr>
  </w:style>
  <w:style w:type="character" w:customStyle="1" w:styleId="EmailStyle4012">
    <w:name w:val="EmailStyle4012"/>
    <w:basedOn w:val="DefaultParagraphFont"/>
    <w:semiHidden/>
    <w:rsid w:val="000325A4"/>
    <w:rPr>
      <w:rFonts w:ascii="Arial" w:hAnsi="Arial" w:cs="Arial"/>
      <w:color w:val="993366"/>
      <w:sz w:val="20"/>
    </w:rPr>
  </w:style>
  <w:style w:type="character" w:customStyle="1" w:styleId="EmailStyle4022">
    <w:name w:val="EmailStyle4022"/>
    <w:basedOn w:val="DefaultParagraphFont"/>
    <w:semiHidden/>
    <w:rsid w:val="000325A4"/>
    <w:rPr>
      <w:rFonts w:ascii="Arial" w:hAnsi="Arial" w:cs="Arial"/>
      <w:color w:val="000080"/>
      <w:sz w:val="20"/>
    </w:rPr>
  </w:style>
  <w:style w:type="character" w:customStyle="1" w:styleId="EmailStyle4032">
    <w:name w:val="EmailStyle4032"/>
    <w:basedOn w:val="DefaultParagraphFont"/>
    <w:semiHidden/>
    <w:rsid w:val="000325A4"/>
    <w:rPr>
      <w:rFonts w:ascii="Arial" w:hAnsi="Arial" w:cs="Arial"/>
      <w:color w:val="993366"/>
      <w:sz w:val="20"/>
    </w:rPr>
  </w:style>
  <w:style w:type="character" w:customStyle="1" w:styleId="EmailStyle4042">
    <w:name w:val="EmailStyle4042"/>
    <w:basedOn w:val="DefaultParagraphFont"/>
    <w:semiHidden/>
    <w:rsid w:val="000325A4"/>
    <w:rPr>
      <w:rFonts w:ascii="Arial" w:hAnsi="Arial" w:cs="Arial"/>
      <w:color w:val="000080"/>
      <w:sz w:val="20"/>
    </w:rPr>
  </w:style>
  <w:style w:type="character" w:customStyle="1" w:styleId="EmailStyle4052">
    <w:name w:val="EmailStyle4052"/>
    <w:basedOn w:val="DefaultParagraphFont"/>
    <w:semiHidden/>
    <w:rsid w:val="000325A4"/>
    <w:rPr>
      <w:rFonts w:ascii="Arial" w:hAnsi="Arial" w:cs="Arial"/>
      <w:color w:val="993366"/>
      <w:sz w:val="20"/>
    </w:rPr>
  </w:style>
  <w:style w:type="character" w:customStyle="1" w:styleId="EmailStyle4062">
    <w:name w:val="EmailStyle4062"/>
    <w:basedOn w:val="DefaultParagraphFont"/>
    <w:semiHidden/>
    <w:rsid w:val="000325A4"/>
    <w:rPr>
      <w:rFonts w:ascii="Arial" w:hAnsi="Arial" w:cs="Arial"/>
      <w:color w:val="000080"/>
      <w:sz w:val="20"/>
    </w:rPr>
  </w:style>
  <w:style w:type="character" w:customStyle="1" w:styleId="EmailStyle4072">
    <w:name w:val="EmailStyle4072"/>
    <w:basedOn w:val="DefaultParagraphFont"/>
    <w:semiHidden/>
    <w:rsid w:val="000325A4"/>
    <w:rPr>
      <w:rFonts w:ascii="Arial" w:hAnsi="Arial" w:cs="Arial"/>
      <w:color w:val="993366"/>
      <w:sz w:val="20"/>
    </w:rPr>
  </w:style>
  <w:style w:type="character" w:customStyle="1" w:styleId="EmailStyle4082">
    <w:name w:val="EmailStyle4082"/>
    <w:basedOn w:val="DefaultParagraphFont"/>
    <w:semiHidden/>
    <w:rsid w:val="000325A4"/>
    <w:rPr>
      <w:rFonts w:ascii="Arial" w:hAnsi="Arial" w:cs="Arial"/>
      <w:color w:val="000080"/>
      <w:sz w:val="20"/>
    </w:rPr>
  </w:style>
  <w:style w:type="character" w:customStyle="1" w:styleId="EmailStyle4092">
    <w:name w:val="EmailStyle4092"/>
    <w:basedOn w:val="DefaultParagraphFont"/>
    <w:semiHidden/>
    <w:rsid w:val="000325A4"/>
    <w:rPr>
      <w:rFonts w:ascii="Arial" w:hAnsi="Arial" w:cs="Arial"/>
      <w:color w:val="993366"/>
      <w:sz w:val="20"/>
    </w:rPr>
  </w:style>
  <w:style w:type="character" w:customStyle="1" w:styleId="EmailStyle4102">
    <w:name w:val="EmailStyle4102"/>
    <w:basedOn w:val="DefaultParagraphFont"/>
    <w:semiHidden/>
    <w:rsid w:val="000325A4"/>
    <w:rPr>
      <w:rFonts w:ascii="Arial" w:hAnsi="Arial" w:cs="Arial"/>
      <w:color w:val="000080"/>
      <w:sz w:val="20"/>
    </w:rPr>
  </w:style>
  <w:style w:type="character" w:customStyle="1" w:styleId="EmailStyle4112">
    <w:name w:val="EmailStyle4112"/>
    <w:basedOn w:val="DefaultParagraphFont"/>
    <w:semiHidden/>
    <w:rsid w:val="000325A4"/>
    <w:rPr>
      <w:rFonts w:ascii="Arial" w:hAnsi="Arial" w:cs="Arial"/>
      <w:color w:val="993366"/>
      <w:sz w:val="20"/>
    </w:rPr>
  </w:style>
  <w:style w:type="character" w:customStyle="1" w:styleId="EmailStyle4122">
    <w:name w:val="EmailStyle4122"/>
    <w:basedOn w:val="DefaultParagraphFont"/>
    <w:semiHidden/>
    <w:rsid w:val="000325A4"/>
    <w:rPr>
      <w:rFonts w:ascii="Arial" w:hAnsi="Arial" w:cs="Arial"/>
      <w:color w:val="000080"/>
      <w:sz w:val="20"/>
    </w:rPr>
  </w:style>
  <w:style w:type="character" w:customStyle="1" w:styleId="EmailStyle4132">
    <w:name w:val="EmailStyle4132"/>
    <w:basedOn w:val="DefaultParagraphFont"/>
    <w:semiHidden/>
    <w:rsid w:val="000325A4"/>
    <w:rPr>
      <w:rFonts w:ascii="Arial" w:hAnsi="Arial" w:cs="Arial"/>
      <w:color w:val="993366"/>
      <w:sz w:val="20"/>
    </w:rPr>
  </w:style>
  <w:style w:type="character" w:customStyle="1" w:styleId="EmailStyle4142">
    <w:name w:val="EmailStyle4142"/>
    <w:basedOn w:val="DefaultParagraphFont"/>
    <w:semiHidden/>
    <w:rsid w:val="000325A4"/>
    <w:rPr>
      <w:rFonts w:ascii="Arial" w:hAnsi="Arial" w:cs="Arial"/>
      <w:color w:val="000080"/>
      <w:sz w:val="20"/>
    </w:rPr>
  </w:style>
  <w:style w:type="character" w:customStyle="1" w:styleId="EmailStyle4152">
    <w:name w:val="EmailStyle4152"/>
    <w:basedOn w:val="DefaultParagraphFont"/>
    <w:semiHidden/>
    <w:rsid w:val="000325A4"/>
    <w:rPr>
      <w:rFonts w:ascii="Arial" w:hAnsi="Arial" w:cs="Arial"/>
      <w:color w:val="993366"/>
      <w:sz w:val="20"/>
    </w:rPr>
  </w:style>
  <w:style w:type="character" w:customStyle="1" w:styleId="EmailStyle4162">
    <w:name w:val="EmailStyle4162"/>
    <w:basedOn w:val="DefaultParagraphFont"/>
    <w:semiHidden/>
    <w:rsid w:val="000325A4"/>
    <w:rPr>
      <w:rFonts w:ascii="Arial" w:hAnsi="Arial" w:cs="Arial"/>
      <w:color w:val="000080"/>
      <w:sz w:val="20"/>
    </w:rPr>
  </w:style>
  <w:style w:type="character" w:customStyle="1" w:styleId="EmailStyle4172">
    <w:name w:val="EmailStyle4172"/>
    <w:basedOn w:val="DefaultParagraphFont"/>
    <w:semiHidden/>
    <w:rsid w:val="000325A4"/>
    <w:rPr>
      <w:rFonts w:ascii="Arial" w:hAnsi="Arial" w:cs="Arial"/>
      <w:color w:val="993366"/>
      <w:sz w:val="20"/>
    </w:rPr>
  </w:style>
  <w:style w:type="character" w:customStyle="1" w:styleId="EmailStyle4182">
    <w:name w:val="EmailStyle4182"/>
    <w:basedOn w:val="DefaultParagraphFont"/>
    <w:semiHidden/>
    <w:rsid w:val="000325A4"/>
    <w:rPr>
      <w:rFonts w:ascii="Arial" w:hAnsi="Arial" w:cs="Arial"/>
      <w:color w:val="000080"/>
      <w:sz w:val="20"/>
    </w:rPr>
  </w:style>
  <w:style w:type="character" w:customStyle="1" w:styleId="EmailStyle4192">
    <w:name w:val="EmailStyle4192"/>
    <w:basedOn w:val="DefaultParagraphFont"/>
    <w:semiHidden/>
    <w:rsid w:val="000325A4"/>
    <w:rPr>
      <w:rFonts w:ascii="Arial" w:hAnsi="Arial" w:cs="Arial"/>
      <w:color w:val="993366"/>
      <w:sz w:val="20"/>
    </w:rPr>
  </w:style>
  <w:style w:type="character" w:customStyle="1" w:styleId="EmailStyle4202">
    <w:name w:val="EmailStyle4202"/>
    <w:basedOn w:val="DefaultParagraphFont"/>
    <w:semiHidden/>
    <w:rsid w:val="000325A4"/>
    <w:rPr>
      <w:rFonts w:ascii="Arial" w:hAnsi="Arial" w:cs="Arial"/>
      <w:color w:val="000080"/>
      <w:sz w:val="20"/>
    </w:rPr>
  </w:style>
  <w:style w:type="character" w:customStyle="1" w:styleId="EmailStyle4212">
    <w:name w:val="EmailStyle4212"/>
    <w:basedOn w:val="DefaultParagraphFont"/>
    <w:semiHidden/>
    <w:rsid w:val="000325A4"/>
    <w:rPr>
      <w:rFonts w:ascii="Arial" w:hAnsi="Arial" w:cs="Arial"/>
      <w:color w:val="993366"/>
      <w:sz w:val="20"/>
    </w:rPr>
  </w:style>
  <w:style w:type="character" w:customStyle="1" w:styleId="EmailStyle4222">
    <w:name w:val="EmailStyle4222"/>
    <w:basedOn w:val="DefaultParagraphFont"/>
    <w:semiHidden/>
    <w:rsid w:val="000325A4"/>
    <w:rPr>
      <w:rFonts w:ascii="Arial" w:hAnsi="Arial" w:cs="Arial"/>
      <w:color w:val="000080"/>
      <w:sz w:val="20"/>
    </w:rPr>
  </w:style>
  <w:style w:type="character" w:customStyle="1" w:styleId="EmailStyle4232">
    <w:name w:val="EmailStyle4232"/>
    <w:basedOn w:val="DefaultParagraphFont"/>
    <w:semiHidden/>
    <w:rsid w:val="000325A4"/>
    <w:rPr>
      <w:rFonts w:ascii="Arial" w:hAnsi="Arial" w:cs="Arial"/>
      <w:color w:val="993366"/>
      <w:sz w:val="20"/>
    </w:rPr>
  </w:style>
  <w:style w:type="character" w:customStyle="1" w:styleId="EmailStyle4242">
    <w:name w:val="EmailStyle4242"/>
    <w:basedOn w:val="DefaultParagraphFont"/>
    <w:semiHidden/>
    <w:rsid w:val="000325A4"/>
    <w:rPr>
      <w:rFonts w:ascii="Arial" w:hAnsi="Arial" w:cs="Arial"/>
      <w:color w:val="000080"/>
      <w:sz w:val="20"/>
    </w:rPr>
  </w:style>
  <w:style w:type="character" w:customStyle="1" w:styleId="EmailStyle4252">
    <w:name w:val="EmailStyle4252"/>
    <w:basedOn w:val="DefaultParagraphFont"/>
    <w:semiHidden/>
    <w:rsid w:val="000325A4"/>
    <w:rPr>
      <w:rFonts w:ascii="Arial" w:hAnsi="Arial" w:cs="Arial"/>
      <w:color w:val="993366"/>
      <w:sz w:val="20"/>
    </w:rPr>
  </w:style>
  <w:style w:type="character" w:customStyle="1" w:styleId="EmailStyle4262">
    <w:name w:val="EmailStyle4262"/>
    <w:basedOn w:val="DefaultParagraphFont"/>
    <w:semiHidden/>
    <w:rsid w:val="000325A4"/>
    <w:rPr>
      <w:rFonts w:ascii="Arial" w:hAnsi="Arial" w:cs="Arial"/>
      <w:color w:val="000080"/>
      <w:sz w:val="20"/>
    </w:rPr>
  </w:style>
  <w:style w:type="character" w:customStyle="1" w:styleId="EmailStyle4272">
    <w:name w:val="EmailStyle4272"/>
    <w:basedOn w:val="DefaultParagraphFont"/>
    <w:semiHidden/>
    <w:rsid w:val="000325A4"/>
    <w:rPr>
      <w:rFonts w:ascii="Arial" w:hAnsi="Arial" w:cs="Arial"/>
      <w:color w:val="993366"/>
      <w:sz w:val="20"/>
    </w:rPr>
  </w:style>
  <w:style w:type="character" w:customStyle="1" w:styleId="EmailStyle4282">
    <w:name w:val="EmailStyle4282"/>
    <w:basedOn w:val="DefaultParagraphFont"/>
    <w:semiHidden/>
    <w:rsid w:val="000325A4"/>
    <w:rPr>
      <w:rFonts w:ascii="Arial" w:hAnsi="Arial" w:cs="Arial"/>
      <w:color w:val="000080"/>
      <w:sz w:val="20"/>
    </w:rPr>
  </w:style>
  <w:style w:type="character" w:customStyle="1" w:styleId="EmailStyle4292">
    <w:name w:val="EmailStyle4292"/>
    <w:basedOn w:val="DefaultParagraphFont"/>
    <w:semiHidden/>
    <w:rsid w:val="000325A4"/>
    <w:rPr>
      <w:rFonts w:ascii="Arial" w:hAnsi="Arial" w:cs="Arial"/>
      <w:color w:val="993366"/>
      <w:sz w:val="20"/>
    </w:rPr>
  </w:style>
  <w:style w:type="character" w:customStyle="1" w:styleId="EmailStyle4302">
    <w:name w:val="EmailStyle4302"/>
    <w:basedOn w:val="DefaultParagraphFont"/>
    <w:semiHidden/>
    <w:rsid w:val="000325A4"/>
    <w:rPr>
      <w:rFonts w:ascii="Arial" w:hAnsi="Arial" w:cs="Arial"/>
      <w:color w:val="000080"/>
      <w:sz w:val="20"/>
    </w:rPr>
  </w:style>
  <w:style w:type="character" w:customStyle="1" w:styleId="EmailStyle4312">
    <w:name w:val="EmailStyle4312"/>
    <w:basedOn w:val="DefaultParagraphFont"/>
    <w:semiHidden/>
    <w:rsid w:val="000325A4"/>
    <w:rPr>
      <w:rFonts w:ascii="Arial" w:hAnsi="Arial" w:cs="Arial"/>
      <w:color w:val="000080"/>
      <w:sz w:val="20"/>
    </w:rPr>
  </w:style>
  <w:style w:type="character" w:customStyle="1" w:styleId="EmailStyle4322">
    <w:name w:val="EmailStyle4322"/>
    <w:basedOn w:val="DefaultParagraphFont"/>
    <w:semiHidden/>
    <w:rsid w:val="000325A4"/>
    <w:rPr>
      <w:rFonts w:ascii="Arial" w:hAnsi="Arial" w:cs="Arial"/>
      <w:color w:val="993366"/>
      <w:sz w:val="20"/>
    </w:rPr>
  </w:style>
  <w:style w:type="character" w:customStyle="1" w:styleId="EmailStyle4332">
    <w:name w:val="EmailStyle4332"/>
    <w:basedOn w:val="DefaultParagraphFont"/>
    <w:semiHidden/>
    <w:rsid w:val="000325A4"/>
    <w:rPr>
      <w:rFonts w:ascii="Arial" w:hAnsi="Arial" w:cs="Arial"/>
      <w:color w:val="000080"/>
      <w:sz w:val="20"/>
    </w:rPr>
  </w:style>
  <w:style w:type="character" w:customStyle="1" w:styleId="EmailStyle4342">
    <w:name w:val="EmailStyle4342"/>
    <w:basedOn w:val="DefaultParagraphFont"/>
    <w:semiHidden/>
    <w:rsid w:val="000325A4"/>
    <w:rPr>
      <w:rFonts w:ascii="Arial" w:hAnsi="Arial" w:cs="Arial"/>
      <w:color w:val="993366"/>
      <w:sz w:val="20"/>
    </w:rPr>
  </w:style>
  <w:style w:type="character" w:customStyle="1" w:styleId="EmailStyle4352">
    <w:name w:val="EmailStyle4352"/>
    <w:basedOn w:val="DefaultParagraphFont"/>
    <w:semiHidden/>
    <w:rsid w:val="000325A4"/>
    <w:rPr>
      <w:rFonts w:ascii="Arial" w:hAnsi="Arial" w:cs="Arial"/>
      <w:color w:val="000080"/>
      <w:sz w:val="20"/>
    </w:rPr>
  </w:style>
  <w:style w:type="character" w:customStyle="1" w:styleId="EmailStyle4362">
    <w:name w:val="EmailStyle4362"/>
    <w:basedOn w:val="DefaultParagraphFont"/>
    <w:semiHidden/>
    <w:rsid w:val="000325A4"/>
    <w:rPr>
      <w:rFonts w:ascii="Arial" w:hAnsi="Arial" w:cs="Arial"/>
      <w:color w:val="000080"/>
      <w:sz w:val="20"/>
    </w:rPr>
  </w:style>
  <w:style w:type="character" w:customStyle="1" w:styleId="EmailStyle4372">
    <w:name w:val="EmailStyle4372"/>
    <w:basedOn w:val="DefaultParagraphFont"/>
    <w:semiHidden/>
    <w:rsid w:val="000325A4"/>
    <w:rPr>
      <w:rFonts w:ascii="Arial" w:hAnsi="Arial" w:cs="Arial"/>
      <w:color w:val="993366"/>
      <w:sz w:val="20"/>
    </w:rPr>
  </w:style>
  <w:style w:type="character" w:customStyle="1" w:styleId="EmailStyle4382">
    <w:name w:val="EmailStyle4382"/>
    <w:basedOn w:val="DefaultParagraphFont"/>
    <w:semiHidden/>
    <w:rsid w:val="000325A4"/>
    <w:rPr>
      <w:rFonts w:ascii="Arial" w:hAnsi="Arial" w:cs="Arial"/>
      <w:color w:val="000080"/>
      <w:sz w:val="20"/>
    </w:rPr>
  </w:style>
  <w:style w:type="character" w:customStyle="1" w:styleId="EmailStyle4392">
    <w:name w:val="EmailStyle4392"/>
    <w:basedOn w:val="DefaultParagraphFont"/>
    <w:semiHidden/>
    <w:rsid w:val="000325A4"/>
    <w:rPr>
      <w:rFonts w:ascii="Arial" w:hAnsi="Arial" w:cs="Arial"/>
      <w:color w:val="993366"/>
      <w:sz w:val="20"/>
    </w:rPr>
  </w:style>
  <w:style w:type="character" w:customStyle="1" w:styleId="EmailStyle4402">
    <w:name w:val="EmailStyle4402"/>
    <w:basedOn w:val="DefaultParagraphFont"/>
    <w:semiHidden/>
    <w:rsid w:val="000325A4"/>
    <w:rPr>
      <w:rFonts w:ascii="Arial" w:hAnsi="Arial" w:cs="Arial"/>
      <w:color w:val="000080"/>
      <w:sz w:val="20"/>
    </w:rPr>
  </w:style>
  <w:style w:type="character" w:customStyle="1" w:styleId="EmailStyle4412">
    <w:name w:val="EmailStyle4412"/>
    <w:basedOn w:val="DefaultParagraphFont"/>
    <w:semiHidden/>
    <w:rsid w:val="000325A4"/>
    <w:rPr>
      <w:rFonts w:ascii="Arial" w:hAnsi="Arial" w:cs="Arial"/>
      <w:color w:val="000080"/>
      <w:sz w:val="20"/>
    </w:rPr>
  </w:style>
  <w:style w:type="character" w:customStyle="1" w:styleId="EmailStyle4422">
    <w:name w:val="EmailStyle4422"/>
    <w:basedOn w:val="DefaultParagraphFont"/>
    <w:semiHidden/>
    <w:rsid w:val="000325A4"/>
    <w:rPr>
      <w:rFonts w:ascii="Arial" w:hAnsi="Arial" w:cs="Arial"/>
      <w:color w:val="993366"/>
      <w:sz w:val="20"/>
    </w:rPr>
  </w:style>
  <w:style w:type="character" w:customStyle="1" w:styleId="EmailStyle4432">
    <w:name w:val="EmailStyle4432"/>
    <w:basedOn w:val="DefaultParagraphFont"/>
    <w:semiHidden/>
    <w:rsid w:val="000325A4"/>
    <w:rPr>
      <w:rFonts w:ascii="Arial" w:hAnsi="Arial" w:cs="Arial"/>
      <w:color w:val="000080"/>
      <w:sz w:val="20"/>
    </w:rPr>
  </w:style>
  <w:style w:type="character" w:customStyle="1" w:styleId="EmailStyle4442">
    <w:name w:val="EmailStyle4442"/>
    <w:basedOn w:val="DefaultParagraphFont"/>
    <w:semiHidden/>
    <w:rsid w:val="000325A4"/>
    <w:rPr>
      <w:rFonts w:ascii="Arial" w:hAnsi="Arial" w:cs="Arial"/>
      <w:color w:val="993366"/>
      <w:sz w:val="20"/>
    </w:rPr>
  </w:style>
  <w:style w:type="character" w:customStyle="1" w:styleId="EmailStyle4452">
    <w:name w:val="EmailStyle4452"/>
    <w:basedOn w:val="DefaultParagraphFont"/>
    <w:semiHidden/>
    <w:rsid w:val="000325A4"/>
    <w:rPr>
      <w:rFonts w:ascii="Arial" w:hAnsi="Arial" w:cs="Arial"/>
      <w:color w:val="000080"/>
      <w:sz w:val="20"/>
    </w:rPr>
  </w:style>
  <w:style w:type="character" w:customStyle="1" w:styleId="EmailStyle4462">
    <w:name w:val="EmailStyle4462"/>
    <w:basedOn w:val="DefaultParagraphFont"/>
    <w:semiHidden/>
    <w:rsid w:val="000325A4"/>
    <w:rPr>
      <w:rFonts w:ascii="Arial" w:hAnsi="Arial" w:cs="Arial"/>
      <w:color w:val="000080"/>
      <w:sz w:val="20"/>
    </w:rPr>
  </w:style>
  <w:style w:type="paragraph" w:customStyle="1" w:styleId="PrefaceStyle2">
    <w:name w:val="Preface Style2"/>
    <w:basedOn w:val="Normal"/>
    <w:qFormat/>
    <w:rsid w:val="00032814"/>
    <w:pPr>
      <w:keepNext/>
      <w:keepLines/>
      <w:pBdr>
        <w:bottom w:val="single" w:sz="2" w:space="1" w:color="62777F" w:themeColor="text1"/>
      </w:pBdr>
      <w:spacing w:after="120"/>
    </w:pPr>
    <w:rPr>
      <w:rFonts w:ascii="Calibri" w:hAnsi="Calibri" w:cs="Arial"/>
      <w:b/>
      <w:sz w:val="28"/>
      <w:szCs w:val="32"/>
    </w:rPr>
  </w:style>
  <w:style w:type="paragraph" w:customStyle="1" w:styleId="Text">
    <w:name w:val="Text"/>
    <w:basedOn w:val="Normal"/>
    <w:rsid w:val="003D257B"/>
    <w:pPr>
      <w:widowControl w:val="0"/>
      <w:spacing w:after="0" w:line="252" w:lineRule="auto"/>
      <w:ind w:firstLine="240"/>
      <w:jc w:val="both"/>
    </w:pPr>
    <w:rPr>
      <w:rFonts w:ascii="Times New Roman" w:eastAsia="Times New Roman" w:hAnsi="Times New Roman"/>
    </w:rPr>
  </w:style>
  <w:style w:type="character" w:customStyle="1" w:styleId="EmailStyle80">
    <w:name w:val="EmailStyle80"/>
    <w:basedOn w:val="DefaultParagraphFont"/>
    <w:semiHidden/>
    <w:rsid w:val="006D4FD3"/>
    <w:rPr>
      <w:rFonts w:ascii="Arial" w:hAnsi="Arial" w:cs="Arial"/>
      <w:color w:val="993366"/>
      <w:sz w:val="20"/>
    </w:rPr>
  </w:style>
  <w:style w:type="character" w:customStyle="1" w:styleId="EmailStyle111">
    <w:name w:val="EmailStyle111"/>
    <w:basedOn w:val="DefaultParagraphFont"/>
    <w:semiHidden/>
    <w:rsid w:val="006D4FD3"/>
    <w:rPr>
      <w:rFonts w:ascii="Arial" w:hAnsi="Arial" w:cs="Arial"/>
      <w:color w:val="000080"/>
      <w:sz w:val="20"/>
    </w:rPr>
  </w:style>
  <w:style w:type="character" w:customStyle="1" w:styleId="EmailStyle150">
    <w:name w:val="EmailStyle150"/>
    <w:basedOn w:val="DefaultParagraphFont"/>
    <w:semiHidden/>
    <w:rsid w:val="006D4FD3"/>
    <w:rPr>
      <w:rFonts w:ascii="Arial" w:hAnsi="Arial" w:cs="Arial"/>
      <w:color w:val="993366"/>
      <w:sz w:val="20"/>
    </w:rPr>
  </w:style>
  <w:style w:type="character" w:customStyle="1" w:styleId="EmailStyle151">
    <w:name w:val="EmailStyle151"/>
    <w:basedOn w:val="DefaultParagraphFont"/>
    <w:semiHidden/>
    <w:rsid w:val="006D4FD3"/>
    <w:rPr>
      <w:rFonts w:ascii="Arial" w:hAnsi="Arial" w:cs="Arial"/>
      <w:color w:val="000080"/>
      <w:sz w:val="20"/>
    </w:rPr>
  </w:style>
  <w:style w:type="character" w:customStyle="1" w:styleId="EmailStyle156">
    <w:name w:val="EmailStyle156"/>
    <w:basedOn w:val="DefaultParagraphFont"/>
    <w:semiHidden/>
    <w:rsid w:val="006D4FD3"/>
    <w:rPr>
      <w:rFonts w:ascii="Arial" w:hAnsi="Arial" w:cs="Arial"/>
      <w:color w:val="993366"/>
      <w:sz w:val="20"/>
    </w:rPr>
  </w:style>
  <w:style w:type="character" w:customStyle="1" w:styleId="EmailStyle157">
    <w:name w:val="EmailStyle157"/>
    <w:basedOn w:val="DefaultParagraphFont"/>
    <w:semiHidden/>
    <w:rsid w:val="006D4FD3"/>
    <w:rPr>
      <w:rFonts w:ascii="Arial" w:hAnsi="Arial" w:cs="Arial"/>
      <w:color w:val="000080"/>
      <w:sz w:val="20"/>
    </w:rPr>
  </w:style>
  <w:style w:type="character" w:customStyle="1" w:styleId="EmailStyle248">
    <w:name w:val="EmailStyle248"/>
    <w:basedOn w:val="DefaultParagraphFont"/>
    <w:semiHidden/>
    <w:rsid w:val="006D4FD3"/>
    <w:rPr>
      <w:rFonts w:ascii="Arial" w:hAnsi="Arial" w:cs="Arial"/>
      <w:color w:val="993366"/>
      <w:sz w:val="20"/>
    </w:rPr>
  </w:style>
  <w:style w:type="character" w:customStyle="1" w:styleId="EmailStyle249">
    <w:name w:val="EmailStyle249"/>
    <w:basedOn w:val="DefaultParagraphFont"/>
    <w:semiHidden/>
    <w:rsid w:val="006D4FD3"/>
    <w:rPr>
      <w:rFonts w:ascii="Arial" w:hAnsi="Arial" w:cs="Arial"/>
      <w:color w:val="000080"/>
      <w:sz w:val="20"/>
    </w:rPr>
  </w:style>
  <w:style w:type="character" w:customStyle="1" w:styleId="EmailStyle250">
    <w:name w:val="EmailStyle250"/>
    <w:basedOn w:val="DefaultParagraphFont"/>
    <w:semiHidden/>
    <w:rsid w:val="006D4FD3"/>
    <w:rPr>
      <w:rFonts w:ascii="Arial" w:hAnsi="Arial" w:cs="Arial"/>
      <w:color w:val="993366"/>
      <w:sz w:val="20"/>
    </w:rPr>
  </w:style>
  <w:style w:type="character" w:customStyle="1" w:styleId="EmailStyle251">
    <w:name w:val="EmailStyle251"/>
    <w:basedOn w:val="DefaultParagraphFont"/>
    <w:semiHidden/>
    <w:rsid w:val="006D4FD3"/>
    <w:rPr>
      <w:rFonts w:ascii="Arial" w:hAnsi="Arial" w:cs="Arial"/>
      <w:color w:val="000080"/>
      <w:sz w:val="20"/>
    </w:rPr>
  </w:style>
  <w:style w:type="character" w:customStyle="1" w:styleId="EmailStyle252">
    <w:name w:val="EmailStyle252"/>
    <w:basedOn w:val="DefaultParagraphFont"/>
    <w:semiHidden/>
    <w:rsid w:val="006D4FD3"/>
    <w:rPr>
      <w:rFonts w:ascii="Arial" w:hAnsi="Arial" w:cs="Arial"/>
      <w:color w:val="993366"/>
      <w:sz w:val="20"/>
    </w:rPr>
  </w:style>
  <w:style w:type="character" w:customStyle="1" w:styleId="EmailStyle253">
    <w:name w:val="EmailStyle253"/>
    <w:basedOn w:val="DefaultParagraphFont"/>
    <w:semiHidden/>
    <w:rsid w:val="006D4FD3"/>
    <w:rPr>
      <w:rFonts w:ascii="Arial" w:hAnsi="Arial" w:cs="Arial"/>
      <w:color w:val="000080"/>
      <w:sz w:val="20"/>
    </w:rPr>
  </w:style>
  <w:style w:type="character" w:customStyle="1" w:styleId="EmailStyle258">
    <w:name w:val="EmailStyle258"/>
    <w:basedOn w:val="DefaultParagraphFont"/>
    <w:semiHidden/>
    <w:rsid w:val="006D4FD3"/>
    <w:rPr>
      <w:rFonts w:ascii="Arial" w:hAnsi="Arial" w:cs="Arial"/>
      <w:color w:val="993366"/>
      <w:sz w:val="20"/>
    </w:rPr>
  </w:style>
  <w:style w:type="character" w:customStyle="1" w:styleId="EmailStyle259">
    <w:name w:val="EmailStyle259"/>
    <w:basedOn w:val="DefaultParagraphFont"/>
    <w:semiHidden/>
    <w:rsid w:val="006D4FD3"/>
    <w:rPr>
      <w:rFonts w:ascii="Arial" w:hAnsi="Arial" w:cs="Arial"/>
      <w:color w:val="000080"/>
      <w:sz w:val="20"/>
    </w:rPr>
  </w:style>
  <w:style w:type="character" w:customStyle="1" w:styleId="EmailStyle260">
    <w:name w:val="EmailStyle260"/>
    <w:basedOn w:val="DefaultParagraphFont"/>
    <w:semiHidden/>
    <w:rsid w:val="006D4FD3"/>
    <w:rPr>
      <w:rFonts w:ascii="Arial" w:hAnsi="Arial" w:cs="Arial"/>
      <w:color w:val="993366"/>
      <w:sz w:val="20"/>
    </w:rPr>
  </w:style>
  <w:style w:type="character" w:customStyle="1" w:styleId="EmailStyle261">
    <w:name w:val="EmailStyle261"/>
    <w:basedOn w:val="DefaultParagraphFont"/>
    <w:semiHidden/>
    <w:rsid w:val="006D4FD3"/>
    <w:rPr>
      <w:rFonts w:ascii="Arial" w:hAnsi="Arial" w:cs="Arial"/>
      <w:color w:val="000080"/>
      <w:sz w:val="20"/>
    </w:rPr>
  </w:style>
  <w:style w:type="character" w:customStyle="1" w:styleId="EmailStyle262">
    <w:name w:val="EmailStyle262"/>
    <w:basedOn w:val="DefaultParagraphFont"/>
    <w:semiHidden/>
    <w:rsid w:val="006D4FD3"/>
    <w:rPr>
      <w:rFonts w:ascii="Arial" w:hAnsi="Arial" w:cs="Arial"/>
      <w:color w:val="993366"/>
      <w:sz w:val="20"/>
    </w:rPr>
  </w:style>
  <w:style w:type="character" w:customStyle="1" w:styleId="EmailStyle263">
    <w:name w:val="EmailStyle263"/>
    <w:basedOn w:val="DefaultParagraphFont"/>
    <w:semiHidden/>
    <w:rsid w:val="006D4FD3"/>
    <w:rPr>
      <w:rFonts w:ascii="Arial" w:hAnsi="Arial" w:cs="Arial"/>
      <w:color w:val="000080"/>
      <w:sz w:val="20"/>
    </w:rPr>
  </w:style>
  <w:style w:type="character" w:customStyle="1" w:styleId="EmailStyle265">
    <w:name w:val="EmailStyle265"/>
    <w:basedOn w:val="DefaultParagraphFont"/>
    <w:semiHidden/>
    <w:rsid w:val="006D4FD3"/>
    <w:rPr>
      <w:rFonts w:ascii="Arial" w:hAnsi="Arial" w:cs="Arial"/>
      <w:color w:val="993366"/>
      <w:sz w:val="20"/>
    </w:rPr>
  </w:style>
  <w:style w:type="character" w:customStyle="1" w:styleId="EmailStyle266">
    <w:name w:val="EmailStyle266"/>
    <w:basedOn w:val="DefaultParagraphFont"/>
    <w:semiHidden/>
    <w:rsid w:val="006D4FD3"/>
    <w:rPr>
      <w:rFonts w:ascii="Arial" w:hAnsi="Arial" w:cs="Arial"/>
      <w:color w:val="000080"/>
      <w:sz w:val="20"/>
    </w:rPr>
  </w:style>
  <w:style w:type="character" w:customStyle="1" w:styleId="EmailStyle275">
    <w:name w:val="EmailStyle275"/>
    <w:basedOn w:val="DefaultParagraphFont"/>
    <w:semiHidden/>
    <w:rsid w:val="006D4FD3"/>
    <w:rPr>
      <w:rFonts w:ascii="Arial" w:hAnsi="Arial" w:cs="Arial"/>
      <w:color w:val="993366"/>
      <w:sz w:val="20"/>
    </w:rPr>
  </w:style>
  <w:style w:type="character" w:customStyle="1" w:styleId="EmailStyle276">
    <w:name w:val="EmailStyle276"/>
    <w:basedOn w:val="DefaultParagraphFont"/>
    <w:semiHidden/>
    <w:rsid w:val="006D4FD3"/>
    <w:rPr>
      <w:rFonts w:ascii="Arial" w:hAnsi="Arial" w:cs="Arial"/>
      <w:color w:val="000080"/>
      <w:sz w:val="20"/>
    </w:rPr>
  </w:style>
  <w:style w:type="character" w:customStyle="1" w:styleId="EmailStyle277">
    <w:name w:val="EmailStyle277"/>
    <w:basedOn w:val="DefaultParagraphFont"/>
    <w:semiHidden/>
    <w:rsid w:val="006D4FD3"/>
    <w:rPr>
      <w:rFonts w:ascii="Arial" w:hAnsi="Arial" w:cs="Arial"/>
      <w:color w:val="993366"/>
      <w:sz w:val="20"/>
    </w:rPr>
  </w:style>
  <w:style w:type="character" w:customStyle="1" w:styleId="EmailStyle278">
    <w:name w:val="EmailStyle278"/>
    <w:basedOn w:val="DefaultParagraphFont"/>
    <w:semiHidden/>
    <w:rsid w:val="006D4FD3"/>
    <w:rPr>
      <w:rFonts w:ascii="Arial" w:hAnsi="Arial" w:cs="Arial"/>
      <w:color w:val="000080"/>
      <w:sz w:val="20"/>
    </w:rPr>
  </w:style>
  <w:style w:type="character" w:customStyle="1" w:styleId="EmailStyle279">
    <w:name w:val="EmailStyle279"/>
    <w:basedOn w:val="DefaultParagraphFont"/>
    <w:semiHidden/>
    <w:rsid w:val="006D4FD3"/>
    <w:rPr>
      <w:rFonts w:ascii="Arial" w:hAnsi="Arial" w:cs="Arial"/>
      <w:color w:val="993366"/>
      <w:sz w:val="20"/>
    </w:rPr>
  </w:style>
  <w:style w:type="character" w:customStyle="1" w:styleId="EmailStyle280">
    <w:name w:val="EmailStyle280"/>
    <w:basedOn w:val="DefaultParagraphFont"/>
    <w:semiHidden/>
    <w:rsid w:val="006D4FD3"/>
    <w:rPr>
      <w:rFonts w:ascii="Arial" w:hAnsi="Arial" w:cs="Arial"/>
      <w:color w:val="000080"/>
      <w:sz w:val="20"/>
    </w:rPr>
  </w:style>
  <w:style w:type="character" w:customStyle="1" w:styleId="EmailStyle281">
    <w:name w:val="EmailStyle281"/>
    <w:basedOn w:val="DefaultParagraphFont"/>
    <w:semiHidden/>
    <w:rsid w:val="006D4FD3"/>
    <w:rPr>
      <w:rFonts w:ascii="Arial" w:hAnsi="Arial" w:cs="Arial"/>
      <w:color w:val="993366"/>
      <w:sz w:val="20"/>
    </w:rPr>
  </w:style>
  <w:style w:type="character" w:customStyle="1" w:styleId="EmailStyle282">
    <w:name w:val="EmailStyle282"/>
    <w:basedOn w:val="DefaultParagraphFont"/>
    <w:semiHidden/>
    <w:rsid w:val="006D4FD3"/>
    <w:rPr>
      <w:rFonts w:ascii="Arial" w:hAnsi="Arial" w:cs="Arial"/>
      <w:color w:val="000080"/>
      <w:sz w:val="20"/>
    </w:rPr>
  </w:style>
  <w:style w:type="character" w:customStyle="1" w:styleId="EmailStyle283">
    <w:name w:val="EmailStyle283"/>
    <w:basedOn w:val="DefaultParagraphFont"/>
    <w:semiHidden/>
    <w:rsid w:val="006D4FD3"/>
    <w:rPr>
      <w:rFonts w:ascii="Arial" w:hAnsi="Arial" w:cs="Arial"/>
      <w:color w:val="993366"/>
      <w:sz w:val="20"/>
    </w:rPr>
  </w:style>
  <w:style w:type="character" w:customStyle="1" w:styleId="EmailStyle284">
    <w:name w:val="EmailStyle284"/>
    <w:basedOn w:val="DefaultParagraphFont"/>
    <w:semiHidden/>
    <w:rsid w:val="006D4FD3"/>
    <w:rPr>
      <w:rFonts w:ascii="Arial" w:hAnsi="Arial" w:cs="Arial"/>
      <w:color w:val="000080"/>
      <w:sz w:val="20"/>
    </w:rPr>
  </w:style>
  <w:style w:type="character" w:customStyle="1" w:styleId="EmailStyle285">
    <w:name w:val="EmailStyle285"/>
    <w:basedOn w:val="DefaultParagraphFont"/>
    <w:semiHidden/>
    <w:rsid w:val="006D4FD3"/>
    <w:rPr>
      <w:rFonts w:ascii="Arial" w:hAnsi="Arial" w:cs="Arial"/>
      <w:color w:val="993366"/>
      <w:sz w:val="20"/>
    </w:rPr>
  </w:style>
  <w:style w:type="character" w:customStyle="1" w:styleId="EmailStyle286">
    <w:name w:val="EmailStyle286"/>
    <w:basedOn w:val="DefaultParagraphFont"/>
    <w:semiHidden/>
    <w:rsid w:val="006D4FD3"/>
    <w:rPr>
      <w:rFonts w:ascii="Arial" w:hAnsi="Arial" w:cs="Arial"/>
      <w:color w:val="000080"/>
      <w:sz w:val="20"/>
    </w:rPr>
  </w:style>
  <w:style w:type="character" w:customStyle="1" w:styleId="EmailStyle287">
    <w:name w:val="EmailStyle287"/>
    <w:basedOn w:val="DefaultParagraphFont"/>
    <w:semiHidden/>
    <w:rsid w:val="006D4FD3"/>
    <w:rPr>
      <w:rFonts w:ascii="Arial" w:hAnsi="Arial" w:cs="Arial"/>
      <w:color w:val="993366"/>
      <w:sz w:val="20"/>
    </w:rPr>
  </w:style>
  <w:style w:type="character" w:customStyle="1" w:styleId="EmailStyle288">
    <w:name w:val="EmailStyle288"/>
    <w:basedOn w:val="DefaultParagraphFont"/>
    <w:semiHidden/>
    <w:rsid w:val="006D4FD3"/>
    <w:rPr>
      <w:rFonts w:ascii="Arial" w:hAnsi="Arial" w:cs="Arial"/>
      <w:color w:val="000080"/>
      <w:sz w:val="20"/>
    </w:rPr>
  </w:style>
  <w:style w:type="character" w:customStyle="1" w:styleId="EmailStyle289">
    <w:name w:val="EmailStyle289"/>
    <w:basedOn w:val="DefaultParagraphFont"/>
    <w:semiHidden/>
    <w:rsid w:val="006D4FD3"/>
    <w:rPr>
      <w:rFonts w:ascii="Arial" w:hAnsi="Arial" w:cs="Arial"/>
      <w:color w:val="993366"/>
      <w:sz w:val="20"/>
    </w:rPr>
  </w:style>
  <w:style w:type="character" w:customStyle="1" w:styleId="EmailStyle290">
    <w:name w:val="EmailStyle290"/>
    <w:basedOn w:val="DefaultParagraphFont"/>
    <w:semiHidden/>
    <w:rsid w:val="006D4FD3"/>
    <w:rPr>
      <w:rFonts w:ascii="Arial" w:hAnsi="Arial" w:cs="Arial"/>
      <w:color w:val="000080"/>
      <w:sz w:val="20"/>
    </w:rPr>
  </w:style>
  <w:style w:type="character" w:customStyle="1" w:styleId="EmailStyle291">
    <w:name w:val="EmailStyle291"/>
    <w:basedOn w:val="DefaultParagraphFont"/>
    <w:semiHidden/>
    <w:rsid w:val="006D4FD3"/>
    <w:rPr>
      <w:rFonts w:ascii="Arial" w:hAnsi="Arial" w:cs="Arial"/>
      <w:color w:val="993366"/>
      <w:sz w:val="20"/>
    </w:rPr>
  </w:style>
  <w:style w:type="character" w:customStyle="1" w:styleId="EmailStyle292">
    <w:name w:val="EmailStyle292"/>
    <w:basedOn w:val="DefaultParagraphFont"/>
    <w:semiHidden/>
    <w:rsid w:val="006D4FD3"/>
    <w:rPr>
      <w:rFonts w:ascii="Arial" w:hAnsi="Arial" w:cs="Arial"/>
      <w:color w:val="000080"/>
      <w:sz w:val="20"/>
    </w:rPr>
  </w:style>
  <w:style w:type="character" w:customStyle="1" w:styleId="EmailStyle293">
    <w:name w:val="EmailStyle293"/>
    <w:basedOn w:val="DefaultParagraphFont"/>
    <w:semiHidden/>
    <w:rsid w:val="006D4FD3"/>
    <w:rPr>
      <w:rFonts w:ascii="Arial" w:hAnsi="Arial" w:cs="Arial"/>
      <w:color w:val="993366"/>
      <w:sz w:val="20"/>
    </w:rPr>
  </w:style>
  <w:style w:type="character" w:customStyle="1" w:styleId="EmailStyle294">
    <w:name w:val="EmailStyle294"/>
    <w:basedOn w:val="DefaultParagraphFont"/>
    <w:semiHidden/>
    <w:rsid w:val="006D4FD3"/>
    <w:rPr>
      <w:rFonts w:ascii="Arial" w:hAnsi="Arial" w:cs="Arial"/>
      <w:color w:val="000080"/>
      <w:sz w:val="20"/>
    </w:rPr>
  </w:style>
  <w:style w:type="character" w:customStyle="1" w:styleId="EmailStyle300">
    <w:name w:val="EmailStyle300"/>
    <w:basedOn w:val="DefaultParagraphFont"/>
    <w:semiHidden/>
    <w:rsid w:val="006D4FD3"/>
    <w:rPr>
      <w:rFonts w:ascii="Arial" w:hAnsi="Arial" w:cs="Arial"/>
      <w:color w:val="993366"/>
      <w:sz w:val="20"/>
    </w:rPr>
  </w:style>
  <w:style w:type="character" w:customStyle="1" w:styleId="EmailStyle301">
    <w:name w:val="EmailStyle301"/>
    <w:basedOn w:val="DefaultParagraphFont"/>
    <w:semiHidden/>
    <w:rsid w:val="006D4FD3"/>
    <w:rPr>
      <w:rFonts w:ascii="Arial" w:hAnsi="Arial" w:cs="Arial"/>
      <w:color w:val="000080"/>
      <w:sz w:val="20"/>
    </w:rPr>
  </w:style>
  <w:style w:type="character" w:customStyle="1" w:styleId="EmailStyle302">
    <w:name w:val="EmailStyle302"/>
    <w:basedOn w:val="DefaultParagraphFont"/>
    <w:semiHidden/>
    <w:rsid w:val="006D4FD3"/>
    <w:rPr>
      <w:rFonts w:ascii="Arial" w:hAnsi="Arial" w:cs="Arial"/>
      <w:color w:val="993366"/>
      <w:sz w:val="20"/>
    </w:rPr>
  </w:style>
  <w:style w:type="character" w:customStyle="1" w:styleId="EmailStyle303">
    <w:name w:val="EmailStyle303"/>
    <w:basedOn w:val="DefaultParagraphFont"/>
    <w:semiHidden/>
    <w:rsid w:val="006D4FD3"/>
    <w:rPr>
      <w:rFonts w:ascii="Arial" w:hAnsi="Arial" w:cs="Arial"/>
      <w:color w:val="000080"/>
      <w:sz w:val="20"/>
    </w:rPr>
  </w:style>
  <w:style w:type="character" w:customStyle="1" w:styleId="EmailStyle304">
    <w:name w:val="EmailStyle304"/>
    <w:basedOn w:val="DefaultParagraphFont"/>
    <w:semiHidden/>
    <w:rsid w:val="006D4FD3"/>
    <w:rPr>
      <w:rFonts w:ascii="Arial" w:hAnsi="Arial" w:cs="Arial"/>
      <w:color w:val="993366"/>
      <w:sz w:val="20"/>
    </w:rPr>
  </w:style>
  <w:style w:type="character" w:customStyle="1" w:styleId="EmailStyle305">
    <w:name w:val="EmailStyle305"/>
    <w:basedOn w:val="DefaultParagraphFont"/>
    <w:semiHidden/>
    <w:rsid w:val="006D4FD3"/>
    <w:rPr>
      <w:rFonts w:ascii="Arial" w:hAnsi="Arial" w:cs="Arial"/>
      <w:color w:val="000080"/>
      <w:sz w:val="20"/>
    </w:rPr>
  </w:style>
  <w:style w:type="character" w:customStyle="1" w:styleId="EmailStyle306">
    <w:name w:val="EmailStyle306"/>
    <w:basedOn w:val="DefaultParagraphFont"/>
    <w:semiHidden/>
    <w:rsid w:val="006D4FD3"/>
    <w:rPr>
      <w:rFonts w:ascii="Arial" w:hAnsi="Arial" w:cs="Arial"/>
      <w:color w:val="993366"/>
      <w:sz w:val="20"/>
    </w:rPr>
  </w:style>
  <w:style w:type="character" w:customStyle="1" w:styleId="EmailStyle307">
    <w:name w:val="EmailStyle307"/>
    <w:basedOn w:val="DefaultParagraphFont"/>
    <w:semiHidden/>
    <w:rsid w:val="006D4FD3"/>
    <w:rPr>
      <w:rFonts w:ascii="Arial" w:hAnsi="Arial" w:cs="Arial"/>
      <w:color w:val="000080"/>
      <w:sz w:val="20"/>
    </w:rPr>
  </w:style>
  <w:style w:type="character" w:customStyle="1" w:styleId="EmailStyle308">
    <w:name w:val="EmailStyle308"/>
    <w:basedOn w:val="DefaultParagraphFont"/>
    <w:semiHidden/>
    <w:rsid w:val="006D4FD3"/>
    <w:rPr>
      <w:rFonts w:ascii="Arial" w:hAnsi="Arial" w:cs="Arial"/>
      <w:color w:val="993366"/>
      <w:sz w:val="20"/>
    </w:rPr>
  </w:style>
  <w:style w:type="character" w:customStyle="1" w:styleId="EmailStyle309">
    <w:name w:val="EmailStyle309"/>
    <w:basedOn w:val="DefaultParagraphFont"/>
    <w:semiHidden/>
    <w:rsid w:val="006D4FD3"/>
    <w:rPr>
      <w:rFonts w:ascii="Arial" w:hAnsi="Arial" w:cs="Arial"/>
      <w:color w:val="000080"/>
      <w:sz w:val="20"/>
    </w:rPr>
  </w:style>
  <w:style w:type="character" w:customStyle="1" w:styleId="EmailStyle310">
    <w:name w:val="EmailStyle310"/>
    <w:basedOn w:val="DefaultParagraphFont"/>
    <w:semiHidden/>
    <w:rsid w:val="006D4FD3"/>
    <w:rPr>
      <w:rFonts w:ascii="Arial" w:hAnsi="Arial" w:cs="Arial"/>
      <w:color w:val="993366"/>
      <w:sz w:val="20"/>
    </w:rPr>
  </w:style>
  <w:style w:type="character" w:customStyle="1" w:styleId="EmailStyle311">
    <w:name w:val="EmailStyle311"/>
    <w:basedOn w:val="DefaultParagraphFont"/>
    <w:semiHidden/>
    <w:rsid w:val="006D4FD3"/>
    <w:rPr>
      <w:rFonts w:ascii="Arial" w:hAnsi="Arial" w:cs="Arial"/>
      <w:color w:val="000080"/>
      <w:sz w:val="20"/>
    </w:rPr>
  </w:style>
  <w:style w:type="character" w:customStyle="1" w:styleId="EmailStyle312">
    <w:name w:val="EmailStyle312"/>
    <w:basedOn w:val="DefaultParagraphFont"/>
    <w:semiHidden/>
    <w:rsid w:val="006D4FD3"/>
    <w:rPr>
      <w:rFonts w:ascii="Arial" w:hAnsi="Arial" w:cs="Arial"/>
      <w:color w:val="993366"/>
      <w:sz w:val="20"/>
    </w:rPr>
  </w:style>
  <w:style w:type="character" w:customStyle="1" w:styleId="EmailStyle313">
    <w:name w:val="EmailStyle313"/>
    <w:basedOn w:val="DefaultParagraphFont"/>
    <w:semiHidden/>
    <w:rsid w:val="006D4FD3"/>
    <w:rPr>
      <w:rFonts w:ascii="Arial" w:hAnsi="Arial" w:cs="Arial"/>
      <w:color w:val="000080"/>
      <w:sz w:val="20"/>
    </w:rPr>
  </w:style>
  <w:style w:type="character" w:customStyle="1" w:styleId="EmailStyle314">
    <w:name w:val="EmailStyle314"/>
    <w:basedOn w:val="DefaultParagraphFont"/>
    <w:semiHidden/>
    <w:rsid w:val="006D4FD3"/>
    <w:rPr>
      <w:rFonts w:ascii="Arial" w:hAnsi="Arial" w:cs="Arial"/>
      <w:color w:val="993366"/>
      <w:sz w:val="20"/>
    </w:rPr>
  </w:style>
  <w:style w:type="character" w:customStyle="1" w:styleId="EmailStyle315">
    <w:name w:val="EmailStyle315"/>
    <w:basedOn w:val="DefaultParagraphFont"/>
    <w:semiHidden/>
    <w:rsid w:val="006D4FD3"/>
    <w:rPr>
      <w:rFonts w:ascii="Arial" w:hAnsi="Arial" w:cs="Arial"/>
      <w:color w:val="000080"/>
      <w:sz w:val="20"/>
    </w:rPr>
  </w:style>
  <w:style w:type="character" w:customStyle="1" w:styleId="EmailStyle316">
    <w:name w:val="EmailStyle316"/>
    <w:basedOn w:val="DefaultParagraphFont"/>
    <w:semiHidden/>
    <w:rsid w:val="006D4FD3"/>
    <w:rPr>
      <w:rFonts w:ascii="Arial" w:hAnsi="Arial" w:cs="Arial"/>
      <w:color w:val="993366"/>
      <w:sz w:val="20"/>
    </w:rPr>
  </w:style>
  <w:style w:type="character" w:customStyle="1" w:styleId="EmailStyle317">
    <w:name w:val="EmailStyle317"/>
    <w:basedOn w:val="DefaultParagraphFont"/>
    <w:semiHidden/>
    <w:rsid w:val="006D4FD3"/>
    <w:rPr>
      <w:rFonts w:ascii="Arial" w:hAnsi="Arial" w:cs="Arial"/>
      <w:color w:val="000080"/>
      <w:sz w:val="20"/>
    </w:rPr>
  </w:style>
  <w:style w:type="character" w:customStyle="1" w:styleId="EmailStyle318">
    <w:name w:val="EmailStyle318"/>
    <w:basedOn w:val="DefaultParagraphFont"/>
    <w:semiHidden/>
    <w:rsid w:val="006D4FD3"/>
    <w:rPr>
      <w:rFonts w:ascii="Arial" w:hAnsi="Arial" w:cs="Arial"/>
      <w:color w:val="993366"/>
      <w:sz w:val="20"/>
    </w:rPr>
  </w:style>
  <w:style w:type="character" w:customStyle="1" w:styleId="EmailStyle319">
    <w:name w:val="EmailStyle319"/>
    <w:basedOn w:val="DefaultParagraphFont"/>
    <w:semiHidden/>
    <w:rsid w:val="006D4FD3"/>
    <w:rPr>
      <w:rFonts w:ascii="Arial" w:hAnsi="Arial" w:cs="Arial"/>
      <w:color w:val="000080"/>
      <w:sz w:val="20"/>
    </w:rPr>
  </w:style>
  <w:style w:type="character" w:customStyle="1" w:styleId="EmailStyle322">
    <w:name w:val="EmailStyle322"/>
    <w:basedOn w:val="DefaultParagraphFont"/>
    <w:semiHidden/>
    <w:rsid w:val="006D4FD3"/>
    <w:rPr>
      <w:rFonts w:ascii="Arial" w:hAnsi="Arial" w:cs="Arial"/>
      <w:color w:val="993366"/>
      <w:sz w:val="20"/>
    </w:rPr>
  </w:style>
  <w:style w:type="character" w:customStyle="1" w:styleId="EmailStyle323">
    <w:name w:val="EmailStyle323"/>
    <w:basedOn w:val="DefaultParagraphFont"/>
    <w:semiHidden/>
    <w:rsid w:val="006D4FD3"/>
    <w:rPr>
      <w:rFonts w:ascii="Arial" w:hAnsi="Arial" w:cs="Arial"/>
      <w:color w:val="000080"/>
      <w:sz w:val="20"/>
    </w:rPr>
  </w:style>
  <w:style w:type="character" w:customStyle="1" w:styleId="EmailStyle324">
    <w:name w:val="EmailStyle324"/>
    <w:basedOn w:val="DefaultParagraphFont"/>
    <w:semiHidden/>
    <w:rsid w:val="006D4FD3"/>
    <w:rPr>
      <w:rFonts w:ascii="Arial" w:hAnsi="Arial" w:cs="Arial"/>
      <w:color w:val="993366"/>
      <w:sz w:val="20"/>
    </w:rPr>
  </w:style>
  <w:style w:type="character" w:customStyle="1" w:styleId="EmailStyle325">
    <w:name w:val="EmailStyle325"/>
    <w:basedOn w:val="DefaultParagraphFont"/>
    <w:semiHidden/>
    <w:rsid w:val="006D4FD3"/>
    <w:rPr>
      <w:rFonts w:ascii="Arial" w:hAnsi="Arial" w:cs="Arial"/>
      <w:color w:val="000080"/>
      <w:sz w:val="20"/>
    </w:rPr>
  </w:style>
  <w:style w:type="character" w:customStyle="1" w:styleId="EmailStyle326">
    <w:name w:val="EmailStyle326"/>
    <w:basedOn w:val="DefaultParagraphFont"/>
    <w:semiHidden/>
    <w:rsid w:val="006D4FD3"/>
    <w:rPr>
      <w:rFonts w:ascii="Arial" w:hAnsi="Arial" w:cs="Arial"/>
      <w:color w:val="000080"/>
      <w:sz w:val="20"/>
    </w:rPr>
  </w:style>
  <w:style w:type="character" w:customStyle="1" w:styleId="EmailStyle327">
    <w:name w:val="EmailStyle327"/>
    <w:basedOn w:val="DefaultParagraphFont"/>
    <w:semiHidden/>
    <w:rsid w:val="006D4FD3"/>
    <w:rPr>
      <w:rFonts w:ascii="Arial" w:hAnsi="Arial" w:cs="Arial"/>
      <w:color w:val="993366"/>
      <w:sz w:val="20"/>
    </w:rPr>
  </w:style>
  <w:style w:type="character" w:customStyle="1" w:styleId="EmailStyle328">
    <w:name w:val="EmailStyle328"/>
    <w:basedOn w:val="DefaultParagraphFont"/>
    <w:semiHidden/>
    <w:rsid w:val="006D4FD3"/>
    <w:rPr>
      <w:rFonts w:ascii="Arial" w:hAnsi="Arial" w:cs="Arial"/>
      <w:color w:val="000080"/>
      <w:sz w:val="20"/>
    </w:rPr>
  </w:style>
  <w:style w:type="character" w:customStyle="1" w:styleId="EmailStyle329">
    <w:name w:val="EmailStyle329"/>
    <w:basedOn w:val="DefaultParagraphFont"/>
    <w:semiHidden/>
    <w:rsid w:val="006D4FD3"/>
    <w:rPr>
      <w:rFonts w:ascii="Arial" w:hAnsi="Arial" w:cs="Arial"/>
      <w:color w:val="993366"/>
      <w:sz w:val="20"/>
    </w:rPr>
  </w:style>
  <w:style w:type="character" w:customStyle="1" w:styleId="EmailStyle330">
    <w:name w:val="EmailStyle330"/>
    <w:basedOn w:val="DefaultParagraphFont"/>
    <w:semiHidden/>
    <w:rsid w:val="006D4FD3"/>
    <w:rPr>
      <w:rFonts w:ascii="Arial" w:hAnsi="Arial" w:cs="Arial"/>
      <w:color w:val="000080"/>
      <w:sz w:val="20"/>
    </w:rPr>
  </w:style>
  <w:style w:type="character" w:customStyle="1" w:styleId="EmailStyle331">
    <w:name w:val="EmailStyle331"/>
    <w:basedOn w:val="DefaultParagraphFont"/>
    <w:semiHidden/>
    <w:rsid w:val="006D4FD3"/>
    <w:rPr>
      <w:rFonts w:ascii="Arial" w:hAnsi="Arial" w:cs="Arial"/>
      <w:color w:val="000080"/>
      <w:sz w:val="20"/>
    </w:rPr>
  </w:style>
  <w:style w:type="character" w:customStyle="1" w:styleId="EmailStyle335">
    <w:name w:val="EmailStyle335"/>
    <w:basedOn w:val="DefaultParagraphFont"/>
    <w:semiHidden/>
    <w:rsid w:val="006D4FD3"/>
    <w:rPr>
      <w:rFonts w:ascii="Arial" w:hAnsi="Arial" w:cs="Arial"/>
      <w:color w:val="993366"/>
      <w:sz w:val="20"/>
    </w:rPr>
  </w:style>
  <w:style w:type="character" w:customStyle="1" w:styleId="EmailStyle336">
    <w:name w:val="EmailStyle336"/>
    <w:basedOn w:val="DefaultParagraphFont"/>
    <w:semiHidden/>
    <w:rsid w:val="006D4FD3"/>
    <w:rPr>
      <w:rFonts w:ascii="Arial" w:hAnsi="Arial" w:cs="Arial"/>
      <w:color w:val="000080"/>
      <w:sz w:val="20"/>
    </w:rPr>
  </w:style>
  <w:style w:type="character" w:customStyle="1" w:styleId="EmailStyle337">
    <w:name w:val="EmailStyle337"/>
    <w:basedOn w:val="DefaultParagraphFont"/>
    <w:semiHidden/>
    <w:rsid w:val="006D4FD3"/>
    <w:rPr>
      <w:rFonts w:ascii="Arial" w:hAnsi="Arial" w:cs="Arial"/>
      <w:color w:val="993366"/>
      <w:sz w:val="20"/>
    </w:rPr>
  </w:style>
  <w:style w:type="character" w:customStyle="1" w:styleId="EmailStyle338">
    <w:name w:val="EmailStyle338"/>
    <w:basedOn w:val="DefaultParagraphFont"/>
    <w:semiHidden/>
    <w:rsid w:val="006D4FD3"/>
    <w:rPr>
      <w:rFonts w:ascii="Arial" w:hAnsi="Arial" w:cs="Arial"/>
      <w:color w:val="000080"/>
      <w:sz w:val="20"/>
    </w:rPr>
  </w:style>
  <w:style w:type="character" w:customStyle="1" w:styleId="EmailStyle339">
    <w:name w:val="EmailStyle339"/>
    <w:basedOn w:val="DefaultParagraphFont"/>
    <w:semiHidden/>
    <w:rsid w:val="006D4FD3"/>
    <w:rPr>
      <w:rFonts w:ascii="Arial" w:hAnsi="Arial" w:cs="Arial"/>
      <w:color w:val="000080"/>
      <w:sz w:val="20"/>
    </w:rPr>
  </w:style>
  <w:style w:type="character" w:customStyle="1" w:styleId="EmailStyle340">
    <w:name w:val="EmailStyle340"/>
    <w:basedOn w:val="DefaultParagraphFont"/>
    <w:semiHidden/>
    <w:rsid w:val="006D4FD3"/>
    <w:rPr>
      <w:rFonts w:ascii="Arial" w:hAnsi="Arial" w:cs="Arial"/>
      <w:color w:val="993366"/>
      <w:sz w:val="20"/>
    </w:rPr>
  </w:style>
  <w:style w:type="character" w:customStyle="1" w:styleId="EmailStyle341">
    <w:name w:val="EmailStyle341"/>
    <w:basedOn w:val="DefaultParagraphFont"/>
    <w:semiHidden/>
    <w:rsid w:val="006D4FD3"/>
    <w:rPr>
      <w:rFonts w:ascii="Arial" w:hAnsi="Arial" w:cs="Arial"/>
      <w:color w:val="000080"/>
      <w:sz w:val="20"/>
    </w:rPr>
  </w:style>
  <w:style w:type="character" w:customStyle="1" w:styleId="EmailStyle342">
    <w:name w:val="EmailStyle342"/>
    <w:basedOn w:val="DefaultParagraphFont"/>
    <w:semiHidden/>
    <w:rsid w:val="006D4FD3"/>
    <w:rPr>
      <w:rFonts w:ascii="Arial" w:hAnsi="Arial" w:cs="Arial"/>
      <w:color w:val="993366"/>
      <w:sz w:val="20"/>
    </w:rPr>
  </w:style>
  <w:style w:type="character" w:customStyle="1" w:styleId="EmailStyle343">
    <w:name w:val="EmailStyle343"/>
    <w:basedOn w:val="DefaultParagraphFont"/>
    <w:semiHidden/>
    <w:rsid w:val="006D4FD3"/>
    <w:rPr>
      <w:rFonts w:ascii="Arial" w:hAnsi="Arial" w:cs="Arial"/>
      <w:color w:val="000080"/>
      <w:sz w:val="20"/>
    </w:rPr>
  </w:style>
  <w:style w:type="character" w:customStyle="1" w:styleId="EmailStyle344">
    <w:name w:val="EmailStyle344"/>
    <w:basedOn w:val="DefaultParagraphFont"/>
    <w:semiHidden/>
    <w:rsid w:val="006D4FD3"/>
    <w:rPr>
      <w:rFonts w:ascii="Arial" w:hAnsi="Arial" w:cs="Arial"/>
      <w:color w:val="000080"/>
      <w:sz w:val="20"/>
    </w:rPr>
  </w:style>
  <w:style w:type="character" w:customStyle="1" w:styleId="EmailStyle350">
    <w:name w:val="EmailStyle350"/>
    <w:basedOn w:val="DefaultParagraphFont"/>
    <w:semiHidden/>
    <w:rsid w:val="006D4FD3"/>
    <w:rPr>
      <w:rFonts w:ascii="Arial" w:hAnsi="Arial" w:cs="Arial"/>
      <w:color w:val="993366"/>
      <w:sz w:val="20"/>
    </w:rPr>
  </w:style>
  <w:style w:type="character" w:customStyle="1" w:styleId="EmailStyle351">
    <w:name w:val="EmailStyle351"/>
    <w:basedOn w:val="DefaultParagraphFont"/>
    <w:semiHidden/>
    <w:rsid w:val="006D4FD3"/>
    <w:rPr>
      <w:rFonts w:ascii="Arial" w:hAnsi="Arial" w:cs="Arial"/>
      <w:color w:val="000080"/>
      <w:sz w:val="20"/>
    </w:rPr>
  </w:style>
  <w:style w:type="character" w:customStyle="1" w:styleId="EmailStyle352">
    <w:name w:val="EmailStyle352"/>
    <w:basedOn w:val="DefaultParagraphFont"/>
    <w:semiHidden/>
    <w:rsid w:val="006D4FD3"/>
    <w:rPr>
      <w:rFonts w:ascii="Arial" w:hAnsi="Arial" w:cs="Arial"/>
      <w:color w:val="000080"/>
      <w:sz w:val="20"/>
    </w:rPr>
  </w:style>
  <w:style w:type="character" w:customStyle="1" w:styleId="EmailStyle353">
    <w:name w:val="EmailStyle353"/>
    <w:basedOn w:val="DefaultParagraphFont"/>
    <w:semiHidden/>
    <w:rsid w:val="006D4FD3"/>
    <w:rPr>
      <w:rFonts w:ascii="Arial" w:hAnsi="Arial" w:cs="Arial"/>
      <w:color w:val="000080"/>
      <w:sz w:val="20"/>
    </w:rPr>
  </w:style>
  <w:style w:type="character" w:customStyle="1" w:styleId="EmailStyle354">
    <w:name w:val="EmailStyle354"/>
    <w:basedOn w:val="DefaultParagraphFont"/>
    <w:semiHidden/>
    <w:rsid w:val="006D4FD3"/>
    <w:rPr>
      <w:rFonts w:ascii="Arial" w:hAnsi="Arial" w:cs="Arial"/>
      <w:color w:val="993366"/>
      <w:sz w:val="20"/>
    </w:rPr>
  </w:style>
  <w:style w:type="character" w:customStyle="1" w:styleId="EmailStyle355">
    <w:name w:val="EmailStyle355"/>
    <w:basedOn w:val="DefaultParagraphFont"/>
    <w:semiHidden/>
    <w:rsid w:val="006D4FD3"/>
    <w:rPr>
      <w:rFonts w:ascii="Arial" w:hAnsi="Arial" w:cs="Arial"/>
      <w:color w:val="993366"/>
      <w:sz w:val="20"/>
    </w:rPr>
  </w:style>
  <w:style w:type="character" w:customStyle="1" w:styleId="EmailStyle356">
    <w:name w:val="EmailStyle356"/>
    <w:basedOn w:val="DefaultParagraphFont"/>
    <w:semiHidden/>
    <w:rsid w:val="006D4FD3"/>
    <w:rPr>
      <w:rFonts w:ascii="Arial" w:hAnsi="Arial" w:cs="Arial"/>
      <w:color w:val="993366"/>
      <w:sz w:val="20"/>
    </w:rPr>
  </w:style>
  <w:style w:type="character" w:customStyle="1" w:styleId="EmailStyle357">
    <w:name w:val="EmailStyle357"/>
    <w:basedOn w:val="DefaultParagraphFont"/>
    <w:semiHidden/>
    <w:rsid w:val="006D4FD3"/>
    <w:rPr>
      <w:rFonts w:ascii="Arial" w:hAnsi="Arial" w:cs="Arial"/>
      <w:color w:val="993366"/>
      <w:sz w:val="20"/>
    </w:rPr>
  </w:style>
  <w:style w:type="character" w:customStyle="1" w:styleId="EmailStyle358">
    <w:name w:val="EmailStyle358"/>
    <w:basedOn w:val="DefaultParagraphFont"/>
    <w:semiHidden/>
    <w:rsid w:val="006D4FD3"/>
    <w:rPr>
      <w:rFonts w:ascii="Arial" w:hAnsi="Arial" w:cs="Arial"/>
      <w:color w:val="993366"/>
      <w:sz w:val="20"/>
    </w:rPr>
  </w:style>
  <w:style w:type="character" w:customStyle="1" w:styleId="EmailStyle359">
    <w:name w:val="EmailStyle359"/>
    <w:basedOn w:val="DefaultParagraphFont"/>
    <w:semiHidden/>
    <w:rsid w:val="006D4FD3"/>
    <w:rPr>
      <w:rFonts w:ascii="Arial" w:hAnsi="Arial" w:cs="Arial"/>
      <w:color w:val="993366"/>
      <w:sz w:val="20"/>
    </w:rPr>
  </w:style>
  <w:style w:type="character" w:customStyle="1" w:styleId="EmailStyle360">
    <w:name w:val="EmailStyle360"/>
    <w:basedOn w:val="DefaultParagraphFont"/>
    <w:semiHidden/>
    <w:rsid w:val="006D4FD3"/>
    <w:rPr>
      <w:rFonts w:ascii="Arial" w:hAnsi="Arial" w:cs="Arial"/>
      <w:color w:val="993366"/>
      <w:sz w:val="20"/>
    </w:rPr>
  </w:style>
  <w:style w:type="character" w:customStyle="1" w:styleId="EmailStyle361">
    <w:name w:val="EmailStyle361"/>
    <w:basedOn w:val="DefaultParagraphFont"/>
    <w:semiHidden/>
    <w:rsid w:val="006D4FD3"/>
    <w:rPr>
      <w:rFonts w:ascii="Arial" w:hAnsi="Arial" w:cs="Arial"/>
      <w:color w:val="993366"/>
      <w:sz w:val="20"/>
    </w:rPr>
  </w:style>
  <w:style w:type="character" w:customStyle="1" w:styleId="EmailStyle362">
    <w:name w:val="EmailStyle362"/>
    <w:basedOn w:val="DefaultParagraphFont"/>
    <w:semiHidden/>
    <w:rsid w:val="006D4FD3"/>
    <w:rPr>
      <w:rFonts w:ascii="Arial" w:hAnsi="Arial" w:cs="Arial"/>
      <w:color w:val="993366"/>
      <w:sz w:val="20"/>
    </w:rPr>
  </w:style>
  <w:style w:type="character" w:customStyle="1" w:styleId="EmailStyle3671">
    <w:name w:val="EmailStyle3671"/>
    <w:basedOn w:val="DefaultParagraphFont"/>
    <w:semiHidden/>
    <w:rsid w:val="006D4FD3"/>
    <w:rPr>
      <w:rFonts w:ascii="Arial" w:hAnsi="Arial" w:cs="Arial"/>
      <w:color w:val="993366"/>
      <w:sz w:val="20"/>
    </w:rPr>
  </w:style>
  <w:style w:type="character" w:customStyle="1" w:styleId="EmailStyle3681">
    <w:name w:val="EmailStyle3681"/>
    <w:basedOn w:val="DefaultParagraphFont"/>
    <w:semiHidden/>
    <w:rsid w:val="006D4FD3"/>
    <w:rPr>
      <w:rFonts w:ascii="Arial" w:hAnsi="Arial" w:cs="Arial"/>
      <w:color w:val="000080"/>
      <w:sz w:val="20"/>
    </w:rPr>
  </w:style>
  <w:style w:type="character" w:customStyle="1" w:styleId="EmailStyle3691">
    <w:name w:val="EmailStyle3691"/>
    <w:basedOn w:val="DefaultParagraphFont"/>
    <w:semiHidden/>
    <w:rsid w:val="006D4FD3"/>
    <w:rPr>
      <w:rFonts w:ascii="Arial" w:hAnsi="Arial" w:cs="Arial"/>
      <w:color w:val="993366"/>
      <w:sz w:val="20"/>
    </w:rPr>
  </w:style>
  <w:style w:type="character" w:customStyle="1" w:styleId="EmailStyle3701">
    <w:name w:val="EmailStyle3701"/>
    <w:basedOn w:val="DefaultParagraphFont"/>
    <w:semiHidden/>
    <w:rsid w:val="006D4FD3"/>
    <w:rPr>
      <w:rFonts w:ascii="Arial" w:hAnsi="Arial" w:cs="Arial"/>
      <w:color w:val="000080"/>
      <w:sz w:val="20"/>
    </w:rPr>
  </w:style>
  <w:style w:type="character" w:customStyle="1" w:styleId="EmailStyle3711">
    <w:name w:val="EmailStyle3711"/>
    <w:basedOn w:val="DefaultParagraphFont"/>
    <w:semiHidden/>
    <w:rsid w:val="006D4FD3"/>
    <w:rPr>
      <w:rFonts w:ascii="Arial" w:hAnsi="Arial" w:cs="Arial"/>
      <w:color w:val="993366"/>
      <w:sz w:val="20"/>
    </w:rPr>
  </w:style>
  <w:style w:type="character" w:customStyle="1" w:styleId="EmailStyle3721">
    <w:name w:val="EmailStyle3721"/>
    <w:basedOn w:val="DefaultParagraphFont"/>
    <w:semiHidden/>
    <w:rsid w:val="006D4FD3"/>
    <w:rPr>
      <w:rFonts w:ascii="Arial" w:hAnsi="Arial" w:cs="Arial"/>
      <w:color w:val="000080"/>
      <w:sz w:val="20"/>
    </w:rPr>
  </w:style>
  <w:style w:type="character" w:customStyle="1" w:styleId="EmailStyle3731">
    <w:name w:val="EmailStyle3731"/>
    <w:basedOn w:val="DefaultParagraphFont"/>
    <w:semiHidden/>
    <w:rsid w:val="006D4FD3"/>
    <w:rPr>
      <w:rFonts w:ascii="Arial" w:hAnsi="Arial" w:cs="Arial"/>
      <w:color w:val="993366"/>
      <w:sz w:val="20"/>
    </w:rPr>
  </w:style>
  <w:style w:type="character" w:customStyle="1" w:styleId="EmailStyle3741">
    <w:name w:val="EmailStyle3741"/>
    <w:basedOn w:val="DefaultParagraphFont"/>
    <w:semiHidden/>
    <w:rsid w:val="006D4FD3"/>
    <w:rPr>
      <w:rFonts w:ascii="Arial" w:hAnsi="Arial" w:cs="Arial"/>
      <w:color w:val="000080"/>
      <w:sz w:val="20"/>
    </w:rPr>
  </w:style>
  <w:style w:type="character" w:customStyle="1" w:styleId="EmailStyle3751">
    <w:name w:val="EmailStyle3751"/>
    <w:basedOn w:val="DefaultParagraphFont"/>
    <w:semiHidden/>
    <w:rsid w:val="006D4FD3"/>
    <w:rPr>
      <w:rFonts w:ascii="Arial" w:hAnsi="Arial" w:cs="Arial"/>
      <w:color w:val="993366"/>
      <w:sz w:val="20"/>
    </w:rPr>
  </w:style>
  <w:style w:type="character" w:customStyle="1" w:styleId="EmailStyle3761">
    <w:name w:val="EmailStyle3761"/>
    <w:basedOn w:val="DefaultParagraphFont"/>
    <w:semiHidden/>
    <w:rsid w:val="006D4FD3"/>
    <w:rPr>
      <w:rFonts w:ascii="Arial" w:hAnsi="Arial" w:cs="Arial"/>
      <w:color w:val="000080"/>
      <w:sz w:val="20"/>
    </w:rPr>
  </w:style>
  <w:style w:type="character" w:customStyle="1" w:styleId="EmailStyle3771">
    <w:name w:val="EmailStyle3771"/>
    <w:basedOn w:val="DefaultParagraphFont"/>
    <w:semiHidden/>
    <w:rsid w:val="006D4FD3"/>
    <w:rPr>
      <w:rFonts w:ascii="Arial" w:hAnsi="Arial" w:cs="Arial"/>
      <w:color w:val="993366"/>
      <w:sz w:val="20"/>
    </w:rPr>
  </w:style>
  <w:style w:type="character" w:customStyle="1" w:styleId="EmailStyle3781">
    <w:name w:val="EmailStyle3781"/>
    <w:basedOn w:val="DefaultParagraphFont"/>
    <w:semiHidden/>
    <w:rsid w:val="006D4FD3"/>
    <w:rPr>
      <w:rFonts w:ascii="Arial" w:hAnsi="Arial" w:cs="Arial"/>
      <w:color w:val="000080"/>
      <w:sz w:val="20"/>
    </w:rPr>
  </w:style>
  <w:style w:type="character" w:customStyle="1" w:styleId="EmailStyle3791">
    <w:name w:val="EmailStyle3791"/>
    <w:basedOn w:val="DefaultParagraphFont"/>
    <w:semiHidden/>
    <w:rsid w:val="006D4FD3"/>
    <w:rPr>
      <w:rFonts w:ascii="Arial" w:hAnsi="Arial" w:cs="Arial"/>
      <w:color w:val="993366"/>
      <w:sz w:val="20"/>
    </w:rPr>
  </w:style>
  <w:style w:type="character" w:customStyle="1" w:styleId="EmailStyle3801">
    <w:name w:val="EmailStyle3801"/>
    <w:basedOn w:val="DefaultParagraphFont"/>
    <w:semiHidden/>
    <w:rsid w:val="006D4FD3"/>
    <w:rPr>
      <w:rFonts w:ascii="Arial" w:hAnsi="Arial" w:cs="Arial"/>
      <w:color w:val="000080"/>
      <w:sz w:val="20"/>
    </w:rPr>
  </w:style>
  <w:style w:type="character" w:customStyle="1" w:styleId="EmailStyle3811">
    <w:name w:val="EmailStyle3811"/>
    <w:basedOn w:val="DefaultParagraphFont"/>
    <w:semiHidden/>
    <w:rsid w:val="006D4FD3"/>
    <w:rPr>
      <w:rFonts w:ascii="Arial" w:hAnsi="Arial" w:cs="Arial"/>
      <w:color w:val="993366"/>
      <w:sz w:val="20"/>
    </w:rPr>
  </w:style>
  <w:style w:type="character" w:customStyle="1" w:styleId="EmailStyle3821">
    <w:name w:val="EmailStyle3821"/>
    <w:basedOn w:val="DefaultParagraphFont"/>
    <w:semiHidden/>
    <w:rsid w:val="006D4FD3"/>
    <w:rPr>
      <w:rFonts w:ascii="Arial" w:hAnsi="Arial" w:cs="Arial"/>
      <w:color w:val="000080"/>
      <w:sz w:val="20"/>
    </w:rPr>
  </w:style>
  <w:style w:type="character" w:customStyle="1" w:styleId="EmailStyle3831">
    <w:name w:val="EmailStyle3831"/>
    <w:basedOn w:val="DefaultParagraphFont"/>
    <w:semiHidden/>
    <w:rsid w:val="006D4FD3"/>
    <w:rPr>
      <w:rFonts w:ascii="Arial" w:hAnsi="Arial" w:cs="Arial"/>
      <w:color w:val="993366"/>
      <w:sz w:val="20"/>
    </w:rPr>
  </w:style>
  <w:style w:type="character" w:customStyle="1" w:styleId="EmailStyle3841">
    <w:name w:val="EmailStyle3841"/>
    <w:basedOn w:val="DefaultParagraphFont"/>
    <w:semiHidden/>
    <w:rsid w:val="006D4FD3"/>
    <w:rPr>
      <w:rFonts w:ascii="Arial" w:hAnsi="Arial" w:cs="Arial"/>
      <w:color w:val="000080"/>
      <w:sz w:val="20"/>
    </w:rPr>
  </w:style>
  <w:style w:type="character" w:customStyle="1" w:styleId="EmailStyle3851">
    <w:name w:val="EmailStyle3851"/>
    <w:basedOn w:val="DefaultParagraphFont"/>
    <w:semiHidden/>
    <w:rsid w:val="006D4FD3"/>
    <w:rPr>
      <w:rFonts w:ascii="Arial" w:hAnsi="Arial" w:cs="Arial"/>
      <w:color w:val="993366"/>
      <w:sz w:val="20"/>
    </w:rPr>
  </w:style>
  <w:style w:type="character" w:customStyle="1" w:styleId="EmailStyle3861">
    <w:name w:val="EmailStyle3861"/>
    <w:basedOn w:val="DefaultParagraphFont"/>
    <w:semiHidden/>
    <w:rsid w:val="006D4FD3"/>
    <w:rPr>
      <w:rFonts w:ascii="Arial" w:hAnsi="Arial" w:cs="Arial"/>
      <w:color w:val="000080"/>
      <w:sz w:val="20"/>
    </w:rPr>
  </w:style>
  <w:style w:type="character" w:customStyle="1" w:styleId="EmailStyle3871">
    <w:name w:val="EmailStyle3871"/>
    <w:basedOn w:val="DefaultParagraphFont"/>
    <w:semiHidden/>
    <w:rsid w:val="006D4FD3"/>
    <w:rPr>
      <w:rFonts w:ascii="Arial" w:hAnsi="Arial" w:cs="Arial"/>
      <w:color w:val="993366"/>
      <w:sz w:val="20"/>
    </w:rPr>
  </w:style>
  <w:style w:type="character" w:customStyle="1" w:styleId="EmailStyle3881">
    <w:name w:val="EmailStyle3881"/>
    <w:basedOn w:val="DefaultParagraphFont"/>
    <w:semiHidden/>
    <w:rsid w:val="006D4FD3"/>
    <w:rPr>
      <w:rFonts w:ascii="Arial" w:hAnsi="Arial" w:cs="Arial"/>
      <w:color w:val="000080"/>
      <w:sz w:val="20"/>
    </w:rPr>
  </w:style>
  <w:style w:type="character" w:customStyle="1" w:styleId="EmailStyle3891">
    <w:name w:val="EmailStyle3891"/>
    <w:basedOn w:val="DefaultParagraphFont"/>
    <w:semiHidden/>
    <w:rsid w:val="006D4FD3"/>
    <w:rPr>
      <w:rFonts w:ascii="Arial" w:hAnsi="Arial" w:cs="Arial"/>
      <w:color w:val="993366"/>
      <w:sz w:val="20"/>
    </w:rPr>
  </w:style>
  <w:style w:type="character" w:customStyle="1" w:styleId="EmailStyle3901">
    <w:name w:val="EmailStyle3901"/>
    <w:basedOn w:val="DefaultParagraphFont"/>
    <w:semiHidden/>
    <w:rsid w:val="006D4FD3"/>
    <w:rPr>
      <w:rFonts w:ascii="Arial" w:hAnsi="Arial" w:cs="Arial"/>
      <w:color w:val="000080"/>
      <w:sz w:val="20"/>
    </w:rPr>
  </w:style>
  <w:style w:type="character" w:customStyle="1" w:styleId="EmailStyle3911">
    <w:name w:val="EmailStyle3911"/>
    <w:basedOn w:val="DefaultParagraphFont"/>
    <w:semiHidden/>
    <w:rsid w:val="006D4FD3"/>
    <w:rPr>
      <w:rFonts w:ascii="Arial" w:hAnsi="Arial" w:cs="Arial"/>
      <w:color w:val="993366"/>
      <w:sz w:val="20"/>
    </w:rPr>
  </w:style>
  <w:style w:type="character" w:customStyle="1" w:styleId="EmailStyle3921">
    <w:name w:val="EmailStyle3921"/>
    <w:basedOn w:val="DefaultParagraphFont"/>
    <w:semiHidden/>
    <w:rsid w:val="006D4FD3"/>
    <w:rPr>
      <w:rFonts w:ascii="Arial" w:hAnsi="Arial" w:cs="Arial"/>
      <w:color w:val="000080"/>
      <w:sz w:val="20"/>
    </w:rPr>
  </w:style>
  <w:style w:type="character" w:customStyle="1" w:styleId="EmailStyle3931">
    <w:name w:val="EmailStyle3931"/>
    <w:basedOn w:val="DefaultParagraphFont"/>
    <w:semiHidden/>
    <w:rsid w:val="006D4FD3"/>
    <w:rPr>
      <w:rFonts w:ascii="Arial" w:hAnsi="Arial" w:cs="Arial"/>
      <w:color w:val="993366"/>
      <w:sz w:val="20"/>
    </w:rPr>
  </w:style>
  <w:style w:type="character" w:customStyle="1" w:styleId="EmailStyle3941">
    <w:name w:val="EmailStyle3941"/>
    <w:basedOn w:val="DefaultParagraphFont"/>
    <w:semiHidden/>
    <w:rsid w:val="006D4FD3"/>
    <w:rPr>
      <w:rFonts w:ascii="Arial" w:hAnsi="Arial" w:cs="Arial"/>
      <w:color w:val="000080"/>
      <w:sz w:val="20"/>
    </w:rPr>
  </w:style>
  <w:style w:type="character" w:customStyle="1" w:styleId="EmailStyle3951">
    <w:name w:val="EmailStyle3951"/>
    <w:basedOn w:val="DefaultParagraphFont"/>
    <w:semiHidden/>
    <w:rsid w:val="006D4FD3"/>
    <w:rPr>
      <w:rFonts w:ascii="Arial" w:hAnsi="Arial" w:cs="Arial"/>
      <w:color w:val="993366"/>
      <w:sz w:val="20"/>
    </w:rPr>
  </w:style>
  <w:style w:type="character" w:customStyle="1" w:styleId="EmailStyle3961">
    <w:name w:val="EmailStyle3961"/>
    <w:basedOn w:val="DefaultParagraphFont"/>
    <w:semiHidden/>
    <w:rsid w:val="006D4FD3"/>
    <w:rPr>
      <w:rFonts w:ascii="Arial" w:hAnsi="Arial" w:cs="Arial"/>
      <w:color w:val="000080"/>
      <w:sz w:val="20"/>
    </w:rPr>
  </w:style>
  <w:style w:type="character" w:customStyle="1" w:styleId="EmailStyle3971">
    <w:name w:val="EmailStyle3971"/>
    <w:basedOn w:val="DefaultParagraphFont"/>
    <w:semiHidden/>
    <w:rsid w:val="006D4FD3"/>
    <w:rPr>
      <w:rFonts w:ascii="Arial" w:hAnsi="Arial" w:cs="Arial"/>
      <w:color w:val="993366"/>
      <w:sz w:val="20"/>
    </w:rPr>
  </w:style>
  <w:style w:type="character" w:customStyle="1" w:styleId="EmailStyle3981">
    <w:name w:val="EmailStyle3981"/>
    <w:basedOn w:val="DefaultParagraphFont"/>
    <w:semiHidden/>
    <w:rsid w:val="006D4FD3"/>
    <w:rPr>
      <w:rFonts w:ascii="Arial" w:hAnsi="Arial" w:cs="Arial"/>
      <w:color w:val="000080"/>
      <w:sz w:val="20"/>
    </w:rPr>
  </w:style>
  <w:style w:type="character" w:customStyle="1" w:styleId="EmailStyle3991">
    <w:name w:val="EmailStyle3991"/>
    <w:basedOn w:val="DefaultParagraphFont"/>
    <w:semiHidden/>
    <w:rsid w:val="006D4FD3"/>
    <w:rPr>
      <w:rFonts w:ascii="Arial" w:hAnsi="Arial" w:cs="Arial"/>
      <w:color w:val="993366"/>
      <w:sz w:val="20"/>
    </w:rPr>
  </w:style>
  <w:style w:type="character" w:customStyle="1" w:styleId="EmailStyle4001">
    <w:name w:val="EmailStyle4001"/>
    <w:basedOn w:val="DefaultParagraphFont"/>
    <w:semiHidden/>
    <w:rsid w:val="006D4FD3"/>
    <w:rPr>
      <w:rFonts w:ascii="Arial" w:hAnsi="Arial" w:cs="Arial"/>
      <w:color w:val="000080"/>
      <w:sz w:val="20"/>
    </w:rPr>
  </w:style>
  <w:style w:type="character" w:customStyle="1" w:styleId="EmailStyle4011">
    <w:name w:val="EmailStyle4011"/>
    <w:basedOn w:val="DefaultParagraphFont"/>
    <w:semiHidden/>
    <w:rsid w:val="006D4FD3"/>
    <w:rPr>
      <w:rFonts w:ascii="Arial" w:hAnsi="Arial" w:cs="Arial"/>
      <w:color w:val="993366"/>
      <w:sz w:val="20"/>
    </w:rPr>
  </w:style>
  <w:style w:type="character" w:customStyle="1" w:styleId="EmailStyle4021">
    <w:name w:val="EmailStyle4021"/>
    <w:basedOn w:val="DefaultParagraphFont"/>
    <w:semiHidden/>
    <w:rsid w:val="006D4FD3"/>
    <w:rPr>
      <w:rFonts w:ascii="Arial" w:hAnsi="Arial" w:cs="Arial"/>
      <w:color w:val="000080"/>
      <w:sz w:val="20"/>
    </w:rPr>
  </w:style>
  <w:style w:type="character" w:customStyle="1" w:styleId="EmailStyle4031">
    <w:name w:val="EmailStyle4031"/>
    <w:basedOn w:val="DefaultParagraphFont"/>
    <w:semiHidden/>
    <w:rsid w:val="006D4FD3"/>
    <w:rPr>
      <w:rFonts w:ascii="Arial" w:hAnsi="Arial" w:cs="Arial"/>
      <w:color w:val="993366"/>
      <w:sz w:val="20"/>
    </w:rPr>
  </w:style>
  <w:style w:type="character" w:customStyle="1" w:styleId="EmailStyle4041">
    <w:name w:val="EmailStyle4041"/>
    <w:basedOn w:val="DefaultParagraphFont"/>
    <w:semiHidden/>
    <w:rsid w:val="006D4FD3"/>
    <w:rPr>
      <w:rFonts w:ascii="Arial" w:hAnsi="Arial" w:cs="Arial"/>
      <w:color w:val="000080"/>
      <w:sz w:val="20"/>
    </w:rPr>
  </w:style>
  <w:style w:type="character" w:customStyle="1" w:styleId="EmailStyle4051">
    <w:name w:val="EmailStyle4051"/>
    <w:basedOn w:val="DefaultParagraphFont"/>
    <w:semiHidden/>
    <w:rsid w:val="006D4FD3"/>
    <w:rPr>
      <w:rFonts w:ascii="Arial" w:hAnsi="Arial" w:cs="Arial"/>
      <w:color w:val="993366"/>
      <w:sz w:val="20"/>
    </w:rPr>
  </w:style>
  <w:style w:type="character" w:customStyle="1" w:styleId="EmailStyle4061">
    <w:name w:val="EmailStyle4061"/>
    <w:basedOn w:val="DefaultParagraphFont"/>
    <w:semiHidden/>
    <w:rsid w:val="006D4FD3"/>
    <w:rPr>
      <w:rFonts w:ascii="Arial" w:hAnsi="Arial" w:cs="Arial"/>
      <w:color w:val="000080"/>
      <w:sz w:val="20"/>
    </w:rPr>
  </w:style>
  <w:style w:type="character" w:customStyle="1" w:styleId="EmailStyle4071">
    <w:name w:val="EmailStyle4071"/>
    <w:basedOn w:val="DefaultParagraphFont"/>
    <w:semiHidden/>
    <w:rsid w:val="006D4FD3"/>
    <w:rPr>
      <w:rFonts w:ascii="Arial" w:hAnsi="Arial" w:cs="Arial"/>
      <w:color w:val="993366"/>
      <w:sz w:val="20"/>
    </w:rPr>
  </w:style>
  <w:style w:type="character" w:customStyle="1" w:styleId="EmailStyle4081">
    <w:name w:val="EmailStyle4081"/>
    <w:basedOn w:val="DefaultParagraphFont"/>
    <w:semiHidden/>
    <w:rsid w:val="006D4FD3"/>
    <w:rPr>
      <w:rFonts w:ascii="Arial" w:hAnsi="Arial" w:cs="Arial"/>
      <w:color w:val="000080"/>
      <w:sz w:val="20"/>
    </w:rPr>
  </w:style>
  <w:style w:type="character" w:customStyle="1" w:styleId="EmailStyle4091">
    <w:name w:val="EmailStyle4091"/>
    <w:basedOn w:val="DefaultParagraphFont"/>
    <w:semiHidden/>
    <w:rsid w:val="006D4FD3"/>
    <w:rPr>
      <w:rFonts w:ascii="Arial" w:hAnsi="Arial" w:cs="Arial"/>
      <w:color w:val="993366"/>
      <w:sz w:val="20"/>
    </w:rPr>
  </w:style>
  <w:style w:type="character" w:customStyle="1" w:styleId="EmailStyle4101">
    <w:name w:val="EmailStyle4101"/>
    <w:basedOn w:val="DefaultParagraphFont"/>
    <w:semiHidden/>
    <w:rsid w:val="006D4FD3"/>
    <w:rPr>
      <w:rFonts w:ascii="Arial" w:hAnsi="Arial" w:cs="Arial"/>
      <w:color w:val="000080"/>
      <w:sz w:val="20"/>
    </w:rPr>
  </w:style>
  <w:style w:type="character" w:customStyle="1" w:styleId="EmailStyle4111">
    <w:name w:val="EmailStyle4111"/>
    <w:basedOn w:val="DefaultParagraphFont"/>
    <w:semiHidden/>
    <w:rsid w:val="006D4FD3"/>
    <w:rPr>
      <w:rFonts w:ascii="Arial" w:hAnsi="Arial" w:cs="Arial"/>
      <w:color w:val="993366"/>
      <w:sz w:val="20"/>
    </w:rPr>
  </w:style>
  <w:style w:type="character" w:customStyle="1" w:styleId="EmailStyle4121">
    <w:name w:val="EmailStyle4121"/>
    <w:basedOn w:val="DefaultParagraphFont"/>
    <w:semiHidden/>
    <w:rsid w:val="006D4FD3"/>
    <w:rPr>
      <w:rFonts w:ascii="Arial" w:hAnsi="Arial" w:cs="Arial"/>
      <w:color w:val="000080"/>
      <w:sz w:val="20"/>
    </w:rPr>
  </w:style>
  <w:style w:type="character" w:customStyle="1" w:styleId="EmailStyle4131">
    <w:name w:val="EmailStyle4131"/>
    <w:basedOn w:val="DefaultParagraphFont"/>
    <w:semiHidden/>
    <w:rsid w:val="006D4FD3"/>
    <w:rPr>
      <w:rFonts w:ascii="Arial" w:hAnsi="Arial" w:cs="Arial"/>
      <w:color w:val="993366"/>
      <w:sz w:val="20"/>
    </w:rPr>
  </w:style>
  <w:style w:type="character" w:customStyle="1" w:styleId="EmailStyle4141">
    <w:name w:val="EmailStyle4141"/>
    <w:basedOn w:val="DefaultParagraphFont"/>
    <w:semiHidden/>
    <w:rsid w:val="006D4FD3"/>
    <w:rPr>
      <w:rFonts w:ascii="Arial" w:hAnsi="Arial" w:cs="Arial"/>
      <w:color w:val="000080"/>
      <w:sz w:val="20"/>
    </w:rPr>
  </w:style>
  <w:style w:type="character" w:customStyle="1" w:styleId="EmailStyle4151">
    <w:name w:val="EmailStyle4151"/>
    <w:basedOn w:val="DefaultParagraphFont"/>
    <w:semiHidden/>
    <w:rsid w:val="006D4FD3"/>
    <w:rPr>
      <w:rFonts w:ascii="Arial" w:hAnsi="Arial" w:cs="Arial"/>
      <w:color w:val="993366"/>
      <w:sz w:val="20"/>
    </w:rPr>
  </w:style>
  <w:style w:type="character" w:customStyle="1" w:styleId="EmailStyle4161">
    <w:name w:val="EmailStyle4161"/>
    <w:basedOn w:val="DefaultParagraphFont"/>
    <w:semiHidden/>
    <w:rsid w:val="006D4FD3"/>
    <w:rPr>
      <w:rFonts w:ascii="Arial" w:hAnsi="Arial" w:cs="Arial"/>
      <w:color w:val="000080"/>
      <w:sz w:val="20"/>
    </w:rPr>
  </w:style>
  <w:style w:type="character" w:customStyle="1" w:styleId="EmailStyle4171">
    <w:name w:val="EmailStyle4171"/>
    <w:basedOn w:val="DefaultParagraphFont"/>
    <w:semiHidden/>
    <w:rsid w:val="006D4FD3"/>
    <w:rPr>
      <w:rFonts w:ascii="Arial" w:hAnsi="Arial" w:cs="Arial"/>
      <w:color w:val="993366"/>
      <w:sz w:val="20"/>
    </w:rPr>
  </w:style>
  <w:style w:type="character" w:customStyle="1" w:styleId="EmailStyle4181">
    <w:name w:val="EmailStyle4181"/>
    <w:basedOn w:val="DefaultParagraphFont"/>
    <w:semiHidden/>
    <w:rsid w:val="006D4FD3"/>
    <w:rPr>
      <w:rFonts w:ascii="Arial" w:hAnsi="Arial" w:cs="Arial"/>
      <w:color w:val="000080"/>
      <w:sz w:val="20"/>
    </w:rPr>
  </w:style>
  <w:style w:type="character" w:customStyle="1" w:styleId="EmailStyle4191">
    <w:name w:val="EmailStyle4191"/>
    <w:basedOn w:val="DefaultParagraphFont"/>
    <w:semiHidden/>
    <w:rsid w:val="006D4FD3"/>
    <w:rPr>
      <w:rFonts w:ascii="Arial" w:hAnsi="Arial" w:cs="Arial"/>
      <w:color w:val="993366"/>
      <w:sz w:val="20"/>
    </w:rPr>
  </w:style>
  <w:style w:type="character" w:customStyle="1" w:styleId="EmailStyle4201">
    <w:name w:val="EmailStyle4201"/>
    <w:basedOn w:val="DefaultParagraphFont"/>
    <w:semiHidden/>
    <w:rsid w:val="006D4FD3"/>
    <w:rPr>
      <w:rFonts w:ascii="Arial" w:hAnsi="Arial" w:cs="Arial"/>
      <w:color w:val="000080"/>
      <w:sz w:val="20"/>
    </w:rPr>
  </w:style>
  <w:style w:type="character" w:customStyle="1" w:styleId="EmailStyle4211">
    <w:name w:val="EmailStyle4211"/>
    <w:basedOn w:val="DefaultParagraphFont"/>
    <w:semiHidden/>
    <w:rsid w:val="006D4FD3"/>
    <w:rPr>
      <w:rFonts w:ascii="Arial" w:hAnsi="Arial" w:cs="Arial"/>
      <w:color w:val="993366"/>
      <w:sz w:val="20"/>
    </w:rPr>
  </w:style>
  <w:style w:type="character" w:customStyle="1" w:styleId="EmailStyle4221">
    <w:name w:val="EmailStyle4221"/>
    <w:basedOn w:val="DefaultParagraphFont"/>
    <w:semiHidden/>
    <w:rsid w:val="006D4FD3"/>
    <w:rPr>
      <w:rFonts w:ascii="Arial" w:hAnsi="Arial" w:cs="Arial"/>
      <w:color w:val="000080"/>
      <w:sz w:val="20"/>
    </w:rPr>
  </w:style>
  <w:style w:type="character" w:customStyle="1" w:styleId="EmailStyle4231">
    <w:name w:val="EmailStyle4231"/>
    <w:basedOn w:val="DefaultParagraphFont"/>
    <w:semiHidden/>
    <w:rsid w:val="006D4FD3"/>
    <w:rPr>
      <w:rFonts w:ascii="Arial" w:hAnsi="Arial" w:cs="Arial"/>
      <w:color w:val="993366"/>
      <w:sz w:val="20"/>
    </w:rPr>
  </w:style>
  <w:style w:type="character" w:customStyle="1" w:styleId="EmailStyle4241">
    <w:name w:val="EmailStyle4241"/>
    <w:basedOn w:val="DefaultParagraphFont"/>
    <w:semiHidden/>
    <w:rsid w:val="006D4FD3"/>
    <w:rPr>
      <w:rFonts w:ascii="Arial" w:hAnsi="Arial" w:cs="Arial"/>
      <w:color w:val="000080"/>
      <w:sz w:val="20"/>
    </w:rPr>
  </w:style>
  <w:style w:type="character" w:customStyle="1" w:styleId="EmailStyle4251">
    <w:name w:val="EmailStyle4251"/>
    <w:basedOn w:val="DefaultParagraphFont"/>
    <w:semiHidden/>
    <w:rsid w:val="006D4FD3"/>
    <w:rPr>
      <w:rFonts w:ascii="Arial" w:hAnsi="Arial" w:cs="Arial"/>
      <w:color w:val="993366"/>
      <w:sz w:val="20"/>
    </w:rPr>
  </w:style>
  <w:style w:type="character" w:customStyle="1" w:styleId="EmailStyle4261">
    <w:name w:val="EmailStyle4261"/>
    <w:basedOn w:val="DefaultParagraphFont"/>
    <w:semiHidden/>
    <w:rsid w:val="006D4FD3"/>
    <w:rPr>
      <w:rFonts w:ascii="Arial" w:hAnsi="Arial" w:cs="Arial"/>
      <w:color w:val="000080"/>
      <w:sz w:val="20"/>
    </w:rPr>
  </w:style>
  <w:style w:type="character" w:customStyle="1" w:styleId="EmailStyle4271">
    <w:name w:val="EmailStyle4271"/>
    <w:basedOn w:val="DefaultParagraphFont"/>
    <w:semiHidden/>
    <w:rsid w:val="006D4FD3"/>
    <w:rPr>
      <w:rFonts w:ascii="Arial" w:hAnsi="Arial" w:cs="Arial"/>
      <w:color w:val="993366"/>
      <w:sz w:val="20"/>
    </w:rPr>
  </w:style>
  <w:style w:type="character" w:customStyle="1" w:styleId="EmailStyle4281">
    <w:name w:val="EmailStyle4281"/>
    <w:basedOn w:val="DefaultParagraphFont"/>
    <w:semiHidden/>
    <w:rsid w:val="006D4FD3"/>
    <w:rPr>
      <w:rFonts w:ascii="Arial" w:hAnsi="Arial" w:cs="Arial"/>
      <w:color w:val="000080"/>
      <w:sz w:val="20"/>
    </w:rPr>
  </w:style>
  <w:style w:type="character" w:customStyle="1" w:styleId="EmailStyle4291">
    <w:name w:val="EmailStyle4291"/>
    <w:basedOn w:val="DefaultParagraphFont"/>
    <w:semiHidden/>
    <w:rsid w:val="006D4FD3"/>
    <w:rPr>
      <w:rFonts w:ascii="Arial" w:hAnsi="Arial" w:cs="Arial"/>
      <w:color w:val="993366"/>
      <w:sz w:val="20"/>
    </w:rPr>
  </w:style>
  <w:style w:type="character" w:customStyle="1" w:styleId="EmailStyle4301">
    <w:name w:val="EmailStyle4301"/>
    <w:basedOn w:val="DefaultParagraphFont"/>
    <w:semiHidden/>
    <w:rsid w:val="006D4FD3"/>
    <w:rPr>
      <w:rFonts w:ascii="Arial" w:hAnsi="Arial" w:cs="Arial"/>
      <w:color w:val="000080"/>
      <w:sz w:val="20"/>
    </w:rPr>
  </w:style>
  <w:style w:type="character" w:customStyle="1" w:styleId="EmailStyle4311">
    <w:name w:val="EmailStyle4311"/>
    <w:basedOn w:val="DefaultParagraphFont"/>
    <w:semiHidden/>
    <w:rsid w:val="006D4FD3"/>
    <w:rPr>
      <w:rFonts w:ascii="Arial" w:hAnsi="Arial" w:cs="Arial"/>
      <w:color w:val="000080"/>
      <w:sz w:val="20"/>
    </w:rPr>
  </w:style>
  <w:style w:type="character" w:customStyle="1" w:styleId="EmailStyle4321">
    <w:name w:val="EmailStyle4321"/>
    <w:basedOn w:val="DefaultParagraphFont"/>
    <w:semiHidden/>
    <w:rsid w:val="006D4FD3"/>
    <w:rPr>
      <w:rFonts w:ascii="Arial" w:hAnsi="Arial" w:cs="Arial"/>
      <w:color w:val="993366"/>
      <w:sz w:val="20"/>
    </w:rPr>
  </w:style>
  <w:style w:type="character" w:customStyle="1" w:styleId="EmailStyle4331">
    <w:name w:val="EmailStyle4331"/>
    <w:basedOn w:val="DefaultParagraphFont"/>
    <w:semiHidden/>
    <w:rsid w:val="006D4FD3"/>
    <w:rPr>
      <w:rFonts w:ascii="Arial" w:hAnsi="Arial" w:cs="Arial"/>
      <w:color w:val="000080"/>
      <w:sz w:val="20"/>
    </w:rPr>
  </w:style>
  <w:style w:type="character" w:customStyle="1" w:styleId="EmailStyle4341">
    <w:name w:val="EmailStyle4341"/>
    <w:basedOn w:val="DefaultParagraphFont"/>
    <w:semiHidden/>
    <w:rsid w:val="006D4FD3"/>
    <w:rPr>
      <w:rFonts w:ascii="Arial" w:hAnsi="Arial" w:cs="Arial"/>
      <w:color w:val="993366"/>
      <w:sz w:val="20"/>
    </w:rPr>
  </w:style>
  <w:style w:type="character" w:customStyle="1" w:styleId="EmailStyle4351">
    <w:name w:val="EmailStyle4351"/>
    <w:basedOn w:val="DefaultParagraphFont"/>
    <w:semiHidden/>
    <w:rsid w:val="006D4FD3"/>
    <w:rPr>
      <w:rFonts w:ascii="Arial" w:hAnsi="Arial" w:cs="Arial"/>
      <w:color w:val="000080"/>
      <w:sz w:val="20"/>
    </w:rPr>
  </w:style>
  <w:style w:type="character" w:customStyle="1" w:styleId="EmailStyle4361">
    <w:name w:val="EmailStyle4361"/>
    <w:basedOn w:val="DefaultParagraphFont"/>
    <w:semiHidden/>
    <w:rsid w:val="006D4FD3"/>
    <w:rPr>
      <w:rFonts w:ascii="Arial" w:hAnsi="Arial" w:cs="Arial"/>
      <w:color w:val="000080"/>
      <w:sz w:val="20"/>
    </w:rPr>
  </w:style>
  <w:style w:type="character" w:customStyle="1" w:styleId="EmailStyle4371">
    <w:name w:val="EmailStyle4371"/>
    <w:basedOn w:val="DefaultParagraphFont"/>
    <w:semiHidden/>
    <w:rsid w:val="006D4FD3"/>
    <w:rPr>
      <w:rFonts w:ascii="Arial" w:hAnsi="Arial" w:cs="Arial"/>
      <w:color w:val="993366"/>
      <w:sz w:val="20"/>
    </w:rPr>
  </w:style>
  <w:style w:type="character" w:customStyle="1" w:styleId="EmailStyle4381">
    <w:name w:val="EmailStyle4381"/>
    <w:basedOn w:val="DefaultParagraphFont"/>
    <w:semiHidden/>
    <w:rsid w:val="006D4FD3"/>
    <w:rPr>
      <w:rFonts w:ascii="Arial" w:hAnsi="Arial" w:cs="Arial"/>
      <w:color w:val="000080"/>
      <w:sz w:val="20"/>
    </w:rPr>
  </w:style>
  <w:style w:type="character" w:customStyle="1" w:styleId="EmailStyle4391">
    <w:name w:val="EmailStyle4391"/>
    <w:basedOn w:val="DefaultParagraphFont"/>
    <w:semiHidden/>
    <w:rsid w:val="006D4FD3"/>
    <w:rPr>
      <w:rFonts w:ascii="Arial" w:hAnsi="Arial" w:cs="Arial"/>
      <w:color w:val="993366"/>
      <w:sz w:val="20"/>
    </w:rPr>
  </w:style>
  <w:style w:type="character" w:customStyle="1" w:styleId="EmailStyle4401">
    <w:name w:val="EmailStyle4401"/>
    <w:basedOn w:val="DefaultParagraphFont"/>
    <w:semiHidden/>
    <w:rsid w:val="006D4FD3"/>
    <w:rPr>
      <w:rFonts w:ascii="Arial" w:hAnsi="Arial" w:cs="Arial"/>
      <w:color w:val="000080"/>
      <w:sz w:val="20"/>
    </w:rPr>
  </w:style>
  <w:style w:type="character" w:customStyle="1" w:styleId="EmailStyle4411">
    <w:name w:val="EmailStyle4411"/>
    <w:basedOn w:val="DefaultParagraphFont"/>
    <w:semiHidden/>
    <w:rsid w:val="006D4FD3"/>
    <w:rPr>
      <w:rFonts w:ascii="Arial" w:hAnsi="Arial" w:cs="Arial"/>
      <w:color w:val="000080"/>
      <w:sz w:val="20"/>
    </w:rPr>
  </w:style>
  <w:style w:type="character" w:customStyle="1" w:styleId="EmailStyle4421">
    <w:name w:val="EmailStyle4421"/>
    <w:basedOn w:val="DefaultParagraphFont"/>
    <w:semiHidden/>
    <w:rsid w:val="006D4FD3"/>
    <w:rPr>
      <w:rFonts w:ascii="Arial" w:hAnsi="Arial" w:cs="Arial"/>
      <w:color w:val="993366"/>
      <w:sz w:val="20"/>
    </w:rPr>
  </w:style>
  <w:style w:type="character" w:customStyle="1" w:styleId="EmailStyle4431">
    <w:name w:val="EmailStyle4431"/>
    <w:basedOn w:val="DefaultParagraphFont"/>
    <w:semiHidden/>
    <w:rsid w:val="006D4FD3"/>
    <w:rPr>
      <w:rFonts w:ascii="Arial" w:hAnsi="Arial" w:cs="Arial"/>
      <w:color w:val="000080"/>
      <w:sz w:val="20"/>
    </w:rPr>
  </w:style>
  <w:style w:type="character" w:customStyle="1" w:styleId="EmailStyle4441">
    <w:name w:val="EmailStyle4441"/>
    <w:basedOn w:val="DefaultParagraphFont"/>
    <w:semiHidden/>
    <w:rsid w:val="006D4FD3"/>
    <w:rPr>
      <w:rFonts w:ascii="Arial" w:hAnsi="Arial" w:cs="Arial"/>
      <w:color w:val="993366"/>
      <w:sz w:val="20"/>
    </w:rPr>
  </w:style>
  <w:style w:type="character" w:customStyle="1" w:styleId="EmailStyle4451">
    <w:name w:val="EmailStyle4451"/>
    <w:basedOn w:val="DefaultParagraphFont"/>
    <w:semiHidden/>
    <w:rsid w:val="006D4FD3"/>
    <w:rPr>
      <w:rFonts w:ascii="Arial" w:hAnsi="Arial" w:cs="Arial"/>
      <w:color w:val="000080"/>
      <w:sz w:val="20"/>
    </w:rPr>
  </w:style>
  <w:style w:type="character" w:customStyle="1" w:styleId="EmailStyle4461">
    <w:name w:val="EmailStyle4461"/>
    <w:basedOn w:val="DefaultParagraphFont"/>
    <w:semiHidden/>
    <w:rsid w:val="006D4FD3"/>
    <w:rPr>
      <w:rFonts w:ascii="Arial" w:hAnsi="Arial" w:cs="Arial"/>
      <w:color w:val="000080"/>
      <w:sz w:val="20"/>
    </w:rPr>
  </w:style>
  <w:style w:type="character" w:customStyle="1" w:styleId="EmailStyle448">
    <w:name w:val="EmailStyle448"/>
    <w:basedOn w:val="DefaultParagraphFont"/>
    <w:semiHidden/>
    <w:rsid w:val="00442BD0"/>
    <w:rPr>
      <w:rFonts w:ascii="Arial" w:hAnsi="Arial" w:cs="Arial"/>
      <w:color w:val="993366"/>
      <w:sz w:val="20"/>
    </w:rPr>
  </w:style>
  <w:style w:type="character" w:customStyle="1" w:styleId="EmailStyle449">
    <w:name w:val="EmailStyle449"/>
    <w:basedOn w:val="DefaultParagraphFont"/>
    <w:semiHidden/>
    <w:rsid w:val="00442BD0"/>
    <w:rPr>
      <w:rFonts w:ascii="Arial" w:hAnsi="Arial" w:cs="Arial"/>
      <w:color w:val="000080"/>
      <w:sz w:val="20"/>
    </w:rPr>
  </w:style>
  <w:style w:type="character" w:customStyle="1" w:styleId="EmailStyle450">
    <w:name w:val="EmailStyle450"/>
    <w:basedOn w:val="DefaultParagraphFont"/>
    <w:semiHidden/>
    <w:rsid w:val="00442BD0"/>
    <w:rPr>
      <w:rFonts w:ascii="Arial" w:hAnsi="Arial" w:cs="Arial"/>
      <w:color w:val="993366"/>
      <w:sz w:val="20"/>
    </w:rPr>
  </w:style>
  <w:style w:type="character" w:customStyle="1" w:styleId="EmailStyle451">
    <w:name w:val="EmailStyle451"/>
    <w:basedOn w:val="DefaultParagraphFont"/>
    <w:semiHidden/>
    <w:rsid w:val="00442BD0"/>
    <w:rPr>
      <w:rFonts w:ascii="Arial" w:hAnsi="Arial" w:cs="Arial"/>
      <w:color w:val="000080"/>
      <w:sz w:val="20"/>
    </w:rPr>
  </w:style>
  <w:style w:type="character" w:customStyle="1" w:styleId="EmailStyle452">
    <w:name w:val="EmailStyle452"/>
    <w:basedOn w:val="DefaultParagraphFont"/>
    <w:semiHidden/>
    <w:rsid w:val="00442BD0"/>
    <w:rPr>
      <w:rFonts w:ascii="Arial" w:hAnsi="Arial" w:cs="Arial"/>
      <w:color w:val="993366"/>
      <w:sz w:val="20"/>
    </w:rPr>
  </w:style>
  <w:style w:type="character" w:customStyle="1" w:styleId="EmailStyle453">
    <w:name w:val="EmailStyle453"/>
    <w:basedOn w:val="DefaultParagraphFont"/>
    <w:semiHidden/>
    <w:rsid w:val="00442BD0"/>
    <w:rPr>
      <w:rFonts w:ascii="Arial" w:hAnsi="Arial" w:cs="Arial"/>
      <w:color w:val="000080"/>
      <w:sz w:val="20"/>
    </w:rPr>
  </w:style>
  <w:style w:type="character" w:customStyle="1" w:styleId="EmailStyle454">
    <w:name w:val="EmailStyle454"/>
    <w:basedOn w:val="DefaultParagraphFont"/>
    <w:semiHidden/>
    <w:rsid w:val="00442BD0"/>
    <w:rPr>
      <w:rFonts w:ascii="Arial" w:hAnsi="Arial" w:cs="Arial"/>
      <w:color w:val="993366"/>
      <w:sz w:val="20"/>
    </w:rPr>
  </w:style>
  <w:style w:type="character" w:customStyle="1" w:styleId="EmailStyle455">
    <w:name w:val="EmailStyle455"/>
    <w:basedOn w:val="DefaultParagraphFont"/>
    <w:semiHidden/>
    <w:rsid w:val="00442BD0"/>
    <w:rPr>
      <w:rFonts w:ascii="Arial" w:hAnsi="Arial" w:cs="Arial"/>
      <w:color w:val="000080"/>
      <w:sz w:val="20"/>
    </w:rPr>
  </w:style>
  <w:style w:type="character" w:customStyle="1" w:styleId="EmailStyle456">
    <w:name w:val="EmailStyle456"/>
    <w:basedOn w:val="DefaultParagraphFont"/>
    <w:semiHidden/>
    <w:rsid w:val="00442BD0"/>
    <w:rPr>
      <w:rFonts w:ascii="Arial" w:hAnsi="Arial" w:cs="Arial"/>
      <w:color w:val="993366"/>
      <w:sz w:val="20"/>
    </w:rPr>
  </w:style>
  <w:style w:type="character" w:customStyle="1" w:styleId="EmailStyle457">
    <w:name w:val="EmailStyle457"/>
    <w:basedOn w:val="DefaultParagraphFont"/>
    <w:semiHidden/>
    <w:rsid w:val="00442BD0"/>
    <w:rPr>
      <w:rFonts w:ascii="Arial" w:hAnsi="Arial" w:cs="Arial"/>
      <w:color w:val="000080"/>
      <w:sz w:val="20"/>
    </w:rPr>
  </w:style>
  <w:style w:type="character" w:customStyle="1" w:styleId="EmailStyle458">
    <w:name w:val="EmailStyle458"/>
    <w:basedOn w:val="DefaultParagraphFont"/>
    <w:semiHidden/>
    <w:rsid w:val="00442BD0"/>
    <w:rPr>
      <w:rFonts w:ascii="Arial" w:hAnsi="Arial" w:cs="Arial"/>
      <w:color w:val="993366"/>
      <w:sz w:val="20"/>
    </w:rPr>
  </w:style>
  <w:style w:type="character" w:customStyle="1" w:styleId="EmailStyle459">
    <w:name w:val="EmailStyle459"/>
    <w:basedOn w:val="DefaultParagraphFont"/>
    <w:semiHidden/>
    <w:rsid w:val="00442BD0"/>
    <w:rPr>
      <w:rFonts w:ascii="Arial" w:hAnsi="Arial" w:cs="Arial"/>
      <w:color w:val="000080"/>
      <w:sz w:val="20"/>
    </w:rPr>
  </w:style>
  <w:style w:type="character" w:customStyle="1" w:styleId="EmailStyle460">
    <w:name w:val="EmailStyle460"/>
    <w:basedOn w:val="DefaultParagraphFont"/>
    <w:semiHidden/>
    <w:rsid w:val="00442BD0"/>
    <w:rPr>
      <w:rFonts w:ascii="Arial" w:hAnsi="Arial" w:cs="Arial"/>
      <w:color w:val="993366"/>
      <w:sz w:val="20"/>
    </w:rPr>
  </w:style>
  <w:style w:type="character" w:customStyle="1" w:styleId="EmailStyle461">
    <w:name w:val="EmailStyle461"/>
    <w:basedOn w:val="DefaultParagraphFont"/>
    <w:semiHidden/>
    <w:rsid w:val="00442BD0"/>
    <w:rPr>
      <w:rFonts w:ascii="Arial" w:hAnsi="Arial" w:cs="Arial"/>
      <w:color w:val="000080"/>
      <w:sz w:val="20"/>
    </w:rPr>
  </w:style>
  <w:style w:type="character" w:customStyle="1" w:styleId="EmailStyle462">
    <w:name w:val="EmailStyle462"/>
    <w:basedOn w:val="DefaultParagraphFont"/>
    <w:semiHidden/>
    <w:rsid w:val="00442BD0"/>
    <w:rPr>
      <w:rFonts w:ascii="Arial" w:hAnsi="Arial" w:cs="Arial"/>
      <w:color w:val="993366"/>
      <w:sz w:val="20"/>
    </w:rPr>
  </w:style>
  <w:style w:type="character" w:customStyle="1" w:styleId="EmailStyle463">
    <w:name w:val="EmailStyle463"/>
    <w:basedOn w:val="DefaultParagraphFont"/>
    <w:semiHidden/>
    <w:rsid w:val="00442BD0"/>
    <w:rPr>
      <w:rFonts w:ascii="Arial" w:hAnsi="Arial" w:cs="Arial"/>
      <w:color w:val="000080"/>
      <w:sz w:val="20"/>
    </w:rPr>
  </w:style>
  <w:style w:type="character" w:customStyle="1" w:styleId="EmailStyle464">
    <w:name w:val="EmailStyle464"/>
    <w:basedOn w:val="DefaultParagraphFont"/>
    <w:semiHidden/>
    <w:rsid w:val="00442BD0"/>
    <w:rPr>
      <w:rFonts w:ascii="Arial" w:hAnsi="Arial" w:cs="Arial"/>
      <w:color w:val="993366"/>
      <w:sz w:val="20"/>
    </w:rPr>
  </w:style>
  <w:style w:type="character" w:customStyle="1" w:styleId="EmailStyle465">
    <w:name w:val="EmailStyle465"/>
    <w:basedOn w:val="DefaultParagraphFont"/>
    <w:semiHidden/>
    <w:rsid w:val="00442BD0"/>
    <w:rPr>
      <w:rFonts w:ascii="Arial" w:hAnsi="Arial" w:cs="Arial"/>
      <w:color w:val="000080"/>
      <w:sz w:val="20"/>
    </w:rPr>
  </w:style>
  <w:style w:type="character" w:customStyle="1" w:styleId="EmailStyle466">
    <w:name w:val="EmailStyle466"/>
    <w:basedOn w:val="DefaultParagraphFont"/>
    <w:semiHidden/>
    <w:rsid w:val="00442BD0"/>
    <w:rPr>
      <w:rFonts w:ascii="Arial" w:hAnsi="Arial" w:cs="Arial"/>
      <w:color w:val="993366"/>
      <w:sz w:val="20"/>
    </w:rPr>
  </w:style>
  <w:style w:type="character" w:customStyle="1" w:styleId="EmailStyle467">
    <w:name w:val="EmailStyle467"/>
    <w:basedOn w:val="DefaultParagraphFont"/>
    <w:semiHidden/>
    <w:rsid w:val="00442BD0"/>
    <w:rPr>
      <w:rFonts w:ascii="Arial" w:hAnsi="Arial" w:cs="Arial"/>
      <w:color w:val="000080"/>
      <w:sz w:val="20"/>
    </w:rPr>
  </w:style>
  <w:style w:type="character" w:customStyle="1" w:styleId="EmailStyle468">
    <w:name w:val="EmailStyle468"/>
    <w:basedOn w:val="DefaultParagraphFont"/>
    <w:semiHidden/>
    <w:rsid w:val="00442BD0"/>
    <w:rPr>
      <w:rFonts w:ascii="Arial" w:hAnsi="Arial" w:cs="Arial"/>
      <w:color w:val="993366"/>
      <w:sz w:val="20"/>
    </w:rPr>
  </w:style>
  <w:style w:type="character" w:customStyle="1" w:styleId="EmailStyle469">
    <w:name w:val="EmailStyle469"/>
    <w:basedOn w:val="DefaultParagraphFont"/>
    <w:semiHidden/>
    <w:rsid w:val="00442BD0"/>
    <w:rPr>
      <w:rFonts w:ascii="Arial" w:hAnsi="Arial" w:cs="Arial"/>
      <w:color w:val="000080"/>
      <w:sz w:val="20"/>
    </w:rPr>
  </w:style>
  <w:style w:type="character" w:customStyle="1" w:styleId="EmailStyle470">
    <w:name w:val="EmailStyle470"/>
    <w:basedOn w:val="DefaultParagraphFont"/>
    <w:semiHidden/>
    <w:rsid w:val="00442BD0"/>
    <w:rPr>
      <w:rFonts w:ascii="Arial" w:hAnsi="Arial" w:cs="Arial"/>
      <w:color w:val="993366"/>
      <w:sz w:val="20"/>
    </w:rPr>
  </w:style>
  <w:style w:type="character" w:customStyle="1" w:styleId="EmailStyle471">
    <w:name w:val="EmailStyle471"/>
    <w:basedOn w:val="DefaultParagraphFont"/>
    <w:semiHidden/>
    <w:rsid w:val="00442BD0"/>
    <w:rPr>
      <w:rFonts w:ascii="Arial" w:hAnsi="Arial" w:cs="Arial"/>
      <w:color w:val="000080"/>
      <w:sz w:val="20"/>
    </w:rPr>
  </w:style>
  <w:style w:type="character" w:customStyle="1" w:styleId="EmailStyle472">
    <w:name w:val="EmailStyle472"/>
    <w:basedOn w:val="DefaultParagraphFont"/>
    <w:semiHidden/>
    <w:rsid w:val="00442BD0"/>
    <w:rPr>
      <w:rFonts w:ascii="Arial" w:hAnsi="Arial" w:cs="Arial"/>
      <w:color w:val="993366"/>
      <w:sz w:val="20"/>
    </w:rPr>
  </w:style>
  <w:style w:type="character" w:customStyle="1" w:styleId="EmailStyle473">
    <w:name w:val="EmailStyle473"/>
    <w:basedOn w:val="DefaultParagraphFont"/>
    <w:semiHidden/>
    <w:rsid w:val="00442BD0"/>
    <w:rPr>
      <w:rFonts w:ascii="Arial" w:hAnsi="Arial" w:cs="Arial"/>
      <w:color w:val="000080"/>
      <w:sz w:val="20"/>
    </w:rPr>
  </w:style>
  <w:style w:type="character" w:customStyle="1" w:styleId="EmailStyle474">
    <w:name w:val="EmailStyle474"/>
    <w:basedOn w:val="DefaultParagraphFont"/>
    <w:semiHidden/>
    <w:rsid w:val="00442BD0"/>
    <w:rPr>
      <w:rFonts w:ascii="Arial" w:hAnsi="Arial" w:cs="Arial"/>
      <w:color w:val="993366"/>
      <w:sz w:val="20"/>
    </w:rPr>
  </w:style>
  <w:style w:type="character" w:customStyle="1" w:styleId="EmailStyle475">
    <w:name w:val="EmailStyle475"/>
    <w:basedOn w:val="DefaultParagraphFont"/>
    <w:semiHidden/>
    <w:rsid w:val="00442BD0"/>
    <w:rPr>
      <w:rFonts w:ascii="Arial" w:hAnsi="Arial" w:cs="Arial"/>
      <w:color w:val="000080"/>
      <w:sz w:val="20"/>
    </w:rPr>
  </w:style>
  <w:style w:type="character" w:customStyle="1" w:styleId="EmailStyle476">
    <w:name w:val="EmailStyle476"/>
    <w:basedOn w:val="DefaultParagraphFont"/>
    <w:semiHidden/>
    <w:rsid w:val="00442BD0"/>
    <w:rPr>
      <w:rFonts w:ascii="Arial" w:hAnsi="Arial" w:cs="Arial"/>
      <w:color w:val="993366"/>
      <w:sz w:val="20"/>
    </w:rPr>
  </w:style>
  <w:style w:type="character" w:customStyle="1" w:styleId="EmailStyle477">
    <w:name w:val="EmailStyle477"/>
    <w:basedOn w:val="DefaultParagraphFont"/>
    <w:semiHidden/>
    <w:rsid w:val="00442BD0"/>
    <w:rPr>
      <w:rFonts w:ascii="Arial" w:hAnsi="Arial" w:cs="Arial"/>
      <w:color w:val="000080"/>
      <w:sz w:val="20"/>
    </w:rPr>
  </w:style>
  <w:style w:type="character" w:customStyle="1" w:styleId="EmailStyle478">
    <w:name w:val="EmailStyle478"/>
    <w:basedOn w:val="DefaultParagraphFont"/>
    <w:semiHidden/>
    <w:rsid w:val="00442BD0"/>
    <w:rPr>
      <w:rFonts w:ascii="Arial" w:hAnsi="Arial" w:cs="Arial"/>
      <w:color w:val="993366"/>
      <w:sz w:val="20"/>
    </w:rPr>
  </w:style>
  <w:style w:type="character" w:customStyle="1" w:styleId="EmailStyle479">
    <w:name w:val="EmailStyle479"/>
    <w:basedOn w:val="DefaultParagraphFont"/>
    <w:semiHidden/>
    <w:rsid w:val="00442BD0"/>
    <w:rPr>
      <w:rFonts w:ascii="Arial" w:hAnsi="Arial" w:cs="Arial"/>
      <w:color w:val="000080"/>
      <w:sz w:val="20"/>
    </w:rPr>
  </w:style>
  <w:style w:type="character" w:customStyle="1" w:styleId="EmailStyle480">
    <w:name w:val="EmailStyle480"/>
    <w:basedOn w:val="DefaultParagraphFont"/>
    <w:semiHidden/>
    <w:rsid w:val="00442BD0"/>
    <w:rPr>
      <w:rFonts w:ascii="Arial" w:hAnsi="Arial" w:cs="Arial"/>
      <w:color w:val="993366"/>
      <w:sz w:val="20"/>
    </w:rPr>
  </w:style>
  <w:style w:type="character" w:customStyle="1" w:styleId="EmailStyle481">
    <w:name w:val="EmailStyle481"/>
    <w:basedOn w:val="DefaultParagraphFont"/>
    <w:semiHidden/>
    <w:rsid w:val="00442BD0"/>
    <w:rPr>
      <w:rFonts w:ascii="Arial" w:hAnsi="Arial" w:cs="Arial"/>
      <w:color w:val="000080"/>
      <w:sz w:val="20"/>
    </w:rPr>
  </w:style>
  <w:style w:type="character" w:customStyle="1" w:styleId="EmailStyle482">
    <w:name w:val="EmailStyle482"/>
    <w:basedOn w:val="DefaultParagraphFont"/>
    <w:semiHidden/>
    <w:rsid w:val="00442BD0"/>
    <w:rPr>
      <w:rFonts w:ascii="Arial" w:hAnsi="Arial" w:cs="Arial"/>
      <w:color w:val="993366"/>
      <w:sz w:val="20"/>
    </w:rPr>
  </w:style>
  <w:style w:type="character" w:customStyle="1" w:styleId="EmailStyle483">
    <w:name w:val="EmailStyle483"/>
    <w:basedOn w:val="DefaultParagraphFont"/>
    <w:semiHidden/>
    <w:rsid w:val="00442BD0"/>
    <w:rPr>
      <w:rFonts w:ascii="Arial" w:hAnsi="Arial" w:cs="Arial"/>
      <w:color w:val="000080"/>
      <w:sz w:val="20"/>
    </w:rPr>
  </w:style>
  <w:style w:type="character" w:customStyle="1" w:styleId="EmailStyle484">
    <w:name w:val="EmailStyle484"/>
    <w:basedOn w:val="DefaultParagraphFont"/>
    <w:semiHidden/>
    <w:rsid w:val="00442BD0"/>
    <w:rPr>
      <w:rFonts w:ascii="Arial" w:hAnsi="Arial" w:cs="Arial"/>
      <w:color w:val="993366"/>
      <w:sz w:val="20"/>
    </w:rPr>
  </w:style>
  <w:style w:type="character" w:customStyle="1" w:styleId="EmailStyle485">
    <w:name w:val="EmailStyle485"/>
    <w:basedOn w:val="DefaultParagraphFont"/>
    <w:semiHidden/>
    <w:rsid w:val="00442BD0"/>
    <w:rPr>
      <w:rFonts w:ascii="Arial" w:hAnsi="Arial" w:cs="Arial"/>
      <w:color w:val="000080"/>
      <w:sz w:val="20"/>
    </w:rPr>
  </w:style>
  <w:style w:type="character" w:customStyle="1" w:styleId="EmailStyle486">
    <w:name w:val="EmailStyle486"/>
    <w:basedOn w:val="DefaultParagraphFont"/>
    <w:semiHidden/>
    <w:rsid w:val="00442BD0"/>
    <w:rPr>
      <w:rFonts w:ascii="Arial" w:hAnsi="Arial" w:cs="Arial"/>
      <w:color w:val="993366"/>
      <w:sz w:val="20"/>
    </w:rPr>
  </w:style>
  <w:style w:type="character" w:customStyle="1" w:styleId="EmailStyle487">
    <w:name w:val="EmailStyle487"/>
    <w:basedOn w:val="DefaultParagraphFont"/>
    <w:semiHidden/>
    <w:rsid w:val="00442BD0"/>
    <w:rPr>
      <w:rFonts w:ascii="Arial" w:hAnsi="Arial" w:cs="Arial"/>
      <w:color w:val="000080"/>
      <w:sz w:val="20"/>
    </w:rPr>
  </w:style>
  <w:style w:type="character" w:customStyle="1" w:styleId="EmailStyle488">
    <w:name w:val="EmailStyle488"/>
    <w:basedOn w:val="DefaultParagraphFont"/>
    <w:semiHidden/>
    <w:rsid w:val="00442BD0"/>
    <w:rPr>
      <w:rFonts w:ascii="Arial" w:hAnsi="Arial" w:cs="Arial"/>
      <w:color w:val="993366"/>
      <w:sz w:val="20"/>
    </w:rPr>
  </w:style>
  <w:style w:type="character" w:customStyle="1" w:styleId="EmailStyle489">
    <w:name w:val="EmailStyle489"/>
    <w:basedOn w:val="DefaultParagraphFont"/>
    <w:semiHidden/>
    <w:rsid w:val="00442BD0"/>
    <w:rPr>
      <w:rFonts w:ascii="Arial" w:hAnsi="Arial" w:cs="Arial"/>
      <w:color w:val="000080"/>
      <w:sz w:val="20"/>
    </w:rPr>
  </w:style>
  <w:style w:type="character" w:customStyle="1" w:styleId="EmailStyle490">
    <w:name w:val="EmailStyle490"/>
    <w:basedOn w:val="DefaultParagraphFont"/>
    <w:semiHidden/>
    <w:rsid w:val="00442BD0"/>
    <w:rPr>
      <w:rFonts w:ascii="Arial" w:hAnsi="Arial" w:cs="Arial"/>
      <w:color w:val="993366"/>
      <w:sz w:val="20"/>
    </w:rPr>
  </w:style>
  <w:style w:type="character" w:customStyle="1" w:styleId="EmailStyle491">
    <w:name w:val="EmailStyle491"/>
    <w:basedOn w:val="DefaultParagraphFont"/>
    <w:semiHidden/>
    <w:rsid w:val="00442BD0"/>
    <w:rPr>
      <w:rFonts w:ascii="Arial" w:hAnsi="Arial" w:cs="Arial"/>
      <w:color w:val="000080"/>
      <w:sz w:val="20"/>
    </w:rPr>
  </w:style>
  <w:style w:type="character" w:customStyle="1" w:styleId="EmailStyle492">
    <w:name w:val="EmailStyle492"/>
    <w:basedOn w:val="DefaultParagraphFont"/>
    <w:semiHidden/>
    <w:rsid w:val="00442BD0"/>
    <w:rPr>
      <w:rFonts w:ascii="Arial" w:hAnsi="Arial" w:cs="Arial"/>
      <w:color w:val="993366"/>
      <w:sz w:val="20"/>
    </w:rPr>
  </w:style>
  <w:style w:type="character" w:customStyle="1" w:styleId="EmailStyle493">
    <w:name w:val="EmailStyle493"/>
    <w:basedOn w:val="DefaultParagraphFont"/>
    <w:semiHidden/>
    <w:rsid w:val="00442BD0"/>
    <w:rPr>
      <w:rFonts w:ascii="Arial" w:hAnsi="Arial" w:cs="Arial"/>
      <w:color w:val="000080"/>
      <w:sz w:val="20"/>
    </w:rPr>
  </w:style>
  <w:style w:type="character" w:customStyle="1" w:styleId="EmailStyle494">
    <w:name w:val="EmailStyle494"/>
    <w:basedOn w:val="DefaultParagraphFont"/>
    <w:semiHidden/>
    <w:rsid w:val="00442BD0"/>
    <w:rPr>
      <w:rFonts w:ascii="Arial" w:hAnsi="Arial" w:cs="Arial"/>
      <w:color w:val="993366"/>
      <w:sz w:val="20"/>
    </w:rPr>
  </w:style>
  <w:style w:type="character" w:customStyle="1" w:styleId="EmailStyle495">
    <w:name w:val="EmailStyle495"/>
    <w:basedOn w:val="DefaultParagraphFont"/>
    <w:semiHidden/>
    <w:rsid w:val="00442BD0"/>
    <w:rPr>
      <w:rFonts w:ascii="Arial" w:hAnsi="Arial" w:cs="Arial"/>
      <w:color w:val="000080"/>
      <w:sz w:val="20"/>
    </w:rPr>
  </w:style>
  <w:style w:type="character" w:customStyle="1" w:styleId="EmailStyle496">
    <w:name w:val="EmailStyle496"/>
    <w:basedOn w:val="DefaultParagraphFont"/>
    <w:semiHidden/>
    <w:rsid w:val="00442BD0"/>
    <w:rPr>
      <w:rFonts w:ascii="Arial" w:hAnsi="Arial" w:cs="Arial"/>
      <w:color w:val="993366"/>
      <w:sz w:val="20"/>
    </w:rPr>
  </w:style>
  <w:style w:type="character" w:customStyle="1" w:styleId="EmailStyle497">
    <w:name w:val="EmailStyle497"/>
    <w:basedOn w:val="DefaultParagraphFont"/>
    <w:semiHidden/>
    <w:rsid w:val="00442BD0"/>
    <w:rPr>
      <w:rFonts w:ascii="Arial" w:hAnsi="Arial" w:cs="Arial"/>
      <w:color w:val="000080"/>
      <w:sz w:val="20"/>
    </w:rPr>
  </w:style>
  <w:style w:type="character" w:customStyle="1" w:styleId="EmailStyle498">
    <w:name w:val="EmailStyle498"/>
    <w:basedOn w:val="DefaultParagraphFont"/>
    <w:semiHidden/>
    <w:rsid w:val="00442BD0"/>
    <w:rPr>
      <w:rFonts w:ascii="Arial" w:hAnsi="Arial" w:cs="Arial"/>
      <w:color w:val="993366"/>
      <w:sz w:val="20"/>
    </w:rPr>
  </w:style>
  <w:style w:type="character" w:customStyle="1" w:styleId="EmailStyle499">
    <w:name w:val="EmailStyle499"/>
    <w:basedOn w:val="DefaultParagraphFont"/>
    <w:semiHidden/>
    <w:rsid w:val="00442BD0"/>
    <w:rPr>
      <w:rFonts w:ascii="Arial" w:hAnsi="Arial" w:cs="Arial"/>
      <w:color w:val="000080"/>
      <w:sz w:val="20"/>
    </w:rPr>
  </w:style>
  <w:style w:type="character" w:customStyle="1" w:styleId="EmailStyle500">
    <w:name w:val="EmailStyle500"/>
    <w:basedOn w:val="DefaultParagraphFont"/>
    <w:semiHidden/>
    <w:rsid w:val="00442BD0"/>
    <w:rPr>
      <w:rFonts w:ascii="Arial" w:hAnsi="Arial" w:cs="Arial"/>
      <w:color w:val="993366"/>
      <w:sz w:val="20"/>
    </w:rPr>
  </w:style>
  <w:style w:type="character" w:customStyle="1" w:styleId="EmailStyle501">
    <w:name w:val="EmailStyle501"/>
    <w:basedOn w:val="DefaultParagraphFont"/>
    <w:semiHidden/>
    <w:rsid w:val="00442BD0"/>
    <w:rPr>
      <w:rFonts w:ascii="Arial" w:hAnsi="Arial" w:cs="Arial"/>
      <w:color w:val="000080"/>
      <w:sz w:val="20"/>
    </w:rPr>
  </w:style>
  <w:style w:type="character" w:customStyle="1" w:styleId="EmailStyle502">
    <w:name w:val="EmailStyle502"/>
    <w:basedOn w:val="DefaultParagraphFont"/>
    <w:semiHidden/>
    <w:rsid w:val="00442BD0"/>
    <w:rPr>
      <w:rFonts w:ascii="Arial" w:hAnsi="Arial" w:cs="Arial"/>
      <w:color w:val="993366"/>
      <w:sz w:val="20"/>
    </w:rPr>
  </w:style>
  <w:style w:type="character" w:customStyle="1" w:styleId="EmailStyle503">
    <w:name w:val="EmailStyle503"/>
    <w:basedOn w:val="DefaultParagraphFont"/>
    <w:semiHidden/>
    <w:rsid w:val="00442BD0"/>
    <w:rPr>
      <w:rFonts w:ascii="Arial" w:hAnsi="Arial" w:cs="Arial"/>
      <w:color w:val="000080"/>
      <w:sz w:val="20"/>
    </w:rPr>
  </w:style>
  <w:style w:type="character" w:customStyle="1" w:styleId="EmailStyle504">
    <w:name w:val="EmailStyle504"/>
    <w:basedOn w:val="DefaultParagraphFont"/>
    <w:semiHidden/>
    <w:rsid w:val="00442BD0"/>
    <w:rPr>
      <w:rFonts w:ascii="Arial" w:hAnsi="Arial" w:cs="Arial"/>
      <w:color w:val="993366"/>
      <w:sz w:val="20"/>
    </w:rPr>
  </w:style>
  <w:style w:type="character" w:customStyle="1" w:styleId="EmailStyle505">
    <w:name w:val="EmailStyle505"/>
    <w:basedOn w:val="DefaultParagraphFont"/>
    <w:semiHidden/>
    <w:rsid w:val="00442BD0"/>
    <w:rPr>
      <w:rFonts w:ascii="Arial" w:hAnsi="Arial" w:cs="Arial"/>
      <w:color w:val="000080"/>
      <w:sz w:val="20"/>
    </w:rPr>
  </w:style>
  <w:style w:type="character" w:customStyle="1" w:styleId="EmailStyle506">
    <w:name w:val="EmailStyle506"/>
    <w:basedOn w:val="DefaultParagraphFont"/>
    <w:semiHidden/>
    <w:rsid w:val="00442BD0"/>
    <w:rPr>
      <w:rFonts w:ascii="Arial" w:hAnsi="Arial" w:cs="Arial"/>
      <w:color w:val="993366"/>
      <w:sz w:val="20"/>
    </w:rPr>
  </w:style>
  <w:style w:type="character" w:customStyle="1" w:styleId="EmailStyle507">
    <w:name w:val="EmailStyle507"/>
    <w:basedOn w:val="DefaultParagraphFont"/>
    <w:semiHidden/>
    <w:rsid w:val="00442BD0"/>
    <w:rPr>
      <w:rFonts w:ascii="Arial" w:hAnsi="Arial" w:cs="Arial"/>
      <w:color w:val="000080"/>
      <w:sz w:val="20"/>
    </w:rPr>
  </w:style>
  <w:style w:type="character" w:customStyle="1" w:styleId="EmailStyle508">
    <w:name w:val="EmailStyle508"/>
    <w:basedOn w:val="DefaultParagraphFont"/>
    <w:semiHidden/>
    <w:rsid w:val="00442BD0"/>
    <w:rPr>
      <w:rFonts w:ascii="Arial" w:hAnsi="Arial" w:cs="Arial"/>
      <w:color w:val="993366"/>
      <w:sz w:val="20"/>
    </w:rPr>
  </w:style>
  <w:style w:type="character" w:customStyle="1" w:styleId="EmailStyle509">
    <w:name w:val="EmailStyle509"/>
    <w:basedOn w:val="DefaultParagraphFont"/>
    <w:semiHidden/>
    <w:rsid w:val="00442BD0"/>
    <w:rPr>
      <w:rFonts w:ascii="Arial" w:hAnsi="Arial" w:cs="Arial"/>
      <w:color w:val="000080"/>
      <w:sz w:val="20"/>
    </w:rPr>
  </w:style>
  <w:style w:type="character" w:customStyle="1" w:styleId="EmailStyle510">
    <w:name w:val="EmailStyle510"/>
    <w:basedOn w:val="DefaultParagraphFont"/>
    <w:semiHidden/>
    <w:rsid w:val="00442BD0"/>
    <w:rPr>
      <w:rFonts w:ascii="Arial" w:hAnsi="Arial" w:cs="Arial"/>
      <w:color w:val="993366"/>
      <w:sz w:val="20"/>
    </w:rPr>
  </w:style>
  <w:style w:type="character" w:customStyle="1" w:styleId="EmailStyle511">
    <w:name w:val="EmailStyle511"/>
    <w:basedOn w:val="DefaultParagraphFont"/>
    <w:semiHidden/>
    <w:rsid w:val="00442BD0"/>
    <w:rPr>
      <w:rFonts w:ascii="Arial" w:hAnsi="Arial" w:cs="Arial"/>
      <w:color w:val="000080"/>
      <w:sz w:val="20"/>
    </w:rPr>
  </w:style>
  <w:style w:type="character" w:customStyle="1" w:styleId="EmailStyle512">
    <w:name w:val="EmailStyle512"/>
    <w:basedOn w:val="DefaultParagraphFont"/>
    <w:semiHidden/>
    <w:rsid w:val="00442BD0"/>
    <w:rPr>
      <w:rFonts w:ascii="Arial" w:hAnsi="Arial" w:cs="Arial"/>
      <w:color w:val="000080"/>
      <w:sz w:val="20"/>
    </w:rPr>
  </w:style>
  <w:style w:type="character" w:customStyle="1" w:styleId="EmailStyle513">
    <w:name w:val="EmailStyle513"/>
    <w:basedOn w:val="DefaultParagraphFont"/>
    <w:semiHidden/>
    <w:rsid w:val="00442BD0"/>
    <w:rPr>
      <w:rFonts w:ascii="Arial" w:hAnsi="Arial" w:cs="Arial"/>
      <w:color w:val="993366"/>
      <w:sz w:val="20"/>
    </w:rPr>
  </w:style>
  <w:style w:type="character" w:customStyle="1" w:styleId="EmailStyle514">
    <w:name w:val="EmailStyle514"/>
    <w:basedOn w:val="DefaultParagraphFont"/>
    <w:semiHidden/>
    <w:rsid w:val="00442BD0"/>
    <w:rPr>
      <w:rFonts w:ascii="Arial" w:hAnsi="Arial" w:cs="Arial"/>
      <w:color w:val="000080"/>
      <w:sz w:val="20"/>
    </w:rPr>
  </w:style>
  <w:style w:type="character" w:customStyle="1" w:styleId="EmailStyle515">
    <w:name w:val="EmailStyle515"/>
    <w:basedOn w:val="DefaultParagraphFont"/>
    <w:semiHidden/>
    <w:rsid w:val="00442BD0"/>
    <w:rPr>
      <w:rFonts w:ascii="Arial" w:hAnsi="Arial" w:cs="Arial"/>
      <w:color w:val="993366"/>
      <w:sz w:val="20"/>
    </w:rPr>
  </w:style>
  <w:style w:type="character" w:customStyle="1" w:styleId="EmailStyle516">
    <w:name w:val="EmailStyle516"/>
    <w:basedOn w:val="DefaultParagraphFont"/>
    <w:semiHidden/>
    <w:rsid w:val="00442BD0"/>
    <w:rPr>
      <w:rFonts w:ascii="Arial" w:hAnsi="Arial" w:cs="Arial"/>
      <w:color w:val="000080"/>
      <w:sz w:val="20"/>
    </w:rPr>
  </w:style>
  <w:style w:type="character" w:customStyle="1" w:styleId="EmailStyle517">
    <w:name w:val="EmailStyle517"/>
    <w:basedOn w:val="DefaultParagraphFont"/>
    <w:semiHidden/>
    <w:rsid w:val="00442BD0"/>
    <w:rPr>
      <w:rFonts w:ascii="Arial" w:hAnsi="Arial" w:cs="Arial"/>
      <w:color w:val="000080"/>
      <w:sz w:val="20"/>
    </w:rPr>
  </w:style>
  <w:style w:type="character" w:customStyle="1" w:styleId="EmailStyle518">
    <w:name w:val="EmailStyle518"/>
    <w:basedOn w:val="DefaultParagraphFont"/>
    <w:semiHidden/>
    <w:rsid w:val="00442BD0"/>
    <w:rPr>
      <w:rFonts w:ascii="Arial" w:hAnsi="Arial" w:cs="Arial"/>
      <w:color w:val="993366"/>
      <w:sz w:val="20"/>
    </w:rPr>
  </w:style>
  <w:style w:type="character" w:customStyle="1" w:styleId="EmailStyle519">
    <w:name w:val="EmailStyle519"/>
    <w:basedOn w:val="DefaultParagraphFont"/>
    <w:semiHidden/>
    <w:rsid w:val="00442BD0"/>
    <w:rPr>
      <w:rFonts w:ascii="Arial" w:hAnsi="Arial" w:cs="Arial"/>
      <w:color w:val="000080"/>
      <w:sz w:val="20"/>
    </w:rPr>
  </w:style>
  <w:style w:type="character" w:customStyle="1" w:styleId="EmailStyle520">
    <w:name w:val="EmailStyle520"/>
    <w:basedOn w:val="DefaultParagraphFont"/>
    <w:semiHidden/>
    <w:rsid w:val="00442BD0"/>
    <w:rPr>
      <w:rFonts w:ascii="Arial" w:hAnsi="Arial" w:cs="Arial"/>
      <w:color w:val="993366"/>
      <w:sz w:val="20"/>
    </w:rPr>
  </w:style>
  <w:style w:type="character" w:customStyle="1" w:styleId="EmailStyle521">
    <w:name w:val="EmailStyle521"/>
    <w:basedOn w:val="DefaultParagraphFont"/>
    <w:semiHidden/>
    <w:rsid w:val="00442BD0"/>
    <w:rPr>
      <w:rFonts w:ascii="Arial" w:hAnsi="Arial" w:cs="Arial"/>
      <w:color w:val="000080"/>
      <w:sz w:val="20"/>
    </w:rPr>
  </w:style>
  <w:style w:type="character" w:customStyle="1" w:styleId="EmailStyle522">
    <w:name w:val="EmailStyle522"/>
    <w:basedOn w:val="DefaultParagraphFont"/>
    <w:semiHidden/>
    <w:rsid w:val="00442BD0"/>
    <w:rPr>
      <w:rFonts w:ascii="Arial" w:hAnsi="Arial" w:cs="Arial"/>
      <w:color w:val="000080"/>
      <w:sz w:val="20"/>
    </w:rPr>
  </w:style>
  <w:style w:type="character" w:customStyle="1" w:styleId="EmailStyle523">
    <w:name w:val="EmailStyle523"/>
    <w:basedOn w:val="DefaultParagraphFont"/>
    <w:semiHidden/>
    <w:rsid w:val="00442BD0"/>
    <w:rPr>
      <w:rFonts w:ascii="Arial" w:hAnsi="Arial" w:cs="Arial"/>
      <w:color w:val="993366"/>
      <w:sz w:val="20"/>
    </w:rPr>
  </w:style>
  <w:style w:type="character" w:customStyle="1" w:styleId="EmailStyle524">
    <w:name w:val="EmailStyle524"/>
    <w:basedOn w:val="DefaultParagraphFont"/>
    <w:semiHidden/>
    <w:rsid w:val="00442BD0"/>
    <w:rPr>
      <w:rFonts w:ascii="Arial" w:hAnsi="Arial" w:cs="Arial"/>
      <w:color w:val="000080"/>
      <w:sz w:val="20"/>
    </w:rPr>
  </w:style>
  <w:style w:type="character" w:customStyle="1" w:styleId="EmailStyle525">
    <w:name w:val="EmailStyle525"/>
    <w:basedOn w:val="DefaultParagraphFont"/>
    <w:semiHidden/>
    <w:rsid w:val="00442BD0"/>
    <w:rPr>
      <w:rFonts w:ascii="Arial" w:hAnsi="Arial" w:cs="Arial"/>
      <w:color w:val="993366"/>
      <w:sz w:val="20"/>
    </w:rPr>
  </w:style>
  <w:style w:type="character" w:customStyle="1" w:styleId="EmailStyle526">
    <w:name w:val="EmailStyle526"/>
    <w:basedOn w:val="DefaultParagraphFont"/>
    <w:semiHidden/>
    <w:rsid w:val="00442BD0"/>
    <w:rPr>
      <w:rFonts w:ascii="Arial" w:hAnsi="Arial" w:cs="Arial"/>
      <w:color w:val="000080"/>
      <w:sz w:val="20"/>
    </w:rPr>
  </w:style>
  <w:style w:type="character" w:customStyle="1" w:styleId="EmailStyle527">
    <w:name w:val="EmailStyle527"/>
    <w:basedOn w:val="DefaultParagraphFont"/>
    <w:semiHidden/>
    <w:rsid w:val="00442BD0"/>
    <w:rPr>
      <w:rFonts w:ascii="Arial" w:hAnsi="Arial" w:cs="Arial"/>
      <w:color w:val="000080"/>
      <w:sz w:val="20"/>
    </w:rPr>
  </w:style>
  <w:style w:type="character" w:customStyle="1" w:styleId="EmailStyle528">
    <w:name w:val="EmailStyle528"/>
    <w:basedOn w:val="DefaultParagraphFont"/>
    <w:semiHidden/>
    <w:rsid w:val="00442BD0"/>
    <w:rPr>
      <w:rFonts w:ascii="Arial" w:hAnsi="Arial" w:cs="Arial"/>
      <w:color w:val="993366"/>
      <w:sz w:val="20"/>
    </w:rPr>
  </w:style>
  <w:style w:type="character" w:customStyle="1" w:styleId="EmailStyle529">
    <w:name w:val="EmailStyle529"/>
    <w:basedOn w:val="DefaultParagraphFont"/>
    <w:semiHidden/>
    <w:rsid w:val="00442BD0"/>
    <w:rPr>
      <w:rFonts w:ascii="Arial" w:hAnsi="Arial" w:cs="Arial"/>
      <w:color w:val="000080"/>
      <w:sz w:val="20"/>
    </w:rPr>
  </w:style>
  <w:style w:type="character" w:customStyle="1" w:styleId="EmailStyle530">
    <w:name w:val="EmailStyle530"/>
    <w:basedOn w:val="DefaultParagraphFont"/>
    <w:semiHidden/>
    <w:rsid w:val="00442BD0"/>
    <w:rPr>
      <w:rFonts w:ascii="Arial" w:hAnsi="Arial" w:cs="Arial"/>
      <w:color w:val="000080"/>
      <w:sz w:val="20"/>
    </w:rPr>
  </w:style>
  <w:style w:type="character" w:customStyle="1" w:styleId="EmailStyle531">
    <w:name w:val="EmailStyle531"/>
    <w:basedOn w:val="DefaultParagraphFont"/>
    <w:semiHidden/>
    <w:rsid w:val="00442BD0"/>
    <w:rPr>
      <w:rFonts w:ascii="Arial" w:hAnsi="Arial" w:cs="Arial"/>
      <w:color w:val="000080"/>
      <w:sz w:val="20"/>
    </w:rPr>
  </w:style>
  <w:style w:type="character" w:customStyle="1" w:styleId="EmailStyle532">
    <w:name w:val="EmailStyle532"/>
    <w:basedOn w:val="DefaultParagraphFont"/>
    <w:semiHidden/>
    <w:rsid w:val="00442BD0"/>
    <w:rPr>
      <w:rFonts w:ascii="Arial" w:hAnsi="Arial" w:cs="Arial"/>
      <w:color w:val="993366"/>
      <w:sz w:val="20"/>
    </w:rPr>
  </w:style>
  <w:style w:type="character" w:customStyle="1" w:styleId="EmailStyle533">
    <w:name w:val="EmailStyle533"/>
    <w:basedOn w:val="DefaultParagraphFont"/>
    <w:semiHidden/>
    <w:rsid w:val="00442BD0"/>
    <w:rPr>
      <w:rFonts w:ascii="Arial" w:hAnsi="Arial" w:cs="Arial"/>
      <w:color w:val="993366"/>
      <w:sz w:val="20"/>
    </w:rPr>
  </w:style>
  <w:style w:type="character" w:customStyle="1" w:styleId="EmailStyle534">
    <w:name w:val="EmailStyle534"/>
    <w:basedOn w:val="DefaultParagraphFont"/>
    <w:semiHidden/>
    <w:rsid w:val="00442BD0"/>
    <w:rPr>
      <w:rFonts w:ascii="Arial" w:hAnsi="Arial" w:cs="Arial"/>
      <w:color w:val="993366"/>
      <w:sz w:val="20"/>
    </w:rPr>
  </w:style>
  <w:style w:type="character" w:customStyle="1" w:styleId="EmailStyle535">
    <w:name w:val="EmailStyle535"/>
    <w:basedOn w:val="DefaultParagraphFont"/>
    <w:semiHidden/>
    <w:rsid w:val="00442BD0"/>
    <w:rPr>
      <w:rFonts w:ascii="Arial" w:hAnsi="Arial" w:cs="Arial"/>
      <w:color w:val="993366"/>
      <w:sz w:val="20"/>
    </w:rPr>
  </w:style>
  <w:style w:type="character" w:customStyle="1" w:styleId="EmailStyle536">
    <w:name w:val="EmailStyle536"/>
    <w:basedOn w:val="DefaultParagraphFont"/>
    <w:semiHidden/>
    <w:rsid w:val="00442BD0"/>
    <w:rPr>
      <w:rFonts w:ascii="Arial" w:hAnsi="Arial" w:cs="Arial"/>
      <w:color w:val="993366"/>
      <w:sz w:val="20"/>
    </w:rPr>
  </w:style>
  <w:style w:type="character" w:customStyle="1" w:styleId="EmailStyle537">
    <w:name w:val="EmailStyle537"/>
    <w:basedOn w:val="DefaultParagraphFont"/>
    <w:semiHidden/>
    <w:rsid w:val="00442BD0"/>
    <w:rPr>
      <w:rFonts w:ascii="Arial" w:hAnsi="Arial" w:cs="Arial"/>
      <w:color w:val="993366"/>
      <w:sz w:val="20"/>
    </w:rPr>
  </w:style>
  <w:style w:type="character" w:customStyle="1" w:styleId="EmailStyle538">
    <w:name w:val="EmailStyle538"/>
    <w:basedOn w:val="DefaultParagraphFont"/>
    <w:semiHidden/>
    <w:rsid w:val="00442BD0"/>
    <w:rPr>
      <w:rFonts w:ascii="Arial" w:hAnsi="Arial" w:cs="Arial"/>
      <w:color w:val="993366"/>
      <w:sz w:val="20"/>
    </w:rPr>
  </w:style>
  <w:style w:type="character" w:customStyle="1" w:styleId="EmailStyle539">
    <w:name w:val="EmailStyle539"/>
    <w:basedOn w:val="DefaultParagraphFont"/>
    <w:semiHidden/>
    <w:rsid w:val="00442BD0"/>
    <w:rPr>
      <w:rFonts w:ascii="Arial" w:hAnsi="Arial" w:cs="Arial"/>
      <w:color w:val="993366"/>
      <w:sz w:val="20"/>
    </w:rPr>
  </w:style>
  <w:style w:type="character" w:customStyle="1" w:styleId="EmailStyle540">
    <w:name w:val="EmailStyle540"/>
    <w:basedOn w:val="DefaultParagraphFont"/>
    <w:semiHidden/>
    <w:rsid w:val="00442BD0"/>
    <w:rPr>
      <w:rFonts w:ascii="Arial" w:hAnsi="Arial" w:cs="Arial"/>
      <w:color w:val="993366"/>
      <w:sz w:val="20"/>
    </w:rPr>
  </w:style>
  <w:style w:type="character" w:customStyle="1" w:styleId="EmailStyle541">
    <w:name w:val="EmailStyle541"/>
    <w:basedOn w:val="DefaultParagraphFont"/>
    <w:semiHidden/>
    <w:rsid w:val="00442BD0"/>
    <w:rPr>
      <w:rFonts w:ascii="Arial" w:hAnsi="Arial" w:cs="Arial"/>
      <w:color w:val="993366"/>
      <w:sz w:val="20"/>
    </w:rPr>
  </w:style>
  <w:style w:type="character" w:customStyle="1" w:styleId="EmailStyle542">
    <w:name w:val="EmailStyle542"/>
    <w:basedOn w:val="DefaultParagraphFont"/>
    <w:semiHidden/>
    <w:rsid w:val="00442BD0"/>
    <w:rPr>
      <w:rFonts w:ascii="Arial" w:hAnsi="Arial" w:cs="Arial"/>
      <w:color w:val="000080"/>
      <w:sz w:val="20"/>
    </w:rPr>
  </w:style>
  <w:style w:type="character" w:customStyle="1" w:styleId="EmailStyle543">
    <w:name w:val="EmailStyle543"/>
    <w:basedOn w:val="DefaultParagraphFont"/>
    <w:semiHidden/>
    <w:rsid w:val="00442BD0"/>
    <w:rPr>
      <w:rFonts w:ascii="Arial" w:hAnsi="Arial" w:cs="Arial"/>
      <w:color w:val="993366"/>
      <w:sz w:val="20"/>
    </w:rPr>
  </w:style>
  <w:style w:type="character" w:customStyle="1" w:styleId="EmailStyle544">
    <w:name w:val="EmailStyle544"/>
    <w:basedOn w:val="DefaultParagraphFont"/>
    <w:semiHidden/>
    <w:rsid w:val="00442BD0"/>
    <w:rPr>
      <w:rFonts w:ascii="Arial" w:hAnsi="Arial" w:cs="Arial"/>
      <w:color w:val="000080"/>
      <w:sz w:val="20"/>
    </w:rPr>
  </w:style>
  <w:style w:type="character" w:customStyle="1" w:styleId="EmailStyle545">
    <w:name w:val="EmailStyle545"/>
    <w:basedOn w:val="DefaultParagraphFont"/>
    <w:semiHidden/>
    <w:rsid w:val="00442BD0"/>
    <w:rPr>
      <w:rFonts w:ascii="Arial" w:hAnsi="Arial" w:cs="Arial"/>
      <w:color w:val="993366"/>
      <w:sz w:val="20"/>
    </w:rPr>
  </w:style>
  <w:style w:type="character" w:customStyle="1" w:styleId="EmailStyle546">
    <w:name w:val="EmailStyle546"/>
    <w:basedOn w:val="DefaultParagraphFont"/>
    <w:semiHidden/>
    <w:rsid w:val="00442BD0"/>
    <w:rPr>
      <w:rFonts w:ascii="Arial" w:hAnsi="Arial" w:cs="Arial"/>
      <w:color w:val="000080"/>
      <w:sz w:val="20"/>
    </w:rPr>
  </w:style>
  <w:style w:type="character" w:customStyle="1" w:styleId="EmailStyle547">
    <w:name w:val="EmailStyle547"/>
    <w:basedOn w:val="DefaultParagraphFont"/>
    <w:semiHidden/>
    <w:rsid w:val="00442BD0"/>
    <w:rPr>
      <w:rFonts w:ascii="Arial" w:hAnsi="Arial" w:cs="Arial"/>
      <w:color w:val="993366"/>
      <w:sz w:val="20"/>
    </w:rPr>
  </w:style>
  <w:style w:type="character" w:customStyle="1" w:styleId="EmailStyle548">
    <w:name w:val="EmailStyle548"/>
    <w:basedOn w:val="DefaultParagraphFont"/>
    <w:semiHidden/>
    <w:rsid w:val="00442BD0"/>
    <w:rPr>
      <w:rFonts w:ascii="Arial" w:hAnsi="Arial" w:cs="Arial"/>
      <w:color w:val="000080"/>
      <w:sz w:val="20"/>
    </w:rPr>
  </w:style>
  <w:style w:type="character" w:customStyle="1" w:styleId="EmailStyle549">
    <w:name w:val="EmailStyle549"/>
    <w:basedOn w:val="DefaultParagraphFont"/>
    <w:semiHidden/>
    <w:rsid w:val="00442BD0"/>
    <w:rPr>
      <w:rFonts w:ascii="Arial" w:hAnsi="Arial" w:cs="Arial"/>
      <w:color w:val="993366"/>
      <w:sz w:val="20"/>
    </w:rPr>
  </w:style>
  <w:style w:type="character" w:customStyle="1" w:styleId="EmailStyle550">
    <w:name w:val="EmailStyle550"/>
    <w:basedOn w:val="DefaultParagraphFont"/>
    <w:semiHidden/>
    <w:rsid w:val="00442BD0"/>
    <w:rPr>
      <w:rFonts w:ascii="Arial" w:hAnsi="Arial" w:cs="Arial"/>
      <w:color w:val="000080"/>
      <w:sz w:val="20"/>
    </w:rPr>
  </w:style>
  <w:style w:type="character" w:customStyle="1" w:styleId="EmailStyle551">
    <w:name w:val="EmailStyle551"/>
    <w:basedOn w:val="DefaultParagraphFont"/>
    <w:semiHidden/>
    <w:rsid w:val="00442BD0"/>
    <w:rPr>
      <w:rFonts w:ascii="Arial" w:hAnsi="Arial" w:cs="Arial"/>
      <w:color w:val="993366"/>
      <w:sz w:val="20"/>
    </w:rPr>
  </w:style>
  <w:style w:type="character" w:customStyle="1" w:styleId="EmailStyle552">
    <w:name w:val="EmailStyle552"/>
    <w:basedOn w:val="DefaultParagraphFont"/>
    <w:semiHidden/>
    <w:rsid w:val="00442BD0"/>
    <w:rPr>
      <w:rFonts w:ascii="Arial" w:hAnsi="Arial" w:cs="Arial"/>
      <w:color w:val="000080"/>
      <w:sz w:val="20"/>
    </w:rPr>
  </w:style>
  <w:style w:type="character" w:customStyle="1" w:styleId="EmailStyle553">
    <w:name w:val="EmailStyle553"/>
    <w:basedOn w:val="DefaultParagraphFont"/>
    <w:semiHidden/>
    <w:rsid w:val="00442BD0"/>
    <w:rPr>
      <w:rFonts w:ascii="Arial" w:hAnsi="Arial" w:cs="Arial"/>
      <w:color w:val="993366"/>
      <w:sz w:val="20"/>
    </w:rPr>
  </w:style>
  <w:style w:type="character" w:customStyle="1" w:styleId="EmailStyle554">
    <w:name w:val="EmailStyle554"/>
    <w:basedOn w:val="DefaultParagraphFont"/>
    <w:semiHidden/>
    <w:rsid w:val="00442BD0"/>
    <w:rPr>
      <w:rFonts w:ascii="Arial" w:hAnsi="Arial" w:cs="Arial"/>
      <w:color w:val="000080"/>
      <w:sz w:val="20"/>
    </w:rPr>
  </w:style>
  <w:style w:type="character" w:customStyle="1" w:styleId="EmailStyle555">
    <w:name w:val="EmailStyle555"/>
    <w:basedOn w:val="DefaultParagraphFont"/>
    <w:semiHidden/>
    <w:rsid w:val="00442BD0"/>
    <w:rPr>
      <w:rFonts w:ascii="Arial" w:hAnsi="Arial" w:cs="Arial"/>
      <w:color w:val="993366"/>
      <w:sz w:val="20"/>
    </w:rPr>
  </w:style>
  <w:style w:type="character" w:customStyle="1" w:styleId="EmailStyle556">
    <w:name w:val="EmailStyle556"/>
    <w:basedOn w:val="DefaultParagraphFont"/>
    <w:semiHidden/>
    <w:rsid w:val="00442BD0"/>
    <w:rPr>
      <w:rFonts w:ascii="Arial" w:hAnsi="Arial" w:cs="Arial"/>
      <w:color w:val="000080"/>
      <w:sz w:val="20"/>
    </w:rPr>
  </w:style>
  <w:style w:type="character" w:customStyle="1" w:styleId="EmailStyle557">
    <w:name w:val="EmailStyle557"/>
    <w:basedOn w:val="DefaultParagraphFont"/>
    <w:semiHidden/>
    <w:rsid w:val="00442BD0"/>
    <w:rPr>
      <w:rFonts w:ascii="Arial" w:hAnsi="Arial" w:cs="Arial"/>
      <w:color w:val="993366"/>
      <w:sz w:val="20"/>
    </w:rPr>
  </w:style>
  <w:style w:type="character" w:customStyle="1" w:styleId="EmailStyle558">
    <w:name w:val="EmailStyle558"/>
    <w:basedOn w:val="DefaultParagraphFont"/>
    <w:semiHidden/>
    <w:rsid w:val="00442BD0"/>
    <w:rPr>
      <w:rFonts w:ascii="Arial" w:hAnsi="Arial" w:cs="Arial"/>
      <w:color w:val="000080"/>
      <w:sz w:val="20"/>
    </w:rPr>
  </w:style>
  <w:style w:type="character" w:customStyle="1" w:styleId="EmailStyle559">
    <w:name w:val="EmailStyle559"/>
    <w:basedOn w:val="DefaultParagraphFont"/>
    <w:semiHidden/>
    <w:rsid w:val="00442BD0"/>
    <w:rPr>
      <w:rFonts w:ascii="Arial" w:hAnsi="Arial" w:cs="Arial"/>
      <w:color w:val="993366"/>
      <w:sz w:val="20"/>
    </w:rPr>
  </w:style>
  <w:style w:type="character" w:customStyle="1" w:styleId="EmailStyle560">
    <w:name w:val="EmailStyle560"/>
    <w:basedOn w:val="DefaultParagraphFont"/>
    <w:semiHidden/>
    <w:rsid w:val="00442BD0"/>
    <w:rPr>
      <w:rFonts w:ascii="Arial" w:hAnsi="Arial" w:cs="Arial"/>
      <w:color w:val="000080"/>
      <w:sz w:val="20"/>
    </w:rPr>
  </w:style>
  <w:style w:type="character" w:customStyle="1" w:styleId="EmailStyle561">
    <w:name w:val="EmailStyle561"/>
    <w:basedOn w:val="DefaultParagraphFont"/>
    <w:semiHidden/>
    <w:rsid w:val="00442BD0"/>
    <w:rPr>
      <w:rFonts w:ascii="Arial" w:hAnsi="Arial" w:cs="Arial"/>
      <w:color w:val="993366"/>
      <w:sz w:val="20"/>
    </w:rPr>
  </w:style>
  <w:style w:type="character" w:customStyle="1" w:styleId="EmailStyle562">
    <w:name w:val="EmailStyle562"/>
    <w:basedOn w:val="DefaultParagraphFont"/>
    <w:semiHidden/>
    <w:rsid w:val="00442BD0"/>
    <w:rPr>
      <w:rFonts w:ascii="Arial" w:hAnsi="Arial" w:cs="Arial"/>
      <w:color w:val="000080"/>
      <w:sz w:val="20"/>
    </w:rPr>
  </w:style>
  <w:style w:type="character" w:customStyle="1" w:styleId="EmailStyle563">
    <w:name w:val="EmailStyle563"/>
    <w:basedOn w:val="DefaultParagraphFont"/>
    <w:semiHidden/>
    <w:rsid w:val="00442BD0"/>
    <w:rPr>
      <w:rFonts w:ascii="Arial" w:hAnsi="Arial" w:cs="Arial"/>
      <w:color w:val="993366"/>
      <w:sz w:val="20"/>
    </w:rPr>
  </w:style>
  <w:style w:type="character" w:customStyle="1" w:styleId="EmailStyle564">
    <w:name w:val="EmailStyle564"/>
    <w:basedOn w:val="DefaultParagraphFont"/>
    <w:semiHidden/>
    <w:rsid w:val="00442BD0"/>
    <w:rPr>
      <w:rFonts w:ascii="Arial" w:hAnsi="Arial" w:cs="Arial"/>
      <w:color w:val="000080"/>
      <w:sz w:val="20"/>
    </w:rPr>
  </w:style>
  <w:style w:type="character" w:customStyle="1" w:styleId="EmailStyle565">
    <w:name w:val="EmailStyle565"/>
    <w:basedOn w:val="DefaultParagraphFont"/>
    <w:semiHidden/>
    <w:rsid w:val="00442BD0"/>
    <w:rPr>
      <w:rFonts w:ascii="Arial" w:hAnsi="Arial" w:cs="Arial"/>
      <w:color w:val="993366"/>
      <w:sz w:val="20"/>
    </w:rPr>
  </w:style>
  <w:style w:type="character" w:customStyle="1" w:styleId="EmailStyle566">
    <w:name w:val="EmailStyle566"/>
    <w:basedOn w:val="DefaultParagraphFont"/>
    <w:semiHidden/>
    <w:rsid w:val="00442BD0"/>
    <w:rPr>
      <w:rFonts w:ascii="Arial" w:hAnsi="Arial" w:cs="Arial"/>
      <w:color w:val="000080"/>
      <w:sz w:val="20"/>
    </w:rPr>
  </w:style>
  <w:style w:type="character" w:customStyle="1" w:styleId="EmailStyle567">
    <w:name w:val="EmailStyle567"/>
    <w:basedOn w:val="DefaultParagraphFont"/>
    <w:semiHidden/>
    <w:rsid w:val="00442BD0"/>
    <w:rPr>
      <w:rFonts w:ascii="Arial" w:hAnsi="Arial" w:cs="Arial"/>
      <w:color w:val="993366"/>
      <w:sz w:val="20"/>
    </w:rPr>
  </w:style>
  <w:style w:type="character" w:customStyle="1" w:styleId="EmailStyle568">
    <w:name w:val="EmailStyle568"/>
    <w:basedOn w:val="DefaultParagraphFont"/>
    <w:semiHidden/>
    <w:rsid w:val="00442BD0"/>
    <w:rPr>
      <w:rFonts w:ascii="Arial" w:hAnsi="Arial" w:cs="Arial"/>
      <w:color w:val="000080"/>
      <w:sz w:val="20"/>
    </w:rPr>
  </w:style>
  <w:style w:type="character" w:customStyle="1" w:styleId="EmailStyle569">
    <w:name w:val="EmailStyle569"/>
    <w:basedOn w:val="DefaultParagraphFont"/>
    <w:semiHidden/>
    <w:rsid w:val="00442BD0"/>
    <w:rPr>
      <w:rFonts w:ascii="Arial" w:hAnsi="Arial" w:cs="Arial"/>
      <w:color w:val="993366"/>
      <w:sz w:val="20"/>
    </w:rPr>
  </w:style>
  <w:style w:type="character" w:customStyle="1" w:styleId="EmailStyle570">
    <w:name w:val="EmailStyle570"/>
    <w:basedOn w:val="DefaultParagraphFont"/>
    <w:semiHidden/>
    <w:rsid w:val="00442BD0"/>
    <w:rPr>
      <w:rFonts w:ascii="Arial" w:hAnsi="Arial" w:cs="Arial"/>
      <w:color w:val="000080"/>
      <w:sz w:val="20"/>
    </w:rPr>
  </w:style>
  <w:style w:type="character" w:customStyle="1" w:styleId="EmailStyle571">
    <w:name w:val="EmailStyle571"/>
    <w:basedOn w:val="DefaultParagraphFont"/>
    <w:semiHidden/>
    <w:rsid w:val="00442BD0"/>
    <w:rPr>
      <w:rFonts w:ascii="Arial" w:hAnsi="Arial" w:cs="Arial"/>
      <w:color w:val="993366"/>
      <w:sz w:val="20"/>
    </w:rPr>
  </w:style>
  <w:style w:type="character" w:customStyle="1" w:styleId="EmailStyle572">
    <w:name w:val="EmailStyle572"/>
    <w:basedOn w:val="DefaultParagraphFont"/>
    <w:semiHidden/>
    <w:rsid w:val="00442BD0"/>
    <w:rPr>
      <w:rFonts w:ascii="Arial" w:hAnsi="Arial" w:cs="Arial"/>
      <w:color w:val="000080"/>
      <w:sz w:val="20"/>
    </w:rPr>
  </w:style>
  <w:style w:type="character" w:customStyle="1" w:styleId="EmailStyle573">
    <w:name w:val="EmailStyle573"/>
    <w:basedOn w:val="DefaultParagraphFont"/>
    <w:semiHidden/>
    <w:rsid w:val="00442BD0"/>
    <w:rPr>
      <w:rFonts w:ascii="Arial" w:hAnsi="Arial" w:cs="Arial"/>
      <w:color w:val="993366"/>
      <w:sz w:val="20"/>
    </w:rPr>
  </w:style>
  <w:style w:type="character" w:customStyle="1" w:styleId="EmailStyle574">
    <w:name w:val="EmailStyle574"/>
    <w:basedOn w:val="DefaultParagraphFont"/>
    <w:semiHidden/>
    <w:rsid w:val="00442BD0"/>
    <w:rPr>
      <w:rFonts w:ascii="Arial" w:hAnsi="Arial" w:cs="Arial"/>
      <w:color w:val="000080"/>
      <w:sz w:val="20"/>
    </w:rPr>
  </w:style>
  <w:style w:type="character" w:customStyle="1" w:styleId="EmailStyle575">
    <w:name w:val="EmailStyle575"/>
    <w:basedOn w:val="DefaultParagraphFont"/>
    <w:semiHidden/>
    <w:rsid w:val="00442BD0"/>
    <w:rPr>
      <w:rFonts w:ascii="Arial" w:hAnsi="Arial" w:cs="Arial"/>
      <w:color w:val="993366"/>
      <w:sz w:val="20"/>
    </w:rPr>
  </w:style>
  <w:style w:type="character" w:customStyle="1" w:styleId="EmailStyle576">
    <w:name w:val="EmailStyle576"/>
    <w:basedOn w:val="DefaultParagraphFont"/>
    <w:semiHidden/>
    <w:rsid w:val="00442BD0"/>
    <w:rPr>
      <w:rFonts w:ascii="Arial" w:hAnsi="Arial" w:cs="Arial"/>
      <w:color w:val="000080"/>
      <w:sz w:val="20"/>
    </w:rPr>
  </w:style>
  <w:style w:type="character" w:customStyle="1" w:styleId="EmailStyle577">
    <w:name w:val="EmailStyle577"/>
    <w:basedOn w:val="DefaultParagraphFont"/>
    <w:semiHidden/>
    <w:rsid w:val="00442BD0"/>
    <w:rPr>
      <w:rFonts w:ascii="Arial" w:hAnsi="Arial" w:cs="Arial"/>
      <w:color w:val="993366"/>
      <w:sz w:val="20"/>
    </w:rPr>
  </w:style>
  <w:style w:type="character" w:customStyle="1" w:styleId="EmailStyle578">
    <w:name w:val="EmailStyle578"/>
    <w:basedOn w:val="DefaultParagraphFont"/>
    <w:semiHidden/>
    <w:rsid w:val="00442BD0"/>
    <w:rPr>
      <w:rFonts w:ascii="Arial" w:hAnsi="Arial" w:cs="Arial"/>
      <w:color w:val="000080"/>
      <w:sz w:val="20"/>
    </w:rPr>
  </w:style>
  <w:style w:type="character" w:customStyle="1" w:styleId="EmailStyle579">
    <w:name w:val="EmailStyle579"/>
    <w:basedOn w:val="DefaultParagraphFont"/>
    <w:semiHidden/>
    <w:rsid w:val="00442BD0"/>
    <w:rPr>
      <w:rFonts w:ascii="Arial" w:hAnsi="Arial" w:cs="Arial"/>
      <w:color w:val="993366"/>
      <w:sz w:val="20"/>
    </w:rPr>
  </w:style>
  <w:style w:type="character" w:customStyle="1" w:styleId="EmailStyle580">
    <w:name w:val="EmailStyle580"/>
    <w:basedOn w:val="DefaultParagraphFont"/>
    <w:semiHidden/>
    <w:rsid w:val="00442BD0"/>
    <w:rPr>
      <w:rFonts w:ascii="Arial" w:hAnsi="Arial" w:cs="Arial"/>
      <w:color w:val="000080"/>
      <w:sz w:val="20"/>
    </w:rPr>
  </w:style>
  <w:style w:type="character" w:customStyle="1" w:styleId="EmailStyle581">
    <w:name w:val="EmailStyle581"/>
    <w:basedOn w:val="DefaultParagraphFont"/>
    <w:semiHidden/>
    <w:rsid w:val="00442BD0"/>
    <w:rPr>
      <w:rFonts w:ascii="Arial" w:hAnsi="Arial" w:cs="Arial"/>
      <w:color w:val="993366"/>
      <w:sz w:val="20"/>
    </w:rPr>
  </w:style>
  <w:style w:type="character" w:customStyle="1" w:styleId="EmailStyle582">
    <w:name w:val="EmailStyle582"/>
    <w:basedOn w:val="DefaultParagraphFont"/>
    <w:semiHidden/>
    <w:rsid w:val="00442BD0"/>
    <w:rPr>
      <w:rFonts w:ascii="Arial" w:hAnsi="Arial" w:cs="Arial"/>
      <w:color w:val="000080"/>
      <w:sz w:val="20"/>
    </w:rPr>
  </w:style>
  <w:style w:type="character" w:customStyle="1" w:styleId="EmailStyle583">
    <w:name w:val="EmailStyle583"/>
    <w:basedOn w:val="DefaultParagraphFont"/>
    <w:semiHidden/>
    <w:rsid w:val="00442BD0"/>
    <w:rPr>
      <w:rFonts w:ascii="Arial" w:hAnsi="Arial" w:cs="Arial"/>
      <w:color w:val="993366"/>
      <w:sz w:val="20"/>
    </w:rPr>
  </w:style>
  <w:style w:type="character" w:customStyle="1" w:styleId="EmailStyle584">
    <w:name w:val="EmailStyle584"/>
    <w:basedOn w:val="DefaultParagraphFont"/>
    <w:semiHidden/>
    <w:rsid w:val="00442BD0"/>
    <w:rPr>
      <w:rFonts w:ascii="Arial" w:hAnsi="Arial" w:cs="Arial"/>
      <w:color w:val="000080"/>
      <w:sz w:val="20"/>
    </w:rPr>
  </w:style>
  <w:style w:type="character" w:customStyle="1" w:styleId="EmailStyle585">
    <w:name w:val="EmailStyle585"/>
    <w:basedOn w:val="DefaultParagraphFont"/>
    <w:semiHidden/>
    <w:rsid w:val="00442BD0"/>
    <w:rPr>
      <w:rFonts w:ascii="Arial" w:hAnsi="Arial" w:cs="Arial"/>
      <w:color w:val="993366"/>
      <w:sz w:val="20"/>
    </w:rPr>
  </w:style>
  <w:style w:type="character" w:customStyle="1" w:styleId="EmailStyle586">
    <w:name w:val="EmailStyle586"/>
    <w:basedOn w:val="DefaultParagraphFont"/>
    <w:semiHidden/>
    <w:rsid w:val="00442BD0"/>
    <w:rPr>
      <w:rFonts w:ascii="Arial" w:hAnsi="Arial" w:cs="Arial"/>
      <w:color w:val="000080"/>
      <w:sz w:val="20"/>
    </w:rPr>
  </w:style>
  <w:style w:type="character" w:customStyle="1" w:styleId="EmailStyle587">
    <w:name w:val="EmailStyle587"/>
    <w:basedOn w:val="DefaultParagraphFont"/>
    <w:semiHidden/>
    <w:rsid w:val="00442BD0"/>
    <w:rPr>
      <w:rFonts w:ascii="Arial" w:hAnsi="Arial" w:cs="Arial"/>
      <w:color w:val="993366"/>
      <w:sz w:val="20"/>
    </w:rPr>
  </w:style>
  <w:style w:type="character" w:customStyle="1" w:styleId="EmailStyle588">
    <w:name w:val="EmailStyle588"/>
    <w:basedOn w:val="DefaultParagraphFont"/>
    <w:semiHidden/>
    <w:rsid w:val="00442BD0"/>
    <w:rPr>
      <w:rFonts w:ascii="Arial" w:hAnsi="Arial" w:cs="Arial"/>
      <w:color w:val="000080"/>
      <w:sz w:val="20"/>
    </w:rPr>
  </w:style>
  <w:style w:type="character" w:customStyle="1" w:styleId="EmailStyle589">
    <w:name w:val="EmailStyle589"/>
    <w:basedOn w:val="DefaultParagraphFont"/>
    <w:semiHidden/>
    <w:rsid w:val="00442BD0"/>
    <w:rPr>
      <w:rFonts w:ascii="Arial" w:hAnsi="Arial" w:cs="Arial"/>
      <w:color w:val="993366"/>
      <w:sz w:val="20"/>
    </w:rPr>
  </w:style>
  <w:style w:type="character" w:customStyle="1" w:styleId="EmailStyle590">
    <w:name w:val="EmailStyle590"/>
    <w:basedOn w:val="DefaultParagraphFont"/>
    <w:semiHidden/>
    <w:rsid w:val="00442BD0"/>
    <w:rPr>
      <w:rFonts w:ascii="Arial" w:hAnsi="Arial" w:cs="Arial"/>
      <w:color w:val="000080"/>
      <w:sz w:val="20"/>
    </w:rPr>
  </w:style>
  <w:style w:type="character" w:customStyle="1" w:styleId="EmailStyle591">
    <w:name w:val="EmailStyle591"/>
    <w:basedOn w:val="DefaultParagraphFont"/>
    <w:semiHidden/>
    <w:rsid w:val="00442BD0"/>
    <w:rPr>
      <w:rFonts w:ascii="Arial" w:hAnsi="Arial" w:cs="Arial"/>
      <w:color w:val="993366"/>
      <w:sz w:val="20"/>
    </w:rPr>
  </w:style>
  <w:style w:type="character" w:customStyle="1" w:styleId="EmailStyle592">
    <w:name w:val="EmailStyle592"/>
    <w:basedOn w:val="DefaultParagraphFont"/>
    <w:semiHidden/>
    <w:rsid w:val="00442BD0"/>
    <w:rPr>
      <w:rFonts w:ascii="Arial" w:hAnsi="Arial" w:cs="Arial"/>
      <w:color w:val="000080"/>
      <w:sz w:val="20"/>
    </w:rPr>
  </w:style>
  <w:style w:type="character" w:customStyle="1" w:styleId="EmailStyle593">
    <w:name w:val="EmailStyle593"/>
    <w:basedOn w:val="DefaultParagraphFont"/>
    <w:semiHidden/>
    <w:rsid w:val="00442BD0"/>
    <w:rPr>
      <w:rFonts w:ascii="Arial" w:hAnsi="Arial" w:cs="Arial"/>
      <w:color w:val="993366"/>
      <w:sz w:val="20"/>
    </w:rPr>
  </w:style>
  <w:style w:type="character" w:customStyle="1" w:styleId="EmailStyle594">
    <w:name w:val="EmailStyle594"/>
    <w:basedOn w:val="DefaultParagraphFont"/>
    <w:semiHidden/>
    <w:rsid w:val="00442BD0"/>
    <w:rPr>
      <w:rFonts w:ascii="Arial" w:hAnsi="Arial" w:cs="Arial"/>
      <w:color w:val="000080"/>
      <w:sz w:val="20"/>
    </w:rPr>
  </w:style>
  <w:style w:type="character" w:customStyle="1" w:styleId="EmailStyle595">
    <w:name w:val="EmailStyle595"/>
    <w:basedOn w:val="DefaultParagraphFont"/>
    <w:semiHidden/>
    <w:rsid w:val="00442BD0"/>
    <w:rPr>
      <w:rFonts w:ascii="Arial" w:hAnsi="Arial" w:cs="Arial"/>
      <w:color w:val="993366"/>
      <w:sz w:val="20"/>
    </w:rPr>
  </w:style>
  <w:style w:type="character" w:customStyle="1" w:styleId="EmailStyle596">
    <w:name w:val="EmailStyle596"/>
    <w:basedOn w:val="DefaultParagraphFont"/>
    <w:semiHidden/>
    <w:rsid w:val="00442BD0"/>
    <w:rPr>
      <w:rFonts w:ascii="Arial" w:hAnsi="Arial" w:cs="Arial"/>
      <w:color w:val="000080"/>
      <w:sz w:val="20"/>
    </w:rPr>
  </w:style>
  <w:style w:type="character" w:customStyle="1" w:styleId="EmailStyle597">
    <w:name w:val="EmailStyle597"/>
    <w:basedOn w:val="DefaultParagraphFont"/>
    <w:semiHidden/>
    <w:rsid w:val="00442BD0"/>
    <w:rPr>
      <w:rFonts w:ascii="Arial" w:hAnsi="Arial" w:cs="Arial"/>
      <w:color w:val="993366"/>
      <w:sz w:val="20"/>
    </w:rPr>
  </w:style>
  <w:style w:type="character" w:customStyle="1" w:styleId="EmailStyle598">
    <w:name w:val="EmailStyle598"/>
    <w:basedOn w:val="DefaultParagraphFont"/>
    <w:semiHidden/>
    <w:rsid w:val="00442BD0"/>
    <w:rPr>
      <w:rFonts w:ascii="Arial" w:hAnsi="Arial" w:cs="Arial"/>
      <w:color w:val="000080"/>
      <w:sz w:val="20"/>
    </w:rPr>
  </w:style>
  <w:style w:type="character" w:customStyle="1" w:styleId="EmailStyle599">
    <w:name w:val="EmailStyle599"/>
    <w:basedOn w:val="DefaultParagraphFont"/>
    <w:semiHidden/>
    <w:rsid w:val="00442BD0"/>
    <w:rPr>
      <w:rFonts w:ascii="Arial" w:hAnsi="Arial" w:cs="Arial"/>
      <w:color w:val="993366"/>
      <w:sz w:val="20"/>
    </w:rPr>
  </w:style>
  <w:style w:type="character" w:customStyle="1" w:styleId="EmailStyle600">
    <w:name w:val="EmailStyle600"/>
    <w:basedOn w:val="DefaultParagraphFont"/>
    <w:semiHidden/>
    <w:rsid w:val="00442BD0"/>
    <w:rPr>
      <w:rFonts w:ascii="Arial" w:hAnsi="Arial" w:cs="Arial"/>
      <w:color w:val="000080"/>
      <w:sz w:val="20"/>
    </w:rPr>
  </w:style>
  <w:style w:type="character" w:customStyle="1" w:styleId="EmailStyle601">
    <w:name w:val="EmailStyle601"/>
    <w:basedOn w:val="DefaultParagraphFont"/>
    <w:semiHidden/>
    <w:rsid w:val="00442BD0"/>
    <w:rPr>
      <w:rFonts w:ascii="Arial" w:hAnsi="Arial" w:cs="Arial"/>
      <w:color w:val="993366"/>
      <w:sz w:val="20"/>
    </w:rPr>
  </w:style>
  <w:style w:type="character" w:customStyle="1" w:styleId="EmailStyle602">
    <w:name w:val="EmailStyle602"/>
    <w:basedOn w:val="DefaultParagraphFont"/>
    <w:semiHidden/>
    <w:rsid w:val="00442BD0"/>
    <w:rPr>
      <w:rFonts w:ascii="Arial" w:hAnsi="Arial" w:cs="Arial"/>
      <w:color w:val="000080"/>
      <w:sz w:val="20"/>
    </w:rPr>
  </w:style>
  <w:style w:type="character" w:customStyle="1" w:styleId="EmailStyle603">
    <w:name w:val="EmailStyle603"/>
    <w:basedOn w:val="DefaultParagraphFont"/>
    <w:semiHidden/>
    <w:rsid w:val="00442BD0"/>
    <w:rPr>
      <w:rFonts w:ascii="Arial" w:hAnsi="Arial" w:cs="Arial"/>
      <w:color w:val="993366"/>
      <w:sz w:val="20"/>
    </w:rPr>
  </w:style>
  <w:style w:type="character" w:customStyle="1" w:styleId="EmailStyle604">
    <w:name w:val="EmailStyle604"/>
    <w:basedOn w:val="DefaultParagraphFont"/>
    <w:semiHidden/>
    <w:rsid w:val="00442BD0"/>
    <w:rPr>
      <w:rFonts w:ascii="Arial" w:hAnsi="Arial" w:cs="Arial"/>
      <w:color w:val="000080"/>
      <w:sz w:val="20"/>
    </w:rPr>
  </w:style>
  <w:style w:type="character" w:customStyle="1" w:styleId="EmailStyle605">
    <w:name w:val="EmailStyle605"/>
    <w:basedOn w:val="DefaultParagraphFont"/>
    <w:semiHidden/>
    <w:rsid w:val="00442BD0"/>
    <w:rPr>
      <w:rFonts w:ascii="Arial" w:hAnsi="Arial" w:cs="Arial"/>
      <w:color w:val="000080"/>
      <w:sz w:val="20"/>
    </w:rPr>
  </w:style>
  <w:style w:type="character" w:customStyle="1" w:styleId="EmailStyle606">
    <w:name w:val="EmailStyle606"/>
    <w:basedOn w:val="DefaultParagraphFont"/>
    <w:semiHidden/>
    <w:rsid w:val="00442BD0"/>
    <w:rPr>
      <w:rFonts w:ascii="Arial" w:hAnsi="Arial" w:cs="Arial"/>
      <w:color w:val="993366"/>
      <w:sz w:val="20"/>
    </w:rPr>
  </w:style>
  <w:style w:type="character" w:customStyle="1" w:styleId="EmailStyle607">
    <w:name w:val="EmailStyle607"/>
    <w:basedOn w:val="DefaultParagraphFont"/>
    <w:semiHidden/>
    <w:rsid w:val="00442BD0"/>
    <w:rPr>
      <w:rFonts w:ascii="Arial" w:hAnsi="Arial" w:cs="Arial"/>
      <w:color w:val="000080"/>
      <w:sz w:val="20"/>
    </w:rPr>
  </w:style>
  <w:style w:type="character" w:customStyle="1" w:styleId="EmailStyle608">
    <w:name w:val="EmailStyle608"/>
    <w:basedOn w:val="DefaultParagraphFont"/>
    <w:semiHidden/>
    <w:rsid w:val="00442BD0"/>
    <w:rPr>
      <w:rFonts w:ascii="Arial" w:hAnsi="Arial" w:cs="Arial"/>
      <w:color w:val="993366"/>
      <w:sz w:val="20"/>
    </w:rPr>
  </w:style>
  <w:style w:type="character" w:customStyle="1" w:styleId="EmailStyle609">
    <w:name w:val="EmailStyle609"/>
    <w:basedOn w:val="DefaultParagraphFont"/>
    <w:semiHidden/>
    <w:rsid w:val="00442BD0"/>
    <w:rPr>
      <w:rFonts w:ascii="Arial" w:hAnsi="Arial" w:cs="Arial"/>
      <w:color w:val="000080"/>
      <w:sz w:val="20"/>
    </w:rPr>
  </w:style>
  <w:style w:type="character" w:customStyle="1" w:styleId="EmailStyle610">
    <w:name w:val="EmailStyle610"/>
    <w:basedOn w:val="DefaultParagraphFont"/>
    <w:semiHidden/>
    <w:rsid w:val="00442BD0"/>
    <w:rPr>
      <w:rFonts w:ascii="Arial" w:hAnsi="Arial" w:cs="Arial"/>
      <w:color w:val="000080"/>
      <w:sz w:val="20"/>
    </w:rPr>
  </w:style>
  <w:style w:type="character" w:customStyle="1" w:styleId="EmailStyle611">
    <w:name w:val="EmailStyle611"/>
    <w:basedOn w:val="DefaultParagraphFont"/>
    <w:semiHidden/>
    <w:rsid w:val="00442BD0"/>
    <w:rPr>
      <w:rFonts w:ascii="Arial" w:hAnsi="Arial" w:cs="Arial"/>
      <w:color w:val="993366"/>
      <w:sz w:val="20"/>
    </w:rPr>
  </w:style>
  <w:style w:type="character" w:customStyle="1" w:styleId="EmailStyle612">
    <w:name w:val="EmailStyle612"/>
    <w:basedOn w:val="DefaultParagraphFont"/>
    <w:semiHidden/>
    <w:rsid w:val="00442BD0"/>
    <w:rPr>
      <w:rFonts w:ascii="Arial" w:hAnsi="Arial" w:cs="Arial"/>
      <w:color w:val="000080"/>
      <w:sz w:val="20"/>
    </w:rPr>
  </w:style>
  <w:style w:type="character" w:customStyle="1" w:styleId="EmailStyle613">
    <w:name w:val="EmailStyle613"/>
    <w:basedOn w:val="DefaultParagraphFont"/>
    <w:semiHidden/>
    <w:rsid w:val="00442BD0"/>
    <w:rPr>
      <w:rFonts w:ascii="Arial" w:hAnsi="Arial" w:cs="Arial"/>
      <w:color w:val="993366"/>
      <w:sz w:val="20"/>
    </w:rPr>
  </w:style>
  <w:style w:type="character" w:customStyle="1" w:styleId="EmailStyle614">
    <w:name w:val="EmailStyle614"/>
    <w:basedOn w:val="DefaultParagraphFont"/>
    <w:semiHidden/>
    <w:rsid w:val="00442BD0"/>
    <w:rPr>
      <w:rFonts w:ascii="Arial" w:hAnsi="Arial" w:cs="Arial"/>
      <w:color w:val="000080"/>
      <w:sz w:val="20"/>
    </w:rPr>
  </w:style>
  <w:style w:type="character" w:customStyle="1" w:styleId="EmailStyle615">
    <w:name w:val="EmailStyle615"/>
    <w:basedOn w:val="DefaultParagraphFont"/>
    <w:semiHidden/>
    <w:rsid w:val="00442BD0"/>
    <w:rPr>
      <w:rFonts w:ascii="Arial" w:hAnsi="Arial" w:cs="Arial"/>
      <w:color w:val="000080"/>
      <w:sz w:val="20"/>
    </w:rPr>
  </w:style>
  <w:style w:type="character" w:customStyle="1" w:styleId="EmailStyle616">
    <w:name w:val="EmailStyle616"/>
    <w:basedOn w:val="DefaultParagraphFont"/>
    <w:semiHidden/>
    <w:rsid w:val="00442BD0"/>
    <w:rPr>
      <w:rFonts w:ascii="Arial" w:hAnsi="Arial" w:cs="Arial"/>
      <w:color w:val="993366"/>
      <w:sz w:val="20"/>
    </w:rPr>
  </w:style>
  <w:style w:type="character" w:customStyle="1" w:styleId="EmailStyle617">
    <w:name w:val="EmailStyle617"/>
    <w:basedOn w:val="DefaultParagraphFont"/>
    <w:semiHidden/>
    <w:rsid w:val="00442BD0"/>
    <w:rPr>
      <w:rFonts w:ascii="Arial" w:hAnsi="Arial" w:cs="Arial"/>
      <w:color w:val="000080"/>
      <w:sz w:val="20"/>
    </w:rPr>
  </w:style>
  <w:style w:type="character" w:customStyle="1" w:styleId="EmailStyle618">
    <w:name w:val="EmailStyle618"/>
    <w:basedOn w:val="DefaultParagraphFont"/>
    <w:semiHidden/>
    <w:rsid w:val="00442BD0"/>
    <w:rPr>
      <w:rFonts w:ascii="Arial" w:hAnsi="Arial" w:cs="Arial"/>
      <w:color w:val="993366"/>
      <w:sz w:val="20"/>
    </w:rPr>
  </w:style>
  <w:style w:type="character" w:customStyle="1" w:styleId="EmailStyle619">
    <w:name w:val="EmailStyle619"/>
    <w:basedOn w:val="DefaultParagraphFont"/>
    <w:semiHidden/>
    <w:rsid w:val="00442BD0"/>
    <w:rPr>
      <w:rFonts w:ascii="Arial" w:hAnsi="Arial" w:cs="Arial"/>
      <w:color w:val="000080"/>
      <w:sz w:val="20"/>
    </w:rPr>
  </w:style>
  <w:style w:type="character" w:customStyle="1" w:styleId="EmailStyle620">
    <w:name w:val="EmailStyle620"/>
    <w:basedOn w:val="DefaultParagraphFont"/>
    <w:semiHidden/>
    <w:rsid w:val="00442BD0"/>
    <w:rPr>
      <w:rFonts w:ascii="Arial" w:hAnsi="Arial" w:cs="Arial"/>
      <w:color w:val="000080"/>
      <w:sz w:val="20"/>
    </w:rPr>
  </w:style>
  <w:style w:type="character" w:customStyle="1" w:styleId="citation">
    <w:name w:val="citation"/>
    <w:basedOn w:val="DefaultParagraphFont"/>
    <w:rsid w:val="00442BD0"/>
  </w:style>
  <w:style w:type="character" w:customStyle="1" w:styleId="printonly">
    <w:name w:val="printonly"/>
    <w:basedOn w:val="DefaultParagraphFont"/>
    <w:rsid w:val="00442BD0"/>
  </w:style>
  <w:style w:type="character" w:customStyle="1" w:styleId="reference-accessdate">
    <w:name w:val="reference-accessdate"/>
    <w:basedOn w:val="DefaultParagraphFont"/>
    <w:rsid w:val="00442BD0"/>
  </w:style>
  <w:style w:type="character" w:customStyle="1" w:styleId="z3988">
    <w:name w:val="z3988"/>
    <w:basedOn w:val="DefaultParagraphFont"/>
    <w:rsid w:val="00442BD0"/>
  </w:style>
  <w:style w:type="character" w:customStyle="1" w:styleId="reference-text">
    <w:name w:val="reference-text"/>
    <w:basedOn w:val="DefaultParagraphFont"/>
    <w:rsid w:val="00442BD0"/>
  </w:style>
  <w:style w:type="character" w:customStyle="1" w:styleId="Heading1Char1">
    <w:name w:val="Heading 1 Char1"/>
    <w:basedOn w:val="DefaultParagraphFont"/>
    <w:rsid w:val="00EC1DFF"/>
    <w:rPr>
      <w:rFonts w:ascii="Calibri" w:eastAsiaTheme="majorEastAsia" w:hAnsi="Calibri" w:cstheme="majorBidi"/>
      <w:b/>
      <w:bCs/>
      <w:color w:val="0070C0"/>
      <w:sz w:val="36"/>
      <w:szCs w:val="28"/>
    </w:rPr>
  </w:style>
  <w:style w:type="character" w:customStyle="1" w:styleId="Heading3Char1">
    <w:name w:val="Heading 3 Char1"/>
    <w:basedOn w:val="DefaultParagraphFont"/>
    <w:rsid w:val="00B75218"/>
    <w:rPr>
      <w:rFonts w:ascii="Calibri" w:eastAsiaTheme="majorEastAsia" w:hAnsi="Calibri" w:cstheme="majorBidi"/>
      <w:b/>
      <w:bCs/>
    </w:rPr>
  </w:style>
  <w:style w:type="character" w:customStyle="1" w:styleId="Heading4Char1">
    <w:name w:val="Heading 4 Char1"/>
    <w:basedOn w:val="DefaultParagraphFont"/>
    <w:rsid w:val="009C2478"/>
    <w:rPr>
      <w:rFonts w:ascii="Calibri" w:eastAsiaTheme="majorEastAsia" w:hAnsi="Calibri" w:cstheme="majorBidi"/>
      <w:bCs/>
      <w:i/>
      <w:iCs/>
    </w:rPr>
  </w:style>
  <w:style w:type="table" w:customStyle="1" w:styleId="2012Style">
    <w:name w:val="2012 Style"/>
    <w:basedOn w:val="TableNormal"/>
    <w:uiPriority w:val="99"/>
    <w:qFormat/>
    <w:rsid w:val="001733B1"/>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
    <w:name w:val="Light Shading - Accent 12"/>
    <w:basedOn w:val="TableNormal"/>
    <w:uiPriority w:val="60"/>
    <w:rsid w:val="00AD7BEC"/>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character" w:customStyle="1" w:styleId="definition">
    <w:name w:val="definition"/>
    <w:basedOn w:val="DefaultParagraphFont"/>
    <w:rsid w:val="00AD7BEC"/>
  </w:style>
  <w:style w:type="character" w:customStyle="1" w:styleId="truncatemore">
    <w:name w:val="truncate_more"/>
    <w:basedOn w:val="DefaultParagraphFont"/>
    <w:rsid w:val="00AD7BEC"/>
  </w:style>
  <w:style w:type="paragraph" w:styleId="ListParagraph">
    <w:name w:val="List Paragraph"/>
    <w:basedOn w:val="Normal"/>
    <w:uiPriority w:val="34"/>
    <w:qFormat/>
    <w:rsid w:val="00382D40"/>
    <w:pPr>
      <w:spacing w:after="120"/>
      <w:ind w:left="720" w:hanging="360"/>
    </w:pPr>
    <w:rPr>
      <w:rFonts w:eastAsia="Times New Roman"/>
      <w:szCs w:val="24"/>
    </w:rPr>
  </w:style>
  <w:style w:type="paragraph" w:customStyle="1" w:styleId="bodytext10">
    <w:name w:val="bodytext1"/>
    <w:basedOn w:val="Normal"/>
    <w:rsid w:val="00E0597E"/>
    <w:pPr>
      <w:spacing w:after="0" w:line="240" w:lineRule="auto"/>
    </w:pPr>
    <w:rPr>
      <w:rFonts w:ascii="Times New Roman" w:hAnsi="Times New Roman"/>
      <w:sz w:val="24"/>
      <w:szCs w:val="24"/>
    </w:rPr>
  </w:style>
  <w:style w:type="numbering" w:customStyle="1" w:styleId="NoList1">
    <w:name w:val="No List1"/>
    <w:next w:val="NoList"/>
    <w:uiPriority w:val="99"/>
    <w:semiHidden/>
    <w:unhideWhenUsed/>
    <w:rsid w:val="00217BF0"/>
  </w:style>
  <w:style w:type="numbering" w:customStyle="1" w:styleId="CurrentList11">
    <w:name w:val="Current List11"/>
    <w:rsid w:val="00217BF0"/>
  </w:style>
  <w:style w:type="table" w:customStyle="1" w:styleId="TableGrid1">
    <w:name w:val="Table Grid1"/>
    <w:basedOn w:val="TableNormal"/>
    <w:next w:val="TableGrid"/>
    <w:uiPriority w:val="59"/>
    <w:rsid w:val="00217BF0"/>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ulletedList1">
    <w:name w:val="Bulleted List1"/>
    <w:rsid w:val="00217BF0"/>
  </w:style>
  <w:style w:type="table" w:customStyle="1" w:styleId="LightShading11">
    <w:name w:val="Light Shading11"/>
    <w:basedOn w:val="TableNormal"/>
    <w:uiPriority w:val="60"/>
    <w:rsid w:val="00217BF0"/>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1">
    <w:name w:val="Light Grid11"/>
    <w:basedOn w:val="TableNormal"/>
    <w:uiPriority w:val="62"/>
    <w:rsid w:val="00217BF0"/>
    <w:pPr>
      <w:spacing w:after="0" w:line="240" w:lineRule="auto"/>
    </w:pPr>
    <w:rPr>
      <w:rFonts w:ascii="Arial" w:eastAsia="Arial" w:hAnsi="Arial"/>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1">
    <w:name w:val="Medium Shading 1 - Accent 111"/>
    <w:basedOn w:val="TableNormal"/>
    <w:uiPriority w:val="63"/>
    <w:rsid w:val="00217BF0"/>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1">
    <w:name w:val="Medium Grid 1 - Accent 11"/>
    <w:basedOn w:val="TableNormal"/>
    <w:next w:val="MediumGrid1-Accent1"/>
    <w:uiPriority w:val="67"/>
    <w:rsid w:val="00217BF0"/>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1">
    <w:name w:val="Light Shading - Accent 111"/>
    <w:basedOn w:val="TableNormal"/>
    <w:uiPriority w:val="60"/>
    <w:rsid w:val="00217BF0"/>
    <w:pPr>
      <w:spacing w:after="0" w:line="240" w:lineRule="auto"/>
    </w:pPr>
    <w:rPr>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1">
    <w:name w:val="RSP_Style1"/>
    <w:basedOn w:val="TableNormal"/>
    <w:uiPriority w:val="99"/>
    <w:qFormat/>
    <w:rsid w:val="00217BF0"/>
    <w:pPr>
      <w:spacing w:after="0" w:line="240" w:lineRule="auto"/>
    </w:pPr>
    <w:tblPr/>
  </w:style>
  <w:style w:type="table" w:customStyle="1" w:styleId="20122tableformat1">
    <w:name w:val="2012 2 table format1"/>
    <w:basedOn w:val="TableNormal"/>
    <w:uiPriority w:val="63"/>
    <w:rsid w:val="00217BF0"/>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1">
    <w:name w:val="Medium Grid 1 - Accent 61"/>
    <w:basedOn w:val="TableNormal"/>
    <w:next w:val="MediumGrid1-Accent6"/>
    <w:uiPriority w:val="67"/>
    <w:rsid w:val="00217BF0"/>
    <w:pPr>
      <w:spacing w:after="0" w:line="240" w:lineRule="auto"/>
    </w:p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1">
    <w:name w:val="Light List - Accent 61"/>
    <w:basedOn w:val="TableNormal"/>
    <w:next w:val="LightList-Accent6"/>
    <w:uiPriority w:val="61"/>
    <w:rsid w:val="00217BF0"/>
    <w:pPr>
      <w:spacing w:after="0" w:line="240" w:lineRule="auto"/>
    </w:p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1">
    <w:name w:val="Light Grid - Accent 111"/>
    <w:basedOn w:val="TableNormal"/>
    <w:uiPriority w:val="62"/>
    <w:rsid w:val="00217BF0"/>
    <w:pPr>
      <w:spacing w:after="0" w:line="240" w:lineRule="auto"/>
    </w:p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1">
    <w:name w:val="2012 Style1"/>
    <w:basedOn w:val="TableNormal"/>
    <w:uiPriority w:val="99"/>
    <w:qFormat/>
    <w:rsid w:val="00217BF0"/>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1">
    <w:name w:val="Light Shading - Accent 121"/>
    <w:basedOn w:val="TableNormal"/>
    <w:uiPriority w:val="60"/>
    <w:rsid w:val="00217BF0"/>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character" w:customStyle="1" w:styleId="Heading3Char2">
    <w:name w:val="Heading 3 Char2"/>
    <w:basedOn w:val="DefaultParagraphFont"/>
    <w:uiPriority w:val="9"/>
    <w:semiHidden/>
    <w:rsid w:val="00217BF0"/>
    <w:rPr>
      <w:rFonts w:asciiTheme="majorHAnsi" w:eastAsiaTheme="majorEastAsia" w:hAnsiTheme="majorHAnsi" w:cstheme="majorBidi"/>
      <w:b/>
      <w:bCs/>
      <w:color w:val="1795D2" w:themeColor="accent1"/>
    </w:rPr>
  </w:style>
  <w:style w:type="paragraph" w:customStyle="1" w:styleId="bullet-solid0">
    <w:name w:val="bullet-solid"/>
    <w:basedOn w:val="Normal"/>
    <w:uiPriority w:val="99"/>
    <w:rsid w:val="00463D0D"/>
    <w:pPr>
      <w:spacing w:after="0" w:line="240" w:lineRule="auto"/>
    </w:pPr>
    <w:rPr>
      <w:rFonts w:ascii="Times New Roman" w:hAnsi="Times New Roman"/>
      <w:sz w:val="24"/>
      <w:szCs w:val="24"/>
    </w:rPr>
  </w:style>
  <w:style w:type="paragraph" w:customStyle="1" w:styleId="TableParagraph">
    <w:name w:val="Table Paragraph"/>
    <w:basedOn w:val="Normal"/>
    <w:uiPriority w:val="1"/>
    <w:qFormat/>
    <w:rsid w:val="00F80F36"/>
    <w:pPr>
      <w:widowControl w:val="0"/>
      <w:spacing w:after="0" w:line="240" w:lineRule="auto"/>
    </w:pPr>
    <w:rPr>
      <w:rFonts w:asciiTheme="minorHAnsi" w:hAnsiTheme="minorHAnsi" w:cstheme="minorBidi"/>
      <w:szCs w:val="22"/>
    </w:rPr>
  </w:style>
  <w:style w:type="table" w:styleId="MediumShading1-Accent4">
    <w:name w:val="Medium Shading 1 Accent 4"/>
    <w:basedOn w:val="TableNormal"/>
    <w:uiPriority w:val="63"/>
    <w:rsid w:val="00F80F36"/>
    <w:pPr>
      <w:spacing w:after="0" w:line="240" w:lineRule="auto"/>
    </w:pPr>
    <w:tblPr>
      <w:tblStyleRowBandSize w:val="1"/>
      <w:tblStyleColBandSize w:val="1"/>
      <w:tbl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single" w:sz="8" w:space="0" w:color="FCCA63" w:themeColor="accent4" w:themeTint="BF"/>
      </w:tblBorders>
    </w:tblPr>
    <w:tblStylePr w:type="firstRow">
      <w:pPr>
        <w:spacing w:before="0" w:after="0" w:line="240" w:lineRule="auto"/>
      </w:pPr>
      <w:rPr>
        <w:b/>
        <w:bCs/>
        <w:color w:val="FFFFFF" w:themeColor="background1"/>
      </w:rPr>
      <w:tblPr/>
      <w:tcPr>
        <w:tc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shd w:val="clear" w:color="auto" w:fill="FBB92F" w:themeFill="accent4"/>
      </w:tcPr>
    </w:tblStylePr>
    <w:tblStylePr w:type="lastRow">
      <w:pPr>
        <w:spacing w:before="0" w:after="0" w:line="240" w:lineRule="auto"/>
      </w:pPr>
      <w:rPr>
        <w:b/>
        <w:bCs/>
      </w:rPr>
      <w:tblPr/>
      <w:tcPr>
        <w:tcBorders>
          <w:top w:val="double" w:sz="6"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tcPr>
    </w:tblStylePr>
    <w:tblStylePr w:type="firstCol">
      <w:rPr>
        <w:b/>
        <w:bCs/>
      </w:rPr>
    </w:tblStylePr>
    <w:tblStylePr w:type="lastCol">
      <w:rPr>
        <w:b/>
        <w:bCs/>
      </w:rPr>
    </w:tblStylePr>
    <w:tblStylePr w:type="band1Vert">
      <w:tblPr/>
      <w:tcPr>
        <w:shd w:val="clear" w:color="auto" w:fill="FEEDCB" w:themeFill="accent4" w:themeFillTint="3F"/>
      </w:tcPr>
    </w:tblStylePr>
    <w:tblStylePr w:type="band1Horz">
      <w:tblPr/>
      <w:tcPr>
        <w:tcBorders>
          <w:insideH w:val="nil"/>
          <w:insideV w:val="nil"/>
        </w:tcBorders>
        <w:shd w:val="clear" w:color="auto" w:fill="FEEDCB" w:themeFill="accent4" w:themeFillTint="3F"/>
      </w:tcPr>
    </w:tblStylePr>
    <w:tblStylePr w:type="band2Horz">
      <w:tblPr/>
      <w:tcPr>
        <w:tcBorders>
          <w:insideH w:val="nil"/>
          <w:insideV w:val="nil"/>
        </w:tcBorders>
      </w:tcPr>
    </w:tblStylePr>
  </w:style>
  <w:style w:type="paragraph" w:customStyle="1" w:styleId="REOTextforgraphs">
    <w:name w:val="REO Text for graphs"/>
    <w:basedOn w:val="Normal"/>
    <w:qFormat/>
    <w:rsid w:val="00F80F36"/>
    <w:pPr>
      <w:spacing w:after="100" w:line="240" w:lineRule="auto"/>
      <w:ind w:right="1440"/>
    </w:pPr>
    <w:rPr>
      <w:rFonts w:asciiTheme="minorHAnsi" w:hAnsiTheme="minorHAnsi" w:cstheme="minorBidi"/>
    </w:rPr>
  </w:style>
  <w:style w:type="paragraph" w:customStyle="1" w:styleId="REOText">
    <w:name w:val="REO Text"/>
    <w:basedOn w:val="Normal"/>
    <w:qFormat/>
    <w:rsid w:val="00F80F36"/>
    <w:pPr>
      <w:spacing w:after="100" w:line="240" w:lineRule="auto"/>
      <w:ind w:right="1440"/>
    </w:pPr>
    <w:rPr>
      <w:rFonts w:asciiTheme="minorHAnsi" w:hAnsiTheme="minorHAnsi" w:cstheme="minorBidi"/>
      <w:szCs w:val="22"/>
    </w:rPr>
  </w:style>
  <w:style w:type="paragraph" w:customStyle="1" w:styleId="REOHeader4">
    <w:name w:val="REO Header 4"/>
    <w:basedOn w:val="REOText"/>
    <w:qFormat/>
    <w:rsid w:val="00F80F36"/>
    <w:pPr>
      <w:spacing w:after="60"/>
    </w:pPr>
    <w:rPr>
      <w:i/>
      <w:sz w:val="24"/>
      <w:szCs w:val="24"/>
    </w:rPr>
  </w:style>
  <w:style w:type="paragraph" w:customStyle="1" w:styleId="REOBulletedlist">
    <w:name w:val="REO Bulleted list"/>
    <w:basedOn w:val="REOText"/>
    <w:qFormat/>
    <w:rsid w:val="00F80F36"/>
    <w:pPr>
      <w:numPr>
        <w:numId w:val="23"/>
      </w:numPr>
    </w:pPr>
  </w:style>
  <w:style w:type="character" w:customStyle="1" w:styleId="posted-on">
    <w:name w:val="posted-on"/>
    <w:basedOn w:val="DefaultParagraphFont"/>
    <w:rsid w:val="00F80F36"/>
  </w:style>
  <w:style w:type="paragraph" w:customStyle="1" w:styleId="Pa7">
    <w:name w:val="Pa7"/>
    <w:basedOn w:val="Normal"/>
    <w:next w:val="Normal"/>
    <w:uiPriority w:val="99"/>
    <w:rsid w:val="00F80F36"/>
    <w:pPr>
      <w:autoSpaceDE w:val="0"/>
      <w:autoSpaceDN w:val="0"/>
      <w:adjustRightInd w:val="0"/>
      <w:spacing w:after="0" w:line="181" w:lineRule="atLeast"/>
    </w:pPr>
    <w:rPr>
      <w:rFonts w:ascii="NeueHaasGroteskDisp Std Md" w:hAnsi="NeueHaasGroteskDisp Std Md" w:cstheme="minorBidi"/>
      <w:sz w:val="24"/>
      <w:szCs w:val="24"/>
    </w:rPr>
  </w:style>
  <w:style w:type="character" w:customStyle="1" w:styleId="st1">
    <w:name w:val="st1"/>
    <w:basedOn w:val="DefaultParagraphFont"/>
    <w:rsid w:val="00F80F36"/>
  </w:style>
  <w:style w:type="character" w:customStyle="1" w:styleId="spelle">
    <w:name w:val="spelle"/>
    <w:basedOn w:val="DefaultParagraphFont"/>
    <w:rsid w:val="00F80F36"/>
  </w:style>
  <w:style w:type="character" w:customStyle="1" w:styleId="grame">
    <w:name w:val="grame"/>
    <w:basedOn w:val="DefaultParagraphFont"/>
    <w:rsid w:val="00F80F36"/>
  </w:style>
  <w:style w:type="numbering" w:customStyle="1" w:styleId="NoList2">
    <w:name w:val="No List2"/>
    <w:next w:val="NoList"/>
    <w:uiPriority w:val="99"/>
    <w:semiHidden/>
    <w:unhideWhenUsed/>
    <w:rsid w:val="00375BFF"/>
  </w:style>
  <w:style w:type="numbering" w:customStyle="1" w:styleId="CurrentList12">
    <w:name w:val="Current List12"/>
    <w:rsid w:val="00375BFF"/>
  </w:style>
  <w:style w:type="character" w:customStyle="1" w:styleId="Heading3Char4">
    <w:name w:val="Heading 3 Char4"/>
    <w:basedOn w:val="DefaultParagraphFont"/>
    <w:rsid w:val="00375BFF"/>
    <w:rPr>
      <w:rFonts w:asciiTheme="minorHAnsi" w:eastAsiaTheme="majorEastAsia" w:hAnsiTheme="minorHAnsi" w:cstheme="majorBidi"/>
      <w:b/>
      <w:bCs/>
      <w:color w:val="62777F" w:themeColor="text1"/>
    </w:rPr>
  </w:style>
  <w:style w:type="numbering" w:customStyle="1" w:styleId="BulletedList2">
    <w:name w:val="Bulleted List2"/>
    <w:rsid w:val="00375BFF"/>
  </w:style>
  <w:style w:type="numbering" w:customStyle="1" w:styleId="NoList11">
    <w:name w:val="No List11"/>
    <w:next w:val="NoList"/>
    <w:uiPriority w:val="99"/>
    <w:semiHidden/>
    <w:unhideWhenUsed/>
    <w:rsid w:val="00375BFF"/>
  </w:style>
  <w:style w:type="numbering" w:customStyle="1" w:styleId="CurrentList111">
    <w:name w:val="Current List111"/>
    <w:rsid w:val="00375BFF"/>
  </w:style>
  <w:style w:type="numbering" w:customStyle="1" w:styleId="BulletedList11">
    <w:name w:val="Bulleted List11"/>
    <w:rsid w:val="00375BFF"/>
  </w:style>
  <w:style w:type="character" w:customStyle="1" w:styleId="OUTLINE">
    <w:name w:val="OUTLINE"/>
    <w:basedOn w:val="DefaultParagraphFont"/>
    <w:uiPriority w:val="1"/>
    <w:qFormat/>
    <w:rsid w:val="00375BFF"/>
  </w:style>
  <w:style w:type="character" w:customStyle="1" w:styleId="Heading3Char3">
    <w:name w:val="Heading 3 Char3"/>
    <w:basedOn w:val="DefaultParagraphFont"/>
    <w:rsid w:val="00375BFF"/>
    <w:rPr>
      <w:rFonts w:ascii="Calibri" w:eastAsiaTheme="majorEastAsia" w:hAnsi="Calibri" w:cstheme="majorBidi"/>
      <w:b/>
      <w:bCs/>
    </w:rPr>
  </w:style>
  <w:style w:type="character" w:customStyle="1" w:styleId="Heading3Char5">
    <w:name w:val="Heading 3 Char5"/>
    <w:basedOn w:val="DefaultParagraphFont"/>
    <w:semiHidden/>
    <w:rsid w:val="00375BFF"/>
    <w:rPr>
      <w:rFonts w:ascii="Calibri" w:eastAsiaTheme="majorEastAsia" w:hAnsi="Calibri" w:cstheme="majorBidi"/>
      <w:b/>
      <w:bCs/>
      <w:color w:val="62777F" w:themeColor="text1"/>
    </w:rPr>
  </w:style>
  <w:style w:type="character" w:customStyle="1" w:styleId="Heading3Char6">
    <w:name w:val="Heading 3 Char6"/>
    <w:basedOn w:val="DefaultParagraphFont"/>
    <w:semiHidden/>
    <w:rsid w:val="00375BFF"/>
    <w:rPr>
      <w:rFonts w:ascii="Calibri" w:eastAsiaTheme="majorEastAsia" w:hAnsi="Calibri" w:cstheme="majorBidi"/>
      <w:b/>
      <w:bCs/>
    </w:rPr>
  </w:style>
  <w:style w:type="paragraph" w:customStyle="1" w:styleId="Bullet-Solid">
    <w:name w:val="Bullet-Solid"/>
    <w:basedOn w:val="Normal"/>
    <w:link w:val="Bullet-SolidChar"/>
    <w:qFormat/>
    <w:rsid w:val="00850C02"/>
    <w:pPr>
      <w:spacing w:after="120"/>
      <w:ind w:left="720" w:hanging="360"/>
    </w:pPr>
    <w:rPr>
      <w:color w:val="000000"/>
    </w:rPr>
  </w:style>
  <w:style w:type="numbering" w:customStyle="1" w:styleId="NoList3">
    <w:name w:val="No List3"/>
    <w:next w:val="NoList"/>
    <w:uiPriority w:val="99"/>
    <w:semiHidden/>
    <w:unhideWhenUsed/>
    <w:rsid w:val="00C6514E"/>
  </w:style>
  <w:style w:type="table" w:customStyle="1" w:styleId="TableGrid2">
    <w:name w:val="Table Grid2"/>
    <w:basedOn w:val="TableNormal"/>
    <w:next w:val="TableGrid"/>
    <w:uiPriority w:val="59"/>
    <w:rsid w:val="00C6514E"/>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2">
    <w:name w:val="Light Shading12"/>
    <w:basedOn w:val="TableNormal"/>
    <w:uiPriority w:val="60"/>
    <w:rsid w:val="00C6514E"/>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2">
    <w:name w:val="Light Grid12"/>
    <w:basedOn w:val="TableNormal"/>
    <w:uiPriority w:val="62"/>
    <w:rsid w:val="00C6514E"/>
    <w:pPr>
      <w:spacing w:after="0" w:line="240" w:lineRule="auto"/>
    </w:pPr>
    <w:rPr>
      <w:rFonts w:ascii="Arial" w:eastAsia="Arial" w:hAnsi="Arial"/>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2">
    <w:name w:val="Medium Shading 1 - Accent 112"/>
    <w:basedOn w:val="TableNormal"/>
    <w:uiPriority w:val="63"/>
    <w:rsid w:val="00C6514E"/>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2">
    <w:name w:val="Medium Grid 1 - Accent 12"/>
    <w:basedOn w:val="TableNormal"/>
    <w:next w:val="MediumGrid1-Accent1"/>
    <w:uiPriority w:val="67"/>
    <w:rsid w:val="00C6514E"/>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2">
    <w:name w:val="Light Shading - Accent 112"/>
    <w:basedOn w:val="TableNormal"/>
    <w:uiPriority w:val="60"/>
    <w:rsid w:val="00C6514E"/>
    <w:pPr>
      <w:spacing w:after="0" w:line="240" w:lineRule="auto"/>
    </w:pPr>
    <w:rPr>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2">
    <w:name w:val="RSP_Style2"/>
    <w:basedOn w:val="TableNormal"/>
    <w:uiPriority w:val="99"/>
    <w:qFormat/>
    <w:rsid w:val="00C6514E"/>
    <w:pPr>
      <w:spacing w:after="0" w:line="240" w:lineRule="auto"/>
    </w:pPr>
    <w:tblPr/>
  </w:style>
  <w:style w:type="table" w:customStyle="1" w:styleId="20122tableformat2">
    <w:name w:val="2012 2 table format2"/>
    <w:basedOn w:val="TableNormal"/>
    <w:uiPriority w:val="63"/>
    <w:rsid w:val="00C6514E"/>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2">
    <w:name w:val="Medium Grid 1 - Accent 62"/>
    <w:basedOn w:val="TableNormal"/>
    <w:next w:val="MediumGrid1-Accent6"/>
    <w:uiPriority w:val="67"/>
    <w:rsid w:val="00C6514E"/>
    <w:pPr>
      <w:spacing w:after="0" w:line="240" w:lineRule="auto"/>
    </w:p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2">
    <w:name w:val="Light List - Accent 62"/>
    <w:basedOn w:val="TableNormal"/>
    <w:next w:val="LightList-Accent6"/>
    <w:uiPriority w:val="61"/>
    <w:rsid w:val="00C6514E"/>
    <w:pPr>
      <w:spacing w:after="0" w:line="240" w:lineRule="auto"/>
    </w:p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2">
    <w:name w:val="Light Grid - Accent 112"/>
    <w:basedOn w:val="TableNormal"/>
    <w:uiPriority w:val="62"/>
    <w:rsid w:val="00C6514E"/>
    <w:pPr>
      <w:spacing w:after="0" w:line="240" w:lineRule="auto"/>
    </w:p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2">
    <w:name w:val="2012 Style2"/>
    <w:basedOn w:val="TableNormal"/>
    <w:uiPriority w:val="99"/>
    <w:qFormat/>
    <w:rsid w:val="00C6514E"/>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2">
    <w:name w:val="Light Shading - Accent 122"/>
    <w:basedOn w:val="TableNormal"/>
    <w:uiPriority w:val="60"/>
    <w:rsid w:val="00C6514E"/>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numbering" w:customStyle="1" w:styleId="NoList12">
    <w:name w:val="No List12"/>
    <w:next w:val="NoList"/>
    <w:uiPriority w:val="99"/>
    <w:semiHidden/>
    <w:unhideWhenUsed/>
    <w:rsid w:val="00C6514E"/>
  </w:style>
  <w:style w:type="numbering" w:customStyle="1" w:styleId="CurrentList112">
    <w:name w:val="Current List112"/>
    <w:rsid w:val="00C6514E"/>
  </w:style>
  <w:style w:type="table" w:customStyle="1" w:styleId="TableGrid11">
    <w:name w:val="Table Grid11"/>
    <w:basedOn w:val="TableNormal"/>
    <w:next w:val="TableGrid"/>
    <w:uiPriority w:val="59"/>
    <w:rsid w:val="00C6514E"/>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ulletedList12">
    <w:name w:val="Bulleted List12"/>
    <w:rsid w:val="00C6514E"/>
  </w:style>
  <w:style w:type="table" w:customStyle="1" w:styleId="LightShading111">
    <w:name w:val="Light Shading111"/>
    <w:basedOn w:val="TableNormal"/>
    <w:uiPriority w:val="60"/>
    <w:rsid w:val="00C6514E"/>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11">
    <w:name w:val="Light Grid111"/>
    <w:basedOn w:val="TableNormal"/>
    <w:uiPriority w:val="62"/>
    <w:rsid w:val="00C6514E"/>
    <w:pPr>
      <w:spacing w:after="0" w:line="240" w:lineRule="auto"/>
    </w:pPr>
    <w:rPr>
      <w:rFonts w:ascii="Arial" w:eastAsia="Arial" w:hAnsi="Arial"/>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11">
    <w:name w:val="Medium Shading 1 - Accent 1111"/>
    <w:basedOn w:val="TableNormal"/>
    <w:uiPriority w:val="63"/>
    <w:rsid w:val="00C6514E"/>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11">
    <w:name w:val="Medium Grid 1 - Accent 111"/>
    <w:basedOn w:val="TableNormal"/>
    <w:next w:val="MediumGrid1-Accent1"/>
    <w:uiPriority w:val="67"/>
    <w:rsid w:val="00C6514E"/>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11">
    <w:name w:val="Light Shading - Accent 1111"/>
    <w:basedOn w:val="TableNormal"/>
    <w:uiPriority w:val="60"/>
    <w:rsid w:val="00C6514E"/>
    <w:pPr>
      <w:spacing w:after="0" w:line="240" w:lineRule="auto"/>
    </w:pPr>
    <w:rPr>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11">
    <w:name w:val="RSP_Style11"/>
    <w:basedOn w:val="TableNormal"/>
    <w:uiPriority w:val="99"/>
    <w:qFormat/>
    <w:rsid w:val="00C6514E"/>
    <w:pPr>
      <w:spacing w:after="0" w:line="240" w:lineRule="auto"/>
    </w:pPr>
    <w:tblPr/>
  </w:style>
  <w:style w:type="table" w:customStyle="1" w:styleId="20122tableformat11">
    <w:name w:val="2012 2 table format11"/>
    <w:basedOn w:val="TableNormal"/>
    <w:uiPriority w:val="63"/>
    <w:rsid w:val="00C6514E"/>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11">
    <w:name w:val="Medium Grid 1 - Accent 611"/>
    <w:basedOn w:val="TableNormal"/>
    <w:next w:val="MediumGrid1-Accent6"/>
    <w:uiPriority w:val="67"/>
    <w:rsid w:val="00C6514E"/>
    <w:pPr>
      <w:spacing w:after="0" w:line="240" w:lineRule="auto"/>
    </w:p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11">
    <w:name w:val="Light List - Accent 611"/>
    <w:basedOn w:val="TableNormal"/>
    <w:next w:val="LightList-Accent6"/>
    <w:uiPriority w:val="61"/>
    <w:rsid w:val="00C6514E"/>
    <w:pPr>
      <w:spacing w:after="0" w:line="240" w:lineRule="auto"/>
    </w:p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11">
    <w:name w:val="Light Grid - Accent 1111"/>
    <w:basedOn w:val="TableNormal"/>
    <w:uiPriority w:val="62"/>
    <w:rsid w:val="00C6514E"/>
    <w:pPr>
      <w:spacing w:after="0" w:line="240" w:lineRule="auto"/>
    </w:p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11">
    <w:name w:val="2012 Style11"/>
    <w:basedOn w:val="TableNormal"/>
    <w:uiPriority w:val="99"/>
    <w:qFormat/>
    <w:rsid w:val="00C6514E"/>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11">
    <w:name w:val="Light Shading - Accent 1211"/>
    <w:basedOn w:val="TableNormal"/>
    <w:uiPriority w:val="60"/>
    <w:rsid w:val="00C6514E"/>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table" w:customStyle="1" w:styleId="MediumShading1-Accent41">
    <w:name w:val="Medium Shading 1 - Accent 41"/>
    <w:basedOn w:val="TableNormal"/>
    <w:next w:val="MediumShading1-Accent4"/>
    <w:uiPriority w:val="63"/>
    <w:rsid w:val="00C6514E"/>
    <w:pPr>
      <w:spacing w:after="0" w:line="240" w:lineRule="auto"/>
    </w:pPr>
    <w:tblPr>
      <w:tblStyleRowBandSize w:val="1"/>
      <w:tblStyleColBandSize w:val="1"/>
      <w:tbl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single" w:sz="8" w:space="0" w:color="FCCA63" w:themeColor="accent4" w:themeTint="BF"/>
      </w:tblBorders>
    </w:tblPr>
    <w:tblStylePr w:type="firstRow">
      <w:pPr>
        <w:spacing w:before="0" w:after="0" w:line="240" w:lineRule="auto"/>
      </w:pPr>
      <w:rPr>
        <w:b/>
        <w:bCs/>
        <w:color w:val="FFFFFF" w:themeColor="background1"/>
      </w:rPr>
      <w:tblPr/>
      <w:tcPr>
        <w:tc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shd w:val="clear" w:color="auto" w:fill="FBB92F" w:themeFill="accent4"/>
      </w:tcPr>
    </w:tblStylePr>
    <w:tblStylePr w:type="lastRow">
      <w:pPr>
        <w:spacing w:before="0" w:after="0" w:line="240" w:lineRule="auto"/>
      </w:pPr>
      <w:rPr>
        <w:b/>
        <w:bCs/>
      </w:rPr>
      <w:tblPr/>
      <w:tcPr>
        <w:tcBorders>
          <w:top w:val="double" w:sz="6"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tcPr>
    </w:tblStylePr>
    <w:tblStylePr w:type="firstCol">
      <w:rPr>
        <w:b/>
        <w:bCs/>
      </w:rPr>
    </w:tblStylePr>
    <w:tblStylePr w:type="lastCol">
      <w:rPr>
        <w:b/>
        <w:bCs/>
      </w:rPr>
    </w:tblStylePr>
    <w:tblStylePr w:type="band1Vert">
      <w:tblPr/>
      <w:tcPr>
        <w:shd w:val="clear" w:color="auto" w:fill="FEEDCB" w:themeFill="accent4" w:themeFillTint="3F"/>
      </w:tcPr>
    </w:tblStylePr>
    <w:tblStylePr w:type="band1Horz">
      <w:tblPr/>
      <w:tcPr>
        <w:tcBorders>
          <w:insideH w:val="nil"/>
          <w:insideV w:val="nil"/>
        </w:tcBorders>
        <w:shd w:val="clear" w:color="auto" w:fill="FEEDCB" w:themeFill="accent4" w:themeFillTint="3F"/>
      </w:tcPr>
    </w:tblStylePr>
    <w:tblStylePr w:type="band2Horz">
      <w:tblPr/>
      <w:tcPr>
        <w:tcBorders>
          <w:insideH w:val="nil"/>
          <w:insideV w:val="nil"/>
        </w:tcBorders>
      </w:tcPr>
    </w:tblStylePr>
  </w:style>
  <w:style w:type="numbering" w:customStyle="1" w:styleId="NoList4">
    <w:name w:val="No List4"/>
    <w:next w:val="NoList"/>
    <w:uiPriority w:val="99"/>
    <w:semiHidden/>
    <w:unhideWhenUsed/>
    <w:rsid w:val="00265654"/>
  </w:style>
  <w:style w:type="table" w:customStyle="1" w:styleId="TableGrid3">
    <w:name w:val="Table Grid3"/>
    <w:basedOn w:val="TableNormal"/>
    <w:next w:val="TableGrid"/>
    <w:uiPriority w:val="59"/>
    <w:rsid w:val="00265654"/>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3">
    <w:name w:val="Light Shading13"/>
    <w:basedOn w:val="TableNormal"/>
    <w:uiPriority w:val="60"/>
    <w:rsid w:val="00265654"/>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3">
    <w:name w:val="Light Grid13"/>
    <w:basedOn w:val="TableNormal"/>
    <w:uiPriority w:val="62"/>
    <w:rsid w:val="00265654"/>
    <w:pPr>
      <w:spacing w:after="0" w:line="240" w:lineRule="auto"/>
    </w:pPr>
    <w:rPr>
      <w:rFonts w:ascii="Arial" w:eastAsia="Arial" w:hAnsi="Arial"/>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3">
    <w:name w:val="Medium Shading 1 - Accent 113"/>
    <w:basedOn w:val="TableNormal"/>
    <w:uiPriority w:val="63"/>
    <w:rsid w:val="00265654"/>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3">
    <w:name w:val="Medium Grid 1 - Accent 13"/>
    <w:basedOn w:val="TableNormal"/>
    <w:next w:val="MediumGrid1-Accent1"/>
    <w:uiPriority w:val="67"/>
    <w:rsid w:val="00265654"/>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3">
    <w:name w:val="Light Shading - Accent 113"/>
    <w:basedOn w:val="TableNormal"/>
    <w:uiPriority w:val="60"/>
    <w:rsid w:val="00265654"/>
    <w:pPr>
      <w:spacing w:after="0" w:line="240" w:lineRule="auto"/>
    </w:pPr>
    <w:rPr>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3">
    <w:name w:val="RSP_Style3"/>
    <w:basedOn w:val="TableNormal"/>
    <w:uiPriority w:val="99"/>
    <w:qFormat/>
    <w:rsid w:val="00265654"/>
    <w:pPr>
      <w:spacing w:after="0" w:line="240" w:lineRule="auto"/>
    </w:pPr>
    <w:tblPr/>
  </w:style>
  <w:style w:type="table" w:customStyle="1" w:styleId="20122tableformat3">
    <w:name w:val="2012 2 table format3"/>
    <w:basedOn w:val="TableNormal"/>
    <w:uiPriority w:val="63"/>
    <w:rsid w:val="00265654"/>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3">
    <w:name w:val="Medium Grid 1 - Accent 63"/>
    <w:basedOn w:val="TableNormal"/>
    <w:next w:val="MediumGrid1-Accent6"/>
    <w:uiPriority w:val="67"/>
    <w:rsid w:val="00265654"/>
    <w:pPr>
      <w:spacing w:after="0" w:line="240" w:lineRule="auto"/>
    </w:p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3">
    <w:name w:val="Light List - Accent 63"/>
    <w:basedOn w:val="TableNormal"/>
    <w:next w:val="LightList-Accent6"/>
    <w:uiPriority w:val="61"/>
    <w:rsid w:val="00265654"/>
    <w:pPr>
      <w:spacing w:after="0" w:line="240" w:lineRule="auto"/>
    </w:p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3">
    <w:name w:val="Light Grid - Accent 113"/>
    <w:basedOn w:val="TableNormal"/>
    <w:uiPriority w:val="62"/>
    <w:rsid w:val="00265654"/>
    <w:pPr>
      <w:spacing w:after="0" w:line="240" w:lineRule="auto"/>
    </w:p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3">
    <w:name w:val="2012 Style3"/>
    <w:basedOn w:val="TableNormal"/>
    <w:uiPriority w:val="99"/>
    <w:qFormat/>
    <w:rsid w:val="00265654"/>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3">
    <w:name w:val="Light Shading - Accent 123"/>
    <w:basedOn w:val="TableNormal"/>
    <w:uiPriority w:val="60"/>
    <w:rsid w:val="00265654"/>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numbering" w:customStyle="1" w:styleId="NoList13">
    <w:name w:val="No List13"/>
    <w:next w:val="NoList"/>
    <w:uiPriority w:val="99"/>
    <w:semiHidden/>
    <w:unhideWhenUsed/>
    <w:rsid w:val="00265654"/>
  </w:style>
  <w:style w:type="numbering" w:customStyle="1" w:styleId="CurrentList113">
    <w:name w:val="Current List113"/>
    <w:rsid w:val="00265654"/>
  </w:style>
  <w:style w:type="table" w:customStyle="1" w:styleId="TableGrid12">
    <w:name w:val="Table Grid12"/>
    <w:basedOn w:val="TableNormal"/>
    <w:next w:val="TableGrid"/>
    <w:uiPriority w:val="59"/>
    <w:rsid w:val="00265654"/>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ulletedList13">
    <w:name w:val="Bulleted List13"/>
    <w:rsid w:val="00265654"/>
  </w:style>
  <w:style w:type="table" w:customStyle="1" w:styleId="LightShading112">
    <w:name w:val="Light Shading112"/>
    <w:basedOn w:val="TableNormal"/>
    <w:uiPriority w:val="60"/>
    <w:rsid w:val="00265654"/>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12">
    <w:name w:val="Light Grid112"/>
    <w:basedOn w:val="TableNormal"/>
    <w:uiPriority w:val="62"/>
    <w:rsid w:val="00265654"/>
    <w:pPr>
      <w:spacing w:after="0" w:line="240" w:lineRule="auto"/>
    </w:pPr>
    <w:rPr>
      <w:rFonts w:ascii="Arial" w:eastAsia="Arial" w:hAnsi="Arial"/>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12">
    <w:name w:val="Medium Shading 1 - Accent 1112"/>
    <w:basedOn w:val="TableNormal"/>
    <w:uiPriority w:val="63"/>
    <w:rsid w:val="00265654"/>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12">
    <w:name w:val="Medium Grid 1 - Accent 112"/>
    <w:basedOn w:val="TableNormal"/>
    <w:next w:val="MediumGrid1-Accent1"/>
    <w:uiPriority w:val="67"/>
    <w:rsid w:val="00265654"/>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12">
    <w:name w:val="Light Shading - Accent 1112"/>
    <w:basedOn w:val="TableNormal"/>
    <w:uiPriority w:val="60"/>
    <w:rsid w:val="00265654"/>
    <w:pPr>
      <w:spacing w:after="0" w:line="240" w:lineRule="auto"/>
    </w:pPr>
    <w:rPr>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12">
    <w:name w:val="RSP_Style12"/>
    <w:basedOn w:val="TableNormal"/>
    <w:uiPriority w:val="99"/>
    <w:qFormat/>
    <w:rsid w:val="00265654"/>
    <w:pPr>
      <w:spacing w:after="0" w:line="240" w:lineRule="auto"/>
    </w:pPr>
    <w:tblPr/>
  </w:style>
  <w:style w:type="table" w:customStyle="1" w:styleId="20122tableformat12">
    <w:name w:val="2012 2 table format12"/>
    <w:basedOn w:val="TableNormal"/>
    <w:uiPriority w:val="63"/>
    <w:rsid w:val="00265654"/>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12">
    <w:name w:val="Medium Grid 1 - Accent 612"/>
    <w:basedOn w:val="TableNormal"/>
    <w:next w:val="MediumGrid1-Accent6"/>
    <w:uiPriority w:val="67"/>
    <w:rsid w:val="00265654"/>
    <w:pPr>
      <w:spacing w:after="0" w:line="240" w:lineRule="auto"/>
    </w:p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12">
    <w:name w:val="Light List - Accent 612"/>
    <w:basedOn w:val="TableNormal"/>
    <w:next w:val="LightList-Accent6"/>
    <w:uiPriority w:val="61"/>
    <w:rsid w:val="00265654"/>
    <w:pPr>
      <w:spacing w:after="0" w:line="240" w:lineRule="auto"/>
    </w:p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12">
    <w:name w:val="Light Grid - Accent 1112"/>
    <w:basedOn w:val="TableNormal"/>
    <w:uiPriority w:val="62"/>
    <w:rsid w:val="00265654"/>
    <w:pPr>
      <w:spacing w:after="0" w:line="240" w:lineRule="auto"/>
    </w:p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12">
    <w:name w:val="2012 Style12"/>
    <w:basedOn w:val="TableNormal"/>
    <w:uiPriority w:val="99"/>
    <w:qFormat/>
    <w:rsid w:val="00265654"/>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12">
    <w:name w:val="Light Shading - Accent 1212"/>
    <w:basedOn w:val="TableNormal"/>
    <w:uiPriority w:val="60"/>
    <w:rsid w:val="00265654"/>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table" w:customStyle="1" w:styleId="MediumShading1-Accent42">
    <w:name w:val="Medium Shading 1 - Accent 42"/>
    <w:basedOn w:val="TableNormal"/>
    <w:next w:val="MediumShading1-Accent4"/>
    <w:uiPriority w:val="63"/>
    <w:rsid w:val="00265654"/>
    <w:pPr>
      <w:spacing w:after="0" w:line="240" w:lineRule="auto"/>
    </w:pPr>
    <w:tblPr>
      <w:tblStyleRowBandSize w:val="1"/>
      <w:tblStyleColBandSize w:val="1"/>
      <w:tbl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single" w:sz="8" w:space="0" w:color="FCCA63" w:themeColor="accent4" w:themeTint="BF"/>
      </w:tblBorders>
    </w:tblPr>
    <w:tblStylePr w:type="firstRow">
      <w:pPr>
        <w:spacing w:before="0" w:after="0" w:line="240" w:lineRule="auto"/>
      </w:pPr>
      <w:rPr>
        <w:b/>
        <w:bCs/>
        <w:color w:val="FFFFFF" w:themeColor="background1"/>
      </w:rPr>
      <w:tblPr/>
      <w:tcPr>
        <w:tc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shd w:val="clear" w:color="auto" w:fill="FBB92F" w:themeFill="accent4"/>
      </w:tcPr>
    </w:tblStylePr>
    <w:tblStylePr w:type="lastRow">
      <w:pPr>
        <w:spacing w:before="0" w:after="0" w:line="240" w:lineRule="auto"/>
      </w:pPr>
      <w:rPr>
        <w:b/>
        <w:bCs/>
      </w:rPr>
      <w:tblPr/>
      <w:tcPr>
        <w:tcBorders>
          <w:top w:val="double" w:sz="6"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tcPr>
    </w:tblStylePr>
    <w:tblStylePr w:type="firstCol">
      <w:rPr>
        <w:b/>
        <w:bCs/>
      </w:rPr>
    </w:tblStylePr>
    <w:tblStylePr w:type="lastCol">
      <w:rPr>
        <w:b/>
        <w:bCs/>
      </w:rPr>
    </w:tblStylePr>
    <w:tblStylePr w:type="band1Vert">
      <w:tblPr/>
      <w:tcPr>
        <w:shd w:val="clear" w:color="auto" w:fill="FEEDCB" w:themeFill="accent4" w:themeFillTint="3F"/>
      </w:tcPr>
    </w:tblStylePr>
    <w:tblStylePr w:type="band1Horz">
      <w:tblPr/>
      <w:tcPr>
        <w:tcBorders>
          <w:insideH w:val="nil"/>
          <w:insideV w:val="nil"/>
        </w:tcBorders>
        <w:shd w:val="clear" w:color="auto" w:fill="FEEDCB" w:themeFill="accent4" w:themeFillTint="3F"/>
      </w:tcPr>
    </w:tblStylePr>
    <w:tblStylePr w:type="band2Horz">
      <w:tblPr/>
      <w:tcPr>
        <w:tcBorders>
          <w:insideH w:val="nil"/>
          <w:insideV w:val="nil"/>
        </w:tcBorders>
      </w:tcPr>
    </w:tblStylePr>
  </w:style>
  <w:style w:type="numbering" w:customStyle="1" w:styleId="CurrentList13">
    <w:name w:val="Current List13"/>
    <w:rsid w:val="001D4B69"/>
  </w:style>
  <w:style w:type="character" w:customStyle="1" w:styleId="Heading1Char3">
    <w:name w:val="Heading 1 Char3"/>
    <w:basedOn w:val="DefaultParagraphFont"/>
    <w:rsid w:val="009C2478"/>
    <w:rPr>
      <w:rFonts w:ascii="Calibri" w:eastAsiaTheme="majorEastAsia" w:hAnsi="Calibri" w:cstheme="majorBidi"/>
      <w:b/>
      <w:bCs/>
      <w:color w:val="0070C0"/>
      <w:sz w:val="36"/>
      <w:szCs w:val="28"/>
    </w:rPr>
  </w:style>
  <w:style w:type="character" w:customStyle="1" w:styleId="Heading3Char8">
    <w:name w:val="Heading 3 Char8"/>
    <w:basedOn w:val="DefaultParagraphFont"/>
    <w:semiHidden/>
    <w:rsid w:val="009C2478"/>
    <w:rPr>
      <w:rFonts w:ascii="Calibri" w:eastAsiaTheme="majorEastAsia" w:hAnsi="Calibri" w:cstheme="majorBidi"/>
      <w:b/>
      <w:bCs/>
    </w:rPr>
  </w:style>
  <w:style w:type="table" w:customStyle="1" w:styleId="TableGrid31">
    <w:name w:val="Table Grid31"/>
    <w:basedOn w:val="TableNormal"/>
    <w:next w:val="TableGrid"/>
    <w:uiPriority w:val="59"/>
    <w:rsid w:val="00037BCC"/>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4">
    <w:name w:val="Heading 1 Char4"/>
    <w:basedOn w:val="DefaultParagraphFont"/>
    <w:rsid w:val="000B2F48"/>
    <w:rPr>
      <w:rFonts w:ascii="Calibri" w:eastAsiaTheme="majorEastAsia" w:hAnsi="Calibri" w:cstheme="majorBidi"/>
      <w:b/>
      <w:bCs/>
      <w:color w:val="0070C0"/>
      <w:sz w:val="36"/>
      <w:szCs w:val="28"/>
    </w:rPr>
  </w:style>
  <w:style w:type="character" w:customStyle="1" w:styleId="Heading2Char1">
    <w:name w:val="Heading 2 Char1"/>
    <w:basedOn w:val="DefaultParagraphFont"/>
    <w:rsid w:val="000B2F48"/>
    <w:rPr>
      <w:rFonts w:ascii="Calibri" w:eastAsiaTheme="majorEastAsia" w:hAnsi="Calibri" w:cstheme="majorBidi"/>
      <w:b/>
      <w:bCs/>
      <w:sz w:val="24"/>
      <w:szCs w:val="26"/>
    </w:rPr>
  </w:style>
  <w:style w:type="character" w:customStyle="1" w:styleId="Heading3Char9">
    <w:name w:val="Heading 3 Char9"/>
    <w:basedOn w:val="DefaultParagraphFont"/>
    <w:rsid w:val="000B2F48"/>
    <w:rPr>
      <w:rFonts w:ascii="Calibri" w:eastAsiaTheme="majorEastAsia" w:hAnsi="Calibri" w:cstheme="majorBidi"/>
      <w:b/>
      <w:bCs/>
    </w:rPr>
  </w:style>
  <w:style w:type="character" w:customStyle="1" w:styleId="Heading4Char2">
    <w:name w:val="Heading 4 Char2"/>
    <w:basedOn w:val="DefaultParagraphFont"/>
    <w:rsid w:val="000B2F48"/>
    <w:rPr>
      <w:rFonts w:ascii="Calibri" w:eastAsiaTheme="majorEastAsia" w:hAnsi="Calibri" w:cstheme="majorBidi"/>
      <w:bCs/>
      <w:i/>
      <w:iCs/>
    </w:rPr>
  </w:style>
  <w:style w:type="character" w:customStyle="1" w:styleId="Heading1Char5">
    <w:name w:val="Heading 1 Char5"/>
    <w:basedOn w:val="DefaultParagraphFont"/>
    <w:rsid w:val="00AB4FC6"/>
    <w:rPr>
      <w:rFonts w:ascii="Calibri" w:eastAsiaTheme="majorEastAsia" w:hAnsi="Calibri" w:cstheme="majorBidi"/>
      <w:b/>
      <w:bCs/>
      <w:color w:val="0070C0"/>
      <w:sz w:val="36"/>
      <w:szCs w:val="28"/>
    </w:rPr>
  </w:style>
  <w:style w:type="character" w:customStyle="1" w:styleId="Heading2Char2">
    <w:name w:val="Heading 2 Char2"/>
    <w:basedOn w:val="DefaultParagraphFont"/>
    <w:semiHidden/>
    <w:rsid w:val="00AB4FC6"/>
    <w:rPr>
      <w:rFonts w:ascii="Calibri" w:eastAsiaTheme="majorEastAsia" w:hAnsi="Calibri" w:cstheme="majorBidi"/>
      <w:b/>
      <w:bCs/>
      <w:color w:val="62777F" w:themeColor="text1"/>
      <w:sz w:val="24"/>
      <w:szCs w:val="26"/>
    </w:rPr>
  </w:style>
  <w:style w:type="character" w:customStyle="1" w:styleId="Heading3Char10">
    <w:name w:val="Heading 3 Char10"/>
    <w:basedOn w:val="DefaultParagraphFont"/>
    <w:rsid w:val="00E15A89"/>
    <w:rPr>
      <w:rFonts w:ascii="Calibri" w:eastAsiaTheme="majorEastAsia" w:hAnsi="Calibri" w:cstheme="majorBidi"/>
      <w:b/>
      <w:bCs/>
      <w:color w:val="62777F" w:themeColor="text1"/>
    </w:rPr>
  </w:style>
  <w:style w:type="character" w:customStyle="1" w:styleId="Heading4Char3">
    <w:name w:val="Heading 4 Char3"/>
    <w:basedOn w:val="DefaultParagraphFont"/>
    <w:semiHidden/>
    <w:rsid w:val="00E84D8F"/>
    <w:rPr>
      <w:rFonts w:ascii="Calibri" w:eastAsiaTheme="majorEastAsia" w:hAnsi="Calibri" w:cstheme="majorBidi"/>
      <w:bCs/>
      <w:i/>
      <w:iCs/>
    </w:rPr>
  </w:style>
  <w:style w:type="character" w:customStyle="1" w:styleId="Heading1Char6">
    <w:name w:val="Heading 1 Char6"/>
    <w:basedOn w:val="DefaultParagraphFont"/>
    <w:rsid w:val="006704C4"/>
    <w:rPr>
      <w:rFonts w:asciiTheme="minorHAnsi" w:eastAsiaTheme="majorEastAsia" w:hAnsiTheme="minorHAnsi" w:cstheme="majorBidi"/>
      <w:b/>
      <w:bCs/>
      <w:color w:val="0070C0"/>
      <w:sz w:val="36"/>
      <w:szCs w:val="28"/>
    </w:rPr>
  </w:style>
  <w:style w:type="character" w:customStyle="1" w:styleId="Heading2Char3">
    <w:name w:val="Heading 2 Char3"/>
    <w:basedOn w:val="DefaultParagraphFont"/>
    <w:rsid w:val="006704C4"/>
    <w:rPr>
      <w:rFonts w:ascii="Calibri" w:eastAsiaTheme="majorEastAsia" w:hAnsi="Calibri" w:cstheme="majorBidi"/>
      <w:b/>
      <w:bCs/>
      <w:sz w:val="24"/>
      <w:szCs w:val="26"/>
    </w:rPr>
  </w:style>
  <w:style w:type="character" w:customStyle="1" w:styleId="Heading3Char11">
    <w:name w:val="Heading 3 Char11"/>
    <w:basedOn w:val="DefaultParagraphFont"/>
    <w:rsid w:val="006704C4"/>
    <w:rPr>
      <w:rFonts w:ascii="Calibri" w:eastAsiaTheme="majorEastAsia" w:hAnsi="Calibri" w:cstheme="majorBidi"/>
      <w:b/>
      <w:bCs/>
      <w:color w:val="62777F" w:themeColor="text1"/>
    </w:rPr>
  </w:style>
  <w:style w:type="character" w:customStyle="1" w:styleId="Heading4Char4">
    <w:name w:val="Heading 4 Char4"/>
    <w:basedOn w:val="DefaultParagraphFont"/>
    <w:semiHidden/>
    <w:rsid w:val="006704C4"/>
    <w:rPr>
      <w:rFonts w:ascii="Calibri" w:eastAsiaTheme="majorEastAsia" w:hAnsi="Calibri" w:cstheme="majorBidi"/>
      <w:bCs/>
      <w:i/>
      <w:iCs/>
      <w:color w:val="62777F" w:themeColor="text1"/>
    </w:rPr>
  </w:style>
  <w:style w:type="character" w:customStyle="1" w:styleId="Heading2Char4">
    <w:name w:val="Heading 2 Char4"/>
    <w:basedOn w:val="DefaultParagraphFont"/>
    <w:rsid w:val="00851CFB"/>
    <w:rPr>
      <w:rFonts w:ascii="Calibri" w:eastAsiaTheme="majorEastAsia" w:hAnsi="Calibri" w:cstheme="majorBidi"/>
      <w:b/>
      <w:bCs/>
      <w:color w:val="62777F" w:themeColor="text1"/>
      <w:sz w:val="24"/>
      <w:szCs w:val="26"/>
    </w:rPr>
  </w:style>
  <w:style w:type="character" w:customStyle="1" w:styleId="Heading3Char12">
    <w:name w:val="Heading 3 Char12"/>
    <w:basedOn w:val="DefaultParagraphFont"/>
    <w:rsid w:val="002108D7"/>
    <w:rPr>
      <w:rFonts w:ascii="Calibri" w:eastAsiaTheme="majorEastAsia" w:hAnsi="Calibri" w:cstheme="majorBidi"/>
      <w:b/>
      <w:bCs/>
      <w:color w:val="62777F" w:themeColor="text1"/>
    </w:rPr>
  </w:style>
  <w:style w:type="character" w:customStyle="1" w:styleId="Heading4Char5">
    <w:name w:val="Heading 4 Char5"/>
    <w:basedOn w:val="DefaultParagraphFont"/>
    <w:semiHidden/>
    <w:rsid w:val="008872DE"/>
    <w:rPr>
      <w:rFonts w:ascii="Calibri" w:eastAsiaTheme="majorEastAsia" w:hAnsi="Calibri" w:cstheme="majorBidi"/>
      <w:bCs/>
      <w:i/>
      <w:iCs/>
      <w:color w:val="62777F" w:themeColor="text1"/>
    </w:rPr>
  </w:style>
  <w:style w:type="paragraph" w:styleId="Caption">
    <w:name w:val="caption"/>
    <w:basedOn w:val="Normal"/>
    <w:next w:val="Normal"/>
    <w:uiPriority w:val="35"/>
    <w:unhideWhenUsed/>
    <w:qFormat/>
    <w:rsid w:val="00594A02"/>
    <w:pPr>
      <w:spacing w:after="120" w:line="240" w:lineRule="auto"/>
      <w:jc w:val="center"/>
    </w:pPr>
    <w:rPr>
      <w:rFonts w:ascii="Calibri" w:hAnsi="Calibri"/>
      <w:b/>
      <w:bCs/>
      <w:szCs w:val="18"/>
    </w:rPr>
  </w:style>
  <w:style w:type="character" w:customStyle="1" w:styleId="Heading2Char5">
    <w:name w:val="Heading 2 Char5"/>
    <w:basedOn w:val="DefaultParagraphFont"/>
    <w:rsid w:val="00654BAE"/>
    <w:rPr>
      <w:rFonts w:ascii="Calibri" w:eastAsiaTheme="majorEastAsia" w:hAnsi="Calibri" w:cstheme="majorBidi"/>
      <w:b/>
      <w:bCs/>
      <w:color w:val="62777F" w:themeColor="text1"/>
      <w:sz w:val="24"/>
      <w:szCs w:val="26"/>
    </w:rPr>
  </w:style>
  <w:style w:type="character" w:customStyle="1" w:styleId="Heading4Char6">
    <w:name w:val="Heading 4 Char6"/>
    <w:basedOn w:val="DefaultParagraphFont"/>
    <w:semiHidden/>
    <w:rsid w:val="005170CD"/>
    <w:rPr>
      <w:rFonts w:asciiTheme="majorHAnsi" w:eastAsiaTheme="majorEastAsia" w:hAnsiTheme="majorHAnsi" w:cstheme="majorBidi"/>
      <w:bCs/>
      <w:i/>
      <w:iCs/>
      <w:color w:val="62777F" w:themeColor="text1"/>
    </w:rPr>
  </w:style>
  <w:style w:type="character" w:customStyle="1" w:styleId="Heading2Char6">
    <w:name w:val="Heading 2 Char6"/>
    <w:basedOn w:val="DefaultParagraphFont"/>
    <w:rsid w:val="005170CD"/>
    <w:rPr>
      <w:rFonts w:ascii="Calibri" w:eastAsiaTheme="majorEastAsia" w:hAnsi="Calibri" w:cstheme="majorBidi"/>
      <w:b/>
      <w:bCs/>
      <w:color w:val="62777F" w:themeColor="text1"/>
      <w:sz w:val="24"/>
      <w:szCs w:val="26"/>
    </w:rPr>
  </w:style>
  <w:style w:type="character" w:customStyle="1" w:styleId="Heading3Char13">
    <w:name w:val="Heading 3 Char13"/>
    <w:basedOn w:val="DefaultParagraphFont"/>
    <w:rsid w:val="005170CD"/>
    <w:rPr>
      <w:rFonts w:ascii="Calibri" w:eastAsiaTheme="majorEastAsia" w:hAnsi="Calibri" w:cstheme="majorBidi"/>
      <w:b/>
      <w:bCs/>
      <w:color w:val="62777F" w:themeColor="text1"/>
    </w:rPr>
  </w:style>
  <w:style w:type="numbering" w:customStyle="1" w:styleId="ISOReportStyle">
    <w:name w:val="ISO Report Style"/>
    <w:uiPriority w:val="99"/>
    <w:rsid w:val="005170CD"/>
    <w:pPr>
      <w:numPr>
        <w:numId w:val="25"/>
      </w:numPr>
    </w:pPr>
  </w:style>
  <w:style w:type="character" w:customStyle="1" w:styleId="Heading2Char7">
    <w:name w:val="Heading 2 Char7"/>
    <w:basedOn w:val="DefaultParagraphFont"/>
    <w:rsid w:val="00A749C6"/>
    <w:rPr>
      <w:rFonts w:ascii="Calibri" w:eastAsiaTheme="majorEastAsia" w:hAnsi="Calibri" w:cstheme="majorBidi"/>
      <w:b/>
      <w:bCs/>
      <w:color w:val="62777F" w:themeColor="text1"/>
      <w:sz w:val="24"/>
      <w:szCs w:val="26"/>
    </w:rPr>
  </w:style>
  <w:style w:type="character" w:customStyle="1" w:styleId="Heading3Char14">
    <w:name w:val="Heading 3 Char14"/>
    <w:basedOn w:val="DefaultParagraphFont"/>
    <w:rsid w:val="00A749C6"/>
    <w:rPr>
      <w:rFonts w:ascii="Calibri" w:eastAsiaTheme="majorEastAsia" w:hAnsi="Calibri" w:cstheme="majorBidi"/>
      <w:b/>
      <w:bCs/>
      <w:color w:val="62777F" w:themeColor="text1"/>
    </w:rPr>
  </w:style>
  <w:style w:type="character" w:customStyle="1" w:styleId="Heading4Char7">
    <w:name w:val="Heading 4 Char7"/>
    <w:basedOn w:val="DefaultParagraphFont"/>
    <w:semiHidden/>
    <w:rsid w:val="00A749C6"/>
    <w:rPr>
      <w:rFonts w:ascii="Calibri" w:eastAsiaTheme="majorEastAsia" w:hAnsi="Calibri" w:cstheme="majorBidi"/>
      <w:bCs/>
      <w:i/>
      <w:iCs/>
      <w:color w:val="62777F" w:themeColor="text1"/>
    </w:rPr>
  </w:style>
  <w:style w:type="character" w:customStyle="1" w:styleId="Heading2Char8">
    <w:name w:val="Heading 2 Char8"/>
    <w:basedOn w:val="DefaultParagraphFont"/>
    <w:semiHidden/>
    <w:rsid w:val="00A66C3B"/>
    <w:rPr>
      <w:rFonts w:eastAsiaTheme="majorEastAsia" w:cstheme="majorBidi"/>
      <w:b/>
      <w:bCs/>
      <w:sz w:val="24"/>
      <w:szCs w:val="26"/>
    </w:rPr>
  </w:style>
  <w:style w:type="character" w:customStyle="1" w:styleId="Heading3Char15">
    <w:name w:val="Heading 3 Char15"/>
    <w:basedOn w:val="DefaultParagraphFont"/>
    <w:rsid w:val="00947B1C"/>
    <w:rPr>
      <w:rFonts w:eastAsiaTheme="majorEastAsia" w:cstheme="majorBidi"/>
      <w:b/>
      <w:bCs/>
    </w:rPr>
  </w:style>
  <w:style w:type="character" w:customStyle="1" w:styleId="Heading4Char8">
    <w:name w:val="Heading 4 Char8"/>
    <w:basedOn w:val="DefaultParagraphFont"/>
    <w:rsid w:val="00947B1C"/>
    <w:rPr>
      <w:rFonts w:asciiTheme="majorHAnsi" w:eastAsiaTheme="majorEastAsia" w:hAnsiTheme="majorHAnsi" w:cstheme="majorBidi"/>
      <w:bCs/>
      <w:i/>
      <w:iCs/>
    </w:rPr>
  </w:style>
  <w:style w:type="paragraph" w:styleId="FootnoteText">
    <w:name w:val="footnote text"/>
    <w:aliases w:val="ft,Footnote Text Char Char,fn Char Char,Footnote Text Char1 Char1 Char,Footnote Text Char Char Char1 Char,Footnote Text Char1 Char Char Char,Footnote Text Char Char Char Char Char,Footnote Text Char Char1,fn,ft Char1,f"/>
    <w:basedOn w:val="Normal"/>
    <w:link w:val="FootnoteTextChar1"/>
    <w:uiPriority w:val="99"/>
    <w:unhideWhenUsed/>
    <w:qFormat/>
    <w:rsid w:val="00254EF7"/>
    <w:pPr>
      <w:spacing w:after="80" w:line="240" w:lineRule="auto"/>
    </w:pPr>
    <w:rPr>
      <w:sz w:val="18"/>
    </w:rPr>
  </w:style>
  <w:style w:type="character" w:customStyle="1" w:styleId="FootnoteTextChar1">
    <w:name w:val="Footnote Text Char1"/>
    <w:aliases w:val="ft Char3,Footnote Text Char Char Char2,fn Char Char Char2,Footnote Text Char1 Char1 Char Char2,Footnote Text Char Char Char1 Char Char2,Footnote Text Char1 Char Char Char Char2,Footnote Text Char Char Char Char Char Char,fn Char1"/>
    <w:basedOn w:val="DefaultParagraphFont"/>
    <w:link w:val="FootnoteText"/>
    <w:uiPriority w:val="99"/>
    <w:rsid w:val="00254EF7"/>
    <w:rPr>
      <w:rFonts w:ascii="Cambria" w:hAnsi="Cambria"/>
      <w:sz w:val="18"/>
    </w:rPr>
  </w:style>
  <w:style w:type="character" w:customStyle="1" w:styleId="Heading1Char8">
    <w:name w:val="Heading 1 Char8"/>
    <w:basedOn w:val="DefaultParagraphFont"/>
    <w:rsid w:val="00BB71E4"/>
    <w:rPr>
      <w:rFonts w:eastAsiaTheme="majorEastAsia" w:cstheme="majorBidi"/>
      <w:b/>
      <w:bCs/>
      <w:color w:val="0070C0"/>
      <w:sz w:val="36"/>
      <w:szCs w:val="28"/>
    </w:rPr>
  </w:style>
  <w:style w:type="character" w:customStyle="1" w:styleId="Heading2Char9">
    <w:name w:val="Heading 2 Char9"/>
    <w:basedOn w:val="DefaultParagraphFont"/>
    <w:rsid w:val="00BB71E4"/>
    <w:rPr>
      <w:rFonts w:eastAsiaTheme="majorEastAsia" w:cstheme="majorBidi"/>
      <w:b/>
      <w:bCs/>
      <w:sz w:val="24"/>
      <w:szCs w:val="26"/>
    </w:rPr>
  </w:style>
  <w:style w:type="character" w:customStyle="1" w:styleId="Heading3Char16">
    <w:name w:val="Heading 3 Char16"/>
    <w:basedOn w:val="DefaultParagraphFont"/>
    <w:rsid w:val="00D93339"/>
    <w:rPr>
      <w:rFonts w:eastAsiaTheme="majorEastAsia" w:cstheme="majorBidi"/>
      <w:b/>
      <w:bCs/>
    </w:rPr>
  </w:style>
  <w:style w:type="character" w:customStyle="1" w:styleId="Heading4Char9">
    <w:name w:val="Heading 4 Char9"/>
    <w:basedOn w:val="DefaultParagraphFont"/>
    <w:rsid w:val="00D93339"/>
    <w:rPr>
      <w:rFonts w:eastAsiaTheme="majorEastAsia" w:cstheme="majorBidi"/>
      <w:bCs/>
      <w:i/>
      <w:iCs/>
    </w:rPr>
  </w:style>
  <w:style w:type="character" w:customStyle="1" w:styleId="Heading1Char9">
    <w:name w:val="Heading 1 Char9"/>
    <w:basedOn w:val="DefaultParagraphFont"/>
    <w:link w:val="Heading1"/>
    <w:rsid w:val="00D945E2"/>
    <w:rPr>
      <w:rFonts w:eastAsiaTheme="majorEastAsia" w:cstheme="majorBidi"/>
      <w:b/>
      <w:bCs/>
      <w:color w:val="1795D2" w:themeColor="accent1"/>
      <w:sz w:val="36"/>
      <w:szCs w:val="28"/>
    </w:rPr>
  </w:style>
  <w:style w:type="character" w:customStyle="1" w:styleId="Heading2Char10">
    <w:name w:val="Heading 2 Char10"/>
    <w:basedOn w:val="DefaultParagraphFont"/>
    <w:link w:val="Heading2"/>
    <w:rsid w:val="00B62AF0"/>
    <w:rPr>
      <w:rFonts w:eastAsiaTheme="majorEastAsia" w:cstheme="majorBidi"/>
      <w:b/>
      <w:bCs/>
      <w:color w:val="auto"/>
      <w:sz w:val="24"/>
      <w:szCs w:val="26"/>
    </w:rPr>
  </w:style>
  <w:style w:type="character" w:customStyle="1" w:styleId="Heading3Char17">
    <w:name w:val="Heading 3 Char17"/>
    <w:basedOn w:val="DefaultParagraphFont"/>
    <w:link w:val="Heading3"/>
    <w:rsid w:val="00AD30BF"/>
    <w:rPr>
      <w:rFonts w:eastAsiaTheme="majorEastAsia" w:cstheme="majorBidi"/>
      <w:b/>
      <w:bCs/>
      <w:color w:val="auto"/>
    </w:rPr>
  </w:style>
  <w:style w:type="character" w:customStyle="1" w:styleId="Heading4Char10">
    <w:name w:val="Heading 4 Char10"/>
    <w:basedOn w:val="DefaultParagraphFont"/>
    <w:link w:val="Heading4"/>
    <w:rsid w:val="00A72CA4"/>
    <w:rPr>
      <w:rFonts w:eastAsiaTheme="majorEastAsia" w:cstheme="majorBidi"/>
      <w:bCs/>
      <w:i/>
      <w:iCs/>
      <w:color w:val="auto"/>
    </w:rPr>
  </w:style>
  <w:style w:type="numbering" w:customStyle="1" w:styleId="NoList5">
    <w:name w:val="No List5"/>
    <w:next w:val="NoList"/>
    <w:uiPriority w:val="99"/>
    <w:semiHidden/>
    <w:unhideWhenUsed/>
    <w:rsid w:val="00C30FD8"/>
  </w:style>
  <w:style w:type="numbering" w:customStyle="1" w:styleId="CurrentList14">
    <w:name w:val="Current List14"/>
    <w:rsid w:val="00C30FD8"/>
  </w:style>
  <w:style w:type="paragraph" w:styleId="TOC1">
    <w:name w:val="toc 1"/>
    <w:basedOn w:val="Normal"/>
    <w:next w:val="Normal"/>
    <w:autoRedefine/>
    <w:uiPriority w:val="39"/>
    <w:unhideWhenUsed/>
    <w:qFormat/>
    <w:rsid w:val="002422A4"/>
    <w:pPr>
      <w:tabs>
        <w:tab w:val="right" w:leader="dot" w:pos="9360"/>
      </w:tabs>
      <w:spacing w:after="120" w:line="240" w:lineRule="auto"/>
    </w:pPr>
    <w:rPr>
      <w:rFonts w:asciiTheme="majorHAnsi" w:eastAsiaTheme="majorEastAsia" w:hAnsiTheme="majorHAnsi" w:cstheme="majorBidi"/>
      <w:b/>
      <w:noProof/>
      <w14:scene3d>
        <w14:camera w14:prst="orthographicFront"/>
        <w14:lightRig w14:rig="threePt" w14:dir="t">
          <w14:rot w14:lat="0" w14:lon="0" w14:rev="0"/>
        </w14:lightRig>
      </w14:scene3d>
    </w:rPr>
  </w:style>
  <w:style w:type="paragraph" w:customStyle="1" w:styleId="Caption-Figure">
    <w:name w:val="Caption-Figure"/>
    <w:basedOn w:val="Caption"/>
    <w:link w:val="Caption-FigureChar"/>
    <w:qFormat/>
    <w:rsid w:val="00C30FD8"/>
    <w:pPr>
      <w:keepNext/>
      <w:keepLines/>
      <w:spacing w:before="120" w:after="0"/>
      <w:jc w:val="left"/>
    </w:pPr>
    <w:rPr>
      <w:bCs w:val="0"/>
    </w:rPr>
  </w:style>
  <w:style w:type="table" w:customStyle="1" w:styleId="TableGrid4">
    <w:name w:val="Table Grid4"/>
    <w:basedOn w:val="TableNormal"/>
    <w:next w:val="TableGrid"/>
    <w:uiPriority w:val="59"/>
    <w:rsid w:val="00C30FD8"/>
    <w:pPr>
      <w:widowControl w:val="0"/>
      <w:spacing w:after="0"/>
    </w:pPr>
    <w:rPr>
      <w:rFonts w:ascii="Times New Roman" w:eastAsia="Times New Roman" w:hAnsi="Times New Roman"/>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ulletedList3">
    <w:name w:val="Bulleted List3"/>
    <w:rsid w:val="00C30FD8"/>
  </w:style>
  <w:style w:type="table" w:customStyle="1" w:styleId="LightShading14">
    <w:name w:val="Light Shading14"/>
    <w:basedOn w:val="TableNormal"/>
    <w:uiPriority w:val="60"/>
    <w:rsid w:val="00C30FD8"/>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4">
    <w:name w:val="Light Grid14"/>
    <w:basedOn w:val="TableNormal"/>
    <w:uiPriority w:val="62"/>
    <w:rsid w:val="00C30FD8"/>
    <w:pPr>
      <w:spacing w:after="0" w:line="240" w:lineRule="auto"/>
    </w:pPr>
    <w:rPr>
      <w:rFonts w:ascii="Arial" w:eastAsia="Arial" w:hAnsi="Arial"/>
      <w:color w:val="auto"/>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4">
    <w:name w:val="Medium Shading 1 - Accent 114"/>
    <w:basedOn w:val="TableNormal"/>
    <w:uiPriority w:val="63"/>
    <w:rsid w:val="00C30FD8"/>
    <w:pPr>
      <w:spacing w:after="0" w:line="240" w:lineRule="auto"/>
    </w:pPr>
    <w:rPr>
      <w:rFonts w:ascii="Cambria" w:hAnsi="Cambria"/>
      <w:color w:val="auto"/>
    </w:r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4">
    <w:name w:val="Medium Grid 1 - Accent 14"/>
    <w:basedOn w:val="TableNormal"/>
    <w:next w:val="MediumGrid1-Accent1"/>
    <w:uiPriority w:val="67"/>
    <w:rsid w:val="00C30FD8"/>
    <w:pPr>
      <w:spacing w:after="0" w:line="240" w:lineRule="auto"/>
    </w:pPr>
    <w:rPr>
      <w:rFonts w:ascii="Cambria" w:hAnsi="Cambria"/>
      <w:color w:val="auto"/>
    </w:r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4">
    <w:name w:val="Light Shading - Accent 114"/>
    <w:basedOn w:val="TableNormal"/>
    <w:uiPriority w:val="60"/>
    <w:rsid w:val="00C30FD8"/>
    <w:pPr>
      <w:spacing w:after="0" w:line="240" w:lineRule="auto"/>
    </w:pPr>
    <w:rPr>
      <w:rFonts w:ascii="Cambria" w:hAnsi="Cambria"/>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4">
    <w:name w:val="RSP_Style4"/>
    <w:basedOn w:val="TableNormal"/>
    <w:uiPriority w:val="99"/>
    <w:qFormat/>
    <w:rsid w:val="00C30FD8"/>
    <w:pPr>
      <w:spacing w:after="0" w:line="240" w:lineRule="auto"/>
    </w:pPr>
    <w:rPr>
      <w:rFonts w:ascii="Cambria" w:hAnsi="Cambria"/>
      <w:color w:val="auto"/>
    </w:rPr>
    <w:tblPr/>
  </w:style>
  <w:style w:type="table" w:customStyle="1" w:styleId="20122tableformat4">
    <w:name w:val="2012 2 table format4"/>
    <w:basedOn w:val="TableNormal"/>
    <w:uiPriority w:val="63"/>
    <w:rsid w:val="00C30FD8"/>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4">
    <w:name w:val="Medium Grid 1 - Accent 64"/>
    <w:basedOn w:val="TableNormal"/>
    <w:next w:val="MediumGrid1-Accent6"/>
    <w:uiPriority w:val="67"/>
    <w:rsid w:val="00C30FD8"/>
    <w:pPr>
      <w:spacing w:after="0" w:line="240" w:lineRule="auto"/>
    </w:pPr>
    <w:rPr>
      <w:rFonts w:ascii="Cambria" w:hAnsi="Cambria"/>
      <w:color w:val="auto"/>
    </w:r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4">
    <w:name w:val="Light List - Accent 64"/>
    <w:basedOn w:val="TableNormal"/>
    <w:next w:val="LightList-Accent6"/>
    <w:uiPriority w:val="61"/>
    <w:rsid w:val="00C30FD8"/>
    <w:pPr>
      <w:spacing w:after="0" w:line="240" w:lineRule="auto"/>
    </w:pPr>
    <w:rPr>
      <w:color w:val="auto"/>
    </w:r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4">
    <w:name w:val="Light Grid - Accent 114"/>
    <w:basedOn w:val="TableNormal"/>
    <w:uiPriority w:val="62"/>
    <w:rsid w:val="00C30FD8"/>
    <w:pPr>
      <w:spacing w:after="0" w:line="240" w:lineRule="auto"/>
    </w:pPr>
    <w:rPr>
      <w:rFonts w:ascii="Cambria" w:hAnsi="Cambria"/>
      <w:color w:val="auto"/>
    </w:r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4">
    <w:name w:val="2012 Style4"/>
    <w:basedOn w:val="TableNormal"/>
    <w:uiPriority w:val="99"/>
    <w:qFormat/>
    <w:rsid w:val="00C30FD8"/>
    <w:pPr>
      <w:spacing w:after="0" w:line="240" w:lineRule="auto"/>
    </w:pPr>
    <w:rPr>
      <w:color w:val="auto"/>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4">
    <w:name w:val="Light Shading - Accent 124"/>
    <w:basedOn w:val="TableNormal"/>
    <w:uiPriority w:val="60"/>
    <w:rsid w:val="00C30FD8"/>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numbering" w:customStyle="1" w:styleId="NoList14">
    <w:name w:val="No List14"/>
    <w:next w:val="NoList"/>
    <w:uiPriority w:val="99"/>
    <w:semiHidden/>
    <w:unhideWhenUsed/>
    <w:rsid w:val="00C30FD8"/>
  </w:style>
  <w:style w:type="numbering" w:customStyle="1" w:styleId="CurrentList114">
    <w:name w:val="Current List114"/>
    <w:rsid w:val="00C30FD8"/>
  </w:style>
  <w:style w:type="table" w:customStyle="1" w:styleId="TableGrid13">
    <w:name w:val="Table Grid13"/>
    <w:basedOn w:val="TableNormal"/>
    <w:next w:val="TableGrid"/>
    <w:uiPriority w:val="59"/>
    <w:rsid w:val="00C30FD8"/>
    <w:pPr>
      <w:widowControl w:val="0"/>
      <w:spacing w:after="0"/>
    </w:pPr>
    <w:rPr>
      <w:rFonts w:ascii="Times New Roman" w:eastAsia="Times New Roman" w:hAnsi="Times New Roman"/>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ulletedList14">
    <w:name w:val="Bulleted List14"/>
    <w:rsid w:val="00C30FD8"/>
  </w:style>
  <w:style w:type="table" w:customStyle="1" w:styleId="LightShading113">
    <w:name w:val="Light Shading113"/>
    <w:basedOn w:val="TableNormal"/>
    <w:uiPriority w:val="60"/>
    <w:rsid w:val="00C30FD8"/>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13">
    <w:name w:val="Light Grid113"/>
    <w:basedOn w:val="TableNormal"/>
    <w:uiPriority w:val="62"/>
    <w:rsid w:val="00C30FD8"/>
    <w:pPr>
      <w:spacing w:after="0" w:line="240" w:lineRule="auto"/>
    </w:pPr>
    <w:rPr>
      <w:rFonts w:ascii="Arial" w:eastAsia="Arial" w:hAnsi="Arial"/>
      <w:color w:val="auto"/>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13">
    <w:name w:val="Medium Shading 1 - Accent 1113"/>
    <w:basedOn w:val="TableNormal"/>
    <w:uiPriority w:val="63"/>
    <w:rsid w:val="00C30FD8"/>
    <w:pPr>
      <w:spacing w:after="0" w:line="240" w:lineRule="auto"/>
    </w:pPr>
    <w:rPr>
      <w:rFonts w:ascii="Cambria" w:hAnsi="Cambria"/>
      <w:color w:val="auto"/>
    </w:r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13">
    <w:name w:val="Medium Grid 1 - Accent 113"/>
    <w:basedOn w:val="TableNormal"/>
    <w:next w:val="MediumGrid1-Accent1"/>
    <w:uiPriority w:val="67"/>
    <w:rsid w:val="00C30FD8"/>
    <w:pPr>
      <w:spacing w:after="0" w:line="240" w:lineRule="auto"/>
    </w:pPr>
    <w:rPr>
      <w:rFonts w:ascii="Cambria" w:hAnsi="Cambria"/>
      <w:color w:val="auto"/>
    </w:r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13">
    <w:name w:val="Light Shading - Accent 1113"/>
    <w:basedOn w:val="TableNormal"/>
    <w:uiPriority w:val="60"/>
    <w:rsid w:val="00C30FD8"/>
    <w:pPr>
      <w:spacing w:after="0" w:line="240" w:lineRule="auto"/>
    </w:pPr>
    <w:rPr>
      <w:rFonts w:ascii="Cambria" w:hAnsi="Cambria"/>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13">
    <w:name w:val="RSP_Style13"/>
    <w:basedOn w:val="TableNormal"/>
    <w:uiPriority w:val="99"/>
    <w:qFormat/>
    <w:rsid w:val="00C30FD8"/>
    <w:pPr>
      <w:spacing w:after="0" w:line="240" w:lineRule="auto"/>
    </w:pPr>
    <w:rPr>
      <w:rFonts w:ascii="Cambria" w:hAnsi="Cambria"/>
      <w:color w:val="auto"/>
    </w:rPr>
    <w:tblPr/>
  </w:style>
  <w:style w:type="table" w:customStyle="1" w:styleId="20122tableformat13">
    <w:name w:val="2012 2 table format13"/>
    <w:basedOn w:val="TableNormal"/>
    <w:uiPriority w:val="63"/>
    <w:rsid w:val="00C30FD8"/>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13">
    <w:name w:val="Medium Grid 1 - Accent 613"/>
    <w:basedOn w:val="TableNormal"/>
    <w:next w:val="MediumGrid1-Accent6"/>
    <w:uiPriority w:val="67"/>
    <w:rsid w:val="00C30FD8"/>
    <w:pPr>
      <w:spacing w:after="0" w:line="240" w:lineRule="auto"/>
    </w:pPr>
    <w:rPr>
      <w:rFonts w:ascii="Cambria" w:hAnsi="Cambria"/>
      <w:color w:val="auto"/>
    </w:r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13">
    <w:name w:val="Light List - Accent 613"/>
    <w:basedOn w:val="TableNormal"/>
    <w:next w:val="LightList-Accent6"/>
    <w:uiPriority w:val="61"/>
    <w:rsid w:val="00C30FD8"/>
    <w:pPr>
      <w:spacing w:after="0" w:line="240" w:lineRule="auto"/>
    </w:pPr>
    <w:rPr>
      <w:color w:val="auto"/>
    </w:r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13">
    <w:name w:val="Light Grid - Accent 1113"/>
    <w:basedOn w:val="TableNormal"/>
    <w:uiPriority w:val="62"/>
    <w:rsid w:val="00C30FD8"/>
    <w:pPr>
      <w:spacing w:after="0" w:line="240" w:lineRule="auto"/>
    </w:pPr>
    <w:rPr>
      <w:rFonts w:ascii="Cambria" w:hAnsi="Cambria"/>
      <w:color w:val="auto"/>
    </w:r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13">
    <w:name w:val="2012 Style13"/>
    <w:basedOn w:val="TableNormal"/>
    <w:uiPriority w:val="99"/>
    <w:qFormat/>
    <w:rsid w:val="00C30FD8"/>
    <w:pPr>
      <w:spacing w:after="0" w:line="240" w:lineRule="auto"/>
    </w:pPr>
    <w:rPr>
      <w:color w:val="auto"/>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13">
    <w:name w:val="Light Shading - Accent 1213"/>
    <w:basedOn w:val="TableNormal"/>
    <w:uiPriority w:val="60"/>
    <w:rsid w:val="00C30FD8"/>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table" w:customStyle="1" w:styleId="MediumShading1-Accent43">
    <w:name w:val="Medium Shading 1 - Accent 43"/>
    <w:basedOn w:val="TableNormal"/>
    <w:next w:val="MediumShading1-Accent4"/>
    <w:uiPriority w:val="63"/>
    <w:rsid w:val="00C30FD8"/>
    <w:pPr>
      <w:spacing w:after="0" w:line="240" w:lineRule="auto"/>
    </w:pPr>
    <w:rPr>
      <w:rFonts w:ascii="Cambria" w:hAnsi="Cambria"/>
      <w:color w:val="auto"/>
    </w:rPr>
    <w:tblPr>
      <w:tblStyleRowBandSize w:val="1"/>
      <w:tblStyleColBandSize w:val="1"/>
      <w:tbl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single" w:sz="8" w:space="0" w:color="FCCA63" w:themeColor="accent4" w:themeTint="BF"/>
      </w:tblBorders>
    </w:tblPr>
    <w:tblStylePr w:type="firstRow">
      <w:pPr>
        <w:spacing w:before="0" w:after="0" w:line="240" w:lineRule="auto"/>
      </w:pPr>
      <w:rPr>
        <w:b/>
        <w:bCs/>
        <w:color w:val="FFFFFF" w:themeColor="background1"/>
      </w:rPr>
      <w:tblPr/>
      <w:tcPr>
        <w:tc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shd w:val="clear" w:color="auto" w:fill="FBB92F" w:themeFill="accent4"/>
      </w:tcPr>
    </w:tblStylePr>
    <w:tblStylePr w:type="lastRow">
      <w:pPr>
        <w:spacing w:before="0" w:after="0" w:line="240" w:lineRule="auto"/>
      </w:pPr>
      <w:rPr>
        <w:b/>
        <w:bCs/>
      </w:rPr>
      <w:tblPr/>
      <w:tcPr>
        <w:tcBorders>
          <w:top w:val="double" w:sz="6"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tcPr>
    </w:tblStylePr>
    <w:tblStylePr w:type="firstCol">
      <w:rPr>
        <w:b/>
        <w:bCs/>
      </w:rPr>
    </w:tblStylePr>
    <w:tblStylePr w:type="lastCol">
      <w:rPr>
        <w:b/>
        <w:bCs/>
      </w:rPr>
    </w:tblStylePr>
    <w:tblStylePr w:type="band1Vert">
      <w:tblPr/>
      <w:tcPr>
        <w:shd w:val="clear" w:color="auto" w:fill="FEEDCB" w:themeFill="accent4" w:themeFillTint="3F"/>
      </w:tcPr>
    </w:tblStylePr>
    <w:tblStylePr w:type="band1Horz">
      <w:tblPr/>
      <w:tcPr>
        <w:tcBorders>
          <w:insideH w:val="nil"/>
          <w:insideV w:val="nil"/>
        </w:tcBorders>
        <w:shd w:val="clear" w:color="auto" w:fill="FEEDCB" w:themeFill="accent4" w:themeFillTint="3F"/>
      </w:tcPr>
    </w:tblStylePr>
    <w:tblStylePr w:type="band2Horz">
      <w:tblPr/>
      <w:tcPr>
        <w:tcBorders>
          <w:insideH w:val="nil"/>
          <w:insideV w:val="nil"/>
        </w:tcBorders>
      </w:tcPr>
    </w:tblStylePr>
  </w:style>
  <w:style w:type="table" w:customStyle="1" w:styleId="TableGrid5">
    <w:name w:val="Table Grid5"/>
    <w:basedOn w:val="TableNormal"/>
    <w:next w:val="TableGrid"/>
    <w:uiPriority w:val="59"/>
    <w:rsid w:val="002603B2"/>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ableofFigures">
    <w:name w:val="table of figures"/>
    <w:basedOn w:val="Normal"/>
    <w:next w:val="Normal"/>
    <w:uiPriority w:val="99"/>
    <w:unhideWhenUsed/>
    <w:rsid w:val="00D945E2"/>
    <w:pPr>
      <w:spacing w:after="120" w:line="240" w:lineRule="auto"/>
    </w:pPr>
    <w:rPr>
      <w:rFonts w:ascii="Calibri" w:hAnsi="Calibri"/>
    </w:rPr>
  </w:style>
  <w:style w:type="numbering" w:customStyle="1" w:styleId="ISOReportStyle1">
    <w:name w:val="ISO Report Style1"/>
    <w:uiPriority w:val="99"/>
    <w:rsid w:val="00F273F3"/>
  </w:style>
  <w:style w:type="numbering" w:customStyle="1" w:styleId="NoList6">
    <w:name w:val="No List6"/>
    <w:next w:val="NoList"/>
    <w:uiPriority w:val="99"/>
    <w:semiHidden/>
    <w:unhideWhenUsed/>
    <w:rsid w:val="00DB6EC8"/>
  </w:style>
  <w:style w:type="table" w:customStyle="1" w:styleId="TableGrid6">
    <w:name w:val="Table Grid6"/>
    <w:basedOn w:val="TableNormal"/>
    <w:next w:val="TableGrid"/>
    <w:uiPriority w:val="59"/>
    <w:rsid w:val="00DB6EC8"/>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5">
    <w:name w:val="Light Shading15"/>
    <w:basedOn w:val="TableNormal"/>
    <w:uiPriority w:val="60"/>
    <w:rsid w:val="00DB6EC8"/>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5">
    <w:name w:val="Light Grid15"/>
    <w:basedOn w:val="TableNormal"/>
    <w:uiPriority w:val="62"/>
    <w:rsid w:val="00DB6EC8"/>
    <w:pPr>
      <w:spacing w:after="0" w:line="240" w:lineRule="auto"/>
    </w:pPr>
    <w:rPr>
      <w:rFonts w:ascii="Arial" w:eastAsia="Arial" w:hAnsi="Arial"/>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5">
    <w:name w:val="Medium Shading 1 - Accent 115"/>
    <w:basedOn w:val="TableNormal"/>
    <w:uiPriority w:val="63"/>
    <w:rsid w:val="00DB6EC8"/>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5">
    <w:name w:val="Medium Grid 1 - Accent 15"/>
    <w:basedOn w:val="TableNormal"/>
    <w:next w:val="MediumGrid1-Accent1"/>
    <w:uiPriority w:val="67"/>
    <w:rsid w:val="00DB6EC8"/>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5">
    <w:name w:val="Light Shading - Accent 115"/>
    <w:basedOn w:val="TableNormal"/>
    <w:uiPriority w:val="60"/>
    <w:rsid w:val="00DB6EC8"/>
    <w:pPr>
      <w:spacing w:after="0" w:line="240" w:lineRule="auto"/>
    </w:pPr>
    <w:rPr>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5">
    <w:name w:val="RSP_Style5"/>
    <w:basedOn w:val="TableNormal"/>
    <w:uiPriority w:val="99"/>
    <w:qFormat/>
    <w:rsid w:val="00DB6EC8"/>
    <w:pPr>
      <w:spacing w:after="0" w:line="240" w:lineRule="auto"/>
    </w:pPr>
    <w:tblPr/>
  </w:style>
  <w:style w:type="table" w:customStyle="1" w:styleId="20122tableformat5">
    <w:name w:val="2012 2 table format5"/>
    <w:basedOn w:val="TableNormal"/>
    <w:uiPriority w:val="63"/>
    <w:rsid w:val="00DB6EC8"/>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5">
    <w:name w:val="Medium Grid 1 - Accent 65"/>
    <w:basedOn w:val="TableNormal"/>
    <w:next w:val="MediumGrid1-Accent6"/>
    <w:uiPriority w:val="67"/>
    <w:rsid w:val="00DB6EC8"/>
    <w:pPr>
      <w:spacing w:after="0" w:line="240" w:lineRule="auto"/>
    </w:p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5">
    <w:name w:val="Light List - Accent 65"/>
    <w:basedOn w:val="TableNormal"/>
    <w:next w:val="LightList-Accent6"/>
    <w:uiPriority w:val="61"/>
    <w:rsid w:val="00DB6EC8"/>
    <w:pPr>
      <w:spacing w:after="0" w:line="240" w:lineRule="auto"/>
    </w:p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5">
    <w:name w:val="Light Grid - Accent 115"/>
    <w:basedOn w:val="TableNormal"/>
    <w:uiPriority w:val="62"/>
    <w:rsid w:val="00DB6EC8"/>
    <w:pPr>
      <w:spacing w:after="0" w:line="240" w:lineRule="auto"/>
    </w:p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5">
    <w:name w:val="2012 Style5"/>
    <w:basedOn w:val="TableNormal"/>
    <w:uiPriority w:val="99"/>
    <w:qFormat/>
    <w:rsid w:val="00DB6EC8"/>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5">
    <w:name w:val="Light Shading - Accent 125"/>
    <w:basedOn w:val="TableNormal"/>
    <w:uiPriority w:val="60"/>
    <w:rsid w:val="00DB6EC8"/>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numbering" w:customStyle="1" w:styleId="NoList15">
    <w:name w:val="No List15"/>
    <w:next w:val="NoList"/>
    <w:uiPriority w:val="99"/>
    <w:semiHidden/>
    <w:unhideWhenUsed/>
    <w:rsid w:val="00DB6EC8"/>
  </w:style>
  <w:style w:type="numbering" w:customStyle="1" w:styleId="CurrentList115">
    <w:name w:val="Current List115"/>
    <w:rsid w:val="00DB6EC8"/>
  </w:style>
  <w:style w:type="table" w:customStyle="1" w:styleId="TableGrid14">
    <w:name w:val="Table Grid14"/>
    <w:basedOn w:val="TableNormal"/>
    <w:next w:val="TableGrid"/>
    <w:uiPriority w:val="59"/>
    <w:rsid w:val="00DB6EC8"/>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ulletedList15">
    <w:name w:val="Bulleted List15"/>
    <w:rsid w:val="00DB6EC8"/>
  </w:style>
  <w:style w:type="table" w:customStyle="1" w:styleId="LightShading114">
    <w:name w:val="Light Shading114"/>
    <w:basedOn w:val="TableNormal"/>
    <w:uiPriority w:val="60"/>
    <w:rsid w:val="00DB6EC8"/>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14">
    <w:name w:val="Light Grid114"/>
    <w:basedOn w:val="TableNormal"/>
    <w:uiPriority w:val="62"/>
    <w:rsid w:val="00DB6EC8"/>
    <w:pPr>
      <w:spacing w:after="0" w:line="240" w:lineRule="auto"/>
    </w:pPr>
    <w:rPr>
      <w:rFonts w:ascii="Arial" w:eastAsia="Arial" w:hAnsi="Arial"/>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14">
    <w:name w:val="Medium Shading 1 - Accent 1114"/>
    <w:basedOn w:val="TableNormal"/>
    <w:uiPriority w:val="63"/>
    <w:rsid w:val="00DB6EC8"/>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14">
    <w:name w:val="Medium Grid 1 - Accent 114"/>
    <w:basedOn w:val="TableNormal"/>
    <w:next w:val="MediumGrid1-Accent1"/>
    <w:uiPriority w:val="67"/>
    <w:rsid w:val="00DB6EC8"/>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14">
    <w:name w:val="Light Shading - Accent 1114"/>
    <w:basedOn w:val="TableNormal"/>
    <w:uiPriority w:val="60"/>
    <w:rsid w:val="00DB6EC8"/>
    <w:pPr>
      <w:spacing w:after="0" w:line="240" w:lineRule="auto"/>
    </w:pPr>
    <w:rPr>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14">
    <w:name w:val="RSP_Style14"/>
    <w:basedOn w:val="TableNormal"/>
    <w:uiPriority w:val="99"/>
    <w:qFormat/>
    <w:rsid w:val="00DB6EC8"/>
    <w:pPr>
      <w:spacing w:after="0" w:line="240" w:lineRule="auto"/>
    </w:pPr>
    <w:tblPr/>
  </w:style>
  <w:style w:type="table" w:customStyle="1" w:styleId="20122tableformat14">
    <w:name w:val="2012 2 table format14"/>
    <w:basedOn w:val="TableNormal"/>
    <w:uiPriority w:val="63"/>
    <w:rsid w:val="00DB6EC8"/>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14">
    <w:name w:val="Medium Grid 1 - Accent 614"/>
    <w:basedOn w:val="TableNormal"/>
    <w:next w:val="MediumGrid1-Accent6"/>
    <w:uiPriority w:val="67"/>
    <w:rsid w:val="00DB6EC8"/>
    <w:pPr>
      <w:spacing w:after="0" w:line="240" w:lineRule="auto"/>
    </w:p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14">
    <w:name w:val="Light List - Accent 614"/>
    <w:basedOn w:val="TableNormal"/>
    <w:next w:val="LightList-Accent6"/>
    <w:uiPriority w:val="61"/>
    <w:rsid w:val="00DB6EC8"/>
    <w:pPr>
      <w:spacing w:after="0" w:line="240" w:lineRule="auto"/>
    </w:p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14">
    <w:name w:val="Light Grid - Accent 1114"/>
    <w:basedOn w:val="TableNormal"/>
    <w:uiPriority w:val="62"/>
    <w:rsid w:val="00DB6EC8"/>
    <w:pPr>
      <w:spacing w:after="0" w:line="240" w:lineRule="auto"/>
    </w:p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14">
    <w:name w:val="2012 Style14"/>
    <w:basedOn w:val="TableNormal"/>
    <w:uiPriority w:val="99"/>
    <w:qFormat/>
    <w:rsid w:val="00DB6EC8"/>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14">
    <w:name w:val="Light Shading - Accent 1214"/>
    <w:basedOn w:val="TableNormal"/>
    <w:uiPriority w:val="60"/>
    <w:rsid w:val="00DB6EC8"/>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table" w:customStyle="1" w:styleId="MediumShading1-Accent44">
    <w:name w:val="Medium Shading 1 - Accent 44"/>
    <w:basedOn w:val="TableNormal"/>
    <w:next w:val="MediumShading1-Accent4"/>
    <w:uiPriority w:val="63"/>
    <w:rsid w:val="00DB6EC8"/>
    <w:pPr>
      <w:spacing w:after="0" w:line="240" w:lineRule="auto"/>
    </w:pPr>
    <w:tblPr>
      <w:tblStyleRowBandSize w:val="1"/>
      <w:tblStyleColBandSize w:val="1"/>
      <w:tbl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single" w:sz="8" w:space="0" w:color="FCCA63" w:themeColor="accent4" w:themeTint="BF"/>
      </w:tblBorders>
    </w:tblPr>
    <w:tblStylePr w:type="firstRow">
      <w:pPr>
        <w:spacing w:before="0" w:after="0" w:line="240" w:lineRule="auto"/>
      </w:pPr>
      <w:rPr>
        <w:b/>
        <w:bCs/>
        <w:color w:val="FFFFFF" w:themeColor="background1"/>
      </w:rPr>
      <w:tblPr/>
      <w:tcPr>
        <w:tc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shd w:val="clear" w:color="auto" w:fill="FBB92F" w:themeFill="accent4"/>
      </w:tcPr>
    </w:tblStylePr>
    <w:tblStylePr w:type="lastRow">
      <w:pPr>
        <w:spacing w:before="0" w:after="0" w:line="240" w:lineRule="auto"/>
      </w:pPr>
      <w:rPr>
        <w:b/>
        <w:bCs/>
      </w:rPr>
      <w:tblPr/>
      <w:tcPr>
        <w:tcBorders>
          <w:top w:val="double" w:sz="6"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tcPr>
    </w:tblStylePr>
    <w:tblStylePr w:type="firstCol">
      <w:rPr>
        <w:b/>
        <w:bCs/>
      </w:rPr>
    </w:tblStylePr>
    <w:tblStylePr w:type="lastCol">
      <w:rPr>
        <w:b/>
        <w:bCs/>
      </w:rPr>
    </w:tblStylePr>
    <w:tblStylePr w:type="band1Vert">
      <w:tblPr/>
      <w:tcPr>
        <w:shd w:val="clear" w:color="auto" w:fill="FEEDCB" w:themeFill="accent4" w:themeFillTint="3F"/>
      </w:tcPr>
    </w:tblStylePr>
    <w:tblStylePr w:type="band1Horz">
      <w:tblPr/>
      <w:tcPr>
        <w:tcBorders>
          <w:insideH w:val="nil"/>
          <w:insideV w:val="nil"/>
        </w:tcBorders>
        <w:shd w:val="clear" w:color="auto" w:fill="FEEDCB" w:themeFill="accent4" w:themeFillTint="3F"/>
      </w:tcPr>
    </w:tblStylePr>
    <w:tblStylePr w:type="band2Horz">
      <w:tblPr/>
      <w:tcPr>
        <w:tcBorders>
          <w:insideH w:val="nil"/>
          <w:insideV w:val="nil"/>
        </w:tcBorders>
      </w:tcPr>
    </w:tblStylePr>
  </w:style>
  <w:style w:type="numbering" w:customStyle="1" w:styleId="NoList21">
    <w:name w:val="No List21"/>
    <w:next w:val="NoList"/>
    <w:uiPriority w:val="99"/>
    <w:semiHidden/>
    <w:unhideWhenUsed/>
    <w:rsid w:val="00DB6EC8"/>
  </w:style>
  <w:style w:type="numbering" w:customStyle="1" w:styleId="CurrentList121">
    <w:name w:val="Current List121"/>
    <w:rsid w:val="00DB6EC8"/>
  </w:style>
  <w:style w:type="numbering" w:customStyle="1" w:styleId="BulletedList21">
    <w:name w:val="Bulleted List21"/>
    <w:rsid w:val="00DB6EC8"/>
  </w:style>
  <w:style w:type="numbering" w:customStyle="1" w:styleId="NoList111">
    <w:name w:val="No List111"/>
    <w:next w:val="NoList"/>
    <w:uiPriority w:val="99"/>
    <w:semiHidden/>
    <w:unhideWhenUsed/>
    <w:rsid w:val="00DB6EC8"/>
  </w:style>
  <w:style w:type="numbering" w:customStyle="1" w:styleId="CurrentList1111">
    <w:name w:val="Current List1111"/>
    <w:rsid w:val="00DB6EC8"/>
  </w:style>
  <w:style w:type="numbering" w:customStyle="1" w:styleId="BulletedList111">
    <w:name w:val="Bulleted List111"/>
    <w:rsid w:val="00DB6EC8"/>
  </w:style>
  <w:style w:type="numbering" w:customStyle="1" w:styleId="NoList31">
    <w:name w:val="No List31"/>
    <w:next w:val="NoList"/>
    <w:uiPriority w:val="99"/>
    <w:semiHidden/>
    <w:unhideWhenUsed/>
    <w:rsid w:val="00DB6EC8"/>
  </w:style>
  <w:style w:type="table" w:customStyle="1" w:styleId="TableGrid21">
    <w:name w:val="Table Grid21"/>
    <w:basedOn w:val="TableNormal"/>
    <w:next w:val="TableGrid"/>
    <w:uiPriority w:val="59"/>
    <w:rsid w:val="00DB6EC8"/>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21">
    <w:name w:val="Light Shading121"/>
    <w:basedOn w:val="TableNormal"/>
    <w:uiPriority w:val="60"/>
    <w:rsid w:val="00DB6EC8"/>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21">
    <w:name w:val="Light Grid121"/>
    <w:basedOn w:val="TableNormal"/>
    <w:uiPriority w:val="62"/>
    <w:rsid w:val="00DB6EC8"/>
    <w:pPr>
      <w:spacing w:after="0" w:line="240" w:lineRule="auto"/>
    </w:pPr>
    <w:rPr>
      <w:rFonts w:ascii="Arial" w:eastAsia="Arial" w:hAnsi="Arial"/>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21">
    <w:name w:val="Medium Shading 1 - Accent 1121"/>
    <w:basedOn w:val="TableNormal"/>
    <w:uiPriority w:val="63"/>
    <w:rsid w:val="00DB6EC8"/>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21">
    <w:name w:val="Medium Grid 1 - Accent 121"/>
    <w:basedOn w:val="TableNormal"/>
    <w:next w:val="MediumGrid1-Accent1"/>
    <w:uiPriority w:val="67"/>
    <w:rsid w:val="00DB6EC8"/>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21">
    <w:name w:val="Light Shading - Accent 1121"/>
    <w:basedOn w:val="TableNormal"/>
    <w:uiPriority w:val="60"/>
    <w:rsid w:val="00DB6EC8"/>
    <w:pPr>
      <w:spacing w:after="0" w:line="240" w:lineRule="auto"/>
    </w:pPr>
    <w:rPr>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21">
    <w:name w:val="RSP_Style21"/>
    <w:basedOn w:val="TableNormal"/>
    <w:uiPriority w:val="99"/>
    <w:qFormat/>
    <w:rsid w:val="00DB6EC8"/>
    <w:pPr>
      <w:spacing w:after="0" w:line="240" w:lineRule="auto"/>
    </w:pPr>
    <w:tblPr/>
  </w:style>
  <w:style w:type="table" w:customStyle="1" w:styleId="20122tableformat21">
    <w:name w:val="2012 2 table format21"/>
    <w:basedOn w:val="TableNormal"/>
    <w:uiPriority w:val="63"/>
    <w:rsid w:val="00DB6EC8"/>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21">
    <w:name w:val="Medium Grid 1 - Accent 621"/>
    <w:basedOn w:val="TableNormal"/>
    <w:next w:val="MediumGrid1-Accent6"/>
    <w:uiPriority w:val="67"/>
    <w:rsid w:val="00DB6EC8"/>
    <w:pPr>
      <w:spacing w:after="0" w:line="240" w:lineRule="auto"/>
    </w:p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21">
    <w:name w:val="Light List - Accent 621"/>
    <w:basedOn w:val="TableNormal"/>
    <w:next w:val="LightList-Accent6"/>
    <w:uiPriority w:val="61"/>
    <w:rsid w:val="00DB6EC8"/>
    <w:pPr>
      <w:spacing w:after="0" w:line="240" w:lineRule="auto"/>
    </w:p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21">
    <w:name w:val="Light Grid - Accent 1121"/>
    <w:basedOn w:val="TableNormal"/>
    <w:uiPriority w:val="62"/>
    <w:rsid w:val="00DB6EC8"/>
    <w:pPr>
      <w:spacing w:after="0" w:line="240" w:lineRule="auto"/>
    </w:p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21">
    <w:name w:val="2012 Style21"/>
    <w:basedOn w:val="TableNormal"/>
    <w:uiPriority w:val="99"/>
    <w:qFormat/>
    <w:rsid w:val="00DB6EC8"/>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21">
    <w:name w:val="Light Shading - Accent 1221"/>
    <w:basedOn w:val="TableNormal"/>
    <w:uiPriority w:val="60"/>
    <w:rsid w:val="00DB6EC8"/>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numbering" w:customStyle="1" w:styleId="NoList121">
    <w:name w:val="No List121"/>
    <w:next w:val="NoList"/>
    <w:uiPriority w:val="99"/>
    <w:semiHidden/>
    <w:unhideWhenUsed/>
    <w:rsid w:val="00DB6EC8"/>
  </w:style>
  <w:style w:type="numbering" w:customStyle="1" w:styleId="CurrentList1121">
    <w:name w:val="Current List1121"/>
    <w:rsid w:val="00DB6EC8"/>
  </w:style>
  <w:style w:type="table" w:customStyle="1" w:styleId="TableGrid111">
    <w:name w:val="Table Grid111"/>
    <w:basedOn w:val="TableNormal"/>
    <w:next w:val="TableGrid"/>
    <w:uiPriority w:val="59"/>
    <w:rsid w:val="00DB6EC8"/>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ulletedList121">
    <w:name w:val="Bulleted List121"/>
    <w:rsid w:val="00DB6EC8"/>
  </w:style>
  <w:style w:type="table" w:customStyle="1" w:styleId="LightShading1111">
    <w:name w:val="Light Shading1111"/>
    <w:basedOn w:val="TableNormal"/>
    <w:uiPriority w:val="60"/>
    <w:rsid w:val="00DB6EC8"/>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111">
    <w:name w:val="Light Grid1111"/>
    <w:basedOn w:val="TableNormal"/>
    <w:uiPriority w:val="62"/>
    <w:rsid w:val="00DB6EC8"/>
    <w:pPr>
      <w:spacing w:after="0" w:line="240" w:lineRule="auto"/>
    </w:pPr>
    <w:rPr>
      <w:rFonts w:ascii="Arial" w:eastAsia="Arial" w:hAnsi="Arial"/>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111">
    <w:name w:val="Medium Shading 1 - Accent 11111"/>
    <w:basedOn w:val="TableNormal"/>
    <w:uiPriority w:val="63"/>
    <w:rsid w:val="00DB6EC8"/>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111">
    <w:name w:val="Medium Grid 1 - Accent 1111"/>
    <w:basedOn w:val="TableNormal"/>
    <w:next w:val="MediumGrid1-Accent1"/>
    <w:uiPriority w:val="67"/>
    <w:rsid w:val="00DB6EC8"/>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111">
    <w:name w:val="Light Shading - Accent 11111"/>
    <w:basedOn w:val="TableNormal"/>
    <w:uiPriority w:val="60"/>
    <w:rsid w:val="00DB6EC8"/>
    <w:pPr>
      <w:spacing w:after="0" w:line="240" w:lineRule="auto"/>
    </w:pPr>
    <w:rPr>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111">
    <w:name w:val="RSP_Style111"/>
    <w:basedOn w:val="TableNormal"/>
    <w:uiPriority w:val="99"/>
    <w:qFormat/>
    <w:rsid w:val="00DB6EC8"/>
    <w:pPr>
      <w:spacing w:after="0" w:line="240" w:lineRule="auto"/>
    </w:pPr>
    <w:tblPr/>
  </w:style>
  <w:style w:type="table" w:customStyle="1" w:styleId="20122tableformat111">
    <w:name w:val="2012 2 table format111"/>
    <w:basedOn w:val="TableNormal"/>
    <w:uiPriority w:val="63"/>
    <w:rsid w:val="00DB6EC8"/>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111">
    <w:name w:val="Medium Grid 1 - Accent 6111"/>
    <w:basedOn w:val="TableNormal"/>
    <w:next w:val="MediumGrid1-Accent6"/>
    <w:uiPriority w:val="67"/>
    <w:rsid w:val="00DB6EC8"/>
    <w:pPr>
      <w:spacing w:after="0" w:line="240" w:lineRule="auto"/>
    </w:p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111">
    <w:name w:val="Light List - Accent 6111"/>
    <w:basedOn w:val="TableNormal"/>
    <w:next w:val="LightList-Accent6"/>
    <w:uiPriority w:val="61"/>
    <w:rsid w:val="00DB6EC8"/>
    <w:pPr>
      <w:spacing w:after="0" w:line="240" w:lineRule="auto"/>
    </w:p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111">
    <w:name w:val="Light Grid - Accent 11111"/>
    <w:basedOn w:val="TableNormal"/>
    <w:uiPriority w:val="62"/>
    <w:rsid w:val="00DB6EC8"/>
    <w:pPr>
      <w:spacing w:after="0" w:line="240" w:lineRule="auto"/>
    </w:p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111">
    <w:name w:val="2012 Style111"/>
    <w:basedOn w:val="TableNormal"/>
    <w:uiPriority w:val="99"/>
    <w:qFormat/>
    <w:rsid w:val="00DB6EC8"/>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111">
    <w:name w:val="Light Shading - Accent 12111"/>
    <w:basedOn w:val="TableNormal"/>
    <w:uiPriority w:val="60"/>
    <w:rsid w:val="00DB6EC8"/>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table" w:customStyle="1" w:styleId="MediumShading1-Accent411">
    <w:name w:val="Medium Shading 1 - Accent 411"/>
    <w:basedOn w:val="TableNormal"/>
    <w:next w:val="MediumShading1-Accent4"/>
    <w:uiPriority w:val="63"/>
    <w:rsid w:val="00DB6EC8"/>
    <w:pPr>
      <w:spacing w:after="0" w:line="240" w:lineRule="auto"/>
    </w:pPr>
    <w:tblPr>
      <w:tblStyleRowBandSize w:val="1"/>
      <w:tblStyleColBandSize w:val="1"/>
      <w:tbl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single" w:sz="8" w:space="0" w:color="FCCA63" w:themeColor="accent4" w:themeTint="BF"/>
      </w:tblBorders>
    </w:tblPr>
    <w:tblStylePr w:type="firstRow">
      <w:pPr>
        <w:spacing w:before="0" w:after="0" w:line="240" w:lineRule="auto"/>
      </w:pPr>
      <w:rPr>
        <w:b/>
        <w:bCs/>
        <w:color w:val="FFFFFF" w:themeColor="background1"/>
      </w:rPr>
      <w:tblPr/>
      <w:tcPr>
        <w:tc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shd w:val="clear" w:color="auto" w:fill="FBB92F" w:themeFill="accent4"/>
      </w:tcPr>
    </w:tblStylePr>
    <w:tblStylePr w:type="lastRow">
      <w:pPr>
        <w:spacing w:before="0" w:after="0" w:line="240" w:lineRule="auto"/>
      </w:pPr>
      <w:rPr>
        <w:b/>
        <w:bCs/>
      </w:rPr>
      <w:tblPr/>
      <w:tcPr>
        <w:tcBorders>
          <w:top w:val="double" w:sz="6"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tcPr>
    </w:tblStylePr>
    <w:tblStylePr w:type="firstCol">
      <w:rPr>
        <w:b/>
        <w:bCs/>
      </w:rPr>
    </w:tblStylePr>
    <w:tblStylePr w:type="lastCol">
      <w:rPr>
        <w:b/>
        <w:bCs/>
      </w:rPr>
    </w:tblStylePr>
    <w:tblStylePr w:type="band1Vert">
      <w:tblPr/>
      <w:tcPr>
        <w:shd w:val="clear" w:color="auto" w:fill="FEEDCB" w:themeFill="accent4" w:themeFillTint="3F"/>
      </w:tcPr>
    </w:tblStylePr>
    <w:tblStylePr w:type="band1Horz">
      <w:tblPr/>
      <w:tcPr>
        <w:tcBorders>
          <w:insideH w:val="nil"/>
          <w:insideV w:val="nil"/>
        </w:tcBorders>
        <w:shd w:val="clear" w:color="auto" w:fill="FEEDCB" w:themeFill="accent4" w:themeFillTint="3F"/>
      </w:tcPr>
    </w:tblStylePr>
    <w:tblStylePr w:type="band2Horz">
      <w:tblPr/>
      <w:tcPr>
        <w:tcBorders>
          <w:insideH w:val="nil"/>
          <w:insideV w:val="nil"/>
        </w:tcBorders>
      </w:tcPr>
    </w:tblStylePr>
  </w:style>
  <w:style w:type="numbering" w:customStyle="1" w:styleId="NoList41">
    <w:name w:val="No List41"/>
    <w:next w:val="NoList"/>
    <w:uiPriority w:val="99"/>
    <w:semiHidden/>
    <w:unhideWhenUsed/>
    <w:rsid w:val="00DB6EC8"/>
  </w:style>
  <w:style w:type="table" w:customStyle="1" w:styleId="TableGrid32">
    <w:name w:val="Table Grid32"/>
    <w:basedOn w:val="TableNormal"/>
    <w:next w:val="TableGrid"/>
    <w:uiPriority w:val="59"/>
    <w:rsid w:val="00DB6EC8"/>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31">
    <w:name w:val="Light Shading131"/>
    <w:basedOn w:val="TableNormal"/>
    <w:uiPriority w:val="60"/>
    <w:rsid w:val="00DB6EC8"/>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31">
    <w:name w:val="Light Grid131"/>
    <w:basedOn w:val="TableNormal"/>
    <w:uiPriority w:val="62"/>
    <w:rsid w:val="00DB6EC8"/>
    <w:pPr>
      <w:spacing w:after="0" w:line="240" w:lineRule="auto"/>
    </w:pPr>
    <w:rPr>
      <w:rFonts w:ascii="Arial" w:eastAsia="Arial" w:hAnsi="Arial"/>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31">
    <w:name w:val="Medium Shading 1 - Accent 1131"/>
    <w:basedOn w:val="TableNormal"/>
    <w:uiPriority w:val="63"/>
    <w:rsid w:val="00DB6EC8"/>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31">
    <w:name w:val="Medium Grid 1 - Accent 131"/>
    <w:basedOn w:val="TableNormal"/>
    <w:next w:val="MediumGrid1-Accent1"/>
    <w:uiPriority w:val="67"/>
    <w:rsid w:val="00DB6EC8"/>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31">
    <w:name w:val="Light Shading - Accent 1131"/>
    <w:basedOn w:val="TableNormal"/>
    <w:uiPriority w:val="60"/>
    <w:rsid w:val="00DB6EC8"/>
    <w:pPr>
      <w:spacing w:after="0" w:line="240" w:lineRule="auto"/>
    </w:pPr>
    <w:rPr>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31">
    <w:name w:val="RSP_Style31"/>
    <w:basedOn w:val="TableNormal"/>
    <w:uiPriority w:val="99"/>
    <w:qFormat/>
    <w:rsid w:val="00DB6EC8"/>
    <w:pPr>
      <w:spacing w:after="0" w:line="240" w:lineRule="auto"/>
    </w:pPr>
    <w:tblPr/>
  </w:style>
  <w:style w:type="table" w:customStyle="1" w:styleId="20122tableformat31">
    <w:name w:val="2012 2 table format31"/>
    <w:basedOn w:val="TableNormal"/>
    <w:uiPriority w:val="63"/>
    <w:rsid w:val="00DB6EC8"/>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31">
    <w:name w:val="Medium Grid 1 - Accent 631"/>
    <w:basedOn w:val="TableNormal"/>
    <w:next w:val="MediumGrid1-Accent6"/>
    <w:uiPriority w:val="67"/>
    <w:rsid w:val="00DB6EC8"/>
    <w:pPr>
      <w:spacing w:after="0" w:line="240" w:lineRule="auto"/>
    </w:p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31">
    <w:name w:val="Light List - Accent 631"/>
    <w:basedOn w:val="TableNormal"/>
    <w:next w:val="LightList-Accent6"/>
    <w:uiPriority w:val="61"/>
    <w:rsid w:val="00DB6EC8"/>
    <w:pPr>
      <w:spacing w:after="0" w:line="240" w:lineRule="auto"/>
    </w:p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31">
    <w:name w:val="Light Grid - Accent 1131"/>
    <w:basedOn w:val="TableNormal"/>
    <w:uiPriority w:val="62"/>
    <w:rsid w:val="00DB6EC8"/>
    <w:pPr>
      <w:spacing w:after="0" w:line="240" w:lineRule="auto"/>
    </w:p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31">
    <w:name w:val="2012 Style31"/>
    <w:basedOn w:val="TableNormal"/>
    <w:uiPriority w:val="99"/>
    <w:qFormat/>
    <w:rsid w:val="00DB6EC8"/>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31">
    <w:name w:val="Light Shading - Accent 1231"/>
    <w:basedOn w:val="TableNormal"/>
    <w:uiPriority w:val="60"/>
    <w:rsid w:val="00DB6EC8"/>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numbering" w:customStyle="1" w:styleId="NoList131">
    <w:name w:val="No List131"/>
    <w:next w:val="NoList"/>
    <w:uiPriority w:val="99"/>
    <w:semiHidden/>
    <w:unhideWhenUsed/>
    <w:rsid w:val="00DB6EC8"/>
  </w:style>
  <w:style w:type="numbering" w:customStyle="1" w:styleId="CurrentList1131">
    <w:name w:val="Current List1131"/>
    <w:rsid w:val="00DB6EC8"/>
  </w:style>
  <w:style w:type="table" w:customStyle="1" w:styleId="TableGrid121">
    <w:name w:val="Table Grid121"/>
    <w:basedOn w:val="TableNormal"/>
    <w:next w:val="TableGrid"/>
    <w:uiPriority w:val="59"/>
    <w:rsid w:val="00DB6EC8"/>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ulletedList131">
    <w:name w:val="Bulleted List131"/>
    <w:rsid w:val="00DB6EC8"/>
  </w:style>
  <w:style w:type="table" w:customStyle="1" w:styleId="LightShading1121">
    <w:name w:val="Light Shading1121"/>
    <w:basedOn w:val="TableNormal"/>
    <w:uiPriority w:val="60"/>
    <w:rsid w:val="00DB6EC8"/>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121">
    <w:name w:val="Light Grid1121"/>
    <w:basedOn w:val="TableNormal"/>
    <w:uiPriority w:val="62"/>
    <w:rsid w:val="00DB6EC8"/>
    <w:pPr>
      <w:spacing w:after="0" w:line="240" w:lineRule="auto"/>
    </w:pPr>
    <w:rPr>
      <w:rFonts w:ascii="Arial" w:eastAsia="Arial" w:hAnsi="Arial"/>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121">
    <w:name w:val="Medium Shading 1 - Accent 11121"/>
    <w:basedOn w:val="TableNormal"/>
    <w:uiPriority w:val="63"/>
    <w:rsid w:val="00DB6EC8"/>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121">
    <w:name w:val="Medium Grid 1 - Accent 1121"/>
    <w:basedOn w:val="TableNormal"/>
    <w:next w:val="MediumGrid1-Accent1"/>
    <w:uiPriority w:val="67"/>
    <w:rsid w:val="00DB6EC8"/>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121">
    <w:name w:val="Light Shading - Accent 11121"/>
    <w:basedOn w:val="TableNormal"/>
    <w:uiPriority w:val="60"/>
    <w:rsid w:val="00DB6EC8"/>
    <w:pPr>
      <w:spacing w:after="0" w:line="240" w:lineRule="auto"/>
    </w:pPr>
    <w:rPr>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121">
    <w:name w:val="RSP_Style121"/>
    <w:basedOn w:val="TableNormal"/>
    <w:uiPriority w:val="99"/>
    <w:qFormat/>
    <w:rsid w:val="00DB6EC8"/>
    <w:pPr>
      <w:spacing w:after="0" w:line="240" w:lineRule="auto"/>
    </w:pPr>
    <w:tblPr/>
  </w:style>
  <w:style w:type="table" w:customStyle="1" w:styleId="20122tableformat121">
    <w:name w:val="2012 2 table format121"/>
    <w:basedOn w:val="TableNormal"/>
    <w:uiPriority w:val="63"/>
    <w:rsid w:val="00DB6EC8"/>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121">
    <w:name w:val="Medium Grid 1 - Accent 6121"/>
    <w:basedOn w:val="TableNormal"/>
    <w:next w:val="MediumGrid1-Accent6"/>
    <w:uiPriority w:val="67"/>
    <w:rsid w:val="00DB6EC8"/>
    <w:pPr>
      <w:spacing w:after="0" w:line="240" w:lineRule="auto"/>
    </w:p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121">
    <w:name w:val="Light List - Accent 6121"/>
    <w:basedOn w:val="TableNormal"/>
    <w:next w:val="LightList-Accent6"/>
    <w:uiPriority w:val="61"/>
    <w:rsid w:val="00DB6EC8"/>
    <w:pPr>
      <w:spacing w:after="0" w:line="240" w:lineRule="auto"/>
    </w:p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121">
    <w:name w:val="Light Grid - Accent 11121"/>
    <w:basedOn w:val="TableNormal"/>
    <w:uiPriority w:val="62"/>
    <w:rsid w:val="00DB6EC8"/>
    <w:pPr>
      <w:spacing w:after="0" w:line="240" w:lineRule="auto"/>
    </w:p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121">
    <w:name w:val="2012 Style121"/>
    <w:basedOn w:val="TableNormal"/>
    <w:uiPriority w:val="99"/>
    <w:qFormat/>
    <w:rsid w:val="00DB6EC8"/>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121">
    <w:name w:val="Light Shading - Accent 12121"/>
    <w:basedOn w:val="TableNormal"/>
    <w:uiPriority w:val="60"/>
    <w:rsid w:val="00DB6EC8"/>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table" w:customStyle="1" w:styleId="MediumShading1-Accent421">
    <w:name w:val="Medium Shading 1 - Accent 421"/>
    <w:basedOn w:val="TableNormal"/>
    <w:next w:val="MediumShading1-Accent4"/>
    <w:uiPriority w:val="63"/>
    <w:rsid w:val="00DB6EC8"/>
    <w:pPr>
      <w:spacing w:after="0" w:line="240" w:lineRule="auto"/>
    </w:pPr>
    <w:tblPr>
      <w:tblStyleRowBandSize w:val="1"/>
      <w:tblStyleColBandSize w:val="1"/>
      <w:tbl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single" w:sz="8" w:space="0" w:color="FCCA63" w:themeColor="accent4" w:themeTint="BF"/>
      </w:tblBorders>
    </w:tblPr>
    <w:tblStylePr w:type="firstRow">
      <w:pPr>
        <w:spacing w:before="0" w:after="0" w:line="240" w:lineRule="auto"/>
      </w:pPr>
      <w:rPr>
        <w:b/>
        <w:bCs/>
        <w:color w:val="FFFFFF" w:themeColor="background1"/>
      </w:rPr>
      <w:tblPr/>
      <w:tcPr>
        <w:tc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shd w:val="clear" w:color="auto" w:fill="FBB92F" w:themeFill="accent4"/>
      </w:tcPr>
    </w:tblStylePr>
    <w:tblStylePr w:type="lastRow">
      <w:pPr>
        <w:spacing w:before="0" w:after="0" w:line="240" w:lineRule="auto"/>
      </w:pPr>
      <w:rPr>
        <w:b/>
        <w:bCs/>
      </w:rPr>
      <w:tblPr/>
      <w:tcPr>
        <w:tcBorders>
          <w:top w:val="double" w:sz="6"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tcPr>
    </w:tblStylePr>
    <w:tblStylePr w:type="firstCol">
      <w:rPr>
        <w:b/>
        <w:bCs/>
      </w:rPr>
    </w:tblStylePr>
    <w:tblStylePr w:type="lastCol">
      <w:rPr>
        <w:b/>
        <w:bCs/>
      </w:rPr>
    </w:tblStylePr>
    <w:tblStylePr w:type="band1Vert">
      <w:tblPr/>
      <w:tcPr>
        <w:shd w:val="clear" w:color="auto" w:fill="FEEDCB" w:themeFill="accent4" w:themeFillTint="3F"/>
      </w:tcPr>
    </w:tblStylePr>
    <w:tblStylePr w:type="band1Horz">
      <w:tblPr/>
      <w:tcPr>
        <w:tcBorders>
          <w:insideH w:val="nil"/>
          <w:insideV w:val="nil"/>
        </w:tcBorders>
        <w:shd w:val="clear" w:color="auto" w:fill="FEEDCB" w:themeFill="accent4" w:themeFillTint="3F"/>
      </w:tcPr>
    </w:tblStylePr>
    <w:tblStylePr w:type="band2Horz">
      <w:tblPr/>
      <w:tcPr>
        <w:tcBorders>
          <w:insideH w:val="nil"/>
          <w:insideV w:val="nil"/>
        </w:tcBorders>
      </w:tcPr>
    </w:tblStylePr>
  </w:style>
  <w:style w:type="numbering" w:customStyle="1" w:styleId="CurrentList131">
    <w:name w:val="Current List131"/>
    <w:rsid w:val="00DB6EC8"/>
  </w:style>
  <w:style w:type="table" w:customStyle="1" w:styleId="TableGrid311">
    <w:name w:val="Table Grid311"/>
    <w:basedOn w:val="TableNormal"/>
    <w:next w:val="TableGrid"/>
    <w:uiPriority w:val="59"/>
    <w:rsid w:val="00DB6EC8"/>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
    <w:name w:val="No List51"/>
    <w:next w:val="NoList"/>
    <w:uiPriority w:val="99"/>
    <w:semiHidden/>
    <w:unhideWhenUsed/>
    <w:rsid w:val="00DB6EC8"/>
  </w:style>
  <w:style w:type="numbering" w:customStyle="1" w:styleId="CurrentList141">
    <w:name w:val="Current List141"/>
    <w:rsid w:val="00DB6EC8"/>
  </w:style>
  <w:style w:type="table" w:customStyle="1" w:styleId="TableGrid41">
    <w:name w:val="Table Grid41"/>
    <w:basedOn w:val="TableNormal"/>
    <w:next w:val="TableGrid"/>
    <w:uiPriority w:val="59"/>
    <w:rsid w:val="00DB6EC8"/>
    <w:pPr>
      <w:widowControl w:val="0"/>
      <w:spacing w:after="0"/>
    </w:pPr>
    <w:rPr>
      <w:rFonts w:ascii="Times New Roman" w:eastAsia="Times New Roman" w:hAnsi="Times New Roman"/>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ulletedList31">
    <w:name w:val="Bulleted List31"/>
    <w:rsid w:val="00DB6EC8"/>
  </w:style>
  <w:style w:type="table" w:customStyle="1" w:styleId="LightShading141">
    <w:name w:val="Light Shading141"/>
    <w:basedOn w:val="TableNormal"/>
    <w:uiPriority w:val="60"/>
    <w:rsid w:val="00DB6EC8"/>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41">
    <w:name w:val="Light Grid141"/>
    <w:basedOn w:val="TableNormal"/>
    <w:uiPriority w:val="62"/>
    <w:rsid w:val="00DB6EC8"/>
    <w:pPr>
      <w:spacing w:after="0" w:line="240" w:lineRule="auto"/>
    </w:pPr>
    <w:rPr>
      <w:rFonts w:ascii="Arial" w:eastAsia="Arial" w:hAnsi="Arial"/>
      <w:color w:val="auto"/>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41">
    <w:name w:val="Medium Shading 1 - Accent 1141"/>
    <w:basedOn w:val="TableNormal"/>
    <w:uiPriority w:val="63"/>
    <w:rsid w:val="00DB6EC8"/>
    <w:pPr>
      <w:spacing w:after="0" w:line="240" w:lineRule="auto"/>
    </w:pPr>
    <w:rPr>
      <w:rFonts w:ascii="Cambria" w:hAnsi="Cambria"/>
      <w:color w:val="auto"/>
    </w:r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41">
    <w:name w:val="Medium Grid 1 - Accent 141"/>
    <w:basedOn w:val="TableNormal"/>
    <w:next w:val="MediumGrid1-Accent1"/>
    <w:uiPriority w:val="67"/>
    <w:rsid w:val="00DB6EC8"/>
    <w:pPr>
      <w:spacing w:after="0" w:line="240" w:lineRule="auto"/>
    </w:pPr>
    <w:rPr>
      <w:rFonts w:ascii="Cambria" w:hAnsi="Cambria"/>
      <w:color w:val="auto"/>
    </w:r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41">
    <w:name w:val="Light Shading - Accent 1141"/>
    <w:basedOn w:val="TableNormal"/>
    <w:uiPriority w:val="60"/>
    <w:rsid w:val="00DB6EC8"/>
    <w:pPr>
      <w:spacing w:after="0" w:line="240" w:lineRule="auto"/>
    </w:pPr>
    <w:rPr>
      <w:rFonts w:ascii="Cambria" w:hAnsi="Cambria"/>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41">
    <w:name w:val="RSP_Style41"/>
    <w:basedOn w:val="TableNormal"/>
    <w:uiPriority w:val="99"/>
    <w:qFormat/>
    <w:rsid w:val="00DB6EC8"/>
    <w:pPr>
      <w:spacing w:after="0" w:line="240" w:lineRule="auto"/>
    </w:pPr>
    <w:rPr>
      <w:rFonts w:ascii="Cambria" w:hAnsi="Cambria"/>
      <w:color w:val="auto"/>
    </w:rPr>
    <w:tblPr/>
  </w:style>
  <w:style w:type="table" w:customStyle="1" w:styleId="20122tableformat41">
    <w:name w:val="2012 2 table format41"/>
    <w:basedOn w:val="TableNormal"/>
    <w:uiPriority w:val="63"/>
    <w:rsid w:val="00DB6EC8"/>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41">
    <w:name w:val="Medium Grid 1 - Accent 641"/>
    <w:basedOn w:val="TableNormal"/>
    <w:next w:val="MediumGrid1-Accent6"/>
    <w:uiPriority w:val="67"/>
    <w:rsid w:val="00DB6EC8"/>
    <w:pPr>
      <w:spacing w:after="0" w:line="240" w:lineRule="auto"/>
    </w:pPr>
    <w:rPr>
      <w:rFonts w:ascii="Cambria" w:hAnsi="Cambria"/>
      <w:color w:val="auto"/>
    </w:r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41">
    <w:name w:val="Light List - Accent 641"/>
    <w:basedOn w:val="TableNormal"/>
    <w:next w:val="LightList-Accent6"/>
    <w:uiPriority w:val="61"/>
    <w:rsid w:val="00DB6EC8"/>
    <w:pPr>
      <w:spacing w:after="0" w:line="240" w:lineRule="auto"/>
    </w:pPr>
    <w:rPr>
      <w:color w:val="auto"/>
    </w:r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41">
    <w:name w:val="Light Grid - Accent 1141"/>
    <w:basedOn w:val="TableNormal"/>
    <w:uiPriority w:val="62"/>
    <w:rsid w:val="00DB6EC8"/>
    <w:pPr>
      <w:spacing w:after="0" w:line="240" w:lineRule="auto"/>
    </w:pPr>
    <w:rPr>
      <w:rFonts w:ascii="Cambria" w:hAnsi="Cambria"/>
      <w:color w:val="auto"/>
    </w:r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41">
    <w:name w:val="2012 Style41"/>
    <w:basedOn w:val="TableNormal"/>
    <w:uiPriority w:val="99"/>
    <w:qFormat/>
    <w:rsid w:val="00DB6EC8"/>
    <w:pPr>
      <w:spacing w:after="0" w:line="240" w:lineRule="auto"/>
    </w:pPr>
    <w:rPr>
      <w:color w:val="auto"/>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41">
    <w:name w:val="Light Shading - Accent 1241"/>
    <w:basedOn w:val="TableNormal"/>
    <w:uiPriority w:val="60"/>
    <w:rsid w:val="00DB6EC8"/>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numbering" w:customStyle="1" w:styleId="NoList141">
    <w:name w:val="No List141"/>
    <w:next w:val="NoList"/>
    <w:uiPriority w:val="99"/>
    <w:semiHidden/>
    <w:unhideWhenUsed/>
    <w:rsid w:val="00DB6EC8"/>
  </w:style>
  <w:style w:type="numbering" w:customStyle="1" w:styleId="CurrentList1141">
    <w:name w:val="Current List1141"/>
    <w:rsid w:val="00DB6EC8"/>
  </w:style>
  <w:style w:type="table" w:customStyle="1" w:styleId="TableGrid131">
    <w:name w:val="Table Grid131"/>
    <w:basedOn w:val="TableNormal"/>
    <w:next w:val="TableGrid"/>
    <w:uiPriority w:val="59"/>
    <w:rsid w:val="00DB6EC8"/>
    <w:pPr>
      <w:widowControl w:val="0"/>
      <w:spacing w:after="0"/>
    </w:pPr>
    <w:rPr>
      <w:rFonts w:ascii="Times New Roman" w:eastAsia="Times New Roman" w:hAnsi="Times New Roman"/>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ulletedList141">
    <w:name w:val="Bulleted List141"/>
    <w:rsid w:val="00DB6EC8"/>
  </w:style>
  <w:style w:type="table" w:customStyle="1" w:styleId="LightShading1131">
    <w:name w:val="Light Shading1131"/>
    <w:basedOn w:val="TableNormal"/>
    <w:uiPriority w:val="60"/>
    <w:rsid w:val="00DB6EC8"/>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131">
    <w:name w:val="Light Grid1131"/>
    <w:basedOn w:val="TableNormal"/>
    <w:uiPriority w:val="62"/>
    <w:rsid w:val="00DB6EC8"/>
    <w:pPr>
      <w:spacing w:after="0" w:line="240" w:lineRule="auto"/>
    </w:pPr>
    <w:rPr>
      <w:rFonts w:ascii="Arial" w:eastAsia="Arial" w:hAnsi="Arial"/>
      <w:color w:val="auto"/>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131">
    <w:name w:val="Medium Shading 1 - Accent 11131"/>
    <w:basedOn w:val="TableNormal"/>
    <w:uiPriority w:val="63"/>
    <w:rsid w:val="00DB6EC8"/>
    <w:pPr>
      <w:spacing w:after="0" w:line="240" w:lineRule="auto"/>
    </w:pPr>
    <w:rPr>
      <w:rFonts w:ascii="Cambria" w:hAnsi="Cambria"/>
      <w:color w:val="auto"/>
    </w:r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131">
    <w:name w:val="Medium Grid 1 - Accent 1131"/>
    <w:basedOn w:val="TableNormal"/>
    <w:next w:val="MediumGrid1-Accent1"/>
    <w:uiPriority w:val="67"/>
    <w:rsid w:val="00DB6EC8"/>
    <w:pPr>
      <w:spacing w:after="0" w:line="240" w:lineRule="auto"/>
    </w:pPr>
    <w:rPr>
      <w:rFonts w:ascii="Cambria" w:hAnsi="Cambria"/>
      <w:color w:val="auto"/>
    </w:r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131">
    <w:name w:val="Light Shading - Accent 11131"/>
    <w:basedOn w:val="TableNormal"/>
    <w:uiPriority w:val="60"/>
    <w:rsid w:val="00DB6EC8"/>
    <w:pPr>
      <w:spacing w:after="0" w:line="240" w:lineRule="auto"/>
    </w:pPr>
    <w:rPr>
      <w:rFonts w:ascii="Cambria" w:hAnsi="Cambria"/>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131">
    <w:name w:val="RSP_Style131"/>
    <w:basedOn w:val="TableNormal"/>
    <w:uiPriority w:val="99"/>
    <w:qFormat/>
    <w:rsid w:val="00DB6EC8"/>
    <w:pPr>
      <w:spacing w:after="0" w:line="240" w:lineRule="auto"/>
    </w:pPr>
    <w:rPr>
      <w:rFonts w:ascii="Cambria" w:hAnsi="Cambria"/>
      <w:color w:val="auto"/>
    </w:rPr>
    <w:tblPr/>
  </w:style>
  <w:style w:type="table" w:customStyle="1" w:styleId="20122tableformat131">
    <w:name w:val="2012 2 table format131"/>
    <w:basedOn w:val="TableNormal"/>
    <w:uiPriority w:val="63"/>
    <w:rsid w:val="00DB6EC8"/>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131">
    <w:name w:val="Medium Grid 1 - Accent 6131"/>
    <w:basedOn w:val="TableNormal"/>
    <w:next w:val="MediumGrid1-Accent6"/>
    <w:uiPriority w:val="67"/>
    <w:rsid w:val="00DB6EC8"/>
    <w:pPr>
      <w:spacing w:after="0" w:line="240" w:lineRule="auto"/>
    </w:pPr>
    <w:rPr>
      <w:rFonts w:ascii="Cambria" w:hAnsi="Cambria"/>
      <w:color w:val="auto"/>
    </w:r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131">
    <w:name w:val="Light List - Accent 6131"/>
    <w:basedOn w:val="TableNormal"/>
    <w:next w:val="LightList-Accent6"/>
    <w:uiPriority w:val="61"/>
    <w:rsid w:val="00DB6EC8"/>
    <w:pPr>
      <w:spacing w:after="0" w:line="240" w:lineRule="auto"/>
    </w:pPr>
    <w:rPr>
      <w:color w:val="auto"/>
    </w:r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131">
    <w:name w:val="Light Grid - Accent 11131"/>
    <w:basedOn w:val="TableNormal"/>
    <w:uiPriority w:val="62"/>
    <w:rsid w:val="00DB6EC8"/>
    <w:pPr>
      <w:spacing w:after="0" w:line="240" w:lineRule="auto"/>
    </w:pPr>
    <w:rPr>
      <w:rFonts w:ascii="Cambria" w:hAnsi="Cambria"/>
      <w:color w:val="auto"/>
    </w:r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131">
    <w:name w:val="2012 Style131"/>
    <w:basedOn w:val="TableNormal"/>
    <w:uiPriority w:val="99"/>
    <w:qFormat/>
    <w:rsid w:val="00DB6EC8"/>
    <w:pPr>
      <w:spacing w:after="0" w:line="240" w:lineRule="auto"/>
    </w:pPr>
    <w:rPr>
      <w:color w:val="auto"/>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131">
    <w:name w:val="Light Shading - Accent 12131"/>
    <w:basedOn w:val="TableNormal"/>
    <w:uiPriority w:val="60"/>
    <w:rsid w:val="00DB6EC8"/>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table" w:customStyle="1" w:styleId="MediumShading1-Accent431">
    <w:name w:val="Medium Shading 1 - Accent 431"/>
    <w:basedOn w:val="TableNormal"/>
    <w:next w:val="MediumShading1-Accent4"/>
    <w:uiPriority w:val="63"/>
    <w:rsid w:val="00DB6EC8"/>
    <w:pPr>
      <w:spacing w:after="0" w:line="240" w:lineRule="auto"/>
    </w:pPr>
    <w:rPr>
      <w:rFonts w:ascii="Cambria" w:hAnsi="Cambria"/>
      <w:color w:val="auto"/>
    </w:rPr>
    <w:tblPr>
      <w:tblStyleRowBandSize w:val="1"/>
      <w:tblStyleColBandSize w:val="1"/>
      <w:tbl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single" w:sz="8" w:space="0" w:color="FCCA63" w:themeColor="accent4" w:themeTint="BF"/>
      </w:tblBorders>
    </w:tblPr>
    <w:tblStylePr w:type="firstRow">
      <w:pPr>
        <w:spacing w:before="0" w:after="0" w:line="240" w:lineRule="auto"/>
      </w:pPr>
      <w:rPr>
        <w:b/>
        <w:bCs/>
        <w:color w:val="FFFFFF" w:themeColor="background1"/>
      </w:rPr>
      <w:tblPr/>
      <w:tcPr>
        <w:tc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shd w:val="clear" w:color="auto" w:fill="FBB92F" w:themeFill="accent4"/>
      </w:tcPr>
    </w:tblStylePr>
    <w:tblStylePr w:type="lastRow">
      <w:pPr>
        <w:spacing w:before="0" w:after="0" w:line="240" w:lineRule="auto"/>
      </w:pPr>
      <w:rPr>
        <w:b/>
        <w:bCs/>
      </w:rPr>
      <w:tblPr/>
      <w:tcPr>
        <w:tcBorders>
          <w:top w:val="double" w:sz="6"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tcPr>
    </w:tblStylePr>
    <w:tblStylePr w:type="firstCol">
      <w:rPr>
        <w:b/>
        <w:bCs/>
      </w:rPr>
    </w:tblStylePr>
    <w:tblStylePr w:type="lastCol">
      <w:rPr>
        <w:b/>
        <w:bCs/>
      </w:rPr>
    </w:tblStylePr>
    <w:tblStylePr w:type="band1Vert">
      <w:tblPr/>
      <w:tcPr>
        <w:shd w:val="clear" w:color="auto" w:fill="FEEDCB" w:themeFill="accent4" w:themeFillTint="3F"/>
      </w:tcPr>
    </w:tblStylePr>
    <w:tblStylePr w:type="band1Horz">
      <w:tblPr/>
      <w:tcPr>
        <w:tcBorders>
          <w:insideH w:val="nil"/>
          <w:insideV w:val="nil"/>
        </w:tcBorders>
        <w:shd w:val="clear" w:color="auto" w:fill="FEEDCB" w:themeFill="accent4" w:themeFillTint="3F"/>
      </w:tcPr>
    </w:tblStylePr>
    <w:tblStylePr w:type="band2Horz">
      <w:tblPr/>
      <w:tcPr>
        <w:tcBorders>
          <w:insideH w:val="nil"/>
          <w:insideV w:val="nil"/>
        </w:tcBorders>
      </w:tcPr>
    </w:tblStylePr>
  </w:style>
  <w:style w:type="table" w:customStyle="1" w:styleId="TableGrid51">
    <w:name w:val="Table Grid51"/>
    <w:basedOn w:val="TableNormal"/>
    <w:next w:val="TableGrid"/>
    <w:uiPriority w:val="59"/>
    <w:rsid w:val="00DB6EC8"/>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
    <w:name w:val="No List7"/>
    <w:next w:val="NoList"/>
    <w:uiPriority w:val="99"/>
    <w:semiHidden/>
    <w:unhideWhenUsed/>
    <w:rsid w:val="00B47695"/>
  </w:style>
  <w:style w:type="table" w:customStyle="1" w:styleId="TableGrid7">
    <w:name w:val="Table Grid7"/>
    <w:basedOn w:val="TableNormal"/>
    <w:next w:val="TableGrid"/>
    <w:uiPriority w:val="59"/>
    <w:rsid w:val="00B47695"/>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6">
    <w:name w:val="Light Shading16"/>
    <w:basedOn w:val="TableNormal"/>
    <w:uiPriority w:val="60"/>
    <w:rsid w:val="00B47695"/>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6">
    <w:name w:val="Light Grid16"/>
    <w:basedOn w:val="TableNormal"/>
    <w:uiPriority w:val="62"/>
    <w:rsid w:val="00B47695"/>
    <w:pPr>
      <w:spacing w:after="0" w:line="240" w:lineRule="auto"/>
    </w:pPr>
    <w:rPr>
      <w:rFonts w:ascii="Arial" w:eastAsia="Arial" w:hAnsi="Arial"/>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6">
    <w:name w:val="Medium Shading 1 - Accent 116"/>
    <w:basedOn w:val="TableNormal"/>
    <w:uiPriority w:val="63"/>
    <w:rsid w:val="00B47695"/>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6">
    <w:name w:val="Medium Grid 1 - Accent 16"/>
    <w:basedOn w:val="TableNormal"/>
    <w:next w:val="MediumGrid1-Accent1"/>
    <w:uiPriority w:val="67"/>
    <w:rsid w:val="00B47695"/>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6">
    <w:name w:val="Light Shading - Accent 116"/>
    <w:basedOn w:val="TableNormal"/>
    <w:uiPriority w:val="60"/>
    <w:rsid w:val="00B47695"/>
    <w:pPr>
      <w:spacing w:after="0" w:line="240" w:lineRule="auto"/>
    </w:pPr>
    <w:rPr>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6">
    <w:name w:val="RSP_Style6"/>
    <w:basedOn w:val="TableNormal"/>
    <w:uiPriority w:val="99"/>
    <w:qFormat/>
    <w:rsid w:val="00B47695"/>
    <w:pPr>
      <w:spacing w:after="0" w:line="240" w:lineRule="auto"/>
    </w:pPr>
    <w:tblPr/>
  </w:style>
  <w:style w:type="table" w:customStyle="1" w:styleId="20122tableformat6">
    <w:name w:val="2012 2 table format6"/>
    <w:basedOn w:val="TableNormal"/>
    <w:uiPriority w:val="63"/>
    <w:rsid w:val="00B47695"/>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6">
    <w:name w:val="Medium Grid 1 - Accent 66"/>
    <w:basedOn w:val="TableNormal"/>
    <w:next w:val="MediumGrid1-Accent6"/>
    <w:uiPriority w:val="67"/>
    <w:rsid w:val="00B47695"/>
    <w:pPr>
      <w:spacing w:after="0" w:line="240" w:lineRule="auto"/>
    </w:p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6">
    <w:name w:val="Light List - Accent 66"/>
    <w:basedOn w:val="TableNormal"/>
    <w:next w:val="LightList-Accent6"/>
    <w:uiPriority w:val="61"/>
    <w:rsid w:val="00B47695"/>
    <w:pPr>
      <w:spacing w:after="0" w:line="240" w:lineRule="auto"/>
    </w:p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6">
    <w:name w:val="Light Grid - Accent 116"/>
    <w:basedOn w:val="TableNormal"/>
    <w:uiPriority w:val="62"/>
    <w:rsid w:val="00B47695"/>
    <w:pPr>
      <w:spacing w:after="0" w:line="240" w:lineRule="auto"/>
    </w:p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6">
    <w:name w:val="2012 Style6"/>
    <w:basedOn w:val="TableNormal"/>
    <w:uiPriority w:val="99"/>
    <w:qFormat/>
    <w:rsid w:val="00B47695"/>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6">
    <w:name w:val="Light Shading - Accent 126"/>
    <w:basedOn w:val="TableNormal"/>
    <w:uiPriority w:val="60"/>
    <w:rsid w:val="00B47695"/>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numbering" w:customStyle="1" w:styleId="NoList16">
    <w:name w:val="No List16"/>
    <w:next w:val="NoList"/>
    <w:uiPriority w:val="99"/>
    <w:semiHidden/>
    <w:unhideWhenUsed/>
    <w:rsid w:val="00B47695"/>
  </w:style>
  <w:style w:type="numbering" w:customStyle="1" w:styleId="CurrentList116">
    <w:name w:val="Current List116"/>
    <w:rsid w:val="00B47695"/>
  </w:style>
  <w:style w:type="table" w:customStyle="1" w:styleId="TableGrid15">
    <w:name w:val="Table Grid15"/>
    <w:basedOn w:val="TableNormal"/>
    <w:next w:val="TableGrid"/>
    <w:uiPriority w:val="59"/>
    <w:rsid w:val="00B47695"/>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ulletedList16">
    <w:name w:val="Bulleted List16"/>
    <w:rsid w:val="00B47695"/>
  </w:style>
  <w:style w:type="table" w:customStyle="1" w:styleId="LightShading115">
    <w:name w:val="Light Shading115"/>
    <w:basedOn w:val="TableNormal"/>
    <w:uiPriority w:val="60"/>
    <w:rsid w:val="00B47695"/>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15">
    <w:name w:val="Light Grid115"/>
    <w:basedOn w:val="TableNormal"/>
    <w:uiPriority w:val="62"/>
    <w:rsid w:val="00B47695"/>
    <w:pPr>
      <w:spacing w:after="0" w:line="240" w:lineRule="auto"/>
    </w:pPr>
    <w:rPr>
      <w:rFonts w:ascii="Arial" w:eastAsia="Arial" w:hAnsi="Arial"/>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15">
    <w:name w:val="Medium Shading 1 - Accent 1115"/>
    <w:basedOn w:val="TableNormal"/>
    <w:uiPriority w:val="63"/>
    <w:rsid w:val="00B47695"/>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15">
    <w:name w:val="Medium Grid 1 - Accent 115"/>
    <w:basedOn w:val="TableNormal"/>
    <w:next w:val="MediumGrid1-Accent1"/>
    <w:uiPriority w:val="67"/>
    <w:rsid w:val="00B47695"/>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15">
    <w:name w:val="Light Shading - Accent 1115"/>
    <w:basedOn w:val="TableNormal"/>
    <w:uiPriority w:val="60"/>
    <w:rsid w:val="00B47695"/>
    <w:pPr>
      <w:spacing w:after="0" w:line="240" w:lineRule="auto"/>
    </w:pPr>
    <w:rPr>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15">
    <w:name w:val="RSP_Style15"/>
    <w:basedOn w:val="TableNormal"/>
    <w:uiPriority w:val="99"/>
    <w:qFormat/>
    <w:rsid w:val="00B47695"/>
    <w:pPr>
      <w:spacing w:after="0" w:line="240" w:lineRule="auto"/>
    </w:pPr>
    <w:tblPr/>
  </w:style>
  <w:style w:type="table" w:customStyle="1" w:styleId="20122tableformat15">
    <w:name w:val="2012 2 table format15"/>
    <w:basedOn w:val="TableNormal"/>
    <w:uiPriority w:val="63"/>
    <w:rsid w:val="00B47695"/>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15">
    <w:name w:val="Medium Grid 1 - Accent 615"/>
    <w:basedOn w:val="TableNormal"/>
    <w:next w:val="MediumGrid1-Accent6"/>
    <w:uiPriority w:val="67"/>
    <w:rsid w:val="00B47695"/>
    <w:pPr>
      <w:spacing w:after="0" w:line="240" w:lineRule="auto"/>
    </w:p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15">
    <w:name w:val="Light List - Accent 615"/>
    <w:basedOn w:val="TableNormal"/>
    <w:next w:val="LightList-Accent6"/>
    <w:uiPriority w:val="61"/>
    <w:rsid w:val="00B47695"/>
    <w:pPr>
      <w:spacing w:after="0" w:line="240" w:lineRule="auto"/>
    </w:p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15">
    <w:name w:val="Light Grid - Accent 1115"/>
    <w:basedOn w:val="TableNormal"/>
    <w:uiPriority w:val="62"/>
    <w:rsid w:val="00B47695"/>
    <w:pPr>
      <w:spacing w:after="0" w:line="240" w:lineRule="auto"/>
    </w:p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15">
    <w:name w:val="2012 Style15"/>
    <w:basedOn w:val="TableNormal"/>
    <w:uiPriority w:val="99"/>
    <w:qFormat/>
    <w:rsid w:val="00B47695"/>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15">
    <w:name w:val="Light Shading - Accent 1215"/>
    <w:basedOn w:val="TableNormal"/>
    <w:uiPriority w:val="60"/>
    <w:rsid w:val="00B47695"/>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table" w:customStyle="1" w:styleId="MediumShading1-Accent45">
    <w:name w:val="Medium Shading 1 - Accent 45"/>
    <w:basedOn w:val="TableNormal"/>
    <w:next w:val="MediumShading1-Accent4"/>
    <w:uiPriority w:val="63"/>
    <w:rsid w:val="00B47695"/>
    <w:pPr>
      <w:spacing w:after="0" w:line="240" w:lineRule="auto"/>
    </w:pPr>
    <w:tblPr>
      <w:tblStyleRowBandSize w:val="1"/>
      <w:tblStyleColBandSize w:val="1"/>
      <w:tbl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single" w:sz="8" w:space="0" w:color="FCCA63" w:themeColor="accent4" w:themeTint="BF"/>
      </w:tblBorders>
    </w:tblPr>
    <w:tblStylePr w:type="firstRow">
      <w:pPr>
        <w:spacing w:before="0" w:after="0" w:line="240" w:lineRule="auto"/>
      </w:pPr>
      <w:rPr>
        <w:b/>
        <w:bCs/>
        <w:color w:val="FFFFFF" w:themeColor="background1"/>
      </w:rPr>
      <w:tblPr/>
      <w:tcPr>
        <w:tc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shd w:val="clear" w:color="auto" w:fill="FBB92F" w:themeFill="accent4"/>
      </w:tcPr>
    </w:tblStylePr>
    <w:tblStylePr w:type="lastRow">
      <w:pPr>
        <w:spacing w:before="0" w:after="0" w:line="240" w:lineRule="auto"/>
      </w:pPr>
      <w:rPr>
        <w:b/>
        <w:bCs/>
      </w:rPr>
      <w:tblPr/>
      <w:tcPr>
        <w:tcBorders>
          <w:top w:val="double" w:sz="6"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tcPr>
    </w:tblStylePr>
    <w:tblStylePr w:type="firstCol">
      <w:rPr>
        <w:b/>
        <w:bCs/>
      </w:rPr>
    </w:tblStylePr>
    <w:tblStylePr w:type="lastCol">
      <w:rPr>
        <w:b/>
        <w:bCs/>
      </w:rPr>
    </w:tblStylePr>
    <w:tblStylePr w:type="band1Vert">
      <w:tblPr/>
      <w:tcPr>
        <w:shd w:val="clear" w:color="auto" w:fill="FEEDCB" w:themeFill="accent4" w:themeFillTint="3F"/>
      </w:tcPr>
    </w:tblStylePr>
    <w:tblStylePr w:type="band1Horz">
      <w:tblPr/>
      <w:tcPr>
        <w:tcBorders>
          <w:insideH w:val="nil"/>
          <w:insideV w:val="nil"/>
        </w:tcBorders>
        <w:shd w:val="clear" w:color="auto" w:fill="FEEDCB" w:themeFill="accent4" w:themeFillTint="3F"/>
      </w:tcPr>
    </w:tblStylePr>
    <w:tblStylePr w:type="band2Horz">
      <w:tblPr/>
      <w:tcPr>
        <w:tcBorders>
          <w:insideH w:val="nil"/>
          <w:insideV w:val="nil"/>
        </w:tcBorders>
      </w:tcPr>
    </w:tblStylePr>
  </w:style>
  <w:style w:type="numbering" w:customStyle="1" w:styleId="NoList22">
    <w:name w:val="No List22"/>
    <w:next w:val="NoList"/>
    <w:uiPriority w:val="99"/>
    <w:semiHidden/>
    <w:unhideWhenUsed/>
    <w:rsid w:val="00B47695"/>
  </w:style>
  <w:style w:type="numbering" w:customStyle="1" w:styleId="CurrentList122">
    <w:name w:val="Current List122"/>
    <w:rsid w:val="00B47695"/>
  </w:style>
  <w:style w:type="numbering" w:customStyle="1" w:styleId="BulletedList22">
    <w:name w:val="Bulleted List22"/>
    <w:rsid w:val="00B47695"/>
  </w:style>
  <w:style w:type="numbering" w:customStyle="1" w:styleId="NoList112">
    <w:name w:val="No List112"/>
    <w:next w:val="NoList"/>
    <w:uiPriority w:val="99"/>
    <w:semiHidden/>
    <w:unhideWhenUsed/>
    <w:rsid w:val="00B47695"/>
  </w:style>
  <w:style w:type="numbering" w:customStyle="1" w:styleId="CurrentList1112">
    <w:name w:val="Current List1112"/>
    <w:rsid w:val="00B47695"/>
  </w:style>
  <w:style w:type="numbering" w:customStyle="1" w:styleId="BulletedList112">
    <w:name w:val="Bulleted List112"/>
    <w:rsid w:val="00B47695"/>
  </w:style>
  <w:style w:type="numbering" w:customStyle="1" w:styleId="NoList32">
    <w:name w:val="No List32"/>
    <w:next w:val="NoList"/>
    <w:uiPriority w:val="99"/>
    <w:semiHidden/>
    <w:unhideWhenUsed/>
    <w:rsid w:val="00B47695"/>
  </w:style>
  <w:style w:type="table" w:customStyle="1" w:styleId="TableGrid22">
    <w:name w:val="Table Grid22"/>
    <w:basedOn w:val="TableNormal"/>
    <w:next w:val="TableGrid"/>
    <w:uiPriority w:val="59"/>
    <w:rsid w:val="00B47695"/>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22">
    <w:name w:val="Light Shading122"/>
    <w:basedOn w:val="TableNormal"/>
    <w:uiPriority w:val="60"/>
    <w:rsid w:val="00B47695"/>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22">
    <w:name w:val="Light Grid122"/>
    <w:basedOn w:val="TableNormal"/>
    <w:uiPriority w:val="62"/>
    <w:rsid w:val="00B47695"/>
    <w:pPr>
      <w:spacing w:after="0" w:line="240" w:lineRule="auto"/>
    </w:pPr>
    <w:rPr>
      <w:rFonts w:ascii="Arial" w:eastAsia="Arial" w:hAnsi="Arial"/>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22">
    <w:name w:val="Medium Shading 1 - Accent 1122"/>
    <w:basedOn w:val="TableNormal"/>
    <w:uiPriority w:val="63"/>
    <w:rsid w:val="00B47695"/>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22">
    <w:name w:val="Medium Grid 1 - Accent 122"/>
    <w:basedOn w:val="TableNormal"/>
    <w:next w:val="MediumGrid1-Accent1"/>
    <w:uiPriority w:val="67"/>
    <w:rsid w:val="00B47695"/>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22">
    <w:name w:val="Light Shading - Accent 1122"/>
    <w:basedOn w:val="TableNormal"/>
    <w:uiPriority w:val="60"/>
    <w:rsid w:val="00B47695"/>
    <w:pPr>
      <w:spacing w:after="0" w:line="240" w:lineRule="auto"/>
    </w:pPr>
    <w:rPr>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22">
    <w:name w:val="RSP_Style22"/>
    <w:basedOn w:val="TableNormal"/>
    <w:uiPriority w:val="99"/>
    <w:qFormat/>
    <w:rsid w:val="00B47695"/>
    <w:pPr>
      <w:spacing w:after="0" w:line="240" w:lineRule="auto"/>
    </w:pPr>
    <w:tblPr/>
  </w:style>
  <w:style w:type="table" w:customStyle="1" w:styleId="20122tableformat22">
    <w:name w:val="2012 2 table format22"/>
    <w:basedOn w:val="TableNormal"/>
    <w:uiPriority w:val="63"/>
    <w:rsid w:val="00B47695"/>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22">
    <w:name w:val="Medium Grid 1 - Accent 622"/>
    <w:basedOn w:val="TableNormal"/>
    <w:next w:val="MediumGrid1-Accent6"/>
    <w:uiPriority w:val="67"/>
    <w:rsid w:val="00B47695"/>
    <w:pPr>
      <w:spacing w:after="0" w:line="240" w:lineRule="auto"/>
    </w:p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22">
    <w:name w:val="Light List - Accent 622"/>
    <w:basedOn w:val="TableNormal"/>
    <w:next w:val="LightList-Accent6"/>
    <w:uiPriority w:val="61"/>
    <w:rsid w:val="00B47695"/>
    <w:pPr>
      <w:spacing w:after="0" w:line="240" w:lineRule="auto"/>
    </w:p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22">
    <w:name w:val="Light Grid - Accent 1122"/>
    <w:basedOn w:val="TableNormal"/>
    <w:uiPriority w:val="62"/>
    <w:rsid w:val="00B47695"/>
    <w:pPr>
      <w:spacing w:after="0" w:line="240" w:lineRule="auto"/>
    </w:p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22">
    <w:name w:val="2012 Style22"/>
    <w:basedOn w:val="TableNormal"/>
    <w:uiPriority w:val="99"/>
    <w:qFormat/>
    <w:rsid w:val="00B47695"/>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22">
    <w:name w:val="Light Shading - Accent 1222"/>
    <w:basedOn w:val="TableNormal"/>
    <w:uiPriority w:val="60"/>
    <w:rsid w:val="00B47695"/>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numbering" w:customStyle="1" w:styleId="NoList122">
    <w:name w:val="No List122"/>
    <w:next w:val="NoList"/>
    <w:uiPriority w:val="99"/>
    <w:semiHidden/>
    <w:unhideWhenUsed/>
    <w:rsid w:val="00B47695"/>
  </w:style>
  <w:style w:type="numbering" w:customStyle="1" w:styleId="CurrentList1122">
    <w:name w:val="Current List1122"/>
    <w:rsid w:val="00B47695"/>
  </w:style>
  <w:style w:type="table" w:customStyle="1" w:styleId="TableGrid112">
    <w:name w:val="Table Grid112"/>
    <w:basedOn w:val="TableNormal"/>
    <w:next w:val="TableGrid"/>
    <w:uiPriority w:val="59"/>
    <w:rsid w:val="00B47695"/>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ulletedList122">
    <w:name w:val="Bulleted List122"/>
    <w:rsid w:val="00B47695"/>
  </w:style>
  <w:style w:type="table" w:customStyle="1" w:styleId="LightShading1112">
    <w:name w:val="Light Shading1112"/>
    <w:basedOn w:val="TableNormal"/>
    <w:uiPriority w:val="60"/>
    <w:rsid w:val="00B47695"/>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112">
    <w:name w:val="Light Grid1112"/>
    <w:basedOn w:val="TableNormal"/>
    <w:uiPriority w:val="62"/>
    <w:rsid w:val="00B47695"/>
    <w:pPr>
      <w:spacing w:after="0" w:line="240" w:lineRule="auto"/>
    </w:pPr>
    <w:rPr>
      <w:rFonts w:ascii="Arial" w:eastAsia="Arial" w:hAnsi="Arial"/>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112">
    <w:name w:val="Medium Shading 1 - Accent 11112"/>
    <w:basedOn w:val="TableNormal"/>
    <w:uiPriority w:val="63"/>
    <w:rsid w:val="00B47695"/>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112">
    <w:name w:val="Medium Grid 1 - Accent 1112"/>
    <w:basedOn w:val="TableNormal"/>
    <w:next w:val="MediumGrid1-Accent1"/>
    <w:uiPriority w:val="67"/>
    <w:rsid w:val="00B47695"/>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112">
    <w:name w:val="Light Shading - Accent 11112"/>
    <w:basedOn w:val="TableNormal"/>
    <w:uiPriority w:val="60"/>
    <w:rsid w:val="00B47695"/>
    <w:pPr>
      <w:spacing w:after="0" w:line="240" w:lineRule="auto"/>
    </w:pPr>
    <w:rPr>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112">
    <w:name w:val="RSP_Style112"/>
    <w:basedOn w:val="TableNormal"/>
    <w:uiPriority w:val="99"/>
    <w:qFormat/>
    <w:rsid w:val="00B47695"/>
    <w:pPr>
      <w:spacing w:after="0" w:line="240" w:lineRule="auto"/>
    </w:pPr>
    <w:tblPr/>
  </w:style>
  <w:style w:type="table" w:customStyle="1" w:styleId="20122tableformat112">
    <w:name w:val="2012 2 table format112"/>
    <w:basedOn w:val="TableNormal"/>
    <w:uiPriority w:val="63"/>
    <w:rsid w:val="00B47695"/>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112">
    <w:name w:val="Medium Grid 1 - Accent 6112"/>
    <w:basedOn w:val="TableNormal"/>
    <w:next w:val="MediumGrid1-Accent6"/>
    <w:uiPriority w:val="67"/>
    <w:rsid w:val="00B47695"/>
    <w:pPr>
      <w:spacing w:after="0" w:line="240" w:lineRule="auto"/>
    </w:p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112">
    <w:name w:val="Light List - Accent 6112"/>
    <w:basedOn w:val="TableNormal"/>
    <w:next w:val="LightList-Accent6"/>
    <w:uiPriority w:val="61"/>
    <w:rsid w:val="00B47695"/>
    <w:pPr>
      <w:spacing w:after="0" w:line="240" w:lineRule="auto"/>
    </w:p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112">
    <w:name w:val="Light Grid - Accent 11112"/>
    <w:basedOn w:val="TableNormal"/>
    <w:uiPriority w:val="62"/>
    <w:rsid w:val="00B47695"/>
    <w:pPr>
      <w:spacing w:after="0" w:line="240" w:lineRule="auto"/>
    </w:p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112">
    <w:name w:val="2012 Style112"/>
    <w:basedOn w:val="TableNormal"/>
    <w:uiPriority w:val="99"/>
    <w:qFormat/>
    <w:rsid w:val="00B47695"/>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112">
    <w:name w:val="Light Shading - Accent 12112"/>
    <w:basedOn w:val="TableNormal"/>
    <w:uiPriority w:val="60"/>
    <w:rsid w:val="00B47695"/>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table" w:customStyle="1" w:styleId="MediumShading1-Accent412">
    <w:name w:val="Medium Shading 1 - Accent 412"/>
    <w:basedOn w:val="TableNormal"/>
    <w:next w:val="MediumShading1-Accent4"/>
    <w:uiPriority w:val="63"/>
    <w:rsid w:val="00B47695"/>
    <w:pPr>
      <w:spacing w:after="0" w:line="240" w:lineRule="auto"/>
    </w:pPr>
    <w:tblPr>
      <w:tblStyleRowBandSize w:val="1"/>
      <w:tblStyleColBandSize w:val="1"/>
      <w:tbl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single" w:sz="8" w:space="0" w:color="FCCA63" w:themeColor="accent4" w:themeTint="BF"/>
      </w:tblBorders>
    </w:tblPr>
    <w:tblStylePr w:type="firstRow">
      <w:pPr>
        <w:spacing w:before="0" w:after="0" w:line="240" w:lineRule="auto"/>
      </w:pPr>
      <w:rPr>
        <w:b/>
        <w:bCs/>
        <w:color w:val="FFFFFF" w:themeColor="background1"/>
      </w:rPr>
      <w:tblPr/>
      <w:tcPr>
        <w:tc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shd w:val="clear" w:color="auto" w:fill="FBB92F" w:themeFill="accent4"/>
      </w:tcPr>
    </w:tblStylePr>
    <w:tblStylePr w:type="lastRow">
      <w:pPr>
        <w:spacing w:before="0" w:after="0" w:line="240" w:lineRule="auto"/>
      </w:pPr>
      <w:rPr>
        <w:b/>
        <w:bCs/>
      </w:rPr>
      <w:tblPr/>
      <w:tcPr>
        <w:tcBorders>
          <w:top w:val="double" w:sz="6"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tcPr>
    </w:tblStylePr>
    <w:tblStylePr w:type="firstCol">
      <w:rPr>
        <w:b/>
        <w:bCs/>
      </w:rPr>
    </w:tblStylePr>
    <w:tblStylePr w:type="lastCol">
      <w:rPr>
        <w:b/>
        <w:bCs/>
      </w:rPr>
    </w:tblStylePr>
    <w:tblStylePr w:type="band1Vert">
      <w:tblPr/>
      <w:tcPr>
        <w:shd w:val="clear" w:color="auto" w:fill="FEEDCB" w:themeFill="accent4" w:themeFillTint="3F"/>
      </w:tcPr>
    </w:tblStylePr>
    <w:tblStylePr w:type="band1Horz">
      <w:tblPr/>
      <w:tcPr>
        <w:tcBorders>
          <w:insideH w:val="nil"/>
          <w:insideV w:val="nil"/>
        </w:tcBorders>
        <w:shd w:val="clear" w:color="auto" w:fill="FEEDCB" w:themeFill="accent4" w:themeFillTint="3F"/>
      </w:tcPr>
    </w:tblStylePr>
    <w:tblStylePr w:type="band2Horz">
      <w:tblPr/>
      <w:tcPr>
        <w:tcBorders>
          <w:insideH w:val="nil"/>
          <w:insideV w:val="nil"/>
        </w:tcBorders>
      </w:tcPr>
    </w:tblStylePr>
  </w:style>
  <w:style w:type="numbering" w:customStyle="1" w:styleId="NoList42">
    <w:name w:val="No List42"/>
    <w:next w:val="NoList"/>
    <w:uiPriority w:val="99"/>
    <w:semiHidden/>
    <w:unhideWhenUsed/>
    <w:rsid w:val="00B47695"/>
  </w:style>
  <w:style w:type="table" w:customStyle="1" w:styleId="TableGrid33">
    <w:name w:val="Table Grid33"/>
    <w:basedOn w:val="TableNormal"/>
    <w:next w:val="TableGrid"/>
    <w:uiPriority w:val="59"/>
    <w:rsid w:val="00B47695"/>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32">
    <w:name w:val="Light Shading132"/>
    <w:basedOn w:val="TableNormal"/>
    <w:uiPriority w:val="60"/>
    <w:rsid w:val="00B47695"/>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32">
    <w:name w:val="Light Grid132"/>
    <w:basedOn w:val="TableNormal"/>
    <w:uiPriority w:val="62"/>
    <w:rsid w:val="00B47695"/>
    <w:pPr>
      <w:spacing w:after="0" w:line="240" w:lineRule="auto"/>
    </w:pPr>
    <w:rPr>
      <w:rFonts w:ascii="Arial" w:eastAsia="Arial" w:hAnsi="Arial"/>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32">
    <w:name w:val="Medium Shading 1 - Accent 1132"/>
    <w:basedOn w:val="TableNormal"/>
    <w:uiPriority w:val="63"/>
    <w:rsid w:val="00B47695"/>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32">
    <w:name w:val="Medium Grid 1 - Accent 132"/>
    <w:basedOn w:val="TableNormal"/>
    <w:next w:val="MediumGrid1-Accent1"/>
    <w:uiPriority w:val="67"/>
    <w:rsid w:val="00B47695"/>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32">
    <w:name w:val="Light Shading - Accent 1132"/>
    <w:basedOn w:val="TableNormal"/>
    <w:uiPriority w:val="60"/>
    <w:rsid w:val="00B47695"/>
    <w:pPr>
      <w:spacing w:after="0" w:line="240" w:lineRule="auto"/>
    </w:pPr>
    <w:rPr>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32">
    <w:name w:val="RSP_Style32"/>
    <w:basedOn w:val="TableNormal"/>
    <w:uiPriority w:val="99"/>
    <w:qFormat/>
    <w:rsid w:val="00B47695"/>
    <w:pPr>
      <w:spacing w:after="0" w:line="240" w:lineRule="auto"/>
    </w:pPr>
    <w:tblPr/>
  </w:style>
  <w:style w:type="table" w:customStyle="1" w:styleId="20122tableformat32">
    <w:name w:val="2012 2 table format32"/>
    <w:basedOn w:val="TableNormal"/>
    <w:uiPriority w:val="63"/>
    <w:rsid w:val="00B47695"/>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32">
    <w:name w:val="Medium Grid 1 - Accent 632"/>
    <w:basedOn w:val="TableNormal"/>
    <w:next w:val="MediumGrid1-Accent6"/>
    <w:uiPriority w:val="67"/>
    <w:rsid w:val="00B47695"/>
    <w:pPr>
      <w:spacing w:after="0" w:line="240" w:lineRule="auto"/>
    </w:p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32">
    <w:name w:val="Light List - Accent 632"/>
    <w:basedOn w:val="TableNormal"/>
    <w:next w:val="LightList-Accent6"/>
    <w:uiPriority w:val="61"/>
    <w:rsid w:val="00B47695"/>
    <w:pPr>
      <w:spacing w:after="0" w:line="240" w:lineRule="auto"/>
    </w:p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32">
    <w:name w:val="Light Grid - Accent 1132"/>
    <w:basedOn w:val="TableNormal"/>
    <w:uiPriority w:val="62"/>
    <w:rsid w:val="00B47695"/>
    <w:pPr>
      <w:spacing w:after="0" w:line="240" w:lineRule="auto"/>
    </w:p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32">
    <w:name w:val="2012 Style32"/>
    <w:basedOn w:val="TableNormal"/>
    <w:uiPriority w:val="99"/>
    <w:qFormat/>
    <w:rsid w:val="00B47695"/>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32">
    <w:name w:val="Light Shading - Accent 1232"/>
    <w:basedOn w:val="TableNormal"/>
    <w:uiPriority w:val="60"/>
    <w:rsid w:val="00B47695"/>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numbering" w:customStyle="1" w:styleId="NoList132">
    <w:name w:val="No List132"/>
    <w:next w:val="NoList"/>
    <w:uiPriority w:val="99"/>
    <w:semiHidden/>
    <w:unhideWhenUsed/>
    <w:rsid w:val="00B47695"/>
  </w:style>
  <w:style w:type="numbering" w:customStyle="1" w:styleId="CurrentList1132">
    <w:name w:val="Current List1132"/>
    <w:rsid w:val="00B47695"/>
  </w:style>
  <w:style w:type="table" w:customStyle="1" w:styleId="TableGrid122">
    <w:name w:val="Table Grid122"/>
    <w:basedOn w:val="TableNormal"/>
    <w:next w:val="TableGrid"/>
    <w:uiPriority w:val="59"/>
    <w:rsid w:val="00B47695"/>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ulletedList132">
    <w:name w:val="Bulleted List132"/>
    <w:rsid w:val="00B47695"/>
  </w:style>
  <w:style w:type="table" w:customStyle="1" w:styleId="LightShading1122">
    <w:name w:val="Light Shading1122"/>
    <w:basedOn w:val="TableNormal"/>
    <w:uiPriority w:val="60"/>
    <w:rsid w:val="00B47695"/>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122">
    <w:name w:val="Light Grid1122"/>
    <w:basedOn w:val="TableNormal"/>
    <w:uiPriority w:val="62"/>
    <w:rsid w:val="00B47695"/>
    <w:pPr>
      <w:spacing w:after="0" w:line="240" w:lineRule="auto"/>
    </w:pPr>
    <w:rPr>
      <w:rFonts w:ascii="Arial" w:eastAsia="Arial" w:hAnsi="Arial"/>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122">
    <w:name w:val="Medium Shading 1 - Accent 11122"/>
    <w:basedOn w:val="TableNormal"/>
    <w:uiPriority w:val="63"/>
    <w:rsid w:val="00B47695"/>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122">
    <w:name w:val="Medium Grid 1 - Accent 1122"/>
    <w:basedOn w:val="TableNormal"/>
    <w:next w:val="MediumGrid1-Accent1"/>
    <w:uiPriority w:val="67"/>
    <w:rsid w:val="00B47695"/>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122">
    <w:name w:val="Light Shading - Accent 11122"/>
    <w:basedOn w:val="TableNormal"/>
    <w:uiPriority w:val="60"/>
    <w:rsid w:val="00B47695"/>
    <w:pPr>
      <w:spacing w:after="0" w:line="240" w:lineRule="auto"/>
    </w:pPr>
    <w:rPr>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122">
    <w:name w:val="RSP_Style122"/>
    <w:basedOn w:val="TableNormal"/>
    <w:uiPriority w:val="99"/>
    <w:qFormat/>
    <w:rsid w:val="00B47695"/>
    <w:pPr>
      <w:spacing w:after="0" w:line="240" w:lineRule="auto"/>
    </w:pPr>
    <w:tblPr/>
  </w:style>
  <w:style w:type="table" w:customStyle="1" w:styleId="20122tableformat122">
    <w:name w:val="2012 2 table format122"/>
    <w:basedOn w:val="TableNormal"/>
    <w:uiPriority w:val="63"/>
    <w:rsid w:val="00B47695"/>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122">
    <w:name w:val="Medium Grid 1 - Accent 6122"/>
    <w:basedOn w:val="TableNormal"/>
    <w:next w:val="MediumGrid1-Accent6"/>
    <w:uiPriority w:val="67"/>
    <w:rsid w:val="00B47695"/>
    <w:pPr>
      <w:spacing w:after="0" w:line="240" w:lineRule="auto"/>
    </w:p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122">
    <w:name w:val="Light List - Accent 6122"/>
    <w:basedOn w:val="TableNormal"/>
    <w:next w:val="LightList-Accent6"/>
    <w:uiPriority w:val="61"/>
    <w:rsid w:val="00B47695"/>
    <w:pPr>
      <w:spacing w:after="0" w:line="240" w:lineRule="auto"/>
    </w:p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122">
    <w:name w:val="Light Grid - Accent 11122"/>
    <w:basedOn w:val="TableNormal"/>
    <w:uiPriority w:val="62"/>
    <w:rsid w:val="00B47695"/>
    <w:pPr>
      <w:spacing w:after="0" w:line="240" w:lineRule="auto"/>
    </w:p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122">
    <w:name w:val="2012 Style122"/>
    <w:basedOn w:val="TableNormal"/>
    <w:uiPriority w:val="99"/>
    <w:qFormat/>
    <w:rsid w:val="00B47695"/>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122">
    <w:name w:val="Light Shading - Accent 12122"/>
    <w:basedOn w:val="TableNormal"/>
    <w:uiPriority w:val="60"/>
    <w:rsid w:val="00B47695"/>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table" w:customStyle="1" w:styleId="MediumShading1-Accent422">
    <w:name w:val="Medium Shading 1 - Accent 422"/>
    <w:basedOn w:val="TableNormal"/>
    <w:next w:val="MediumShading1-Accent4"/>
    <w:uiPriority w:val="63"/>
    <w:rsid w:val="00B47695"/>
    <w:pPr>
      <w:spacing w:after="0" w:line="240" w:lineRule="auto"/>
    </w:pPr>
    <w:tblPr>
      <w:tblStyleRowBandSize w:val="1"/>
      <w:tblStyleColBandSize w:val="1"/>
      <w:tbl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single" w:sz="8" w:space="0" w:color="FCCA63" w:themeColor="accent4" w:themeTint="BF"/>
      </w:tblBorders>
    </w:tblPr>
    <w:tblStylePr w:type="firstRow">
      <w:pPr>
        <w:spacing w:before="0" w:after="0" w:line="240" w:lineRule="auto"/>
      </w:pPr>
      <w:rPr>
        <w:b/>
        <w:bCs/>
        <w:color w:val="FFFFFF" w:themeColor="background1"/>
      </w:rPr>
      <w:tblPr/>
      <w:tcPr>
        <w:tc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shd w:val="clear" w:color="auto" w:fill="FBB92F" w:themeFill="accent4"/>
      </w:tcPr>
    </w:tblStylePr>
    <w:tblStylePr w:type="lastRow">
      <w:pPr>
        <w:spacing w:before="0" w:after="0" w:line="240" w:lineRule="auto"/>
      </w:pPr>
      <w:rPr>
        <w:b/>
        <w:bCs/>
      </w:rPr>
      <w:tblPr/>
      <w:tcPr>
        <w:tcBorders>
          <w:top w:val="double" w:sz="6"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tcPr>
    </w:tblStylePr>
    <w:tblStylePr w:type="firstCol">
      <w:rPr>
        <w:b/>
        <w:bCs/>
      </w:rPr>
    </w:tblStylePr>
    <w:tblStylePr w:type="lastCol">
      <w:rPr>
        <w:b/>
        <w:bCs/>
      </w:rPr>
    </w:tblStylePr>
    <w:tblStylePr w:type="band1Vert">
      <w:tblPr/>
      <w:tcPr>
        <w:shd w:val="clear" w:color="auto" w:fill="FEEDCB" w:themeFill="accent4" w:themeFillTint="3F"/>
      </w:tcPr>
    </w:tblStylePr>
    <w:tblStylePr w:type="band1Horz">
      <w:tblPr/>
      <w:tcPr>
        <w:tcBorders>
          <w:insideH w:val="nil"/>
          <w:insideV w:val="nil"/>
        </w:tcBorders>
        <w:shd w:val="clear" w:color="auto" w:fill="FEEDCB" w:themeFill="accent4" w:themeFillTint="3F"/>
      </w:tcPr>
    </w:tblStylePr>
    <w:tblStylePr w:type="band2Horz">
      <w:tblPr/>
      <w:tcPr>
        <w:tcBorders>
          <w:insideH w:val="nil"/>
          <w:insideV w:val="nil"/>
        </w:tcBorders>
      </w:tcPr>
    </w:tblStylePr>
  </w:style>
  <w:style w:type="numbering" w:customStyle="1" w:styleId="CurrentList132">
    <w:name w:val="Current List132"/>
    <w:rsid w:val="00B47695"/>
  </w:style>
  <w:style w:type="table" w:customStyle="1" w:styleId="TableGrid312">
    <w:name w:val="Table Grid312"/>
    <w:basedOn w:val="TableNormal"/>
    <w:next w:val="TableGrid"/>
    <w:uiPriority w:val="59"/>
    <w:rsid w:val="00B47695"/>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
    <w:name w:val="No List52"/>
    <w:next w:val="NoList"/>
    <w:uiPriority w:val="99"/>
    <w:semiHidden/>
    <w:unhideWhenUsed/>
    <w:rsid w:val="00B47695"/>
  </w:style>
  <w:style w:type="numbering" w:customStyle="1" w:styleId="CurrentList142">
    <w:name w:val="Current List142"/>
    <w:rsid w:val="00B47695"/>
  </w:style>
  <w:style w:type="table" w:customStyle="1" w:styleId="TableGrid42">
    <w:name w:val="Table Grid42"/>
    <w:basedOn w:val="TableNormal"/>
    <w:next w:val="TableGrid"/>
    <w:uiPriority w:val="59"/>
    <w:rsid w:val="00B47695"/>
    <w:pPr>
      <w:widowControl w:val="0"/>
      <w:spacing w:after="0"/>
    </w:pPr>
    <w:rPr>
      <w:rFonts w:ascii="Times New Roman" w:eastAsia="Times New Roman" w:hAnsi="Times New Roman"/>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ulletedList32">
    <w:name w:val="Bulleted List32"/>
    <w:rsid w:val="00B47695"/>
  </w:style>
  <w:style w:type="table" w:customStyle="1" w:styleId="LightShading142">
    <w:name w:val="Light Shading142"/>
    <w:basedOn w:val="TableNormal"/>
    <w:uiPriority w:val="60"/>
    <w:rsid w:val="00B47695"/>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42">
    <w:name w:val="Light Grid142"/>
    <w:basedOn w:val="TableNormal"/>
    <w:uiPriority w:val="62"/>
    <w:rsid w:val="00B47695"/>
    <w:pPr>
      <w:spacing w:after="0" w:line="240" w:lineRule="auto"/>
    </w:pPr>
    <w:rPr>
      <w:rFonts w:ascii="Arial" w:eastAsia="Arial" w:hAnsi="Arial"/>
      <w:color w:val="auto"/>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42">
    <w:name w:val="Medium Shading 1 - Accent 1142"/>
    <w:basedOn w:val="TableNormal"/>
    <w:uiPriority w:val="63"/>
    <w:rsid w:val="00B47695"/>
    <w:pPr>
      <w:spacing w:after="0" w:line="240" w:lineRule="auto"/>
    </w:pPr>
    <w:rPr>
      <w:rFonts w:ascii="Cambria" w:hAnsi="Cambria"/>
      <w:color w:val="auto"/>
    </w:r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42">
    <w:name w:val="Medium Grid 1 - Accent 142"/>
    <w:basedOn w:val="TableNormal"/>
    <w:next w:val="MediumGrid1-Accent1"/>
    <w:uiPriority w:val="67"/>
    <w:rsid w:val="00B47695"/>
    <w:pPr>
      <w:spacing w:after="0" w:line="240" w:lineRule="auto"/>
    </w:pPr>
    <w:rPr>
      <w:rFonts w:ascii="Cambria" w:hAnsi="Cambria"/>
      <w:color w:val="auto"/>
    </w:r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42">
    <w:name w:val="Light Shading - Accent 1142"/>
    <w:basedOn w:val="TableNormal"/>
    <w:uiPriority w:val="60"/>
    <w:rsid w:val="00B47695"/>
    <w:pPr>
      <w:spacing w:after="0" w:line="240" w:lineRule="auto"/>
    </w:pPr>
    <w:rPr>
      <w:rFonts w:ascii="Cambria" w:hAnsi="Cambria"/>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42">
    <w:name w:val="RSP_Style42"/>
    <w:basedOn w:val="TableNormal"/>
    <w:uiPriority w:val="99"/>
    <w:qFormat/>
    <w:rsid w:val="00B47695"/>
    <w:pPr>
      <w:spacing w:after="0" w:line="240" w:lineRule="auto"/>
    </w:pPr>
    <w:rPr>
      <w:rFonts w:ascii="Cambria" w:hAnsi="Cambria"/>
      <w:color w:val="auto"/>
    </w:rPr>
    <w:tblPr/>
  </w:style>
  <w:style w:type="table" w:customStyle="1" w:styleId="20122tableformat42">
    <w:name w:val="2012 2 table format42"/>
    <w:basedOn w:val="TableNormal"/>
    <w:uiPriority w:val="63"/>
    <w:rsid w:val="00B47695"/>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42">
    <w:name w:val="Medium Grid 1 - Accent 642"/>
    <w:basedOn w:val="TableNormal"/>
    <w:next w:val="MediumGrid1-Accent6"/>
    <w:uiPriority w:val="67"/>
    <w:rsid w:val="00B47695"/>
    <w:pPr>
      <w:spacing w:after="0" w:line="240" w:lineRule="auto"/>
    </w:pPr>
    <w:rPr>
      <w:rFonts w:ascii="Cambria" w:hAnsi="Cambria"/>
      <w:color w:val="auto"/>
    </w:r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42">
    <w:name w:val="Light List - Accent 642"/>
    <w:basedOn w:val="TableNormal"/>
    <w:next w:val="LightList-Accent6"/>
    <w:uiPriority w:val="61"/>
    <w:rsid w:val="00B47695"/>
    <w:pPr>
      <w:spacing w:after="0" w:line="240" w:lineRule="auto"/>
    </w:pPr>
    <w:rPr>
      <w:color w:val="auto"/>
    </w:r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42">
    <w:name w:val="Light Grid - Accent 1142"/>
    <w:basedOn w:val="TableNormal"/>
    <w:uiPriority w:val="62"/>
    <w:rsid w:val="00B47695"/>
    <w:pPr>
      <w:spacing w:after="0" w:line="240" w:lineRule="auto"/>
    </w:pPr>
    <w:rPr>
      <w:rFonts w:ascii="Cambria" w:hAnsi="Cambria"/>
      <w:color w:val="auto"/>
    </w:r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42">
    <w:name w:val="2012 Style42"/>
    <w:basedOn w:val="TableNormal"/>
    <w:uiPriority w:val="99"/>
    <w:qFormat/>
    <w:rsid w:val="00B47695"/>
    <w:pPr>
      <w:spacing w:after="0" w:line="240" w:lineRule="auto"/>
    </w:pPr>
    <w:rPr>
      <w:color w:val="auto"/>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42">
    <w:name w:val="Light Shading - Accent 1242"/>
    <w:basedOn w:val="TableNormal"/>
    <w:uiPriority w:val="60"/>
    <w:rsid w:val="00B47695"/>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numbering" w:customStyle="1" w:styleId="NoList142">
    <w:name w:val="No List142"/>
    <w:next w:val="NoList"/>
    <w:uiPriority w:val="99"/>
    <w:semiHidden/>
    <w:unhideWhenUsed/>
    <w:rsid w:val="00B47695"/>
  </w:style>
  <w:style w:type="numbering" w:customStyle="1" w:styleId="CurrentList1142">
    <w:name w:val="Current List1142"/>
    <w:rsid w:val="00B47695"/>
  </w:style>
  <w:style w:type="table" w:customStyle="1" w:styleId="TableGrid132">
    <w:name w:val="Table Grid132"/>
    <w:basedOn w:val="TableNormal"/>
    <w:next w:val="TableGrid"/>
    <w:uiPriority w:val="59"/>
    <w:rsid w:val="00B47695"/>
    <w:pPr>
      <w:widowControl w:val="0"/>
      <w:spacing w:after="0"/>
    </w:pPr>
    <w:rPr>
      <w:rFonts w:ascii="Times New Roman" w:eastAsia="Times New Roman" w:hAnsi="Times New Roman"/>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ulletedList142">
    <w:name w:val="Bulleted List142"/>
    <w:rsid w:val="00B47695"/>
  </w:style>
  <w:style w:type="table" w:customStyle="1" w:styleId="LightShading1132">
    <w:name w:val="Light Shading1132"/>
    <w:basedOn w:val="TableNormal"/>
    <w:uiPriority w:val="60"/>
    <w:rsid w:val="00B47695"/>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132">
    <w:name w:val="Light Grid1132"/>
    <w:basedOn w:val="TableNormal"/>
    <w:uiPriority w:val="62"/>
    <w:rsid w:val="00B47695"/>
    <w:pPr>
      <w:spacing w:after="0" w:line="240" w:lineRule="auto"/>
    </w:pPr>
    <w:rPr>
      <w:rFonts w:ascii="Arial" w:eastAsia="Arial" w:hAnsi="Arial"/>
      <w:color w:val="auto"/>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132">
    <w:name w:val="Medium Shading 1 - Accent 11132"/>
    <w:basedOn w:val="TableNormal"/>
    <w:uiPriority w:val="63"/>
    <w:rsid w:val="00B47695"/>
    <w:pPr>
      <w:spacing w:after="0" w:line="240" w:lineRule="auto"/>
    </w:pPr>
    <w:rPr>
      <w:rFonts w:ascii="Cambria" w:hAnsi="Cambria"/>
      <w:color w:val="auto"/>
    </w:r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132">
    <w:name w:val="Medium Grid 1 - Accent 1132"/>
    <w:basedOn w:val="TableNormal"/>
    <w:next w:val="MediumGrid1-Accent1"/>
    <w:uiPriority w:val="67"/>
    <w:rsid w:val="00B47695"/>
    <w:pPr>
      <w:spacing w:after="0" w:line="240" w:lineRule="auto"/>
    </w:pPr>
    <w:rPr>
      <w:rFonts w:ascii="Cambria" w:hAnsi="Cambria"/>
      <w:color w:val="auto"/>
    </w:r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132">
    <w:name w:val="Light Shading - Accent 11132"/>
    <w:basedOn w:val="TableNormal"/>
    <w:uiPriority w:val="60"/>
    <w:rsid w:val="00B47695"/>
    <w:pPr>
      <w:spacing w:after="0" w:line="240" w:lineRule="auto"/>
    </w:pPr>
    <w:rPr>
      <w:rFonts w:ascii="Cambria" w:hAnsi="Cambria"/>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132">
    <w:name w:val="RSP_Style132"/>
    <w:basedOn w:val="TableNormal"/>
    <w:uiPriority w:val="99"/>
    <w:qFormat/>
    <w:rsid w:val="00B47695"/>
    <w:pPr>
      <w:spacing w:after="0" w:line="240" w:lineRule="auto"/>
    </w:pPr>
    <w:rPr>
      <w:rFonts w:ascii="Cambria" w:hAnsi="Cambria"/>
      <w:color w:val="auto"/>
    </w:rPr>
    <w:tblPr/>
  </w:style>
  <w:style w:type="table" w:customStyle="1" w:styleId="20122tableformat132">
    <w:name w:val="2012 2 table format132"/>
    <w:basedOn w:val="TableNormal"/>
    <w:uiPriority w:val="63"/>
    <w:rsid w:val="00B47695"/>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132">
    <w:name w:val="Medium Grid 1 - Accent 6132"/>
    <w:basedOn w:val="TableNormal"/>
    <w:next w:val="MediumGrid1-Accent6"/>
    <w:uiPriority w:val="67"/>
    <w:rsid w:val="00B47695"/>
    <w:pPr>
      <w:spacing w:after="0" w:line="240" w:lineRule="auto"/>
    </w:pPr>
    <w:rPr>
      <w:rFonts w:ascii="Cambria" w:hAnsi="Cambria"/>
      <w:color w:val="auto"/>
    </w:r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132">
    <w:name w:val="Light List - Accent 6132"/>
    <w:basedOn w:val="TableNormal"/>
    <w:next w:val="LightList-Accent6"/>
    <w:uiPriority w:val="61"/>
    <w:rsid w:val="00B47695"/>
    <w:pPr>
      <w:spacing w:after="0" w:line="240" w:lineRule="auto"/>
    </w:pPr>
    <w:rPr>
      <w:color w:val="auto"/>
    </w:r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132">
    <w:name w:val="Light Grid - Accent 11132"/>
    <w:basedOn w:val="TableNormal"/>
    <w:uiPriority w:val="62"/>
    <w:rsid w:val="00B47695"/>
    <w:pPr>
      <w:spacing w:after="0" w:line="240" w:lineRule="auto"/>
    </w:pPr>
    <w:rPr>
      <w:rFonts w:ascii="Cambria" w:hAnsi="Cambria"/>
      <w:color w:val="auto"/>
    </w:r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132">
    <w:name w:val="2012 Style132"/>
    <w:basedOn w:val="TableNormal"/>
    <w:uiPriority w:val="99"/>
    <w:qFormat/>
    <w:rsid w:val="00B47695"/>
    <w:pPr>
      <w:spacing w:after="0" w:line="240" w:lineRule="auto"/>
    </w:pPr>
    <w:rPr>
      <w:color w:val="auto"/>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132">
    <w:name w:val="Light Shading - Accent 12132"/>
    <w:basedOn w:val="TableNormal"/>
    <w:uiPriority w:val="60"/>
    <w:rsid w:val="00B47695"/>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table" w:customStyle="1" w:styleId="MediumShading1-Accent432">
    <w:name w:val="Medium Shading 1 - Accent 432"/>
    <w:basedOn w:val="TableNormal"/>
    <w:next w:val="MediumShading1-Accent4"/>
    <w:uiPriority w:val="63"/>
    <w:rsid w:val="00B47695"/>
    <w:pPr>
      <w:spacing w:after="0" w:line="240" w:lineRule="auto"/>
    </w:pPr>
    <w:rPr>
      <w:rFonts w:ascii="Cambria" w:hAnsi="Cambria"/>
      <w:color w:val="auto"/>
    </w:rPr>
    <w:tblPr>
      <w:tblStyleRowBandSize w:val="1"/>
      <w:tblStyleColBandSize w:val="1"/>
      <w:tbl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single" w:sz="8" w:space="0" w:color="FCCA63" w:themeColor="accent4" w:themeTint="BF"/>
      </w:tblBorders>
    </w:tblPr>
    <w:tblStylePr w:type="firstRow">
      <w:pPr>
        <w:spacing w:before="0" w:after="0" w:line="240" w:lineRule="auto"/>
      </w:pPr>
      <w:rPr>
        <w:b/>
        <w:bCs/>
        <w:color w:val="FFFFFF" w:themeColor="background1"/>
      </w:rPr>
      <w:tblPr/>
      <w:tcPr>
        <w:tc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shd w:val="clear" w:color="auto" w:fill="FBB92F" w:themeFill="accent4"/>
      </w:tcPr>
    </w:tblStylePr>
    <w:tblStylePr w:type="lastRow">
      <w:pPr>
        <w:spacing w:before="0" w:after="0" w:line="240" w:lineRule="auto"/>
      </w:pPr>
      <w:rPr>
        <w:b/>
        <w:bCs/>
      </w:rPr>
      <w:tblPr/>
      <w:tcPr>
        <w:tcBorders>
          <w:top w:val="double" w:sz="6"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tcPr>
    </w:tblStylePr>
    <w:tblStylePr w:type="firstCol">
      <w:rPr>
        <w:b/>
        <w:bCs/>
      </w:rPr>
    </w:tblStylePr>
    <w:tblStylePr w:type="lastCol">
      <w:rPr>
        <w:b/>
        <w:bCs/>
      </w:rPr>
    </w:tblStylePr>
    <w:tblStylePr w:type="band1Vert">
      <w:tblPr/>
      <w:tcPr>
        <w:shd w:val="clear" w:color="auto" w:fill="FEEDCB" w:themeFill="accent4" w:themeFillTint="3F"/>
      </w:tcPr>
    </w:tblStylePr>
    <w:tblStylePr w:type="band1Horz">
      <w:tblPr/>
      <w:tcPr>
        <w:tcBorders>
          <w:insideH w:val="nil"/>
          <w:insideV w:val="nil"/>
        </w:tcBorders>
        <w:shd w:val="clear" w:color="auto" w:fill="FEEDCB" w:themeFill="accent4" w:themeFillTint="3F"/>
      </w:tcPr>
    </w:tblStylePr>
    <w:tblStylePr w:type="band2Horz">
      <w:tblPr/>
      <w:tcPr>
        <w:tcBorders>
          <w:insideH w:val="nil"/>
          <w:insideV w:val="nil"/>
        </w:tcBorders>
      </w:tcPr>
    </w:tblStylePr>
  </w:style>
  <w:style w:type="table" w:customStyle="1" w:styleId="TableGrid52">
    <w:name w:val="Table Grid52"/>
    <w:basedOn w:val="TableNormal"/>
    <w:next w:val="TableGrid"/>
    <w:uiPriority w:val="59"/>
    <w:rsid w:val="00B47695"/>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CurrentList15">
    <w:name w:val="Current List15"/>
    <w:rsid w:val="00F645C1"/>
    <w:pPr>
      <w:numPr>
        <w:numId w:val="1"/>
      </w:numPr>
    </w:pPr>
  </w:style>
  <w:style w:type="character" w:customStyle="1" w:styleId="footnote">
    <w:name w:val="footnote"/>
    <w:basedOn w:val="DefaultParagraphFont"/>
    <w:rsid w:val="00A75620"/>
  </w:style>
  <w:style w:type="character" w:customStyle="1" w:styleId="slug-metadata-note">
    <w:name w:val="slug-metadata-note"/>
    <w:basedOn w:val="DefaultParagraphFont"/>
    <w:rsid w:val="00A75620"/>
  </w:style>
  <w:style w:type="character" w:customStyle="1" w:styleId="slug-doi">
    <w:name w:val="slug-doi"/>
    <w:basedOn w:val="DefaultParagraphFont"/>
    <w:rsid w:val="00A75620"/>
  </w:style>
  <w:style w:type="character" w:customStyle="1" w:styleId="slug-pub-date">
    <w:name w:val="slug-pub-date"/>
    <w:basedOn w:val="DefaultParagraphFont"/>
    <w:rsid w:val="00A75620"/>
  </w:style>
  <w:style w:type="character" w:customStyle="1" w:styleId="slug-vol">
    <w:name w:val="slug-vol"/>
    <w:basedOn w:val="DefaultParagraphFont"/>
    <w:rsid w:val="00A75620"/>
  </w:style>
  <w:style w:type="character" w:customStyle="1" w:styleId="slug-issue">
    <w:name w:val="slug-issue"/>
    <w:basedOn w:val="DefaultParagraphFont"/>
    <w:rsid w:val="00A75620"/>
  </w:style>
  <w:style w:type="character" w:customStyle="1" w:styleId="slug-pages">
    <w:name w:val="slug-pages"/>
    <w:basedOn w:val="DefaultParagraphFont"/>
    <w:rsid w:val="00A75620"/>
  </w:style>
  <w:style w:type="numbering" w:customStyle="1" w:styleId="NoList8">
    <w:name w:val="No List8"/>
    <w:next w:val="NoList"/>
    <w:uiPriority w:val="99"/>
    <w:semiHidden/>
    <w:unhideWhenUsed/>
    <w:rsid w:val="000C4646"/>
  </w:style>
  <w:style w:type="numbering" w:customStyle="1" w:styleId="CurrentList16">
    <w:name w:val="Current List16"/>
    <w:rsid w:val="000C4646"/>
  </w:style>
  <w:style w:type="table" w:customStyle="1" w:styleId="TableGrid8">
    <w:name w:val="Table Grid8"/>
    <w:basedOn w:val="TableNormal"/>
    <w:next w:val="TableGrid"/>
    <w:uiPriority w:val="59"/>
    <w:rsid w:val="000C4646"/>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7">
    <w:name w:val="Light Shading17"/>
    <w:basedOn w:val="TableNormal"/>
    <w:uiPriority w:val="60"/>
    <w:rsid w:val="000C4646"/>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7">
    <w:name w:val="Light Grid17"/>
    <w:basedOn w:val="TableNormal"/>
    <w:uiPriority w:val="62"/>
    <w:rsid w:val="000C4646"/>
    <w:pPr>
      <w:spacing w:after="0" w:line="240" w:lineRule="auto"/>
    </w:pPr>
    <w:rPr>
      <w:rFonts w:ascii="Arial" w:eastAsia="Arial" w:hAnsi="Arial"/>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7">
    <w:name w:val="Medium Shading 1 - Accent 117"/>
    <w:basedOn w:val="TableNormal"/>
    <w:uiPriority w:val="63"/>
    <w:rsid w:val="000C4646"/>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7">
    <w:name w:val="Medium Grid 1 - Accent 17"/>
    <w:basedOn w:val="TableNormal"/>
    <w:next w:val="MediumGrid1-Accent1"/>
    <w:uiPriority w:val="67"/>
    <w:rsid w:val="000C4646"/>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7">
    <w:name w:val="Light Shading - Accent 117"/>
    <w:basedOn w:val="TableNormal"/>
    <w:uiPriority w:val="60"/>
    <w:rsid w:val="000C4646"/>
    <w:pPr>
      <w:spacing w:after="0" w:line="240" w:lineRule="auto"/>
    </w:pPr>
    <w:rPr>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7">
    <w:name w:val="RSP_Style7"/>
    <w:basedOn w:val="TableNormal"/>
    <w:uiPriority w:val="99"/>
    <w:qFormat/>
    <w:rsid w:val="000C4646"/>
    <w:pPr>
      <w:spacing w:after="0" w:line="240" w:lineRule="auto"/>
    </w:pPr>
    <w:tblPr/>
  </w:style>
  <w:style w:type="table" w:customStyle="1" w:styleId="20122tableformat7">
    <w:name w:val="2012 2 table format7"/>
    <w:basedOn w:val="TableNormal"/>
    <w:uiPriority w:val="63"/>
    <w:rsid w:val="000C4646"/>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7">
    <w:name w:val="Medium Grid 1 - Accent 67"/>
    <w:basedOn w:val="TableNormal"/>
    <w:next w:val="MediumGrid1-Accent6"/>
    <w:uiPriority w:val="67"/>
    <w:rsid w:val="000C4646"/>
    <w:pPr>
      <w:spacing w:after="0" w:line="240" w:lineRule="auto"/>
    </w:p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7">
    <w:name w:val="Light List - Accent 67"/>
    <w:basedOn w:val="TableNormal"/>
    <w:next w:val="LightList-Accent6"/>
    <w:uiPriority w:val="61"/>
    <w:rsid w:val="000C4646"/>
    <w:pPr>
      <w:spacing w:after="0" w:line="240" w:lineRule="auto"/>
    </w:p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7">
    <w:name w:val="Light Grid - Accent 117"/>
    <w:basedOn w:val="TableNormal"/>
    <w:uiPriority w:val="62"/>
    <w:rsid w:val="000C4646"/>
    <w:pPr>
      <w:spacing w:after="0" w:line="240" w:lineRule="auto"/>
    </w:p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7">
    <w:name w:val="2012 Style7"/>
    <w:basedOn w:val="TableNormal"/>
    <w:uiPriority w:val="99"/>
    <w:qFormat/>
    <w:rsid w:val="000C4646"/>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7">
    <w:name w:val="Light Shading - Accent 127"/>
    <w:basedOn w:val="TableNormal"/>
    <w:uiPriority w:val="60"/>
    <w:rsid w:val="000C4646"/>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numbering" w:customStyle="1" w:styleId="NoList17">
    <w:name w:val="No List17"/>
    <w:next w:val="NoList"/>
    <w:uiPriority w:val="99"/>
    <w:semiHidden/>
    <w:unhideWhenUsed/>
    <w:rsid w:val="000C4646"/>
  </w:style>
  <w:style w:type="numbering" w:customStyle="1" w:styleId="CurrentList117">
    <w:name w:val="Current List117"/>
    <w:rsid w:val="000C4646"/>
  </w:style>
  <w:style w:type="table" w:customStyle="1" w:styleId="TableGrid16">
    <w:name w:val="Table Grid16"/>
    <w:basedOn w:val="TableNormal"/>
    <w:next w:val="TableGrid"/>
    <w:uiPriority w:val="59"/>
    <w:rsid w:val="000C4646"/>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ulletedList17">
    <w:name w:val="Bulleted List17"/>
    <w:rsid w:val="000C4646"/>
  </w:style>
  <w:style w:type="table" w:customStyle="1" w:styleId="LightShading116">
    <w:name w:val="Light Shading116"/>
    <w:basedOn w:val="TableNormal"/>
    <w:uiPriority w:val="60"/>
    <w:rsid w:val="000C4646"/>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16">
    <w:name w:val="Light Grid116"/>
    <w:basedOn w:val="TableNormal"/>
    <w:uiPriority w:val="62"/>
    <w:rsid w:val="000C4646"/>
    <w:pPr>
      <w:spacing w:after="0" w:line="240" w:lineRule="auto"/>
    </w:pPr>
    <w:rPr>
      <w:rFonts w:ascii="Arial" w:eastAsia="Arial" w:hAnsi="Arial"/>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16">
    <w:name w:val="Medium Shading 1 - Accent 1116"/>
    <w:basedOn w:val="TableNormal"/>
    <w:uiPriority w:val="63"/>
    <w:rsid w:val="000C4646"/>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16">
    <w:name w:val="Medium Grid 1 - Accent 116"/>
    <w:basedOn w:val="TableNormal"/>
    <w:next w:val="MediumGrid1-Accent1"/>
    <w:uiPriority w:val="67"/>
    <w:rsid w:val="000C4646"/>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16">
    <w:name w:val="Light Shading - Accent 1116"/>
    <w:basedOn w:val="TableNormal"/>
    <w:uiPriority w:val="60"/>
    <w:rsid w:val="000C4646"/>
    <w:pPr>
      <w:spacing w:after="0" w:line="240" w:lineRule="auto"/>
    </w:pPr>
    <w:rPr>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16">
    <w:name w:val="RSP_Style16"/>
    <w:basedOn w:val="TableNormal"/>
    <w:uiPriority w:val="99"/>
    <w:qFormat/>
    <w:rsid w:val="000C4646"/>
    <w:pPr>
      <w:spacing w:after="0" w:line="240" w:lineRule="auto"/>
    </w:pPr>
    <w:tblPr/>
  </w:style>
  <w:style w:type="table" w:customStyle="1" w:styleId="20122tableformat16">
    <w:name w:val="2012 2 table format16"/>
    <w:basedOn w:val="TableNormal"/>
    <w:uiPriority w:val="63"/>
    <w:rsid w:val="000C4646"/>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16">
    <w:name w:val="Medium Grid 1 - Accent 616"/>
    <w:basedOn w:val="TableNormal"/>
    <w:next w:val="MediumGrid1-Accent6"/>
    <w:uiPriority w:val="67"/>
    <w:rsid w:val="000C4646"/>
    <w:pPr>
      <w:spacing w:after="0" w:line="240" w:lineRule="auto"/>
    </w:p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16">
    <w:name w:val="Light List - Accent 616"/>
    <w:basedOn w:val="TableNormal"/>
    <w:next w:val="LightList-Accent6"/>
    <w:uiPriority w:val="61"/>
    <w:rsid w:val="000C4646"/>
    <w:pPr>
      <w:spacing w:after="0" w:line="240" w:lineRule="auto"/>
    </w:p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16">
    <w:name w:val="Light Grid - Accent 1116"/>
    <w:basedOn w:val="TableNormal"/>
    <w:uiPriority w:val="62"/>
    <w:rsid w:val="000C4646"/>
    <w:pPr>
      <w:spacing w:after="0" w:line="240" w:lineRule="auto"/>
    </w:p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16">
    <w:name w:val="2012 Style16"/>
    <w:basedOn w:val="TableNormal"/>
    <w:uiPriority w:val="99"/>
    <w:qFormat/>
    <w:rsid w:val="000C4646"/>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16">
    <w:name w:val="Light Shading - Accent 1216"/>
    <w:basedOn w:val="TableNormal"/>
    <w:uiPriority w:val="60"/>
    <w:rsid w:val="000C4646"/>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table" w:customStyle="1" w:styleId="MediumShading1-Accent46">
    <w:name w:val="Medium Shading 1 - Accent 46"/>
    <w:basedOn w:val="TableNormal"/>
    <w:next w:val="MediumShading1-Accent4"/>
    <w:uiPriority w:val="63"/>
    <w:rsid w:val="000C4646"/>
    <w:pPr>
      <w:spacing w:after="0" w:line="240" w:lineRule="auto"/>
    </w:pPr>
    <w:tblPr>
      <w:tblStyleRowBandSize w:val="1"/>
      <w:tblStyleColBandSize w:val="1"/>
      <w:tbl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single" w:sz="8" w:space="0" w:color="FCCA63" w:themeColor="accent4" w:themeTint="BF"/>
      </w:tblBorders>
    </w:tblPr>
    <w:tblStylePr w:type="firstRow">
      <w:pPr>
        <w:spacing w:before="0" w:after="0" w:line="240" w:lineRule="auto"/>
      </w:pPr>
      <w:rPr>
        <w:b/>
        <w:bCs/>
        <w:color w:val="FFFFFF" w:themeColor="background1"/>
      </w:rPr>
      <w:tblPr/>
      <w:tcPr>
        <w:tc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shd w:val="clear" w:color="auto" w:fill="FBB92F" w:themeFill="accent4"/>
      </w:tcPr>
    </w:tblStylePr>
    <w:tblStylePr w:type="lastRow">
      <w:pPr>
        <w:spacing w:before="0" w:after="0" w:line="240" w:lineRule="auto"/>
      </w:pPr>
      <w:rPr>
        <w:b/>
        <w:bCs/>
      </w:rPr>
      <w:tblPr/>
      <w:tcPr>
        <w:tcBorders>
          <w:top w:val="double" w:sz="6"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tcPr>
    </w:tblStylePr>
    <w:tblStylePr w:type="firstCol">
      <w:rPr>
        <w:b/>
        <w:bCs/>
      </w:rPr>
    </w:tblStylePr>
    <w:tblStylePr w:type="lastCol">
      <w:rPr>
        <w:b/>
        <w:bCs/>
      </w:rPr>
    </w:tblStylePr>
    <w:tblStylePr w:type="band1Vert">
      <w:tblPr/>
      <w:tcPr>
        <w:shd w:val="clear" w:color="auto" w:fill="FEEDCB" w:themeFill="accent4" w:themeFillTint="3F"/>
      </w:tcPr>
    </w:tblStylePr>
    <w:tblStylePr w:type="band1Horz">
      <w:tblPr/>
      <w:tcPr>
        <w:tcBorders>
          <w:insideH w:val="nil"/>
          <w:insideV w:val="nil"/>
        </w:tcBorders>
        <w:shd w:val="clear" w:color="auto" w:fill="FEEDCB" w:themeFill="accent4" w:themeFillTint="3F"/>
      </w:tcPr>
    </w:tblStylePr>
    <w:tblStylePr w:type="band2Horz">
      <w:tblPr/>
      <w:tcPr>
        <w:tcBorders>
          <w:insideH w:val="nil"/>
          <w:insideV w:val="nil"/>
        </w:tcBorders>
      </w:tcPr>
    </w:tblStylePr>
  </w:style>
  <w:style w:type="numbering" w:customStyle="1" w:styleId="NoList23">
    <w:name w:val="No List23"/>
    <w:next w:val="NoList"/>
    <w:uiPriority w:val="99"/>
    <w:semiHidden/>
    <w:unhideWhenUsed/>
    <w:rsid w:val="000C4646"/>
  </w:style>
  <w:style w:type="numbering" w:customStyle="1" w:styleId="CurrentList123">
    <w:name w:val="Current List123"/>
    <w:rsid w:val="000C4646"/>
  </w:style>
  <w:style w:type="numbering" w:customStyle="1" w:styleId="BulletedList23">
    <w:name w:val="Bulleted List23"/>
    <w:rsid w:val="000C4646"/>
  </w:style>
  <w:style w:type="numbering" w:customStyle="1" w:styleId="NoList113">
    <w:name w:val="No List113"/>
    <w:next w:val="NoList"/>
    <w:uiPriority w:val="99"/>
    <w:semiHidden/>
    <w:unhideWhenUsed/>
    <w:rsid w:val="000C4646"/>
  </w:style>
  <w:style w:type="numbering" w:customStyle="1" w:styleId="CurrentList1113">
    <w:name w:val="Current List1113"/>
    <w:rsid w:val="000C4646"/>
  </w:style>
  <w:style w:type="numbering" w:customStyle="1" w:styleId="BulletedList113">
    <w:name w:val="Bulleted List113"/>
    <w:rsid w:val="000C4646"/>
  </w:style>
  <w:style w:type="numbering" w:customStyle="1" w:styleId="NoList33">
    <w:name w:val="No List33"/>
    <w:next w:val="NoList"/>
    <w:uiPriority w:val="99"/>
    <w:semiHidden/>
    <w:unhideWhenUsed/>
    <w:rsid w:val="000C4646"/>
  </w:style>
  <w:style w:type="table" w:customStyle="1" w:styleId="TableGrid23">
    <w:name w:val="Table Grid23"/>
    <w:basedOn w:val="TableNormal"/>
    <w:next w:val="TableGrid"/>
    <w:uiPriority w:val="59"/>
    <w:rsid w:val="000C4646"/>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23">
    <w:name w:val="Light Shading123"/>
    <w:basedOn w:val="TableNormal"/>
    <w:uiPriority w:val="60"/>
    <w:rsid w:val="000C4646"/>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23">
    <w:name w:val="Light Grid123"/>
    <w:basedOn w:val="TableNormal"/>
    <w:uiPriority w:val="62"/>
    <w:rsid w:val="000C4646"/>
    <w:pPr>
      <w:spacing w:after="0" w:line="240" w:lineRule="auto"/>
    </w:pPr>
    <w:rPr>
      <w:rFonts w:ascii="Arial" w:eastAsia="Arial" w:hAnsi="Arial"/>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23">
    <w:name w:val="Medium Shading 1 - Accent 1123"/>
    <w:basedOn w:val="TableNormal"/>
    <w:uiPriority w:val="63"/>
    <w:rsid w:val="000C4646"/>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23">
    <w:name w:val="Medium Grid 1 - Accent 123"/>
    <w:basedOn w:val="TableNormal"/>
    <w:next w:val="MediumGrid1-Accent1"/>
    <w:uiPriority w:val="67"/>
    <w:rsid w:val="000C4646"/>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23">
    <w:name w:val="Light Shading - Accent 1123"/>
    <w:basedOn w:val="TableNormal"/>
    <w:uiPriority w:val="60"/>
    <w:rsid w:val="000C4646"/>
    <w:pPr>
      <w:spacing w:after="0" w:line="240" w:lineRule="auto"/>
    </w:pPr>
    <w:rPr>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23">
    <w:name w:val="RSP_Style23"/>
    <w:basedOn w:val="TableNormal"/>
    <w:uiPriority w:val="99"/>
    <w:qFormat/>
    <w:rsid w:val="000C4646"/>
    <w:pPr>
      <w:spacing w:after="0" w:line="240" w:lineRule="auto"/>
    </w:pPr>
    <w:tblPr/>
  </w:style>
  <w:style w:type="table" w:customStyle="1" w:styleId="20122tableformat23">
    <w:name w:val="2012 2 table format23"/>
    <w:basedOn w:val="TableNormal"/>
    <w:uiPriority w:val="63"/>
    <w:rsid w:val="000C4646"/>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23">
    <w:name w:val="Medium Grid 1 - Accent 623"/>
    <w:basedOn w:val="TableNormal"/>
    <w:next w:val="MediumGrid1-Accent6"/>
    <w:uiPriority w:val="67"/>
    <w:rsid w:val="000C4646"/>
    <w:pPr>
      <w:spacing w:after="0" w:line="240" w:lineRule="auto"/>
    </w:p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23">
    <w:name w:val="Light List - Accent 623"/>
    <w:basedOn w:val="TableNormal"/>
    <w:next w:val="LightList-Accent6"/>
    <w:uiPriority w:val="61"/>
    <w:rsid w:val="000C4646"/>
    <w:pPr>
      <w:spacing w:after="0" w:line="240" w:lineRule="auto"/>
    </w:p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23">
    <w:name w:val="Light Grid - Accent 1123"/>
    <w:basedOn w:val="TableNormal"/>
    <w:uiPriority w:val="62"/>
    <w:rsid w:val="000C4646"/>
    <w:pPr>
      <w:spacing w:after="0" w:line="240" w:lineRule="auto"/>
    </w:p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23">
    <w:name w:val="2012 Style23"/>
    <w:basedOn w:val="TableNormal"/>
    <w:uiPriority w:val="99"/>
    <w:qFormat/>
    <w:rsid w:val="000C4646"/>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23">
    <w:name w:val="Light Shading - Accent 1223"/>
    <w:basedOn w:val="TableNormal"/>
    <w:uiPriority w:val="60"/>
    <w:rsid w:val="000C4646"/>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numbering" w:customStyle="1" w:styleId="NoList123">
    <w:name w:val="No List123"/>
    <w:next w:val="NoList"/>
    <w:uiPriority w:val="99"/>
    <w:semiHidden/>
    <w:unhideWhenUsed/>
    <w:rsid w:val="000C4646"/>
  </w:style>
  <w:style w:type="numbering" w:customStyle="1" w:styleId="CurrentList1123">
    <w:name w:val="Current List1123"/>
    <w:rsid w:val="000C4646"/>
  </w:style>
  <w:style w:type="table" w:customStyle="1" w:styleId="TableGrid113">
    <w:name w:val="Table Grid113"/>
    <w:basedOn w:val="TableNormal"/>
    <w:next w:val="TableGrid"/>
    <w:uiPriority w:val="59"/>
    <w:rsid w:val="000C4646"/>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ulletedList123">
    <w:name w:val="Bulleted List123"/>
    <w:rsid w:val="000C4646"/>
  </w:style>
  <w:style w:type="table" w:customStyle="1" w:styleId="LightShading1113">
    <w:name w:val="Light Shading1113"/>
    <w:basedOn w:val="TableNormal"/>
    <w:uiPriority w:val="60"/>
    <w:rsid w:val="000C4646"/>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113">
    <w:name w:val="Light Grid1113"/>
    <w:basedOn w:val="TableNormal"/>
    <w:uiPriority w:val="62"/>
    <w:rsid w:val="000C4646"/>
    <w:pPr>
      <w:spacing w:after="0" w:line="240" w:lineRule="auto"/>
    </w:pPr>
    <w:rPr>
      <w:rFonts w:ascii="Arial" w:eastAsia="Arial" w:hAnsi="Arial"/>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113">
    <w:name w:val="Medium Shading 1 - Accent 11113"/>
    <w:basedOn w:val="TableNormal"/>
    <w:uiPriority w:val="63"/>
    <w:rsid w:val="000C4646"/>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113">
    <w:name w:val="Medium Grid 1 - Accent 1113"/>
    <w:basedOn w:val="TableNormal"/>
    <w:next w:val="MediumGrid1-Accent1"/>
    <w:uiPriority w:val="67"/>
    <w:rsid w:val="000C4646"/>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113">
    <w:name w:val="Light Shading - Accent 11113"/>
    <w:basedOn w:val="TableNormal"/>
    <w:uiPriority w:val="60"/>
    <w:rsid w:val="000C4646"/>
    <w:pPr>
      <w:spacing w:after="0" w:line="240" w:lineRule="auto"/>
    </w:pPr>
    <w:rPr>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113">
    <w:name w:val="RSP_Style113"/>
    <w:basedOn w:val="TableNormal"/>
    <w:uiPriority w:val="99"/>
    <w:qFormat/>
    <w:rsid w:val="000C4646"/>
    <w:pPr>
      <w:spacing w:after="0" w:line="240" w:lineRule="auto"/>
    </w:pPr>
    <w:tblPr/>
  </w:style>
  <w:style w:type="table" w:customStyle="1" w:styleId="20122tableformat113">
    <w:name w:val="2012 2 table format113"/>
    <w:basedOn w:val="TableNormal"/>
    <w:uiPriority w:val="63"/>
    <w:rsid w:val="000C4646"/>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113">
    <w:name w:val="Medium Grid 1 - Accent 6113"/>
    <w:basedOn w:val="TableNormal"/>
    <w:next w:val="MediumGrid1-Accent6"/>
    <w:uiPriority w:val="67"/>
    <w:rsid w:val="000C4646"/>
    <w:pPr>
      <w:spacing w:after="0" w:line="240" w:lineRule="auto"/>
    </w:p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113">
    <w:name w:val="Light List - Accent 6113"/>
    <w:basedOn w:val="TableNormal"/>
    <w:next w:val="LightList-Accent6"/>
    <w:uiPriority w:val="61"/>
    <w:rsid w:val="000C4646"/>
    <w:pPr>
      <w:spacing w:after="0" w:line="240" w:lineRule="auto"/>
    </w:p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113">
    <w:name w:val="Light Grid - Accent 11113"/>
    <w:basedOn w:val="TableNormal"/>
    <w:uiPriority w:val="62"/>
    <w:rsid w:val="000C4646"/>
    <w:pPr>
      <w:spacing w:after="0" w:line="240" w:lineRule="auto"/>
    </w:p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113">
    <w:name w:val="2012 Style113"/>
    <w:basedOn w:val="TableNormal"/>
    <w:uiPriority w:val="99"/>
    <w:qFormat/>
    <w:rsid w:val="000C4646"/>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113">
    <w:name w:val="Light Shading - Accent 12113"/>
    <w:basedOn w:val="TableNormal"/>
    <w:uiPriority w:val="60"/>
    <w:rsid w:val="000C4646"/>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table" w:customStyle="1" w:styleId="MediumShading1-Accent413">
    <w:name w:val="Medium Shading 1 - Accent 413"/>
    <w:basedOn w:val="TableNormal"/>
    <w:next w:val="MediumShading1-Accent4"/>
    <w:uiPriority w:val="63"/>
    <w:rsid w:val="000C4646"/>
    <w:pPr>
      <w:spacing w:after="0" w:line="240" w:lineRule="auto"/>
    </w:pPr>
    <w:tblPr>
      <w:tblStyleRowBandSize w:val="1"/>
      <w:tblStyleColBandSize w:val="1"/>
      <w:tbl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single" w:sz="8" w:space="0" w:color="FCCA63" w:themeColor="accent4" w:themeTint="BF"/>
      </w:tblBorders>
    </w:tblPr>
    <w:tblStylePr w:type="firstRow">
      <w:pPr>
        <w:spacing w:before="0" w:after="0" w:line="240" w:lineRule="auto"/>
      </w:pPr>
      <w:rPr>
        <w:b/>
        <w:bCs/>
        <w:color w:val="FFFFFF" w:themeColor="background1"/>
      </w:rPr>
      <w:tblPr/>
      <w:tcPr>
        <w:tc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shd w:val="clear" w:color="auto" w:fill="FBB92F" w:themeFill="accent4"/>
      </w:tcPr>
    </w:tblStylePr>
    <w:tblStylePr w:type="lastRow">
      <w:pPr>
        <w:spacing w:before="0" w:after="0" w:line="240" w:lineRule="auto"/>
      </w:pPr>
      <w:rPr>
        <w:b/>
        <w:bCs/>
      </w:rPr>
      <w:tblPr/>
      <w:tcPr>
        <w:tcBorders>
          <w:top w:val="double" w:sz="6"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tcPr>
    </w:tblStylePr>
    <w:tblStylePr w:type="firstCol">
      <w:rPr>
        <w:b/>
        <w:bCs/>
      </w:rPr>
    </w:tblStylePr>
    <w:tblStylePr w:type="lastCol">
      <w:rPr>
        <w:b/>
        <w:bCs/>
      </w:rPr>
    </w:tblStylePr>
    <w:tblStylePr w:type="band1Vert">
      <w:tblPr/>
      <w:tcPr>
        <w:shd w:val="clear" w:color="auto" w:fill="FEEDCB" w:themeFill="accent4" w:themeFillTint="3F"/>
      </w:tcPr>
    </w:tblStylePr>
    <w:tblStylePr w:type="band1Horz">
      <w:tblPr/>
      <w:tcPr>
        <w:tcBorders>
          <w:insideH w:val="nil"/>
          <w:insideV w:val="nil"/>
        </w:tcBorders>
        <w:shd w:val="clear" w:color="auto" w:fill="FEEDCB" w:themeFill="accent4" w:themeFillTint="3F"/>
      </w:tcPr>
    </w:tblStylePr>
    <w:tblStylePr w:type="band2Horz">
      <w:tblPr/>
      <w:tcPr>
        <w:tcBorders>
          <w:insideH w:val="nil"/>
          <w:insideV w:val="nil"/>
        </w:tcBorders>
      </w:tcPr>
    </w:tblStylePr>
  </w:style>
  <w:style w:type="numbering" w:customStyle="1" w:styleId="NoList43">
    <w:name w:val="No List43"/>
    <w:next w:val="NoList"/>
    <w:uiPriority w:val="99"/>
    <w:semiHidden/>
    <w:unhideWhenUsed/>
    <w:rsid w:val="000C4646"/>
  </w:style>
  <w:style w:type="table" w:customStyle="1" w:styleId="TableGrid34">
    <w:name w:val="Table Grid34"/>
    <w:basedOn w:val="TableNormal"/>
    <w:next w:val="TableGrid"/>
    <w:uiPriority w:val="59"/>
    <w:rsid w:val="000C4646"/>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33">
    <w:name w:val="Light Shading133"/>
    <w:basedOn w:val="TableNormal"/>
    <w:uiPriority w:val="60"/>
    <w:rsid w:val="000C4646"/>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33">
    <w:name w:val="Light Grid133"/>
    <w:basedOn w:val="TableNormal"/>
    <w:uiPriority w:val="62"/>
    <w:rsid w:val="000C4646"/>
    <w:pPr>
      <w:spacing w:after="0" w:line="240" w:lineRule="auto"/>
    </w:pPr>
    <w:rPr>
      <w:rFonts w:ascii="Arial" w:eastAsia="Arial" w:hAnsi="Arial"/>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33">
    <w:name w:val="Medium Shading 1 - Accent 1133"/>
    <w:basedOn w:val="TableNormal"/>
    <w:uiPriority w:val="63"/>
    <w:rsid w:val="000C4646"/>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33">
    <w:name w:val="Medium Grid 1 - Accent 133"/>
    <w:basedOn w:val="TableNormal"/>
    <w:next w:val="MediumGrid1-Accent1"/>
    <w:uiPriority w:val="67"/>
    <w:rsid w:val="000C4646"/>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33">
    <w:name w:val="Light Shading - Accent 1133"/>
    <w:basedOn w:val="TableNormal"/>
    <w:uiPriority w:val="60"/>
    <w:rsid w:val="000C4646"/>
    <w:pPr>
      <w:spacing w:after="0" w:line="240" w:lineRule="auto"/>
    </w:pPr>
    <w:rPr>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33">
    <w:name w:val="RSP_Style33"/>
    <w:basedOn w:val="TableNormal"/>
    <w:uiPriority w:val="99"/>
    <w:qFormat/>
    <w:rsid w:val="000C4646"/>
    <w:pPr>
      <w:spacing w:after="0" w:line="240" w:lineRule="auto"/>
    </w:pPr>
    <w:tblPr/>
  </w:style>
  <w:style w:type="table" w:customStyle="1" w:styleId="20122tableformat33">
    <w:name w:val="2012 2 table format33"/>
    <w:basedOn w:val="TableNormal"/>
    <w:uiPriority w:val="63"/>
    <w:rsid w:val="000C4646"/>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33">
    <w:name w:val="Medium Grid 1 - Accent 633"/>
    <w:basedOn w:val="TableNormal"/>
    <w:next w:val="MediumGrid1-Accent6"/>
    <w:uiPriority w:val="67"/>
    <w:rsid w:val="000C4646"/>
    <w:pPr>
      <w:spacing w:after="0" w:line="240" w:lineRule="auto"/>
    </w:p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33">
    <w:name w:val="Light List - Accent 633"/>
    <w:basedOn w:val="TableNormal"/>
    <w:next w:val="LightList-Accent6"/>
    <w:uiPriority w:val="61"/>
    <w:rsid w:val="000C4646"/>
    <w:pPr>
      <w:spacing w:after="0" w:line="240" w:lineRule="auto"/>
    </w:p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33">
    <w:name w:val="Light Grid - Accent 1133"/>
    <w:basedOn w:val="TableNormal"/>
    <w:uiPriority w:val="62"/>
    <w:rsid w:val="000C4646"/>
    <w:pPr>
      <w:spacing w:after="0" w:line="240" w:lineRule="auto"/>
    </w:p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33">
    <w:name w:val="2012 Style33"/>
    <w:basedOn w:val="TableNormal"/>
    <w:uiPriority w:val="99"/>
    <w:qFormat/>
    <w:rsid w:val="000C4646"/>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33">
    <w:name w:val="Light Shading - Accent 1233"/>
    <w:basedOn w:val="TableNormal"/>
    <w:uiPriority w:val="60"/>
    <w:rsid w:val="000C4646"/>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numbering" w:customStyle="1" w:styleId="NoList133">
    <w:name w:val="No List133"/>
    <w:next w:val="NoList"/>
    <w:uiPriority w:val="99"/>
    <w:semiHidden/>
    <w:unhideWhenUsed/>
    <w:rsid w:val="000C4646"/>
  </w:style>
  <w:style w:type="numbering" w:customStyle="1" w:styleId="CurrentList1133">
    <w:name w:val="Current List1133"/>
    <w:rsid w:val="000C4646"/>
  </w:style>
  <w:style w:type="table" w:customStyle="1" w:styleId="TableGrid123">
    <w:name w:val="Table Grid123"/>
    <w:basedOn w:val="TableNormal"/>
    <w:next w:val="TableGrid"/>
    <w:uiPriority w:val="59"/>
    <w:rsid w:val="000C4646"/>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ulletedList133">
    <w:name w:val="Bulleted List133"/>
    <w:rsid w:val="000C4646"/>
  </w:style>
  <w:style w:type="table" w:customStyle="1" w:styleId="LightShading1123">
    <w:name w:val="Light Shading1123"/>
    <w:basedOn w:val="TableNormal"/>
    <w:uiPriority w:val="60"/>
    <w:rsid w:val="000C4646"/>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123">
    <w:name w:val="Light Grid1123"/>
    <w:basedOn w:val="TableNormal"/>
    <w:uiPriority w:val="62"/>
    <w:rsid w:val="000C4646"/>
    <w:pPr>
      <w:spacing w:after="0" w:line="240" w:lineRule="auto"/>
    </w:pPr>
    <w:rPr>
      <w:rFonts w:ascii="Arial" w:eastAsia="Arial" w:hAnsi="Arial"/>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123">
    <w:name w:val="Medium Shading 1 - Accent 11123"/>
    <w:basedOn w:val="TableNormal"/>
    <w:uiPriority w:val="63"/>
    <w:rsid w:val="000C4646"/>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123">
    <w:name w:val="Medium Grid 1 - Accent 1123"/>
    <w:basedOn w:val="TableNormal"/>
    <w:next w:val="MediumGrid1-Accent1"/>
    <w:uiPriority w:val="67"/>
    <w:rsid w:val="000C4646"/>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123">
    <w:name w:val="Light Shading - Accent 11123"/>
    <w:basedOn w:val="TableNormal"/>
    <w:uiPriority w:val="60"/>
    <w:rsid w:val="000C4646"/>
    <w:pPr>
      <w:spacing w:after="0" w:line="240" w:lineRule="auto"/>
    </w:pPr>
    <w:rPr>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123">
    <w:name w:val="RSP_Style123"/>
    <w:basedOn w:val="TableNormal"/>
    <w:uiPriority w:val="99"/>
    <w:qFormat/>
    <w:rsid w:val="000C4646"/>
    <w:pPr>
      <w:spacing w:after="0" w:line="240" w:lineRule="auto"/>
    </w:pPr>
    <w:tblPr/>
  </w:style>
  <w:style w:type="table" w:customStyle="1" w:styleId="20122tableformat123">
    <w:name w:val="2012 2 table format123"/>
    <w:basedOn w:val="TableNormal"/>
    <w:uiPriority w:val="63"/>
    <w:rsid w:val="000C4646"/>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123">
    <w:name w:val="Medium Grid 1 - Accent 6123"/>
    <w:basedOn w:val="TableNormal"/>
    <w:next w:val="MediumGrid1-Accent6"/>
    <w:uiPriority w:val="67"/>
    <w:rsid w:val="000C4646"/>
    <w:pPr>
      <w:spacing w:after="0" w:line="240" w:lineRule="auto"/>
    </w:p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123">
    <w:name w:val="Light List - Accent 6123"/>
    <w:basedOn w:val="TableNormal"/>
    <w:next w:val="LightList-Accent6"/>
    <w:uiPriority w:val="61"/>
    <w:rsid w:val="000C4646"/>
    <w:pPr>
      <w:spacing w:after="0" w:line="240" w:lineRule="auto"/>
    </w:p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123">
    <w:name w:val="Light Grid - Accent 11123"/>
    <w:basedOn w:val="TableNormal"/>
    <w:uiPriority w:val="62"/>
    <w:rsid w:val="000C4646"/>
    <w:pPr>
      <w:spacing w:after="0" w:line="240" w:lineRule="auto"/>
    </w:p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123">
    <w:name w:val="2012 Style123"/>
    <w:basedOn w:val="TableNormal"/>
    <w:uiPriority w:val="99"/>
    <w:qFormat/>
    <w:rsid w:val="000C4646"/>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123">
    <w:name w:val="Light Shading - Accent 12123"/>
    <w:basedOn w:val="TableNormal"/>
    <w:uiPriority w:val="60"/>
    <w:rsid w:val="000C4646"/>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table" w:customStyle="1" w:styleId="MediumShading1-Accent423">
    <w:name w:val="Medium Shading 1 - Accent 423"/>
    <w:basedOn w:val="TableNormal"/>
    <w:next w:val="MediumShading1-Accent4"/>
    <w:uiPriority w:val="63"/>
    <w:rsid w:val="000C4646"/>
    <w:pPr>
      <w:spacing w:after="0" w:line="240" w:lineRule="auto"/>
    </w:pPr>
    <w:tblPr>
      <w:tblStyleRowBandSize w:val="1"/>
      <w:tblStyleColBandSize w:val="1"/>
      <w:tbl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single" w:sz="8" w:space="0" w:color="FCCA63" w:themeColor="accent4" w:themeTint="BF"/>
      </w:tblBorders>
    </w:tblPr>
    <w:tblStylePr w:type="firstRow">
      <w:pPr>
        <w:spacing w:before="0" w:after="0" w:line="240" w:lineRule="auto"/>
      </w:pPr>
      <w:rPr>
        <w:b/>
        <w:bCs/>
        <w:color w:val="FFFFFF" w:themeColor="background1"/>
      </w:rPr>
      <w:tblPr/>
      <w:tcPr>
        <w:tc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shd w:val="clear" w:color="auto" w:fill="FBB92F" w:themeFill="accent4"/>
      </w:tcPr>
    </w:tblStylePr>
    <w:tblStylePr w:type="lastRow">
      <w:pPr>
        <w:spacing w:before="0" w:after="0" w:line="240" w:lineRule="auto"/>
      </w:pPr>
      <w:rPr>
        <w:b/>
        <w:bCs/>
      </w:rPr>
      <w:tblPr/>
      <w:tcPr>
        <w:tcBorders>
          <w:top w:val="double" w:sz="6"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tcPr>
    </w:tblStylePr>
    <w:tblStylePr w:type="firstCol">
      <w:rPr>
        <w:b/>
        <w:bCs/>
      </w:rPr>
    </w:tblStylePr>
    <w:tblStylePr w:type="lastCol">
      <w:rPr>
        <w:b/>
        <w:bCs/>
      </w:rPr>
    </w:tblStylePr>
    <w:tblStylePr w:type="band1Vert">
      <w:tblPr/>
      <w:tcPr>
        <w:shd w:val="clear" w:color="auto" w:fill="FEEDCB" w:themeFill="accent4" w:themeFillTint="3F"/>
      </w:tcPr>
    </w:tblStylePr>
    <w:tblStylePr w:type="band1Horz">
      <w:tblPr/>
      <w:tcPr>
        <w:tcBorders>
          <w:insideH w:val="nil"/>
          <w:insideV w:val="nil"/>
        </w:tcBorders>
        <w:shd w:val="clear" w:color="auto" w:fill="FEEDCB" w:themeFill="accent4" w:themeFillTint="3F"/>
      </w:tcPr>
    </w:tblStylePr>
    <w:tblStylePr w:type="band2Horz">
      <w:tblPr/>
      <w:tcPr>
        <w:tcBorders>
          <w:insideH w:val="nil"/>
          <w:insideV w:val="nil"/>
        </w:tcBorders>
      </w:tcPr>
    </w:tblStylePr>
  </w:style>
  <w:style w:type="numbering" w:customStyle="1" w:styleId="CurrentList133">
    <w:name w:val="Current List133"/>
    <w:rsid w:val="000C4646"/>
  </w:style>
  <w:style w:type="table" w:customStyle="1" w:styleId="TableGrid313">
    <w:name w:val="Table Grid313"/>
    <w:basedOn w:val="TableNormal"/>
    <w:next w:val="TableGrid"/>
    <w:uiPriority w:val="59"/>
    <w:rsid w:val="000C4646"/>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ISOReportStyle2">
    <w:name w:val="ISO Report Style2"/>
    <w:uiPriority w:val="99"/>
    <w:rsid w:val="000C4646"/>
  </w:style>
  <w:style w:type="numbering" w:customStyle="1" w:styleId="NoList53">
    <w:name w:val="No List53"/>
    <w:next w:val="NoList"/>
    <w:uiPriority w:val="99"/>
    <w:semiHidden/>
    <w:unhideWhenUsed/>
    <w:rsid w:val="000C4646"/>
  </w:style>
  <w:style w:type="numbering" w:customStyle="1" w:styleId="CurrentList143">
    <w:name w:val="Current List143"/>
    <w:rsid w:val="000C4646"/>
  </w:style>
  <w:style w:type="table" w:customStyle="1" w:styleId="TableGrid43">
    <w:name w:val="Table Grid43"/>
    <w:basedOn w:val="TableNormal"/>
    <w:next w:val="TableGrid"/>
    <w:uiPriority w:val="59"/>
    <w:rsid w:val="000C4646"/>
    <w:pPr>
      <w:widowControl w:val="0"/>
      <w:spacing w:after="0"/>
    </w:pPr>
    <w:rPr>
      <w:rFonts w:ascii="Times New Roman" w:eastAsia="Times New Roman" w:hAnsi="Times New Roman"/>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ulletedList33">
    <w:name w:val="Bulleted List33"/>
    <w:rsid w:val="000C4646"/>
  </w:style>
  <w:style w:type="table" w:customStyle="1" w:styleId="LightShading143">
    <w:name w:val="Light Shading143"/>
    <w:basedOn w:val="TableNormal"/>
    <w:uiPriority w:val="60"/>
    <w:rsid w:val="000C4646"/>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43">
    <w:name w:val="Light Grid143"/>
    <w:basedOn w:val="TableNormal"/>
    <w:uiPriority w:val="62"/>
    <w:rsid w:val="000C4646"/>
    <w:pPr>
      <w:spacing w:after="0" w:line="240" w:lineRule="auto"/>
    </w:pPr>
    <w:rPr>
      <w:rFonts w:ascii="Arial" w:eastAsia="Arial" w:hAnsi="Arial"/>
      <w:color w:val="auto"/>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43">
    <w:name w:val="Medium Shading 1 - Accent 1143"/>
    <w:basedOn w:val="TableNormal"/>
    <w:uiPriority w:val="63"/>
    <w:rsid w:val="000C4646"/>
    <w:pPr>
      <w:spacing w:after="0" w:line="240" w:lineRule="auto"/>
    </w:pPr>
    <w:rPr>
      <w:rFonts w:ascii="Cambria" w:hAnsi="Cambria"/>
      <w:color w:val="auto"/>
    </w:r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43">
    <w:name w:val="Medium Grid 1 - Accent 143"/>
    <w:basedOn w:val="TableNormal"/>
    <w:next w:val="MediumGrid1-Accent1"/>
    <w:uiPriority w:val="67"/>
    <w:rsid w:val="000C4646"/>
    <w:pPr>
      <w:spacing w:after="0" w:line="240" w:lineRule="auto"/>
    </w:pPr>
    <w:rPr>
      <w:rFonts w:ascii="Cambria" w:hAnsi="Cambria"/>
      <w:color w:val="auto"/>
    </w:r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43">
    <w:name w:val="Light Shading - Accent 1143"/>
    <w:basedOn w:val="TableNormal"/>
    <w:uiPriority w:val="60"/>
    <w:rsid w:val="000C4646"/>
    <w:pPr>
      <w:spacing w:after="0" w:line="240" w:lineRule="auto"/>
    </w:pPr>
    <w:rPr>
      <w:rFonts w:ascii="Cambria" w:hAnsi="Cambria"/>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43">
    <w:name w:val="RSP_Style43"/>
    <w:basedOn w:val="TableNormal"/>
    <w:uiPriority w:val="99"/>
    <w:qFormat/>
    <w:rsid w:val="000C4646"/>
    <w:pPr>
      <w:spacing w:after="0" w:line="240" w:lineRule="auto"/>
    </w:pPr>
    <w:rPr>
      <w:rFonts w:ascii="Cambria" w:hAnsi="Cambria"/>
      <w:color w:val="auto"/>
    </w:rPr>
    <w:tblPr/>
  </w:style>
  <w:style w:type="table" w:customStyle="1" w:styleId="20122tableformat43">
    <w:name w:val="2012 2 table format43"/>
    <w:basedOn w:val="TableNormal"/>
    <w:uiPriority w:val="63"/>
    <w:rsid w:val="000C4646"/>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43">
    <w:name w:val="Medium Grid 1 - Accent 643"/>
    <w:basedOn w:val="TableNormal"/>
    <w:next w:val="MediumGrid1-Accent6"/>
    <w:uiPriority w:val="67"/>
    <w:rsid w:val="000C4646"/>
    <w:pPr>
      <w:spacing w:after="0" w:line="240" w:lineRule="auto"/>
    </w:pPr>
    <w:rPr>
      <w:rFonts w:ascii="Cambria" w:hAnsi="Cambria"/>
      <w:color w:val="auto"/>
    </w:r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43">
    <w:name w:val="Light List - Accent 643"/>
    <w:basedOn w:val="TableNormal"/>
    <w:next w:val="LightList-Accent6"/>
    <w:uiPriority w:val="61"/>
    <w:rsid w:val="000C4646"/>
    <w:pPr>
      <w:spacing w:after="0" w:line="240" w:lineRule="auto"/>
    </w:pPr>
    <w:rPr>
      <w:color w:val="auto"/>
    </w:r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43">
    <w:name w:val="Light Grid - Accent 1143"/>
    <w:basedOn w:val="TableNormal"/>
    <w:uiPriority w:val="62"/>
    <w:rsid w:val="000C4646"/>
    <w:pPr>
      <w:spacing w:after="0" w:line="240" w:lineRule="auto"/>
    </w:pPr>
    <w:rPr>
      <w:rFonts w:ascii="Cambria" w:hAnsi="Cambria"/>
      <w:color w:val="auto"/>
    </w:r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43">
    <w:name w:val="2012 Style43"/>
    <w:basedOn w:val="TableNormal"/>
    <w:uiPriority w:val="99"/>
    <w:qFormat/>
    <w:rsid w:val="000C4646"/>
    <w:pPr>
      <w:spacing w:after="0" w:line="240" w:lineRule="auto"/>
    </w:pPr>
    <w:rPr>
      <w:color w:val="auto"/>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43">
    <w:name w:val="Light Shading - Accent 1243"/>
    <w:basedOn w:val="TableNormal"/>
    <w:uiPriority w:val="60"/>
    <w:rsid w:val="000C4646"/>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numbering" w:customStyle="1" w:styleId="NoList143">
    <w:name w:val="No List143"/>
    <w:next w:val="NoList"/>
    <w:uiPriority w:val="99"/>
    <w:semiHidden/>
    <w:unhideWhenUsed/>
    <w:rsid w:val="000C4646"/>
  </w:style>
  <w:style w:type="numbering" w:customStyle="1" w:styleId="CurrentList1143">
    <w:name w:val="Current List1143"/>
    <w:rsid w:val="000C4646"/>
  </w:style>
  <w:style w:type="table" w:customStyle="1" w:styleId="TableGrid133">
    <w:name w:val="Table Grid133"/>
    <w:basedOn w:val="TableNormal"/>
    <w:next w:val="TableGrid"/>
    <w:uiPriority w:val="59"/>
    <w:rsid w:val="000C4646"/>
    <w:pPr>
      <w:widowControl w:val="0"/>
      <w:spacing w:after="0"/>
    </w:pPr>
    <w:rPr>
      <w:rFonts w:ascii="Times New Roman" w:eastAsia="Times New Roman" w:hAnsi="Times New Roman"/>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ulletedList143">
    <w:name w:val="Bulleted List143"/>
    <w:rsid w:val="000C4646"/>
  </w:style>
  <w:style w:type="table" w:customStyle="1" w:styleId="LightShading1133">
    <w:name w:val="Light Shading1133"/>
    <w:basedOn w:val="TableNormal"/>
    <w:uiPriority w:val="60"/>
    <w:rsid w:val="000C4646"/>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133">
    <w:name w:val="Light Grid1133"/>
    <w:basedOn w:val="TableNormal"/>
    <w:uiPriority w:val="62"/>
    <w:rsid w:val="000C4646"/>
    <w:pPr>
      <w:spacing w:after="0" w:line="240" w:lineRule="auto"/>
    </w:pPr>
    <w:rPr>
      <w:rFonts w:ascii="Arial" w:eastAsia="Arial" w:hAnsi="Arial"/>
      <w:color w:val="auto"/>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133">
    <w:name w:val="Medium Shading 1 - Accent 11133"/>
    <w:basedOn w:val="TableNormal"/>
    <w:uiPriority w:val="63"/>
    <w:rsid w:val="000C4646"/>
    <w:pPr>
      <w:spacing w:after="0" w:line="240" w:lineRule="auto"/>
    </w:pPr>
    <w:rPr>
      <w:rFonts w:ascii="Cambria" w:hAnsi="Cambria"/>
      <w:color w:val="auto"/>
    </w:r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133">
    <w:name w:val="Medium Grid 1 - Accent 1133"/>
    <w:basedOn w:val="TableNormal"/>
    <w:next w:val="MediumGrid1-Accent1"/>
    <w:uiPriority w:val="67"/>
    <w:rsid w:val="000C4646"/>
    <w:pPr>
      <w:spacing w:after="0" w:line="240" w:lineRule="auto"/>
    </w:pPr>
    <w:rPr>
      <w:rFonts w:ascii="Cambria" w:hAnsi="Cambria"/>
      <w:color w:val="auto"/>
    </w:r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133">
    <w:name w:val="Light Shading - Accent 11133"/>
    <w:basedOn w:val="TableNormal"/>
    <w:uiPriority w:val="60"/>
    <w:rsid w:val="000C4646"/>
    <w:pPr>
      <w:spacing w:after="0" w:line="240" w:lineRule="auto"/>
    </w:pPr>
    <w:rPr>
      <w:rFonts w:ascii="Cambria" w:hAnsi="Cambria"/>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133">
    <w:name w:val="RSP_Style133"/>
    <w:basedOn w:val="TableNormal"/>
    <w:uiPriority w:val="99"/>
    <w:qFormat/>
    <w:rsid w:val="000C4646"/>
    <w:pPr>
      <w:spacing w:after="0" w:line="240" w:lineRule="auto"/>
    </w:pPr>
    <w:rPr>
      <w:rFonts w:ascii="Cambria" w:hAnsi="Cambria"/>
      <w:color w:val="auto"/>
    </w:rPr>
    <w:tblPr/>
  </w:style>
  <w:style w:type="table" w:customStyle="1" w:styleId="20122tableformat133">
    <w:name w:val="2012 2 table format133"/>
    <w:basedOn w:val="TableNormal"/>
    <w:uiPriority w:val="63"/>
    <w:rsid w:val="000C4646"/>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133">
    <w:name w:val="Medium Grid 1 - Accent 6133"/>
    <w:basedOn w:val="TableNormal"/>
    <w:next w:val="MediumGrid1-Accent6"/>
    <w:uiPriority w:val="67"/>
    <w:rsid w:val="000C4646"/>
    <w:pPr>
      <w:spacing w:after="0" w:line="240" w:lineRule="auto"/>
    </w:pPr>
    <w:rPr>
      <w:rFonts w:ascii="Cambria" w:hAnsi="Cambria"/>
      <w:color w:val="auto"/>
    </w:r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133">
    <w:name w:val="Light List - Accent 6133"/>
    <w:basedOn w:val="TableNormal"/>
    <w:next w:val="LightList-Accent6"/>
    <w:uiPriority w:val="61"/>
    <w:rsid w:val="000C4646"/>
    <w:pPr>
      <w:spacing w:after="0" w:line="240" w:lineRule="auto"/>
    </w:pPr>
    <w:rPr>
      <w:color w:val="auto"/>
    </w:r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133">
    <w:name w:val="Light Grid - Accent 11133"/>
    <w:basedOn w:val="TableNormal"/>
    <w:uiPriority w:val="62"/>
    <w:rsid w:val="000C4646"/>
    <w:pPr>
      <w:spacing w:after="0" w:line="240" w:lineRule="auto"/>
    </w:pPr>
    <w:rPr>
      <w:rFonts w:ascii="Cambria" w:hAnsi="Cambria"/>
      <w:color w:val="auto"/>
    </w:r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133">
    <w:name w:val="2012 Style133"/>
    <w:basedOn w:val="TableNormal"/>
    <w:uiPriority w:val="99"/>
    <w:qFormat/>
    <w:rsid w:val="000C4646"/>
    <w:pPr>
      <w:spacing w:after="0" w:line="240" w:lineRule="auto"/>
    </w:pPr>
    <w:rPr>
      <w:color w:val="auto"/>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133">
    <w:name w:val="Light Shading - Accent 12133"/>
    <w:basedOn w:val="TableNormal"/>
    <w:uiPriority w:val="60"/>
    <w:rsid w:val="000C4646"/>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table" w:customStyle="1" w:styleId="MediumShading1-Accent433">
    <w:name w:val="Medium Shading 1 - Accent 433"/>
    <w:basedOn w:val="TableNormal"/>
    <w:next w:val="MediumShading1-Accent4"/>
    <w:uiPriority w:val="63"/>
    <w:rsid w:val="000C4646"/>
    <w:pPr>
      <w:spacing w:after="0" w:line="240" w:lineRule="auto"/>
    </w:pPr>
    <w:rPr>
      <w:rFonts w:ascii="Cambria" w:hAnsi="Cambria"/>
      <w:color w:val="auto"/>
    </w:rPr>
    <w:tblPr>
      <w:tblStyleRowBandSize w:val="1"/>
      <w:tblStyleColBandSize w:val="1"/>
      <w:tbl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single" w:sz="8" w:space="0" w:color="FCCA63" w:themeColor="accent4" w:themeTint="BF"/>
      </w:tblBorders>
    </w:tblPr>
    <w:tblStylePr w:type="firstRow">
      <w:pPr>
        <w:spacing w:before="0" w:after="0" w:line="240" w:lineRule="auto"/>
      </w:pPr>
      <w:rPr>
        <w:b/>
        <w:bCs/>
        <w:color w:val="FFFFFF" w:themeColor="background1"/>
      </w:rPr>
      <w:tblPr/>
      <w:tcPr>
        <w:tc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shd w:val="clear" w:color="auto" w:fill="FBB92F" w:themeFill="accent4"/>
      </w:tcPr>
    </w:tblStylePr>
    <w:tblStylePr w:type="lastRow">
      <w:pPr>
        <w:spacing w:before="0" w:after="0" w:line="240" w:lineRule="auto"/>
      </w:pPr>
      <w:rPr>
        <w:b/>
        <w:bCs/>
      </w:rPr>
      <w:tblPr/>
      <w:tcPr>
        <w:tcBorders>
          <w:top w:val="double" w:sz="6"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tcPr>
    </w:tblStylePr>
    <w:tblStylePr w:type="firstCol">
      <w:rPr>
        <w:b/>
        <w:bCs/>
      </w:rPr>
    </w:tblStylePr>
    <w:tblStylePr w:type="lastCol">
      <w:rPr>
        <w:b/>
        <w:bCs/>
      </w:rPr>
    </w:tblStylePr>
    <w:tblStylePr w:type="band1Vert">
      <w:tblPr/>
      <w:tcPr>
        <w:shd w:val="clear" w:color="auto" w:fill="FEEDCB" w:themeFill="accent4" w:themeFillTint="3F"/>
      </w:tcPr>
    </w:tblStylePr>
    <w:tblStylePr w:type="band1Horz">
      <w:tblPr/>
      <w:tcPr>
        <w:tcBorders>
          <w:insideH w:val="nil"/>
          <w:insideV w:val="nil"/>
        </w:tcBorders>
        <w:shd w:val="clear" w:color="auto" w:fill="FEEDCB" w:themeFill="accent4" w:themeFillTint="3F"/>
      </w:tcPr>
    </w:tblStylePr>
    <w:tblStylePr w:type="band2Horz">
      <w:tblPr/>
      <w:tcPr>
        <w:tcBorders>
          <w:insideH w:val="nil"/>
          <w:insideV w:val="nil"/>
        </w:tcBorders>
      </w:tcPr>
    </w:tblStylePr>
  </w:style>
  <w:style w:type="table" w:customStyle="1" w:styleId="TableGrid53">
    <w:name w:val="Table Grid53"/>
    <w:basedOn w:val="TableNormal"/>
    <w:next w:val="TableGrid"/>
    <w:uiPriority w:val="59"/>
    <w:rsid w:val="000C4646"/>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
    <w:name w:val="No List9"/>
    <w:next w:val="NoList"/>
    <w:uiPriority w:val="99"/>
    <w:semiHidden/>
    <w:unhideWhenUsed/>
    <w:rsid w:val="009243F5"/>
  </w:style>
  <w:style w:type="numbering" w:customStyle="1" w:styleId="CurrentList17">
    <w:name w:val="Current List17"/>
    <w:rsid w:val="009243F5"/>
  </w:style>
  <w:style w:type="table" w:customStyle="1" w:styleId="TableGrid9">
    <w:name w:val="Table Grid9"/>
    <w:basedOn w:val="TableNormal"/>
    <w:next w:val="TableGrid"/>
    <w:uiPriority w:val="59"/>
    <w:rsid w:val="009243F5"/>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8">
    <w:name w:val="Light Shading18"/>
    <w:basedOn w:val="TableNormal"/>
    <w:uiPriority w:val="60"/>
    <w:rsid w:val="009243F5"/>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8">
    <w:name w:val="Light Grid18"/>
    <w:basedOn w:val="TableNormal"/>
    <w:uiPriority w:val="62"/>
    <w:rsid w:val="009243F5"/>
    <w:pPr>
      <w:spacing w:after="0" w:line="240" w:lineRule="auto"/>
    </w:pPr>
    <w:rPr>
      <w:rFonts w:ascii="Arial" w:eastAsia="Arial" w:hAnsi="Arial"/>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8">
    <w:name w:val="Medium Shading 1 - Accent 118"/>
    <w:basedOn w:val="TableNormal"/>
    <w:uiPriority w:val="63"/>
    <w:rsid w:val="009243F5"/>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8">
    <w:name w:val="Medium Grid 1 - Accent 18"/>
    <w:basedOn w:val="TableNormal"/>
    <w:next w:val="MediumGrid1-Accent1"/>
    <w:uiPriority w:val="67"/>
    <w:rsid w:val="009243F5"/>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8">
    <w:name w:val="Light Shading - Accent 118"/>
    <w:basedOn w:val="TableNormal"/>
    <w:uiPriority w:val="60"/>
    <w:rsid w:val="009243F5"/>
    <w:pPr>
      <w:spacing w:after="0" w:line="240" w:lineRule="auto"/>
    </w:pPr>
    <w:rPr>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8">
    <w:name w:val="RSP_Style8"/>
    <w:basedOn w:val="TableNormal"/>
    <w:uiPriority w:val="99"/>
    <w:qFormat/>
    <w:rsid w:val="009243F5"/>
    <w:pPr>
      <w:spacing w:after="0" w:line="240" w:lineRule="auto"/>
    </w:pPr>
    <w:tblPr/>
  </w:style>
  <w:style w:type="table" w:customStyle="1" w:styleId="20122tableformat8">
    <w:name w:val="2012 2 table format8"/>
    <w:basedOn w:val="TableNormal"/>
    <w:uiPriority w:val="63"/>
    <w:rsid w:val="009243F5"/>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8">
    <w:name w:val="Medium Grid 1 - Accent 68"/>
    <w:basedOn w:val="TableNormal"/>
    <w:next w:val="MediumGrid1-Accent6"/>
    <w:uiPriority w:val="67"/>
    <w:rsid w:val="009243F5"/>
    <w:pPr>
      <w:spacing w:after="0" w:line="240" w:lineRule="auto"/>
    </w:p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8">
    <w:name w:val="Light List - Accent 68"/>
    <w:basedOn w:val="TableNormal"/>
    <w:next w:val="LightList-Accent6"/>
    <w:uiPriority w:val="61"/>
    <w:rsid w:val="009243F5"/>
    <w:pPr>
      <w:spacing w:after="0" w:line="240" w:lineRule="auto"/>
    </w:p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8">
    <w:name w:val="Light Grid - Accent 118"/>
    <w:basedOn w:val="TableNormal"/>
    <w:uiPriority w:val="62"/>
    <w:rsid w:val="009243F5"/>
    <w:pPr>
      <w:spacing w:after="0" w:line="240" w:lineRule="auto"/>
    </w:p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8">
    <w:name w:val="2012 Style8"/>
    <w:basedOn w:val="TableNormal"/>
    <w:uiPriority w:val="99"/>
    <w:qFormat/>
    <w:rsid w:val="009243F5"/>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8">
    <w:name w:val="Light Shading - Accent 128"/>
    <w:basedOn w:val="TableNormal"/>
    <w:uiPriority w:val="60"/>
    <w:rsid w:val="009243F5"/>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numbering" w:customStyle="1" w:styleId="NoList18">
    <w:name w:val="No List18"/>
    <w:next w:val="NoList"/>
    <w:uiPriority w:val="99"/>
    <w:semiHidden/>
    <w:unhideWhenUsed/>
    <w:rsid w:val="009243F5"/>
  </w:style>
  <w:style w:type="numbering" w:customStyle="1" w:styleId="CurrentList118">
    <w:name w:val="Current List118"/>
    <w:rsid w:val="009243F5"/>
  </w:style>
  <w:style w:type="table" w:customStyle="1" w:styleId="TableGrid17">
    <w:name w:val="Table Grid17"/>
    <w:basedOn w:val="TableNormal"/>
    <w:next w:val="TableGrid"/>
    <w:uiPriority w:val="59"/>
    <w:rsid w:val="009243F5"/>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ulletedList18">
    <w:name w:val="Bulleted List18"/>
    <w:rsid w:val="009243F5"/>
  </w:style>
  <w:style w:type="table" w:customStyle="1" w:styleId="LightShading117">
    <w:name w:val="Light Shading117"/>
    <w:basedOn w:val="TableNormal"/>
    <w:uiPriority w:val="60"/>
    <w:rsid w:val="009243F5"/>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17">
    <w:name w:val="Light Grid117"/>
    <w:basedOn w:val="TableNormal"/>
    <w:uiPriority w:val="62"/>
    <w:rsid w:val="009243F5"/>
    <w:pPr>
      <w:spacing w:after="0" w:line="240" w:lineRule="auto"/>
    </w:pPr>
    <w:rPr>
      <w:rFonts w:ascii="Arial" w:eastAsia="Arial" w:hAnsi="Arial"/>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17">
    <w:name w:val="Medium Shading 1 - Accent 1117"/>
    <w:basedOn w:val="TableNormal"/>
    <w:uiPriority w:val="63"/>
    <w:rsid w:val="009243F5"/>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17">
    <w:name w:val="Medium Grid 1 - Accent 117"/>
    <w:basedOn w:val="TableNormal"/>
    <w:next w:val="MediumGrid1-Accent1"/>
    <w:uiPriority w:val="67"/>
    <w:rsid w:val="009243F5"/>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17">
    <w:name w:val="Light Shading - Accent 1117"/>
    <w:basedOn w:val="TableNormal"/>
    <w:uiPriority w:val="60"/>
    <w:rsid w:val="009243F5"/>
    <w:pPr>
      <w:spacing w:after="0" w:line="240" w:lineRule="auto"/>
    </w:pPr>
    <w:rPr>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17">
    <w:name w:val="RSP_Style17"/>
    <w:basedOn w:val="TableNormal"/>
    <w:uiPriority w:val="99"/>
    <w:qFormat/>
    <w:rsid w:val="009243F5"/>
    <w:pPr>
      <w:spacing w:after="0" w:line="240" w:lineRule="auto"/>
    </w:pPr>
    <w:tblPr/>
  </w:style>
  <w:style w:type="table" w:customStyle="1" w:styleId="20122tableformat17">
    <w:name w:val="2012 2 table format17"/>
    <w:basedOn w:val="TableNormal"/>
    <w:uiPriority w:val="63"/>
    <w:rsid w:val="009243F5"/>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17">
    <w:name w:val="Medium Grid 1 - Accent 617"/>
    <w:basedOn w:val="TableNormal"/>
    <w:next w:val="MediumGrid1-Accent6"/>
    <w:uiPriority w:val="67"/>
    <w:rsid w:val="009243F5"/>
    <w:pPr>
      <w:spacing w:after="0" w:line="240" w:lineRule="auto"/>
    </w:p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17">
    <w:name w:val="Light List - Accent 617"/>
    <w:basedOn w:val="TableNormal"/>
    <w:next w:val="LightList-Accent6"/>
    <w:uiPriority w:val="61"/>
    <w:rsid w:val="009243F5"/>
    <w:pPr>
      <w:spacing w:after="0" w:line="240" w:lineRule="auto"/>
    </w:p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17">
    <w:name w:val="Light Grid - Accent 1117"/>
    <w:basedOn w:val="TableNormal"/>
    <w:uiPriority w:val="62"/>
    <w:rsid w:val="009243F5"/>
    <w:pPr>
      <w:spacing w:after="0" w:line="240" w:lineRule="auto"/>
    </w:p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17">
    <w:name w:val="2012 Style17"/>
    <w:basedOn w:val="TableNormal"/>
    <w:uiPriority w:val="99"/>
    <w:qFormat/>
    <w:rsid w:val="009243F5"/>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17">
    <w:name w:val="Light Shading - Accent 1217"/>
    <w:basedOn w:val="TableNormal"/>
    <w:uiPriority w:val="60"/>
    <w:rsid w:val="009243F5"/>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table" w:customStyle="1" w:styleId="MediumShading1-Accent47">
    <w:name w:val="Medium Shading 1 - Accent 47"/>
    <w:basedOn w:val="TableNormal"/>
    <w:next w:val="MediumShading1-Accent4"/>
    <w:uiPriority w:val="63"/>
    <w:rsid w:val="009243F5"/>
    <w:pPr>
      <w:spacing w:after="0" w:line="240" w:lineRule="auto"/>
    </w:pPr>
    <w:tblPr>
      <w:tblStyleRowBandSize w:val="1"/>
      <w:tblStyleColBandSize w:val="1"/>
      <w:tbl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single" w:sz="8" w:space="0" w:color="FCCA63" w:themeColor="accent4" w:themeTint="BF"/>
      </w:tblBorders>
    </w:tblPr>
    <w:tblStylePr w:type="firstRow">
      <w:pPr>
        <w:spacing w:before="0" w:after="0" w:line="240" w:lineRule="auto"/>
      </w:pPr>
      <w:rPr>
        <w:b/>
        <w:bCs/>
        <w:color w:val="FFFFFF" w:themeColor="background1"/>
      </w:rPr>
      <w:tblPr/>
      <w:tcPr>
        <w:tc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shd w:val="clear" w:color="auto" w:fill="FBB92F" w:themeFill="accent4"/>
      </w:tcPr>
    </w:tblStylePr>
    <w:tblStylePr w:type="lastRow">
      <w:pPr>
        <w:spacing w:before="0" w:after="0" w:line="240" w:lineRule="auto"/>
      </w:pPr>
      <w:rPr>
        <w:b/>
        <w:bCs/>
      </w:rPr>
      <w:tblPr/>
      <w:tcPr>
        <w:tcBorders>
          <w:top w:val="double" w:sz="6"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tcPr>
    </w:tblStylePr>
    <w:tblStylePr w:type="firstCol">
      <w:rPr>
        <w:b/>
        <w:bCs/>
      </w:rPr>
    </w:tblStylePr>
    <w:tblStylePr w:type="lastCol">
      <w:rPr>
        <w:b/>
        <w:bCs/>
      </w:rPr>
    </w:tblStylePr>
    <w:tblStylePr w:type="band1Vert">
      <w:tblPr/>
      <w:tcPr>
        <w:shd w:val="clear" w:color="auto" w:fill="FEEDCB" w:themeFill="accent4" w:themeFillTint="3F"/>
      </w:tcPr>
    </w:tblStylePr>
    <w:tblStylePr w:type="band1Horz">
      <w:tblPr/>
      <w:tcPr>
        <w:tcBorders>
          <w:insideH w:val="nil"/>
          <w:insideV w:val="nil"/>
        </w:tcBorders>
        <w:shd w:val="clear" w:color="auto" w:fill="FEEDCB" w:themeFill="accent4" w:themeFillTint="3F"/>
      </w:tcPr>
    </w:tblStylePr>
    <w:tblStylePr w:type="band2Horz">
      <w:tblPr/>
      <w:tcPr>
        <w:tcBorders>
          <w:insideH w:val="nil"/>
          <w:insideV w:val="nil"/>
        </w:tcBorders>
      </w:tcPr>
    </w:tblStylePr>
  </w:style>
  <w:style w:type="numbering" w:customStyle="1" w:styleId="NoList24">
    <w:name w:val="No List24"/>
    <w:next w:val="NoList"/>
    <w:uiPriority w:val="99"/>
    <w:semiHidden/>
    <w:unhideWhenUsed/>
    <w:rsid w:val="009243F5"/>
  </w:style>
  <w:style w:type="numbering" w:customStyle="1" w:styleId="CurrentList124">
    <w:name w:val="Current List124"/>
    <w:rsid w:val="009243F5"/>
  </w:style>
  <w:style w:type="numbering" w:customStyle="1" w:styleId="BulletedList24">
    <w:name w:val="Bulleted List24"/>
    <w:rsid w:val="009243F5"/>
  </w:style>
  <w:style w:type="numbering" w:customStyle="1" w:styleId="NoList114">
    <w:name w:val="No List114"/>
    <w:next w:val="NoList"/>
    <w:uiPriority w:val="99"/>
    <w:semiHidden/>
    <w:unhideWhenUsed/>
    <w:rsid w:val="009243F5"/>
  </w:style>
  <w:style w:type="numbering" w:customStyle="1" w:styleId="CurrentList1114">
    <w:name w:val="Current List1114"/>
    <w:rsid w:val="009243F5"/>
  </w:style>
  <w:style w:type="numbering" w:customStyle="1" w:styleId="BulletedList114">
    <w:name w:val="Bulleted List114"/>
    <w:rsid w:val="009243F5"/>
  </w:style>
  <w:style w:type="numbering" w:customStyle="1" w:styleId="NoList34">
    <w:name w:val="No List34"/>
    <w:next w:val="NoList"/>
    <w:uiPriority w:val="99"/>
    <w:semiHidden/>
    <w:unhideWhenUsed/>
    <w:rsid w:val="009243F5"/>
  </w:style>
  <w:style w:type="table" w:customStyle="1" w:styleId="TableGrid24">
    <w:name w:val="Table Grid24"/>
    <w:basedOn w:val="TableNormal"/>
    <w:next w:val="TableGrid"/>
    <w:uiPriority w:val="59"/>
    <w:rsid w:val="009243F5"/>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24">
    <w:name w:val="Light Shading124"/>
    <w:basedOn w:val="TableNormal"/>
    <w:uiPriority w:val="60"/>
    <w:rsid w:val="009243F5"/>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24">
    <w:name w:val="Light Grid124"/>
    <w:basedOn w:val="TableNormal"/>
    <w:uiPriority w:val="62"/>
    <w:rsid w:val="009243F5"/>
    <w:pPr>
      <w:spacing w:after="0" w:line="240" w:lineRule="auto"/>
    </w:pPr>
    <w:rPr>
      <w:rFonts w:ascii="Arial" w:eastAsia="Arial" w:hAnsi="Arial"/>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24">
    <w:name w:val="Medium Shading 1 - Accent 1124"/>
    <w:basedOn w:val="TableNormal"/>
    <w:uiPriority w:val="63"/>
    <w:rsid w:val="009243F5"/>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24">
    <w:name w:val="Medium Grid 1 - Accent 124"/>
    <w:basedOn w:val="TableNormal"/>
    <w:next w:val="MediumGrid1-Accent1"/>
    <w:uiPriority w:val="67"/>
    <w:rsid w:val="009243F5"/>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24">
    <w:name w:val="Light Shading - Accent 1124"/>
    <w:basedOn w:val="TableNormal"/>
    <w:uiPriority w:val="60"/>
    <w:rsid w:val="009243F5"/>
    <w:pPr>
      <w:spacing w:after="0" w:line="240" w:lineRule="auto"/>
    </w:pPr>
    <w:rPr>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24">
    <w:name w:val="RSP_Style24"/>
    <w:basedOn w:val="TableNormal"/>
    <w:uiPriority w:val="99"/>
    <w:qFormat/>
    <w:rsid w:val="009243F5"/>
    <w:pPr>
      <w:spacing w:after="0" w:line="240" w:lineRule="auto"/>
    </w:pPr>
    <w:tblPr/>
  </w:style>
  <w:style w:type="table" w:customStyle="1" w:styleId="20122tableformat24">
    <w:name w:val="2012 2 table format24"/>
    <w:basedOn w:val="TableNormal"/>
    <w:uiPriority w:val="63"/>
    <w:rsid w:val="009243F5"/>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24">
    <w:name w:val="Medium Grid 1 - Accent 624"/>
    <w:basedOn w:val="TableNormal"/>
    <w:next w:val="MediumGrid1-Accent6"/>
    <w:uiPriority w:val="67"/>
    <w:rsid w:val="009243F5"/>
    <w:pPr>
      <w:spacing w:after="0" w:line="240" w:lineRule="auto"/>
    </w:p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24">
    <w:name w:val="Light List - Accent 624"/>
    <w:basedOn w:val="TableNormal"/>
    <w:next w:val="LightList-Accent6"/>
    <w:uiPriority w:val="61"/>
    <w:rsid w:val="009243F5"/>
    <w:pPr>
      <w:spacing w:after="0" w:line="240" w:lineRule="auto"/>
    </w:p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24">
    <w:name w:val="Light Grid - Accent 1124"/>
    <w:basedOn w:val="TableNormal"/>
    <w:uiPriority w:val="62"/>
    <w:rsid w:val="009243F5"/>
    <w:pPr>
      <w:spacing w:after="0" w:line="240" w:lineRule="auto"/>
    </w:p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24">
    <w:name w:val="2012 Style24"/>
    <w:basedOn w:val="TableNormal"/>
    <w:uiPriority w:val="99"/>
    <w:qFormat/>
    <w:rsid w:val="009243F5"/>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24">
    <w:name w:val="Light Shading - Accent 1224"/>
    <w:basedOn w:val="TableNormal"/>
    <w:uiPriority w:val="60"/>
    <w:rsid w:val="009243F5"/>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numbering" w:customStyle="1" w:styleId="NoList124">
    <w:name w:val="No List124"/>
    <w:next w:val="NoList"/>
    <w:uiPriority w:val="99"/>
    <w:semiHidden/>
    <w:unhideWhenUsed/>
    <w:rsid w:val="009243F5"/>
  </w:style>
  <w:style w:type="numbering" w:customStyle="1" w:styleId="CurrentList1124">
    <w:name w:val="Current List1124"/>
    <w:rsid w:val="009243F5"/>
  </w:style>
  <w:style w:type="table" w:customStyle="1" w:styleId="TableGrid114">
    <w:name w:val="Table Grid114"/>
    <w:basedOn w:val="TableNormal"/>
    <w:next w:val="TableGrid"/>
    <w:uiPriority w:val="59"/>
    <w:rsid w:val="009243F5"/>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ulletedList124">
    <w:name w:val="Bulleted List124"/>
    <w:rsid w:val="009243F5"/>
  </w:style>
  <w:style w:type="table" w:customStyle="1" w:styleId="LightShading1114">
    <w:name w:val="Light Shading1114"/>
    <w:basedOn w:val="TableNormal"/>
    <w:uiPriority w:val="60"/>
    <w:rsid w:val="009243F5"/>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114">
    <w:name w:val="Light Grid1114"/>
    <w:basedOn w:val="TableNormal"/>
    <w:uiPriority w:val="62"/>
    <w:rsid w:val="009243F5"/>
    <w:pPr>
      <w:spacing w:after="0" w:line="240" w:lineRule="auto"/>
    </w:pPr>
    <w:rPr>
      <w:rFonts w:ascii="Arial" w:eastAsia="Arial" w:hAnsi="Arial"/>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114">
    <w:name w:val="Medium Shading 1 - Accent 11114"/>
    <w:basedOn w:val="TableNormal"/>
    <w:uiPriority w:val="63"/>
    <w:rsid w:val="009243F5"/>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114">
    <w:name w:val="Medium Grid 1 - Accent 1114"/>
    <w:basedOn w:val="TableNormal"/>
    <w:next w:val="MediumGrid1-Accent1"/>
    <w:uiPriority w:val="67"/>
    <w:rsid w:val="009243F5"/>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114">
    <w:name w:val="Light Shading - Accent 11114"/>
    <w:basedOn w:val="TableNormal"/>
    <w:uiPriority w:val="60"/>
    <w:rsid w:val="009243F5"/>
    <w:pPr>
      <w:spacing w:after="0" w:line="240" w:lineRule="auto"/>
    </w:pPr>
    <w:rPr>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114">
    <w:name w:val="RSP_Style114"/>
    <w:basedOn w:val="TableNormal"/>
    <w:uiPriority w:val="99"/>
    <w:qFormat/>
    <w:rsid w:val="009243F5"/>
    <w:pPr>
      <w:spacing w:after="0" w:line="240" w:lineRule="auto"/>
    </w:pPr>
    <w:tblPr/>
  </w:style>
  <w:style w:type="table" w:customStyle="1" w:styleId="20122tableformat114">
    <w:name w:val="2012 2 table format114"/>
    <w:basedOn w:val="TableNormal"/>
    <w:uiPriority w:val="63"/>
    <w:rsid w:val="009243F5"/>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114">
    <w:name w:val="Medium Grid 1 - Accent 6114"/>
    <w:basedOn w:val="TableNormal"/>
    <w:next w:val="MediumGrid1-Accent6"/>
    <w:uiPriority w:val="67"/>
    <w:rsid w:val="009243F5"/>
    <w:pPr>
      <w:spacing w:after="0" w:line="240" w:lineRule="auto"/>
    </w:p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114">
    <w:name w:val="Light List - Accent 6114"/>
    <w:basedOn w:val="TableNormal"/>
    <w:next w:val="LightList-Accent6"/>
    <w:uiPriority w:val="61"/>
    <w:rsid w:val="009243F5"/>
    <w:pPr>
      <w:spacing w:after="0" w:line="240" w:lineRule="auto"/>
    </w:p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114">
    <w:name w:val="Light Grid - Accent 11114"/>
    <w:basedOn w:val="TableNormal"/>
    <w:uiPriority w:val="62"/>
    <w:rsid w:val="009243F5"/>
    <w:pPr>
      <w:spacing w:after="0" w:line="240" w:lineRule="auto"/>
    </w:p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114">
    <w:name w:val="2012 Style114"/>
    <w:basedOn w:val="TableNormal"/>
    <w:uiPriority w:val="99"/>
    <w:qFormat/>
    <w:rsid w:val="009243F5"/>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114">
    <w:name w:val="Light Shading - Accent 12114"/>
    <w:basedOn w:val="TableNormal"/>
    <w:uiPriority w:val="60"/>
    <w:rsid w:val="009243F5"/>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table" w:customStyle="1" w:styleId="MediumShading1-Accent414">
    <w:name w:val="Medium Shading 1 - Accent 414"/>
    <w:basedOn w:val="TableNormal"/>
    <w:next w:val="MediumShading1-Accent4"/>
    <w:uiPriority w:val="63"/>
    <w:rsid w:val="009243F5"/>
    <w:pPr>
      <w:spacing w:after="0" w:line="240" w:lineRule="auto"/>
    </w:pPr>
    <w:tblPr>
      <w:tblStyleRowBandSize w:val="1"/>
      <w:tblStyleColBandSize w:val="1"/>
      <w:tbl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single" w:sz="8" w:space="0" w:color="FCCA63" w:themeColor="accent4" w:themeTint="BF"/>
      </w:tblBorders>
    </w:tblPr>
    <w:tblStylePr w:type="firstRow">
      <w:pPr>
        <w:spacing w:before="0" w:after="0" w:line="240" w:lineRule="auto"/>
      </w:pPr>
      <w:rPr>
        <w:b/>
        <w:bCs/>
        <w:color w:val="FFFFFF" w:themeColor="background1"/>
      </w:rPr>
      <w:tblPr/>
      <w:tcPr>
        <w:tc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shd w:val="clear" w:color="auto" w:fill="FBB92F" w:themeFill="accent4"/>
      </w:tcPr>
    </w:tblStylePr>
    <w:tblStylePr w:type="lastRow">
      <w:pPr>
        <w:spacing w:before="0" w:after="0" w:line="240" w:lineRule="auto"/>
      </w:pPr>
      <w:rPr>
        <w:b/>
        <w:bCs/>
      </w:rPr>
      <w:tblPr/>
      <w:tcPr>
        <w:tcBorders>
          <w:top w:val="double" w:sz="6"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tcPr>
    </w:tblStylePr>
    <w:tblStylePr w:type="firstCol">
      <w:rPr>
        <w:b/>
        <w:bCs/>
      </w:rPr>
    </w:tblStylePr>
    <w:tblStylePr w:type="lastCol">
      <w:rPr>
        <w:b/>
        <w:bCs/>
      </w:rPr>
    </w:tblStylePr>
    <w:tblStylePr w:type="band1Vert">
      <w:tblPr/>
      <w:tcPr>
        <w:shd w:val="clear" w:color="auto" w:fill="FEEDCB" w:themeFill="accent4" w:themeFillTint="3F"/>
      </w:tcPr>
    </w:tblStylePr>
    <w:tblStylePr w:type="band1Horz">
      <w:tblPr/>
      <w:tcPr>
        <w:tcBorders>
          <w:insideH w:val="nil"/>
          <w:insideV w:val="nil"/>
        </w:tcBorders>
        <w:shd w:val="clear" w:color="auto" w:fill="FEEDCB" w:themeFill="accent4" w:themeFillTint="3F"/>
      </w:tcPr>
    </w:tblStylePr>
    <w:tblStylePr w:type="band2Horz">
      <w:tblPr/>
      <w:tcPr>
        <w:tcBorders>
          <w:insideH w:val="nil"/>
          <w:insideV w:val="nil"/>
        </w:tcBorders>
      </w:tcPr>
    </w:tblStylePr>
  </w:style>
  <w:style w:type="numbering" w:customStyle="1" w:styleId="NoList44">
    <w:name w:val="No List44"/>
    <w:next w:val="NoList"/>
    <w:uiPriority w:val="99"/>
    <w:semiHidden/>
    <w:unhideWhenUsed/>
    <w:rsid w:val="009243F5"/>
  </w:style>
  <w:style w:type="table" w:customStyle="1" w:styleId="TableGrid35">
    <w:name w:val="Table Grid35"/>
    <w:basedOn w:val="TableNormal"/>
    <w:next w:val="TableGrid"/>
    <w:uiPriority w:val="59"/>
    <w:rsid w:val="009243F5"/>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34">
    <w:name w:val="Light Shading134"/>
    <w:basedOn w:val="TableNormal"/>
    <w:uiPriority w:val="60"/>
    <w:rsid w:val="009243F5"/>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34">
    <w:name w:val="Light Grid134"/>
    <w:basedOn w:val="TableNormal"/>
    <w:uiPriority w:val="62"/>
    <w:rsid w:val="009243F5"/>
    <w:pPr>
      <w:spacing w:after="0" w:line="240" w:lineRule="auto"/>
    </w:pPr>
    <w:rPr>
      <w:rFonts w:ascii="Arial" w:eastAsia="Arial" w:hAnsi="Arial"/>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34">
    <w:name w:val="Medium Shading 1 - Accent 1134"/>
    <w:basedOn w:val="TableNormal"/>
    <w:uiPriority w:val="63"/>
    <w:rsid w:val="009243F5"/>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34">
    <w:name w:val="Medium Grid 1 - Accent 134"/>
    <w:basedOn w:val="TableNormal"/>
    <w:next w:val="MediumGrid1-Accent1"/>
    <w:uiPriority w:val="67"/>
    <w:rsid w:val="009243F5"/>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34">
    <w:name w:val="Light Shading - Accent 1134"/>
    <w:basedOn w:val="TableNormal"/>
    <w:uiPriority w:val="60"/>
    <w:rsid w:val="009243F5"/>
    <w:pPr>
      <w:spacing w:after="0" w:line="240" w:lineRule="auto"/>
    </w:pPr>
    <w:rPr>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34">
    <w:name w:val="RSP_Style34"/>
    <w:basedOn w:val="TableNormal"/>
    <w:uiPriority w:val="99"/>
    <w:qFormat/>
    <w:rsid w:val="009243F5"/>
    <w:pPr>
      <w:spacing w:after="0" w:line="240" w:lineRule="auto"/>
    </w:pPr>
    <w:tblPr/>
  </w:style>
  <w:style w:type="table" w:customStyle="1" w:styleId="20122tableformat34">
    <w:name w:val="2012 2 table format34"/>
    <w:basedOn w:val="TableNormal"/>
    <w:uiPriority w:val="63"/>
    <w:rsid w:val="009243F5"/>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34">
    <w:name w:val="Medium Grid 1 - Accent 634"/>
    <w:basedOn w:val="TableNormal"/>
    <w:next w:val="MediumGrid1-Accent6"/>
    <w:uiPriority w:val="67"/>
    <w:rsid w:val="009243F5"/>
    <w:pPr>
      <w:spacing w:after="0" w:line="240" w:lineRule="auto"/>
    </w:p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34">
    <w:name w:val="Light List - Accent 634"/>
    <w:basedOn w:val="TableNormal"/>
    <w:next w:val="LightList-Accent6"/>
    <w:uiPriority w:val="61"/>
    <w:rsid w:val="009243F5"/>
    <w:pPr>
      <w:spacing w:after="0" w:line="240" w:lineRule="auto"/>
    </w:p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34">
    <w:name w:val="Light Grid - Accent 1134"/>
    <w:basedOn w:val="TableNormal"/>
    <w:uiPriority w:val="62"/>
    <w:rsid w:val="009243F5"/>
    <w:pPr>
      <w:spacing w:after="0" w:line="240" w:lineRule="auto"/>
    </w:p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34">
    <w:name w:val="2012 Style34"/>
    <w:basedOn w:val="TableNormal"/>
    <w:uiPriority w:val="99"/>
    <w:qFormat/>
    <w:rsid w:val="009243F5"/>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34">
    <w:name w:val="Light Shading - Accent 1234"/>
    <w:basedOn w:val="TableNormal"/>
    <w:uiPriority w:val="60"/>
    <w:rsid w:val="009243F5"/>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numbering" w:customStyle="1" w:styleId="NoList134">
    <w:name w:val="No List134"/>
    <w:next w:val="NoList"/>
    <w:uiPriority w:val="99"/>
    <w:semiHidden/>
    <w:unhideWhenUsed/>
    <w:rsid w:val="009243F5"/>
  </w:style>
  <w:style w:type="numbering" w:customStyle="1" w:styleId="CurrentList1134">
    <w:name w:val="Current List1134"/>
    <w:rsid w:val="009243F5"/>
  </w:style>
  <w:style w:type="table" w:customStyle="1" w:styleId="TableGrid124">
    <w:name w:val="Table Grid124"/>
    <w:basedOn w:val="TableNormal"/>
    <w:next w:val="TableGrid"/>
    <w:uiPriority w:val="59"/>
    <w:rsid w:val="009243F5"/>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ulletedList134">
    <w:name w:val="Bulleted List134"/>
    <w:rsid w:val="009243F5"/>
  </w:style>
  <w:style w:type="table" w:customStyle="1" w:styleId="LightShading1124">
    <w:name w:val="Light Shading1124"/>
    <w:basedOn w:val="TableNormal"/>
    <w:uiPriority w:val="60"/>
    <w:rsid w:val="009243F5"/>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124">
    <w:name w:val="Light Grid1124"/>
    <w:basedOn w:val="TableNormal"/>
    <w:uiPriority w:val="62"/>
    <w:rsid w:val="009243F5"/>
    <w:pPr>
      <w:spacing w:after="0" w:line="240" w:lineRule="auto"/>
    </w:pPr>
    <w:rPr>
      <w:rFonts w:ascii="Arial" w:eastAsia="Arial" w:hAnsi="Arial"/>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124">
    <w:name w:val="Medium Shading 1 - Accent 11124"/>
    <w:basedOn w:val="TableNormal"/>
    <w:uiPriority w:val="63"/>
    <w:rsid w:val="009243F5"/>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124">
    <w:name w:val="Medium Grid 1 - Accent 1124"/>
    <w:basedOn w:val="TableNormal"/>
    <w:next w:val="MediumGrid1-Accent1"/>
    <w:uiPriority w:val="67"/>
    <w:rsid w:val="009243F5"/>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124">
    <w:name w:val="Light Shading - Accent 11124"/>
    <w:basedOn w:val="TableNormal"/>
    <w:uiPriority w:val="60"/>
    <w:rsid w:val="009243F5"/>
    <w:pPr>
      <w:spacing w:after="0" w:line="240" w:lineRule="auto"/>
    </w:pPr>
    <w:rPr>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124">
    <w:name w:val="RSP_Style124"/>
    <w:basedOn w:val="TableNormal"/>
    <w:uiPriority w:val="99"/>
    <w:qFormat/>
    <w:rsid w:val="009243F5"/>
    <w:pPr>
      <w:spacing w:after="0" w:line="240" w:lineRule="auto"/>
    </w:pPr>
    <w:tblPr/>
  </w:style>
  <w:style w:type="table" w:customStyle="1" w:styleId="20122tableformat124">
    <w:name w:val="2012 2 table format124"/>
    <w:basedOn w:val="TableNormal"/>
    <w:uiPriority w:val="63"/>
    <w:rsid w:val="009243F5"/>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124">
    <w:name w:val="Medium Grid 1 - Accent 6124"/>
    <w:basedOn w:val="TableNormal"/>
    <w:next w:val="MediumGrid1-Accent6"/>
    <w:uiPriority w:val="67"/>
    <w:rsid w:val="009243F5"/>
    <w:pPr>
      <w:spacing w:after="0" w:line="240" w:lineRule="auto"/>
    </w:p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124">
    <w:name w:val="Light List - Accent 6124"/>
    <w:basedOn w:val="TableNormal"/>
    <w:next w:val="LightList-Accent6"/>
    <w:uiPriority w:val="61"/>
    <w:rsid w:val="009243F5"/>
    <w:pPr>
      <w:spacing w:after="0" w:line="240" w:lineRule="auto"/>
    </w:p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124">
    <w:name w:val="Light Grid - Accent 11124"/>
    <w:basedOn w:val="TableNormal"/>
    <w:uiPriority w:val="62"/>
    <w:rsid w:val="009243F5"/>
    <w:pPr>
      <w:spacing w:after="0" w:line="240" w:lineRule="auto"/>
    </w:p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124">
    <w:name w:val="2012 Style124"/>
    <w:basedOn w:val="TableNormal"/>
    <w:uiPriority w:val="99"/>
    <w:qFormat/>
    <w:rsid w:val="009243F5"/>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124">
    <w:name w:val="Light Shading - Accent 12124"/>
    <w:basedOn w:val="TableNormal"/>
    <w:uiPriority w:val="60"/>
    <w:rsid w:val="009243F5"/>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table" w:customStyle="1" w:styleId="MediumShading1-Accent424">
    <w:name w:val="Medium Shading 1 - Accent 424"/>
    <w:basedOn w:val="TableNormal"/>
    <w:next w:val="MediumShading1-Accent4"/>
    <w:uiPriority w:val="63"/>
    <w:rsid w:val="009243F5"/>
    <w:pPr>
      <w:spacing w:after="0" w:line="240" w:lineRule="auto"/>
    </w:pPr>
    <w:tblPr>
      <w:tblStyleRowBandSize w:val="1"/>
      <w:tblStyleColBandSize w:val="1"/>
      <w:tbl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single" w:sz="8" w:space="0" w:color="FCCA63" w:themeColor="accent4" w:themeTint="BF"/>
      </w:tblBorders>
    </w:tblPr>
    <w:tblStylePr w:type="firstRow">
      <w:pPr>
        <w:spacing w:before="0" w:after="0" w:line="240" w:lineRule="auto"/>
      </w:pPr>
      <w:rPr>
        <w:b/>
        <w:bCs/>
        <w:color w:val="FFFFFF" w:themeColor="background1"/>
      </w:rPr>
      <w:tblPr/>
      <w:tcPr>
        <w:tc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shd w:val="clear" w:color="auto" w:fill="FBB92F" w:themeFill="accent4"/>
      </w:tcPr>
    </w:tblStylePr>
    <w:tblStylePr w:type="lastRow">
      <w:pPr>
        <w:spacing w:before="0" w:after="0" w:line="240" w:lineRule="auto"/>
      </w:pPr>
      <w:rPr>
        <w:b/>
        <w:bCs/>
      </w:rPr>
      <w:tblPr/>
      <w:tcPr>
        <w:tcBorders>
          <w:top w:val="double" w:sz="6"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tcPr>
    </w:tblStylePr>
    <w:tblStylePr w:type="firstCol">
      <w:rPr>
        <w:b/>
        <w:bCs/>
      </w:rPr>
    </w:tblStylePr>
    <w:tblStylePr w:type="lastCol">
      <w:rPr>
        <w:b/>
        <w:bCs/>
      </w:rPr>
    </w:tblStylePr>
    <w:tblStylePr w:type="band1Vert">
      <w:tblPr/>
      <w:tcPr>
        <w:shd w:val="clear" w:color="auto" w:fill="FEEDCB" w:themeFill="accent4" w:themeFillTint="3F"/>
      </w:tcPr>
    </w:tblStylePr>
    <w:tblStylePr w:type="band1Horz">
      <w:tblPr/>
      <w:tcPr>
        <w:tcBorders>
          <w:insideH w:val="nil"/>
          <w:insideV w:val="nil"/>
        </w:tcBorders>
        <w:shd w:val="clear" w:color="auto" w:fill="FEEDCB" w:themeFill="accent4" w:themeFillTint="3F"/>
      </w:tcPr>
    </w:tblStylePr>
    <w:tblStylePr w:type="band2Horz">
      <w:tblPr/>
      <w:tcPr>
        <w:tcBorders>
          <w:insideH w:val="nil"/>
          <w:insideV w:val="nil"/>
        </w:tcBorders>
      </w:tcPr>
    </w:tblStylePr>
  </w:style>
  <w:style w:type="numbering" w:customStyle="1" w:styleId="CurrentList134">
    <w:name w:val="Current List134"/>
    <w:rsid w:val="009243F5"/>
  </w:style>
  <w:style w:type="table" w:customStyle="1" w:styleId="TableGrid314">
    <w:name w:val="Table Grid314"/>
    <w:basedOn w:val="TableNormal"/>
    <w:next w:val="TableGrid"/>
    <w:uiPriority w:val="59"/>
    <w:rsid w:val="009243F5"/>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4">
    <w:name w:val="No List54"/>
    <w:next w:val="NoList"/>
    <w:uiPriority w:val="99"/>
    <w:semiHidden/>
    <w:unhideWhenUsed/>
    <w:rsid w:val="009243F5"/>
  </w:style>
  <w:style w:type="numbering" w:customStyle="1" w:styleId="CurrentList144">
    <w:name w:val="Current List144"/>
    <w:rsid w:val="009243F5"/>
  </w:style>
  <w:style w:type="table" w:customStyle="1" w:styleId="TableGrid44">
    <w:name w:val="Table Grid44"/>
    <w:basedOn w:val="TableNormal"/>
    <w:next w:val="TableGrid"/>
    <w:uiPriority w:val="59"/>
    <w:rsid w:val="009243F5"/>
    <w:pPr>
      <w:widowControl w:val="0"/>
      <w:spacing w:after="0"/>
    </w:pPr>
    <w:rPr>
      <w:rFonts w:ascii="Times New Roman" w:eastAsia="Times New Roman" w:hAnsi="Times New Roman"/>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ulletedList34">
    <w:name w:val="Bulleted List34"/>
    <w:rsid w:val="009243F5"/>
  </w:style>
  <w:style w:type="table" w:customStyle="1" w:styleId="LightShading144">
    <w:name w:val="Light Shading144"/>
    <w:basedOn w:val="TableNormal"/>
    <w:uiPriority w:val="60"/>
    <w:rsid w:val="009243F5"/>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44">
    <w:name w:val="Light Grid144"/>
    <w:basedOn w:val="TableNormal"/>
    <w:uiPriority w:val="62"/>
    <w:rsid w:val="009243F5"/>
    <w:pPr>
      <w:spacing w:after="0" w:line="240" w:lineRule="auto"/>
    </w:pPr>
    <w:rPr>
      <w:rFonts w:ascii="Arial" w:eastAsia="Arial" w:hAnsi="Arial"/>
      <w:color w:val="auto"/>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44">
    <w:name w:val="Medium Shading 1 - Accent 1144"/>
    <w:basedOn w:val="TableNormal"/>
    <w:uiPriority w:val="63"/>
    <w:rsid w:val="009243F5"/>
    <w:pPr>
      <w:spacing w:after="0" w:line="240" w:lineRule="auto"/>
    </w:pPr>
    <w:rPr>
      <w:rFonts w:ascii="Cambria" w:hAnsi="Cambria"/>
      <w:color w:val="auto"/>
    </w:r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44">
    <w:name w:val="Medium Grid 1 - Accent 144"/>
    <w:basedOn w:val="TableNormal"/>
    <w:next w:val="MediumGrid1-Accent1"/>
    <w:uiPriority w:val="67"/>
    <w:rsid w:val="009243F5"/>
    <w:pPr>
      <w:spacing w:after="0" w:line="240" w:lineRule="auto"/>
    </w:pPr>
    <w:rPr>
      <w:rFonts w:ascii="Cambria" w:hAnsi="Cambria"/>
      <w:color w:val="auto"/>
    </w:r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44">
    <w:name w:val="Light Shading - Accent 1144"/>
    <w:basedOn w:val="TableNormal"/>
    <w:uiPriority w:val="60"/>
    <w:rsid w:val="009243F5"/>
    <w:pPr>
      <w:spacing w:after="0" w:line="240" w:lineRule="auto"/>
    </w:pPr>
    <w:rPr>
      <w:rFonts w:ascii="Cambria" w:hAnsi="Cambria"/>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44">
    <w:name w:val="RSP_Style44"/>
    <w:basedOn w:val="TableNormal"/>
    <w:uiPriority w:val="99"/>
    <w:qFormat/>
    <w:rsid w:val="009243F5"/>
    <w:pPr>
      <w:spacing w:after="0" w:line="240" w:lineRule="auto"/>
    </w:pPr>
    <w:rPr>
      <w:rFonts w:ascii="Cambria" w:hAnsi="Cambria"/>
      <w:color w:val="auto"/>
    </w:rPr>
    <w:tblPr/>
  </w:style>
  <w:style w:type="table" w:customStyle="1" w:styleId="20122tableformat44">
    <w:name w:val="2012 2 table format44"/>
    <w:basedOn w:val="TableNormal"/>
    <w:uiPriority w:val="63"/>
    <w:rsid w:val="009243F5"/>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44">
    <w:name w:val="Medium Grid 1 - Accent 644"/>
    <w:basedOn w:val="TableNormal"/>
    <w:next w:val="MediumGrid1-Accent6"/>
    <w:uiPriority w:val="67"/>
    <w:rsid w:val="009243F5"/>
    <w:pPr>
      <w:spacing w:after="0" w:line="240" w:lineRule="auto"/>
    </w:pPr>
    <w:rPr>
      <w:rFonts w:ascii="Cambria" w:hAnsi="Cambria"/>
      <w:color w:val="auto"/>
    </w:r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44">
    <w:name w:val="Light List - Accent 644"/>
    <w:basedOn w:val="TableNormal"/>
    <w:next w:val="LightList-Accent6"/>
    <w:uiPriority w:val="61"/>
    <w:rsid w:val="009243F5"/>
    <w:pPr>
      <w:spacing w:after="0" w:line="240" w:lineRule="auto"/>
    </w:pPr>
    <w:rPr>
      <w:color w:val="auto"/>
    </w:r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44">
    <w:name w:val="Light Grid - Accent 1144"/>
    <w:basedOn w:val="TableNormal"/>
    <w:uiPriority w:val="62"/>
    <w:rsid w:val="009243F5"/>
    <w:pPr>
      <w:spacing w:after="0" w:line="240" w:lineRule="auto"/>
    </w:pPr>
    <w:rPr>
      <w:rFonts w:ascii="Cambria" w:hAnsi="Cambria"/>
      <w:color w:val="auto"/>
    </w:r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44">
    <w:name w:val="2012 Style44"/>
    <w:basedOn w:val="TableNormal"/>
    <w:uiPriority w:val="99"/>
    <w:qFormat/>
    <w:rsid w:val="009243F5"/>
    <w:pPr>
      <w:spacing w:after="0" w:line="240" w:lineRule="auto"/>
    </w:pPr>
    <w:rPr>
      <w:color w:val="auto"/>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44">
    <w:name w:val="Light Shading - Accent 1244"/>
    <w:basedOn w:val="TableNormal"/>
    <w:uiPriority w:val="60"/>
    <w:rsid w:val="009243F5"/>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numbering" w:customStyle="1" w:styleId="NoList144">
    <w:name w:val="No List144"/>
    <w:next w:val="NoList"/>
    <w:uiPriority w:val="99"/>
    <w:semiHidden/>
    <w:unhideWhenUsed/>
    <w:rsid w:val="009243F5"/>
  </w:style>
  <w:style w:type="numbering" w:customStyle="1" w:styleId="CurrentList1144">
    <w:name w:val="Current List1144"/>
    <w:rsid w:val="009243F5"/>
  </w:style>
  <w:style w:type="table" w:customStyle="1" w:styleId="TableGrid134">
    <w:name w:val="Table Grid134"/>
    <w:basedOn w:val="TableNormal"/>
    <w:next w:val="TableGrid"/>
    <w:uiPriority w:val="59"/>
    <w:rsid w:val="009243F5"/>
    <w:pPr>
      <w:widowControl w:val="0"/>
      <w:spacing w:after="0"/>
    </w:pPr>
    <w:rPr>
      <w:rFonts w:ascii="Times New Roman" w:eastAsia="Times New Roman" w:hAnsi="Times New Roman"/>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ulletedList144">
    <w:name w:val="Bulleted List144"/>
    <w:rsid w:val="009243F5"/>
  </w:style>
  <w:style w:type="table" w:customStyle="1" w:styleId="LightShading1134">
    <w:name w:val="Light Shading1134"/>
    <w:basedOn w:val="TableNormal"/>
    <w:uiPriority w:val="60"/>
    <w:rsid w:val="009243F5"/>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134">
    <w:name w:val="Light Grid1134"/>
    <w:basedOn w:val="TableNormal"/>
    <w:uiPriority w:val="62"/>
    <w:rsid w:val="009243F5"/>
    <w:pPr>
      <w:spacing w:after="0" w:line="240" w:lineRule="auto"/>
    </w:pPr>
    <w:rPr>
      <w:rFonts w:ascii="Arial" w:eastAsia="Arial" w:hAnsi="Arial"/>
      <w:color w:val="auto"/>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134">
    <w:name w:val="Medium Shading 1 - Accent 11134"/>
    <w:basedOn w:val="TableNormal"/>
    <w:uiPriority w:val="63"/>
    <w:rsid w:val="009243F5"/>
    <w:pPr>
      <w:spacing w:after="0" w:line="240" w:lineRule="auto"/>
    </w:pPr>
    <w:rPr>
      <w:rFonts w:ascii="Cambria" w:hAnsi="Cambria"/>
      <w:color w:val="auto"/>
    </w:r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134">
    <w:name w:val="Medium Grid 1 - Accent 1134"/>
    <w:basedOn w:val="TableNormal"/>
    <w:next w:val="MediumGrid1-Accent1"/>
    <w:uiPriority w:val="67"/>
    <w:rsid w:val="009243F5"/>
    <w:pPr>
      <w:spacing w:after="0" w:line="240" w:lineRule="auto"/>
    </w:pPr>
    <w:rPr>
      <w:rFonts w:ascii="Cambria" w:hAnsi="Cambria"/>
      <w:color w:val="auto"/>
    </w:r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134">
    <w:name w:val="Light Shading - Accent 11134"/>
    <w:basedOn w:val="TableNormal"/>
    <w:uiPriority w:val="60"/>
    <w:rsid w:val="009243F5"/>
    <w:pPr>
      <w:spacing w:after="0" w:line="240" w:lineRule="auto"/>
    </w:pPr>
    <w:rPr>
      <w:rFonts w:ascii="Cambria" w:hAnsi="Cambria"/>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134">
    <w:name w:val="RSP_Style134"/>
    <w:basedOn w:val="TableNormal"/>
    <w:uiPriority w:val="99"/>
    <w:qFormat/>
    <w:rsid w:val="009243F5"/>
    <w:pPr>
      <w:spacing w:after="0" w:line="240" w:lineRule="auto"/>
    </w:pPr>
    <w:rPr>
      <w:rFonts w:ascii="Cambria" w:hAnsi="Cambria"/>
      <w:color w:val="auto"/>
    </w:rPr>
    <w:tblPr/>
  </w:style>
  <w:style w:type="table" w:customStyle="1" w:styleId="20122tableformat134">
    <w:name w:val="2012 2 table format134"/>
    <w:basedOn w:val="TableNormal"/>
    <w:uiPriority w:val="63"/>
    <w:rsid w:val="009243F5"/>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134">
    <w:name w:val="Medium Grid 1 - Accent 6134"/>
    <w:basedOn w:val="TableNormal"/>
    <w:next w:val="MediumGrid1-Accent6"/>
    <w:uiPriority w:val="67"/>
    <w:rsid w:val="009243F5"/>
    <w:pPr>
      <w:spacing w:after="0" w:line="240" w:lineRule="auto"/>
    </w:pPr>
    <w:rPr>
      <w:rFonts w:ascii="Cambria" w:hAnsi="Cambria"/>
      <w:color w:val="auto"/>
    </w:r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134">
    <w:name w:val="Light List - Accent 6134"/>
    <w:basedOn w:val="TableNormal"/>
    <w:next w:val="LightList-Accent6"/>
    <w:uiPriority w:val="61"/>
    <w:rsid w:val="009243F5"/>
    <w:pPr>
      <w:spacing w:after="0" w:line="240" w:lineRule="auto"/>
    </w:pPr>
    <w:rPr>
      <w:color w:val="auto"/>
    </w:r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134">
    <w:name w:val="Light Grid - Accent 11134"/>
    <w:basedOn w:val="TableNormal"/>
    <w:uiPriority w:val="62"/>
    <w:rsid w:val="009243F5"/>
    <w:pPr>
      <w:spacing w:after="0" w:line="240" w:lineRule="auto"/>
    </w:pPr>
    <w:rPr>
      <w:rFonts w:ascii="Cambria" w:hAnsi="Cambria"/>
      <w:color w:val="auto"/>
    </w:r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134">
    <w:name w:val="2012 Style134"/>
    <w:basedOn w:val="TableNormal"/>
    <w:uiPriority w:val="99"/>
    <w:qFormat/>
    <w:rsid w:val="009243F5"/>
    <w:pPr>
      <w:spacing w:after="0" w:line="240" w:lineRule="auto"/>
    </w:pPr>
    <w:rPr>
      <w:color w:val="auto"/>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134">
    <w:name w:val="Light Shading - Accent 12134"/>
    <w:basedOn w:val="TableNormal"/>
    <w:uiPriority w:val="60"/>
    <w:rsid w:val="009243F5"/>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table" w:customStyle="1" w:styleId="MediumShading1-Accent434">
    <w:name w:val="Medium Shading 1 - Accent 434"/>
    <w:basedOn w:val="TableNormal"/>
    <w:next w:val="MediumShading1-Accent4"/>
    <w:uiPriority w:val="63"/>
    <w:rsid w:val="009243F5"/>
    <w:pPr>
      <w:spacing w:after="0" w:line="240" w:lineRule="auto"/>
    </w:pPr>
    <w:rPr>
      <w:rFonts w:ascii="Cambria" w:hAnsi="Cambria"/>
      <w:color w:val="auto"/>
    </w:rPr>
    <w:tblPr>
      <w:tblStyleRowBandSize w:val="1"/>
      <w:tblStyleColBandSize w:val="1"/>
      <w:tbl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single" w:sz="8" w:space="0" w:color="FCCA63" w:themeColor="accent4" w:themeTint="BF"/>
      </w:tblBorders>
    </w:tblPr>
    <w:tblStylePr w:type="firstRow">
      <w:pPr>
        <w:spacing w:before="0" w:after="0" w:line="240" w:lineRule="auto"/>
      </w:pPr>
      <w:rPr>
        <w:b/>
        <w:bCs/>
        <w:color w:val="FFFFFF" w:themeColor="background1"/>
      </w:rPr>
      <w:tblPr/>
      <w:tcPr>
        <w:tc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shd w:val="clear" w:color="auto" w:fill="FBB92F" w:themeFill="accent4"/>
      </w:tcPr>
    </w:tblStylePr>
    <w:tblStylePr w:type="lastRow">
      <w:pPr>
        <w:spacing w:before="0" w:after="0" w:line="240" w:lineRule="auto"/>
      </w:pPr>
      <w:rPr>
        <w:b/>
        <w:bCs/>
      </w:rPr>
      <w:tblPr/>
      <w:tcPr>
        <w:tcBorders>
          <w:top w:val="double" w:sz="6"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tcPr>
    </w:tblStylePr>
    <w:tblStylePr w:type="firstCol">
      <w:rPr>
        <w:b/>
        <w:bCs/>
      </w:rPr>
    </w:tblStylePr>
    <w:tblStylePr w:type="lastCol">
      <w:rPr>
        <w:b/>
        <w:bCs/>
      </w:rPr>
    </w:tblStylePr>
    <w:tblStylePr w:type="band1Vert">
      <w:tblPr/>
      <w:tcPr>
        <w:shd w:val="clear" w:color="auto" w:fill="FEEDCB" w:themeFill="accent4" w:themeFillTint="3F"/>
      </w:tcPr>
    </w:tblStylePr>
    <w:tblStylePr w:type="band1Horz">
      <w:tblPr/>
      <w:tcPr>
        <w:tcBorders>
          <w:insideH w:val="nil"/>
          <w:insideV w:val="nil"/>
        </w:tcBorders>
        <w:shd w:val="clear" w:color="auto" w:fill="FEEDCB" w:themeFill="accent4" w:themeFillTint="3F"/>
      </w:tcPr>
    </w:tblStylePr>
    <w:tblStylePr w:type="band2Horz">
      <w:tblPr/>
      <w:tcPr>
        <w:tcBorders>
          <w:insideH w:val="nil"/>
          <w:insideV w:val="nil"/>
        </w:tcBorders>
      </w:tcPr>
    </w:tblStylePr>
  </w:style>
  <w:style w:type="table" w:customStyle="1" w:styleId="TableGrid54">
    <w:name w:val="Table Grid54"/>
    <w:basedOn w:val="TableNormal"/>
    <w:next w:val="TableGrid"/>
    <w:uiPriority w:val="59"/>
    <w:rsid w:val="009243F5"/>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
    <w:name w:val="No List10"/>
    <w:next w:val="NoList"/>
    <w:uiPriority w:val="99"/>
    <w:semiHidden/>
    <w:unhideWhenUsed/>
    <w:rsid w:val="003C3269"/>
  </w:style>
  <w:style w:type="numbering" w:customStyle="1" w:styleId="CurrentList18">
    <w:name w:val="Current List18"/>
    <w:rsid w:val="003C3269"/>
  </w:style>
  <w:style w:type="table" w:customStyle="1" w:styleId="TableGrid10">
    <w:name w:val="Table Grid10"/>
    <w:basedOn w:val="TableNormal"/>
    <w:next w:val="TableGrid"/>
    <w:uiPriority w:val="59"/>
    <w:rsid w:val="003C3269"/>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9">
    <w:name w:val="Light Shading19"/>
    <w:basedOn w:val="TableNormal"/>
    <w:uiPriority w:val="60"/>
    <w:rsid w:val="003C3269"/>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9">
    <w:name w:val="Light Grid19"/>
    <w:basedOn w:val="TableNormal"/>
    <w:uiPriority w:val="62"/>
    <w:rsid w:val="003C3269"/>
    <w:pPr>
      <w:spacing w:after="0" w:line="240" w:lineRule="auto"/>
    </w:pPr>
    <w:rPr>
      <w:rFonts w:ascii="Arial" w:eastAsia="Arial" w:hAnsi="Arial"/>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9">
    <w:name w:val="Medium Shading 1 - Accent 119"/>
    <w:basedOn w:val="TableNormal"/>
    <w:uiPriority w:val="63"/>
    <w:rsid w:val="003C3269"/>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9">
    <w:name w:val="Medium Grid 1 - Accent 19"/>
    <w:basedOn w:val="TableNormal"/>
    <w:next w:val="MediumGrid1-Accent1"/>
    <w:uiPriority w:val="67"/>
    <w:rsid w:val="003C3269"/>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9">
    <w:name w:val="Light Shading - Accent 119"/>
    <w:basedOn w:val="TableNormal"/>
    <w:uiPriority w:val="60"/>
    <w:rsid w:val="003C3269"/>
    <w:pPr>
      <w:spacing w:after="0" w:line="240" w:lineRule="auto"/>
    </w:pPr>
    <w:rPr>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9">
    <w:name w:val="RSP_Style9"/>
    <w:basedOn w:val="TableNormal"/>
    <w:uiPriority w:val="99"/>
    <w:qFormat/>
    <w:rsid w:val="003C3269"/>
    <w:pPr>
      <w:spacing w:after="0" w:line="240" w:lineRule="auto"/>
    </w:pPr>
    <w:tblPr/>
  </w:style>
  <w:style w:type="table" w:customStyle="1" w:styleId="20122tableformat9">
    <w:name w:val="2012 2 table format9"/>
    <w:basedOn w:val="TableNormal"/>
    <w:uiPriority w:val="63"/>
    <w:rsid w:val="003C3269"/>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9">
    <w:name w:val="Medium Grid 1 - Accent 69"/>
    <w:basedOn w:val="TableNormal"/>
    <w:next w:val="MediumGrid1-Accent6"/>
    <w:uiPriority w:val="67"/>
    <w:rsid w:val="003C3269"/>
    <w:pPr>
      <w:spacing w:after="0" w:line="240" w:lineRule="auto"/>
    </w:p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9">
    <w:name w:val="Light List - Accent 69"/>
    <w:basedOn w:val="TableNormal"/>
    <w:next w:val="LightList-Accent6"/>
    <w:uiPriority w:val="61"/>
    <w:rsid w:val="003C3269"/>
    <w:pPr>
      <w:spacing w:after="0" w:line="240" w:lineRule="auto"/>
    </w:p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9">
    <w:name w:val="Light Grid - Accent 119"/>
    <w:basedOn w:val="TableNormal"/>
    <w:uiPriority w:val="62"/>
    <w:rsid w:val="003C3269"/>
    <w:pPr>
      <w:spacing w:after="0" w:line="240" w:lineRule="auto"/>
    </w:p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9">
    <w:name w:val="2012 Style9"/>
    <w:basedOn w:val="TableNormal"/>
    <w:uiPriority w:val="99"/>
    <w:qFormat/>
    <w:rsid w:val="003C3269"/>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9">
    <w:name w:val="Light Shading - Accent 129"/>
    <w:basedOn w:val="TableNormal"/>
    <w:uiPriority w:val="60"/>
    <w:rsid w:val="003C3269"/>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numbering" w:customStyle="1" w:styleId="NoList19">
    <w:name w:val="No List19"/>
    <w:next w:val="NoList"/>
    <w:uiPriority w:val="99"/>
    <w:semiHidden/>
    <w:unhideWhenUsed/>
    <w:rsid w:val="003C3269"/>
  </w:style>
  <w:style w:type="numbering" w:customStyle="1" w:styleId="CurrentList119">
    <w:name w:val="Current List119"/>
    <w:rsid w:val="003C3269"/>
  </w:style>
  <w:style w:type="table" w:customStyle="1" w:styleId="TableGrid18">
    <w:name w:val="Table Grid18"/>
    <w:basedOn w:val="TableNormal"/>
    <w:next w:val="TableGrid"/>
    <w:uiPriority w:val="59"/>
    <w:rsid w:val="003C3269"/>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ulletedList19">
    <w:name w:val="Bulleted List19"/>
    <w:rsid w:val="003C3269"/>
  </w:style>
  <w:style w:type="table" w:customStyle="1" w:styleId="LightShading118">
    <w:name w:val="Light Shading118"/>
    <w:basedOn w:val="TableNormal"/>
    <w:uiPriority w:val="60"/>
    <w:rsid w:val="003C3269"/>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18">
    <w:name w:val="Light Grid118"/>
    <w:basedOn w:val="TableNormal"/>
    <w:uiPriority w:val="62"/>
    <w:rsid w:val="003C3269"/>
    <w:pPr>
      <w:spacing w:after="0" w:line="240" w:lineRule="auto"/>
    </w:pPr>
    <w:rPr>
      <w:rFonts w:ascii="Arial" w:eastAsia="Arial" w:hAnsi="Arial"/>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18">
    <w:name w:val="Medium Shading 1 - Accent 1118"/>
    <w:basedOn w:val="TableNormal"/>
    <w:uiPriority w:val="63"/>
    <w:rsid w:val="003C3269"/>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18">
    <w:name w:val="Medium Grid 1 - Accent 118"/>
    <w:basedOn w:val="TableNormal"/>
    <w:next w:val="MediumGrid1-Accent1"/>
    <w:uiPriority w:val="67"/>
    <w:rsid w:val="003C3269"/>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18">
    <w:name w:val="Light Shading - Accent 1118"/>
    <w:basedOn w:val="TableNormal"/>
    <w:uiPriority w:val="60"/>
    <w:rsid w:val="003C3269"/>
    <w:pPr>
      <w:spacing w:after="0" w:line="240" w:lineRule="auto"/>
    </w:pPr>
    <w:rPr>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18">
    <w:name w:val="RSP_Style18"/>
    <w:basedOn w:val="TableNormal"/>
    <w:uiPriority w:val="99"/>
    <w:qFormat/>
    <w:rsid w:val="003C3269"/>
    <w:pPr>
      <w:spacing w:after="0" w:line="240" w:lineRule="auto"/>
    </w:pPr>
    <w:tblPr/>
  </w:style>
  <w:style w:type="table" w:customStyle="1" w:styleId="20122tableformat18">
    <w:name w:val="2012 2 table format18"/>
    <w:basedOn w:val="TableNormal"/>
    <w:uiPriority w:val="63"/>
    <w:rsid w:val="003C3269"/>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18">
    <w:name w:val="Medium Grid 1 - Accent 618"/>
    <w:basedOn w:val="TableNormal"/>
    <w:next w:val="MediumGrid1-Accent6"/>
    <w:uiPriority w:val="67"/>
    <w:rsid w:val="003C3269"/>
    <w:pPr>
      <w:spacing w:after="0" w:line="240" w:lineRule="auto"/>
    </w:p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18">
    <w:name w:val="Light List - Accent 618"/>
    <w:basedOn w:val="TableNormal"/>
    <w:next w:val="LightList-Accent6"/>
    <w:uiPriority w:val="61"/>
    <w:rsid w:val="003C3269"/>
    <w:pPr>
      <w:spacing w:after="0" w:line="240" w:lineRule="auto"/>
    </w:p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18">
    <w:name w:val="Light Grid - Accent 1118"/>
    <w:basedOn w:val="TableNormal"/>
    <w:uiPriority w:val="62"/>
    <w:rsid w:val="003C3269"/>
    <w:pPr>
      <w:spacing w:after="0" w:line="240" w:lineRule="auto"/>
    </w:p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18">
    <w:name w:val="2012 Style18"/>
    <w:basedOn w:val="TableNormal"/>
    <w:uiPriority w:val="99"/>
    <w:qFormat/>
    <w:rsid w:val="003C3269"/>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18">
    <w:name w:val="Light Shading - Accent 1218"/>
    <w:basedOn w:val="TableNormal"/>
    <w:uiPriority w:val="60"/>
    <w:rsid w:val="003C3269"/>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table" w:customStyle="1" w:styleId="MediumShading1-Accent48">
    <w:name w:val="Medium Shading 1 - Accent 48"/>
    <w:basedOn w:val="TableNormal"/>
    <w:next w:val="MediumShading1-Accent4"/>
    <w:uiPriority w:val="63"/>
    <w:rsid w:val="003C3269"/>
    <w:pPr>
      <w:spacing w:after="0" w:line="240" w:lineRule="auto"/>
    </w:pPr>
    <w:tblPr>
      <w:tblStyleRowBandSize w:val="1"/>
      <w:tblStyleColBandSize w:val="1"/>
      <w:tbl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single" w:sz="8" w:space="0" w:color="FCCA63" w:themeColor="accent4" w:themeTint="BF"/>
      </w:tblBorders>
    </w:tblPr>
    <w:tblStylePr w:type="firstRow">
      <w:pPr>
        <w:spacing w:before="0" w:after="0" w:line="240" w:lineRule="auto"/>
      </w:pPr>
      <w:rPr>
        <w:b/>
        <w:bCs/>
        <w:color w:val="FFFFFF" w:themeColor="background1"/>
      </w:rPr>
      <w:tblPr/>
      <w:tcPr>
        <w:tc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shd w:val="clear" w:color="auto" w:fill="FBB92F" w:themeFill="accent4"/>
      </w:tcPr>
    </w:tblStylePr>
    <w:tblStylePr w:type="lastRow">
      <w:pPr>
        <w:spacing w:before="0" w:after="0" w:line="240" w:lineRule="auto"/>
      </w:pPr>
      <w:rPr>
        <w:b/>
        <w:bCs/>
      </w:rPr>
      <w:tblPr/>
      <w:tcPr>
        <w:tcBorders>
          <w:top w:val="double" w:sz="6"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tcPr>
    </w:tblStylePr>
    <w:tblStylePr w:type="firstCol">
      <w:rPr>
        <w:b/>
        <w:bCs/>
      </w:rPr>
    </w:tblStylePr>
    <w:tblStylePr w:type="lastCol">
      <w:rPr>
        <w:b/>
        <w:bCs/>
      </w:rPr>
    </w:tblStylePr>
    <w:tblStylePr w:type="band1Vert">
      <w:tblPr/>
      <w:tcPr>
        <w:shd w:val="clear" w:color="auto" w:fill="FEEDCB" w:themeFill="accent4" w:themeFillTint="3F"/>
      </w:tcPr>
    </w:tblStylePr>
    <w:tblStylePr w:type="band1Horz">
      <w:tblPr/>
      <w:tcPr>
        <w:tcBorders>
          <w:insideH w:val="nil"/>
          <w:insideV w:val="nil"/>
        </w:tcBorders>
        <w:shd w:val="clear" w:color="auto" w:fill="FEEDCB" w:themeFill="accent4" w:themeFillTint="3F"/>
      </w:tcPr>
    </w:tblStylePr>
    <w:tblStylePr w:type="band2Horz">
      <w:tblPr/>
      <w:tcPr>
        <w:tcBorders>
          <w:insideH w:val="nil"/>
          <w:insideV w:val="nil"/>
        </w:tcBorders>
      </w:tcPr>
    </w:tblStylePr>
  </w:style>
  <w:style w:type="numbering" w:customStyle="1" w:styleId="NoList25">
    <w:name w:val="No List25"/>
    <w:next w:val="NoList"/>
    <w:uiPriority w:val="99"/>
    <w:semiHidden/>
    <w:unhideWhenUsed/>
    <w:rsid w:val="003C3269"/>
  </w:style>
  <w:style w:type="numbering" w:customStyle="1" w:styleId="CurrentList125">
    <w:name w:val="Current List125"/>
    <w:rsid w:val="003C3269"/>
  </w:style>
  <w:style w:type="numbering" w:customStyle="1" w:styleId="BulletedList25">
    <w:name w:val="Bulleted List25"/>
    <w:rsid w:val="003C3269"/>
  </w:style>
  <w:style w:type="numbering" w:customStyle="1" w:styleId="NoList115">
    <w:name w:val="No List115"/>
    <w:next w:val="NoList"/>
    <w:uiPriority w:val="99"/>
    <w:semiHidden/>
    <w:unhideWhenUsed/>
    <w:rsid w:val="003C3269"/>
  </w:style>
  <w:style w:type="numbering" w:customStyle="1" w:styleId="CurrentList1115">
    <w:name w:val="Current List1115"/>
    <w:rsid w:val="003C3269"/>
  </w:style>
  <w:style w:type="numbering" w:customStyle="1" w:styleId="BulletedList115">
    <w:name w:val="Bulleted List115"/>
    <w:rsid w:val="003C3269"/>
  </w:style>
  <w:style w:type="numbering" w:customStyle="1" w:styleId="NoList35">
    <w:name w:val="No List35"/>
    <w:next w:val="NoList"/>
    <w:uiPriority w:val="99"/>
    <w:semiHidden/>
    <w:unhideWhenUsed/>
    <w:rsid w:val="003C3269"/>
  </w:style>
  <w:style w:type="table" w:customStyle="1" w:styleId="TableGrid25">
    <w:name w:val="Table Grid25"/>
    <w:basedOn w:val="TableNormal"/>
    <w:next w:val="TableGrid"/>
    <w:uiPriority w:val="59"/>
    <w:rsid w:val="003C3269"/>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25">
    <w:name w:val="Light Shading125"/>
    <w:basedOn w:val="TableNormal"/>
    <w:uiPriority w:val="60"/>
    <w:rsid w:val="003C3269"/>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25">
    <w:name w:val="Light Grid125"/>
    <w:basedOn w:val="TableNormal"/>
    <w:uiPriority w:val="62"/>
    <w:rsid w:val="003C3269"/>
    <w:pPr>
      <w:spacing w:after="0" w:line="240" w:lineRule="auto"/>
    </w:pPr>
    <w:rPr>
      <w:rFonts w:ascii="Arial" w:eastAsia="Arial" w:hAnsi="Arial"/>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25">
    <w:name w:val="Medium Shading 1 - Accent 1125"/>
    <w:basedOn w:val="TableNormal"/>
    <w:uiPriority w:val="63"/>
    <w:rsid w:val="003C3269"/>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25">
    <w:name w:val="Medium Grid 1 - Accent 125"/>
    <w:basedOn w:val="TableNormal"/>
    <w:next w:val="MediumGrid1-Accent1"/>
    <w:uiPriority w:val="67"/>
    <w:rsid w:val="003C3269"/>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25">
    <w:name w:val="Light Shading - Accent 1125"/>
    <w:basedOn w:val="TableNormal"/>
    <w:uiPriority w:val="60"/>
    <w:rsid w:val="003C3269"/>
    <w:pPr>
      <w:spacing w:after="0" w:line="240" w:lineRule="auto"/>
    </w:pPr>
    <w:rPr>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25">
    <w:name w:val="RSP_Style25"/>
    <w:basedOn w:val="TableNormal"/>
    <w:uiPriority w:val="99"/>
    <w:qFormat/>
    <w:rsid w:val="003C3269"/>
    <w:pPr>
      <w:spacing w:after="0" w:line="240" w:lineRule="auto"/>
    </w:pPr>
    <w:tblPr/>
  </w:style>
  <w:style w:type="table" w:customStyle="1" w:styleId="20122tableformat25">
    <w:name w:val="2012 2 table format25"/>
    <w:basedOn w:val="TableNormal"/>
    <w:uiPriority w:val="63"/>
    <w:rsid w:val="003C3269"/>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25">
    <w:name w:val="Medium Grid 1 - Accent 625"/>
    <w:basedOn w:val="TableNormal"/>
    <w:next w:val="MediumGrid1-Accent6"/>
    <w:uiPriority w:val="67"/>
    <w:rsid w:val="003C3269"/>
    <w:pPr>
      <w:spacing w:after="0" w:line="240" w:lineRule="auto"/>
    </w:p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25">
    <w:name w:val="Light List - Accent 625"/>
    <w:basedOn w:val="TableNormal"/>
    <w:next w:val="LightList-Accent6"/>
    <w:uiPriority w:val="61"/>
    <w:rsid w:val="003C3269"/>
    <w:pPr>
      <w:spacing w:after="0" w:line="240" w:lineRule="auto"/>
    </w:p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25">
    <w:name w:val="Light Grid - Accent 1125"/>
    <w:basedOn w:val="TableNormal"/>
    <w:uiPriority w:val="62"/>
    <w:rsid w:val="003C3269"/>
    <w:pPr>
      <w:spacing w:after="0" w:line="240" w:lineRule="auto"/>
    </w:p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25">
    <w:name w:val="2012 Style25"/>
    <w:basedOn w:val="TableNormal"/>
    <w:uiPriority w:val="99"/>
    <w:qFormat/>
    <w:rsid w:val="003C3269"/>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25">
    <w:name w:val="Light Shading - Accent 1225"/>
    <w:basedOn w:val="TableNormal"/>
    <w:uiPriority w:val="60"/>
    <w:rsid w:val="003C3269"/>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numbering" w:customStyle="1" w:styleId="NoList125">
    <w:name w:val="No List125"/>
    <w:next w:val="NoList"/>
    <w:uiPriority w:val="99"/>
    <w:semiHidden/>
    <w:unhideWhenUsed/>
    <w:rsid w:val="003C3269"/>
  </w:style>
  <w:style w:type="numbering" w:customStyle="1" w:styleId="CurrentList1125">
    <w:name w:val="Current List1125"/>
    <w:rsid w:val="003C3269"/>
  </w:style>
  <w:style w:type="table" w:customStyle="1" w:styleId="TableGrid115">
    <w:name w:val="Table Grid115"/>
    <w:basedOn w:val="TableNormal"/>
    <w:next w:val="TableGrid"/>
    <w:uiPriority w:val="59"/>
    <w:rsid w:val="003C3269"/>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ulletedList125">
    <w:name w:val="Bulleted List125"/>
    <w:rsid w:val="003C3269"/>
  </w:style>
  <w:style w:type="table" w:customStyle="1" w:styleId="LightShading1115">
    <w:name w:val="Light Shading1115"/>
    <w:basedOn w:val="TableNormal"/>
    <w:uiPriority w:val="60"/>
    <w:rsid w:val="003C3269"/>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115">
    <w:name w:val="Light Grid1115"/>
    <w:basedOn w:val="TableNormal"/>
    <w:uiPriority w:val="62"/>
    <w:rsid w:val="003C3269"/>
    <w:pPr>
      <w:spacing w:after="0" w:line="240" w:lineRule="auto"/>
    </w:pPr>
    <w:rPr>
      <w:rFonts w:ascii="Arial" w:eastAsia="Arial" w:hAnsi="Arial"/>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115">
    <w:name w:val="Medium Shading 1 - Accent 11115"/>
    <w:basedOn w:val="TableNormal"/>
    <w:uiPriority w:val="63"/>
    <w:rsid w:val="003C3269"/>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115">
    <w:name w:val="Medium Grid 1 - Accent 1115"/>
    <w:basedOn w:val="TableNormal"/>
    <w:next w:val="MediumGrid1-Accent1"/>
    <w:uiPriority w:val="67"/>
    <w:rsid w:val="003C3269"/>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115">
    <w:name w:val="Light Shading - Accent 11115"/>
    <w:basedOn w:val="TableNormal"/>
    <w:uiPriority w:val="60"/>
    <w:rsid w:val="003C3269"/>
    <w:pPr>
      <w:spacing w:after="0" w:line="240" w:lineRule="auto"/>
    </w:pPr>
    <w:rPr>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115">
    <w:name w:val="RSP_Style115"/>
    <w:basedOn w:val="TableNormal"/>
    <w:uiPriority w:val="99"/>
    <w:qFormat/>
    <w:rsid w:val="003C3269"/>
    <w:pPr>
      <w:spacing w:after="0" w:line="240" w:lineRule="auto"/>
    </w:pPr>
    <w:tblPr/>
  </w:style>
  <w:style w:type="table" w:customStyle="1" w:styleId="20122tableformat115">
    <w:name w:val="2012 2 table format115"/>
    <w:basedOn w:val="TableNormal"/>
    <w:uiPriority w:val="63"/>
    <w:rsid w:val="003C3269"/>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115">
    <w:name w:val="Medium Grid 1 - Accent 6115"/>
    <w:basedOn w:val="TableNormal"/>
    <w:next w:val="MediumGrid1-Accent6"/>
    <w:uiPriority w:val="67"/>
    <w:rsid w:val="003C3269"/>
    <w:pPr>
      <w:spacing w:after="0" w:line="240" w:lineRule="auto"/>
    </w:p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115">
    <w:name w:val="Light List - Accent 6115"/>
    <w:basedOn w:val="TableNormal"/>
    <w:next w:val="LightList-Accent6"/>
    <w:uiPriority w:val="61"/>
    <w:rsid w:val="003C3269"/>
    <w:pPr>
      <w:spacing w:after="0" w:line="240" w:lineRule="auto"/>
    </w:p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115">
    <w:name w:val="Light Grid - Accent 11115"/>
    <w:basedOn w:val="TableNormal"/>
    <w:uiPriority w:val="62"/>
    <w:rsid w:val="003C3269"/>
    <w:pPr>
      <w:spacing w:after="0" w:line="240" w:lineRule="auto"/>
    </w:p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115">
    <w:name w:val="2012 Style115"/>
    <w:basedOn w:val="TableNormal"/>
    <w:uiPriority w:val="99"/>
    <w:qFormat/>
    <w:rsid w:val="003C3269"/>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115">
    <w:name w:val="Light Shading - Accent 12115"/>
    <w:basedOn w:val="TableNormal"/>
    <w:uiPriority w:val="60"/>
    <w:rsid w:val="003C3269"/>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table" w:customStyle="1" w:styleId="MediumShading1-Accent415">
    <w:name w:val="Medium Shading 1 - Accent 415"/>
    <w:basedOn w:val="TableNormal"/>
    <w:next w:val="MediumShading1-Accent4"/>
    <w:uiPriority w:val="63"/>
    <w:rsid w:val="003C3269"/>
    <w:pPr>
      <w:spacing w:after="0" w:line="240" w:lineRule="auto"/>
    </w:pPr>
    <w:tblPr>
      <w:tblStyleRowBandSize w:val="1"/>
      <w:tblStyleColBandSize w:val="1"/>
      <w:tbl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single" w:sz="8" w:space="0" w:color="FCCA63" w:themeColor="accent4" w:themeTint="BF"/>
      </w:tblBorders>
    </w:tblPr>
    <w:tblStylePr w:type="firstRow">
      <w:pPr>
        <w:spacing w:before="0" w:after="0" w:line="240" w:lineRule="auto"/>
      </w:pPr>
      <w:rPr>
        <w:b/>
        <w:bCs/>
        <w:color w:val="FFFFFF" w:themeColor="background1"/>
      </w:rPr>
      <w:tblPr/>
      <w:tcPr>
        <w:tc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shd w:val="clear" w:color="auto" w:fill="FBB92F" w:themeFill="accent4"/>
      </w:tcPr>
    </w:tblStylePr>
    <w:tblStylePr w:type="lastRow">
      <w:pPr>
        <w:spacing w:before="0" w:after="0" w:line="240" w:lineRule="auto"/>
      </w:pPr>
      <w:rPr>
        <w:b/>
        <w:bCs/>
      </w:rPr>
      <w:tblPr/>
      <w:tcPr>
        <w:tcBorders>
          <w:top w:val="double" w:sz="6"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tcPr>
    </w:tblStylePr>
    <w:tblStylePr w:type="firstCol">
      <w:rPr>
        <w:b/>
        <w:bCs/>
      </w:rPr>
    </w:tblStylePr>
    <w:tblStylePr w:type="lastCol">
      <w:rPr>
        <w:b/>
        <w:bCs/>
      </w:rPr>
    </w:tblStylePr>
    <w:tblStylePr w:type="band1Vert">
      <w:tblPr/>
      <w:tcPr>
        <w:shd w:val="clear" w:color="auto" w:fill="FEEDCB" w:themeFill="accent4" w:themeFillTint="3F"/>
      </w:tcPr>
    </w:tblStylePr>
    <w:tblStylePr w:type="band1Horz">
      <w:tblPr/>
      <w:tcPr>
        <w:tcBorders>
          <w:insideH w:val="nil"/>
          <w:insideV w:val="nil"/>
        </w:tcBorders>
        <w:shd w:val="clear" w:color="auto" w:fill="FEEDCB" w:themeFill="accent4" w:themeFillTint="3F"/>
      </w:tcPr>
    </w:tblStylePr>
    <w:tblStylePr w:type="band2Horz">
      <w:tblPr/>
      <w:tcPr>
        <w:tcBorders>
          <w:insideH w:val="nil"/>
          <w:insideV w:val="nil"/>
        </w:tcBorders>
      </w:tcPr>
    </w:tblStylePr>
  </w:style>
  <w:style w:type="numbering" w:customStyle="1" w:styleId="NoList45">
    <w:name w:val="No List45"/>
    <w:next w:val="NoList"/>
    <w:uiPriority w:val="99"/>
    <w:semiHidden/>
    <w:unhideWhenUsed/>
    <w:rsid w:val="003C3269"/>
  </w:style>
  <w:style w:type="table" w:customStyle="1" w:styleId="TableGrid36">
    <w:name w:val="Table Grid36"/>
    <w:basedOn w:val="TableNormal"/>
    <w:next w:val="TableGrid"/>
    <w:uiPriority w:val="59"/>
    <w:rsid w:val="003C3269"/>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35">
    <w:name w:val="Light Shading135"/>
    <w:basedOn w:val="TableNormal"/>
    <w:uiPriority w:val="60"/>
    <w:rsid w:val="003C3269"/>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35">
    <w:name w:val="Light Grid135"/>
    <w:basedOn w:val="TableNormal"/>
    <w:uiPriority w:val="62"/>
    <w:rsid w:val="003C3269"/>
    <w:pPr>
      <w:spacing w:after="0" w:line="240" w:lineRule="auto"/>
    </w:pPr>
    <w:rPr>
      <w:rFonts w:ascii="Arial" w:eastAsia="Arial" w:hAnsi="Arial"/>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35">
    <w:name w:val="Medium Shading 1 - Accent 1135"/>
    <w:basedOn w:val="TableNormal"/>
    <w:uiPriority w:val="63"/>
    <w:rsid w:val="003C3269"/>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35">
    <w:name w:val="Medium Grid 1 - Accent 135"/>
    <w:basedOn w:val="TableNormal"/>
    <w:next w:val="MediumGrid1-Accent1"/>
    <w:uiPriority w:val="67"/>
    <w:rsid w:val="003C3269"/>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35">
    <w:name w:val="Light Shading - Accent 1135"/>
    <w:basedOn w:val="TableNormal"/>
    <w:uiPriority w:val="60"/>
    <w:rsid w:val="003C3269"/>
    <w:pPr>
      <w:spacing w:after="0" w:line="240" w:lineRule="auto"/>
    </w:pPr>
    <w:rPr>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35">
    <w:name w:val="RSP_Style35"/>
    <w:basedOn w:val="TableNormal"/>
    <w:uiPriority w:val="99"/>
    <w:qFormat/>
    <w:rsid w:val="003C3269"/>
    <w:pPr>
      <w:spacing w:after="0" w:line="240" w:lineRule="auto"/>
    </w:pPr>
    <w:tblPr/>
  </w:style>
  <w:style w:type="table" w:customStyle="1" w:styleId="20122tableformat35">
    <w:name w:val="2012 2 table format35"/>
    <w:basedOn w:val="TableNormal"/>
    <w:uiPriority w:val="63"/>
    <w:rsid w:val="003C3269"/>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35">
    <w:name w:val="Medium Grid 1 - Accent 635"/>
    <w:basedOn w:val="TableNormal"/>
    <w:next w:val="MediumGrid1-Accent6"/>
    <w:uiPriority w:val="67"/>
    <w:rsid w:val="003C3269"/>
    <w:pPr>
      <w:spacing w:after="0" w:line="240" w:lineRule="auto"/>
    </w:p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35">
    <w:name w:val="Light List - Accent 635"/>
    <w:basedOn w:val="TableNormal"/>
    <w:next w:val="LightList-Accent6"/>
    <w:uiPriority w:val="61"/>
    <w:rsid w:val="003C3269"/>
    <w:pPr>
      <w:spacing w:after="0" w:line="240" w:lineRule="auto"/>
    </w:p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35">
    <w:name w:val="Light Grid - Accent 1135"/>
    <w:basedOn w:val="TableNormal"/>
    <w:uiPriority w:val="62"/>
    <w:rsid w:val="003C3269"/>
    <w:pPr>
      <w:spacing w:after="0" w:line="240" w:lineRule="auto"/>
    </w:p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35">
    <w:name w:val="2012 Style35"/>
    <w:basedOn w:val="TableNormal"/>
    <w:uiPriority w:val="99"/>
    <w:qFormat/>
    <w:rsid w:val="003C3269"/>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35">
    <w:name w:val="Light Shading - Accent 1235"/>
    <w:basedOn w:val="TableNormal"/>
    <w:uiPriority w:val="60"/>
    <w:rsid w:val="003C3269"/>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numbering" w:customStyle="1" w:styleId="NoList135">
    <w:name w:val="No List135"/>
    <w:next w:val="NoList"/>
    <w:uiPriority w:val="99"/>
    <w:semiHidden/>
    <w:unhideWhenUsed/>
    <w:rsid w:val="003C3269"/>
  </w:style>
  <w:style w:type="numbering" w:customStyle="1" w:styleId="CurrentList1135">
    <w:name w:val="Current List1135"/>
    <w:rsid w:val="003C3269"/>
  </w:style>
  <w:style w:type="table" w:customStyle="1" w:styleId="TableGrid125">
    <w:name w:val="Table Grid125"/>
    <w:basedOn w:val="TableNormal"/>
    <w:next w:val="TableGrid"/>
    <w:uiPriority w:val="59"/>
    <w:rsid w:val="003C3269"/>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ulletedList135">
    <w:name w:val="Bulleted List135"/>
    <w:rsid w:val="003C3269"/>
  </w:style>
  <w:style w:type="table" w:customStyle="1" w:styleId="LightShading1125">
    <w:name w:val="Light Shading1125"/>
    <w:basedOn w:val="TableNormal"/>
    <w:uiPriority w:val="60"/>
    <w:rsid w:val="003C3269"/>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125">
    <w:name w:val="Light Grid1125"/>
    <w:basedOn w:val="TableNormal"/>
    <w:uiPriority w:val="62"/>
    <w:rsid w:val="003C3269"/>
    <w:pPr>
      <w:spacing w:after="0" w:line="240" w:lineRule="auto"/>
    </w:pPr>
    <w:rPr>
      <w:rFonts w:ascii="Arial" w:eastAsia="Arial" w:hAnsi="Arial"/>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125">
    <w:name w:val="Medium Shading 1 - Accent 11125"/>
    <w:basedOn w:val="TableNormal"/>
    <w:uiPriority w:val="63"/>
    <w:rsid w:val="003C3269"/>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125">
    <w:name w:val="Medium Grid 1 - Accent 1125"/>
    <w:basedOn w:val="TableNormal"/>
    <w:next w:val="MediumGrid1-Accent1"/>
    <w:uiPriority w:val="67"/>
    <w:rsid w:val="003C3269"/>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125">
    <w:name w:val="Light Shading - Accent 11125"/>
    <w:basedOn w:val="TableNormal"/>
    <w:uiPriority w:val="60"/>
    <w:rsid w:val="003C3269"/>
    <w:pPr>
      <w:spacing w:after="0" w:line="240" w:lineRule="auto"/>
    </w:pPr>
    <w:rPr>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125">
    <w:name w:val="RSP_Style125"/>
    <w:basedOn w:val="TableNormal"/>
    <w:uiPriority w:val="99"/>
    <w:qFormat/>
    <w:rsid w:val="003C3269"/>
    <w:pPr>
      <w:spacing w:after="0" w:line="240" w:lineRule="auto"/>
    </w:pPr>
    <w:tblPr/>
  </w:style>
  <w:style w:type="table" w:customStyle="1" w:styleId="20122tableformat125">
    <w:name w:val="2012 2 table format125"/>
    <w:basedOn w:val="TableNormal"/>
    <w:uiPriority w:val="63"/>
    <w:rsid w:val="003C3269"/>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125">
    <w:name w:val="Medium Grid 1 - Accent 6125"/>
    <w:basedOn w:val="TableNormal"/>
    <w:next w:val="MediumGrid1-Accent6"/>
    <w:uiPriority w:val="67"/>
    <w:rsid w:val="003C3269"/>
    <w:pPr>
      <w:spacing w:after="0" w:line="240" w:lineRule="auto"/>
    </w:p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125">
    <w:name w:val="Light List - Accent 6125"/>
    <w:basedOn w:val="TableNormal"/>
    <w:next w:val="LightList-Accent6"/>
    <w:uiPriority w:val="61"/>
    <w:rsid w:val="003C3269"/>
    <w:pPr>
      <w:spacing w:after="0" w:line="240" w:lineRule="auto"/>
    </w:p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125">
    <w:name w:val="Light Grid - Accent 11125"/>
    <w:basedOn w:val="TableNormal"/>
    <w:uiPriority w:val="62"/>
    <w:rsid w:val="003C3269"/>
    <w:pPr>
      <w:spacing w:after="0" w:line="240" w:lineRule="auto"/>
    </w:p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125">
    <w:name w:val="2012 Style125"/>
    <w:basedOn w:val="TableNormal"/>
    <w:uiPriority w:val="99"/>
    <w:qFormat/>
    <w:rsid w:val="003C3269"/>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125">
    <w:name w:val="Light Shading - Accent 12125"/>
    <w:basedOn w:val="TableNormal"/>
    <w:uiPriority w:val="60"/>
    <w:rsid w:val="003C3269"/>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table" w:customStyle="1" w:styleId="MediumShading1-Accent425">
    <w:name w:val="Medium Shading 1 - Accent 425"/>
    <w:basedOn w:val="TableNormal"/>
    <w:next w:val="MediumShading1-Accent4"/>
    <w:uiPriority w:val="63"/>
    <w:rsid w:val="003C3269"/>
    <w:pPr>
      <w:spacing w:after="0" w:line="240" w:lineRule="auto"/>
    </w:pPr>
    <w:tblPr>
      <w:tblStyleRowBandSize w:val="1"/>
      <w:tblStyleColBandSize w:val="1"/>
      <w:tbl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single" w:sz="8" w:space="0" w:color="FCCA63" w:themeColor="accent4" w:themeTint="BF"/>
      </w:tblBorders>
    </w:tblPr>
    <w:tblStylePr w:type="firstRow">
      <w:pPr>
        <w:spacing w:before="0" w:after="0" w:line="240" w:lineRule="auto"/>
      </w:pPr>
      <w:rPr>
        <w:b/>
        <w:bCs/>
        <w:color w:val="FFFFFF" w:themeColor="background1"/>
      </w:rPr>
      <w:tblPr/>
      <w:tcPr>
        <w:tc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shd w:val="clear" w:color="auto" w:fill="FBB92F" w:themeFill="accent4"/>
      </w:tcPr>
    </w:tblStylePr>
    <w:tblStylePr w:type="lastRow">
      <w:pPr>
        <w:spacing w:before="0" w:after="0" w:line="240" w:lineRule="auto"/>
      </w:pPr>
      <w:rPr>
        <w:b/>
        <w:bCs/>
      </w:rPr>
      <w:tblPr/>
      <w:tcPr>
        <w:tcBorders>
          <w:top w:val="double" w:sz="6"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tcPr>
    </w:tblStylePr>
    <w:tblStylePr w:type="firstCol">
      <w:rPr>
        <w:b/>
        <w:bCs/>
      </w:rPr>
    </w:tblStylePr>
    <w:tblStylePr w:type="lastCol">
      <w:rPr>
        <w:b/>
        <w:bCs/>
      </w:rPr>
    </w:tblStylePr>
    <w:tblStylePr w:type="band1Vert">
      <w:tblPr/>
      <w:tcPr>
        <w:shd w:val="clear" w:color="auto" w:fill="FEEDCB" w:themeFill="accent4" w:themeFillTint="3F"/>
      </w:tcPr>
    </w:tblStylePr>
    <w:tblStylePr w:type="band1Horz">
      <w:tblPr/>
      <w:tcPr>
        <w:tcBorders>
          <w:insideH w:val="nil"/>
          <w:insideV w:val="nil"/>
        </w:tcBorders>
        <w:shd w:val="clear" w:color="auto" w:fill="FEEDCB" w:themeFill="accent4" w:themeFillTint="3F"/>
      </w:tcPr>
    </w:tblStylePr>
    <w:tblStylePr w:type="band2Horz">
      <w:tblPr/>
      <w:tcPr>
        <w:tcBorders>
          <w:insideH w:val="nil"/>
          <w:insideV w:val="nil"/>
        </w:tcBorders>
      </w:tcPr>
    </w:tblStylePr>
  </w:style>
  <w:style w:type="numbering" w:customStyle="1" w:styleId="CurrentList135">
    <w:name w:val="Current List135"/>
    <w:rsid w:val="003C3269"/>
  </w:style>
  <w:style w:type="table" w:customStyle="1" w:styleId="TableGrid315">
    <w:name w:val="Table Grid315"/>
    <w:basedOn w:val="TableNormal"/>
    <w:next w:val="TableGrid"/>
    <w:uiPriority w:val="59"/>
    <w:rsid w:val="003C3269"/>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5">
    <w:name w:val="No List55"/>
    <w:next w:val="NoList"/>
    <w:uiPriority w:val="99"/>
    <w:semiHidden/>
    <w:unhideWhenUsed/>
    <w:rsid w:val="003C3269"/>
  </w:style>
  <w:style w:type="numbering" w:customStyle="1" w:styleId="CurrentList145">
    <w:name w:val="Current List145"/>
    <w:rsid w:val="003C3269"/>
  </w:style>
  <w:style w:type="table" w:customStyle="1" w:styleId="TableGrid45">
    <w:name w:val="Table Grid45"/>
    <w:basedOn w:val="TableNormal"/>
    <w:next w:val="TableGrid"/>
    <w:uiPriority w:val="59"/>
    <w:rsid w:val="003C3269"/>
    <w:pPr>
      <w:widowControl w:val="0"/>
      <w:spacing w:after="0"/>
    </w:pPr>
    <w:rPr>
      <w:rFonts w:ascii="Times New Roman" w:eastAsia="Times New Roman" w:hAnsi="Times New Roman"/>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ulletedList35">
    <w:name w:val="Bulleted List35"/>
    <w:rsid w:val="003C3269"/>
  </w:style>
  <w:style w:type="table" w:customStyle="1" w:styleId="LightShading145">
    <w:name w:val="Light Shading145"/>
    <w:basedOn w:val="TableNormal"/>
    <w:uiPriority w:val="60"/>
    <w:rsid w:val="003C3269"/>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45">
    <w:name w:val="Light Grid145"/>
    <w:basedOn w:val="TableNormal"/>
    <w:uiPriority w:val="62"/>
    <w:rsid w:val="003C3269"/>
    <w:pPr>
      <w:spacing w:after="0" w:line="240" w:lineRule="auto"/>
    </w:pPr>
    <w:rPr>
      <w:rFonts w:ascii="Arial" w:eastAsia="Arial" w:hAnsi="Arial"/>
      <w:color w:val="auto"/>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45">
    <w:name w:val="Medium Shading 1 - Accent 1145"/>
    <w:basedOn w:val="TableNormal"/>
    <w:uiPriority w:val="63"/>
    <w:rsid w:val="003C3269"/>
    <w:pPr>
      <w:spacing w:after="0" w:line="240" w:lineRule="auto"/>
    </w:pPr>
    <w:rPr>
      <w:rFonts w:ascii="Cambria" w:hAnsi="Cambria"/>
      <w:color w:val="auto"/>
    </w:r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45">
    <w:name w:val="Medium Grid 1 - Accent 145"/>
    <w:basedOn w:val="TableNormal"/>
    <w:next w:val="MediumGrid1-Accent1"/>
    <w:uiPriority w:val="67"/>
    <w:rsid w:val="003C3269"/>
    <w:pPr>
      <w:spacing w:after="0" w:line="240" w:lineRule="auto"/>
    </w:pPr>
    <w:rPr>
      <w:rFonts w:ascii="Cambria" w:hAnsi="Cambria"/>
      <w:color w:val="auto"/>
    </w:r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45">
    <w:name w:val="Light Shading - Accent 1145"/>
    <w:basedOn w:val="TableNormal"/>
    <w:uiPriority w:val="60"/>
    <w:rsid w:val="003C3269"/>
    <w:pPr>
      <w:spacing w:after="0" w:line="240" w:lineRule="auto"/>
    </w:pPr>
    <w:rPr>
      <w:rFonts w:ascii="Cambria" w:hAnsi="Cambria"/>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45">
    <w:name w:val="RSP_Style45"/>
    <w:basedOn w:val="TableNormal"/>
    <w:uiPriority w:val="99"/>
    <w:qFormat/>
    <w:rsid w:val="003C3269"/>
    <w:pPr>
      <w:spacing w:after="0" w:line="240" w:lineRule="auto"/>
    </w:pPr>
    <w:rPr>
      <w:rFonts w:ascii="Cambria" w:hAnsi="Cambria"/>
      <w:color w:val="auto"/>
    </w:rPr>
    <w:tblPr/>
  </w:style>
  <w:style w:type="table" w:customStyle="1" w:styleId="20122tableformat45">
    <w:name w:val="2012 2 table format45"/>
    <w:basedOn w:val="TableNormal"/>
    <w:uiPriority w:val="63"/>
    <w:rsid w:val="003C3269"/>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45">
    <w:name w:val="Medium Grid 1 - Accent 645"/>
    <w:basedOn w:val="TableNormal"/>
    <w:next w:val="MediumGrid1-Accent6"/>
    <w:uiPriority w:val="67"/>
    <w:rsid w:val="003C3269"/>
    <w:pPr>
      <w:spacing w:after="0" w:line="240" w:lineRule="auto"/>
    </w:pPr>
    <w:rPr>
      <w:rFonts w:ascii="Cambria" w:hAnsi="Cambria"/>
      <w:color w:val="auto"/>
    </w:r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45">
    <w:name w:val="Light List - Accent 645"/>
    <w:basedOn w:val="TableNormal"/>
    <w:next w:val="LightList-Accent6"/>
    <w:uiPriority w:val="61"/>
    <w:rsid w:val="003C3269"/>
    <w:pPr>
      <w:spacing w:after="0" w:line="240" w:lineRule="auto"/>
    </w:pPr>
    <w:rPr>
      <w:color w:val="auto"/>
    </w:r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45">
    <w:name w:val="Light Grid - Accent 1145"/>
    <w:basedOn w:val="TableNormal"/>
    <w:uiPriority w:val="62"/>
    <w:rsid w:val="003C3269"/>
    <w:pPr>
      <w:spacing w:after="0" w:line="240" w:lineRule="auto"/>
    </w:pPr>
    <w:rPr>
      <w:rFonts w:ascii="Cambria" w:hAnsi="Cambria"/>
      <w:color w:val="auto"/>
    </w:r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45">
    <w:name w:val="2012 Style45"/>
    <w:basedOn w:val="TableNormal"/>
    <w:uiPriority w:val="99"/>
    <w:qFormat/>
    <w:rsid w:val="003C3269"/>
    <w:pPr>
      <w:spacing w:after="0" w:line="240" w:lineRule="auto"/>
    </w:pPr>
    <w:rPr>
      <w:color w:val="auto"/>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45">
    <w:name w:val="Light Shading - Accent 1245"/>
    <w:basedOn w:val="TableNormal"/>
    <w:uiPriority w:val="60"/>
    <w:rsid w:val="003C3269"/>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numbering" w:customStyle="1" w:styleId="NoList145">
    <w:name w:val="No List145"/>
    <w:next w:val="NoList"/>
    <w:uiPriority w:val="99"/>
    <w:semiHidden/>
    <w:unhideWhenUsed/>
    <w:rsid w:val="003C3269"/>
  </w:style>
  <w:style w:type="numbering" w:customStyle="1" w:styleId="CurrentList1145">
    <w:name w:val="Current List1145"/>
    <w:rsid w:val="003C3269"/>
  </w:style>
  <w:style w:type="table" w:customStyle="1" w:styleId="TableGrid135">
    <w:name w:val="Table Grid135"/>
    <w:basedOn w:val="TableNormal"/>
    <w:next w:val="TableGrid"/>
    <w:uiPriority w:val="59"/>
    <w:rsid w:val="003C3269"/>
    <w:pPr>
      <w:widowControl w:val="0"/>
      <w:spacing w:after="0"/>
    </w:pPr>
    <w:rPr>
      <w:rFonts w:ascii="Times New Roman" w:eastAsia="Times New Roman" w:hAnsi="Times New Roman"/>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ulletedList145">
    <w:name w:val="Bulleted List145"/>
    <w:rsid w:val="003C3269"/>
  </w:style>
  <w:style w:type="table" w:customStyle="1" w:styleId="LightShading1135">
    <w:name w:val="Light Shading1135"/>
    <w:basedOn w:val="TableNormal"/>
    <w:uiPriority w:val="60"/>
    <w:rsid w:val="003C3269"/>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135">
    <w:name w:val="Light Grid1135"/>
    <w:basedOn w:val="TableNormal"/>
    <w:uiPriority w:val="62"/>
    <w:rsid w:val="003C3269"/>
    <w:pPr>
      <w:spacing w:after="0" w:line="240" w:lineRule="auto"/>
    </w:pPr>
    <w:rPr>
      <w:rFonts w:ascii="Arial" w:eastAsia="Arial" w:hAnsi="Arial"/>
      <w:color w:val="auto"/>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135">
    <w:name w:val="Medium Shading 1 - Accent 11135"/>
    <w:basedOn w:val="TableNormal"/>
    <w:uiPriority w:val="63"/>
    <w:rsid w:val="003C3269"/>
    <w:pPr>
      <w:spacing w:after="0" w:line="240" w:lineRule="auto"/>
    </w:pPr>
    <w:rPr>
      <w:rFonts w:ascii="Cambria" w:hAnsi="Cambria"/>
      <w:color w:val="auto"/>
    </w:r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135">
    <w:name w:val="Medium Grid 1 - Accent 1135"/>
    <w:basedOn w:val="TableNormal"/>
    <w:next w:val="MediumGrid1-Accent1"/>
    <w:uiPriority w:val="67"/>
    <w:rsid w:val="003C3269"/>
    <w:pPr>
      <w:spacing w:after="0" w:line="240" w:lineRule="auto"/>
    </w:pPr>
    <w:rPr>
      <w:rFonts w:ascii="Cambria" w:hAnsi="Cambria"/>
      <w:color w:val="auto"/>
    </w:r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135">
    <w:name w:val="Light Shading - Accent 11135"/>
    <w:basedOn w:val="TableNormal"/>
    <w:uiPriority w:val="60"/>
    <w:rsid w:val="003C3269"/>
    <w:pPr>
      <w:spacing w:after="0" w:line="240" w:lineRule="auto"/>
    </w:pPr>
    <w:rPr>
      <w:rFonts w:ascii="Cambria" w:hAnsi="Cambria"/>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135">
    <w:name w:val="RSP_Style135"/>
    <w:basedOn w:val="TableNormal"/>
    <w:uiPriority w:val="99"/>
    <w:qFormat/>
    <w:rsid w:val="003C3269"/>
    <w:pPr>
      <w:spacing w:after="0" w:line="240" w:lineRule="auto"/>
    </w:pPr>
    <w:rPr>
      <w:rFonts w:ascii="Cambria" w:hAnsi="Cambria"/>
      <w:color w:val="auto"/>
    </w:rPr>
    <w:tblPr/>
  </w:style>
  <w:style w:type="table" w:customStyle="1" w:styleId="20122tableformat135">
    <w:name w:val="2012 2 table format135"/>
    <w:basedOn w:val="TableNormal"/>
    <w:uiPriority w:val="63"/>
    <w:rsid w:val="003C3269"/>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135">
    <w:name w:val="Medium Grid 1 - Accent 6135"/>
    <w:basedOn w:val="TableNormal"/>
    <w:next w:val="MediumGrid1-Accent6"/>
    <w:uiPriority w:val="67"/>
    <w:rsid w:val="003C3269"/>
    <w:pPr>
      <w:spacing w:after="0" w:line="240" w:lineRule="auto"/>
    </w:pPr>
    <w:rPr>
      <w:rFonts w:ascii="Cambria" w:hAnsi="Cambria"/>
      <w:color w:val="auto"/>
    </w:r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135">
    <w:name w:val="Light List - Accent 6135"/>
    <w:basedOn w:val="TableNormal"/>
    <w:next w:val="LightList-Accent6"/>
    <w:uiPriority w:val="61"/>
    <w:rsid w:val="003C3269"/>
    <w:pPr>
      <w:spacing w:after="0" w:line="240" w:lineRule="auto"/>
    </w:pPr>
    <w:rPr>
      <w:color w:val="auto"/>
    </w:r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135">
    <w:name w:val="Light Grid - Accent 11135"/>
    <w:basedOn w:val="TableNormal"/>
    <w:uiPriority w:val="62"/>
    <w:rsid w:val="003C3269"/>
    <w:pPr>
      <w:spacing w:after="0" w:line="240" w:lineRule="auto"/>
    </w:pPr>
    <w:rPr>
      <w:rFonts w:ascii="Cambria" w:hAnsi="Cambria"/>
      <w:color w:val="auto"/>
    </w:r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135">
    <w:name w:val="2012 Style135"/>
    <w:basedOn w:val="TableNormal"/>
    <w:uiPriority w:val="99"/>
    <w:qFormat/>
    <w:rsid w:val="003C3269"/>
    <w:pPr>
      <w:spacing w:after="0" w:line="240" w:lineRule="auto"/>
    </w:pPr>
    <w:rPr>
      <w:color w:val="auto"/>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135">
    <w:name w:val="Light Shading - Accent 12135"/>
    <w:basedOn w:val="TableNormal"/>
    <w:uiPriority w:val="60"/>
    <w:rsid w:val="003C3269"/>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table" w:customStyle="1" w:styleId="MediumShading1-Accent435">
    <w:name w:val="Medium Shading 1 - Accent 435"/>
    <w:basedOn w:val="TableNormal"/>
    <w:next w:val="MediumShading1-Accent4"/>
    <w:uiPriority w:val="63"/>
    <w:rsid w:val="003C3269"/>
    <w:pPr>
      <w:spacing w:after="0" w:line="240" w:lineRule="auto"/>
    </w:pPr>
    <w:rPr>
      <w:rFonts w:ascii="Cambria" w:hAnsi="Cambria"/>
      <w:color w:val="auto"/>
    </w:rPr>
    <w:tblPr>
      <w:tblStyleRowBandSize w:val="1"/>
      <w:tblStyleColBandSize w:val="1"/>
      <w:tbl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single" w:sz="8" w:space="0" w:color="FCCA63" w:themeColor="accent4" w:themeTint="BF"/>
      </w:tblBorders>
    </w:tblPr>
    <w:tblStylePr w:type="firstRow">
      <w:pPr>
        <w:spacing w:before="0" w:after="0" w:line="240" w:lineRule="auto"/>
      </w:pPr>
      <w:rPr>
        <w:b/>
        <w:bCs/>
        <w:color w:val="FFFFFF" w:themeColor="background1"/>
      </w:rPr>
      <w:tblPr/>
      <w:tcPr>
        <w:tc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shd w:val="clear" w:color="auto" w:fill="FBB92F" w:themeFill="accent4"/>
      </w:tcPr>
    </w:tblStylePr>
    <w:tblStylePr w:type="lastRow">
      <w:pPr>
        <w:spacing w:before="0" w:after="0" w:line="240" w:lineRule="auto"/>
      </w:pPr>
      <w:rPr>
        <w:b/>
        <w:bCs/>
      </w:rPr>
      <w:tblPr/>
      <w:tcPr>
        <w:tcBorders>
          <w:top w:val="double" w:sz="6"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tcPr>
    </w:tblStylePr>
    <w:tblStylePr w:type="firstCol">
      <w:rPr>
        <w:b/>
        <w:bCs/>
      </w:rPr>
    </w:tblStylePr>
    <w:tblStylePr w:type="lastCol">
      <w:rPr>
        <w:b/>
        <w:bCs/>
      </w:rPr>
    </w:tblStylePr>
    <w:tblStylePr w:type="band1Vert">
      <w:tblPr/>
      <w:tcPr>
        <w:shd w:val="clear" w:color="auto" w:fill="FEEDCB" w:themeFill="accent4" w:themeFillTint="3F"/>
      </w:tcPr>
    </w:tblStylePr>
    <w:tblStylePr w:type="band1Horz">
      <w:tblPr/>
      <w:tcPr>
        <w:tcBorders>
          <w:insideH w:val="nil"/>
          <w:insideV w:val="nil"/>
        </w:tcBorders>
        <w:shd w:val="clear" w:color="auto" w:fill="FEEDCB" w:themeFill="accent4" w:themeFillTint="3F"/>
      </w:tcPr>
    </w:tblStylePr>
    <w:tblStylePr w:type="band2Horz">
      <w:tblPr/>
      <w:tcPr>
        <w:tcBorders>
          <w:insideH w:val="nil"/>
          <w:insideV w:val="nil"/>
        </w:tcBorders>
      </w:tcPr>
    </w:tblStylePr>
  </w:style>
  <w:style w:type="table" w:customStyle="1" w:styleId="TableGrid55">
    <w:name w:val="Table Grid55"/>
    <w:basedOn w:val="TableNormal"/>
    <w:next w:val="TableGrid"/>
    <w:uiPriority w:val="59"/>
    <w:rsid w:val="003C3269"/>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
    <w:name w:val="Table Grid56"/>
    <w:basedOn w:val="TableNormal"/>
    <w:next w:val="TableGrid"/>
    <w:uiPriority w:val="59"/>
    <w:rsid w:val="00DB20B1"/>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Theme="minorHAnsi" w:hAnsi="Calibri" w:cs="Times New Roman"/>
        <w:color w:val="62777F" w:themeColor="text1"/>
        <w:lang w:val="en-US" w:eastAsia="en-US" w:bidi="ar-SA"/>
      </w:rPr>
    </w:rPrDefault>
    <w:pPrDefault>
      <w:pPr>
        <w:spacing w:after="120" w:line="260" w:lineRule="atLeast"/>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uiPriority="0"/>
    <w:lsdException w:name="index 2" w:uiPriority="0"/>
    <w:lsdException w:name="index 3" w:uiPriority="0"/>
    <w:lsdException w:name="index 4" w:uiPriority="0"/>
    <w:lsdException w:name="index 5" w:uiPriority="0"/>
    <w:lsdException w:name="index 6" w:uiPriority="0"/>
    <w:lsdException w:name="index 7" w:uiPriority="0"/>
    <w:lsdException w:name="index 8" w:uiPriority="0"/>
    <w:lsdException w:name="index 9" w:uiPriority="0"/>
    <w:lsdException w:name="toc 1" w:uiPriority="39" w:qFormat="1"/>
    <w:lsdException w:name="toc 2" w:uiPriority="39" w:qFormat="1"/>
    <w:lsdException w:name="toc 3" w:uiPriority="39" w:qFormat="1"/>
    <w:lsdException w:name="toc 4" w:uiPriority="39" w:qFormat="1"/>
    <w:lsdException w:name="toc 5" w:uiPriority="39" w:qFormat="1"/>
    <w:lsdException w:name="toc 6" w:uiPriority="39" w:qFormat="1"/>
    <w:lsdException w:name="toc 7" w:uiPriority="39" w:qFormat="1"/>
    <w:lsdException w:name="toc 8" w:uiPriority="39" w:qFormat="1"/>
    <w:lsdException w:name="toc 9" w:uiPriority="39" w:qFormat="1"/>
    <w:lsdException w:name="Normal Indent" w:uiPriority="0"/>
    <w:lsdException w:name="footnote text" w:qFormat="1"/>
    <w:lsdException w:name="index heading" w:uiPriority="0"/>
    <w:lsdException w:name="caption" w:uiPriority="35" w:qFormat="1"/>
    <w:lsdException w:name="envelope address" w:uiPriority="0"/>
    <w:lsdException w:name="envelope return" w:uiPriority="0"/>
    <w:lsdException w:name="footnote reference" w:qFormat="1"/>
    <w:lsdException w:name="page number" w:uiPriority="0"/>
    <w:lsdException w:name="table of authorities" w:uiPriority="0"/>
    <w:lsdException w:name="macro" w:uiPriority="0"/>
    <w:lsdException w:name="toa heading" w:uiPriority="0"/>
    <w:lsdException w:name="List" w:uiPriority="0"/>
    <w:lsdException w:name="List Bullet" w:uiPriority="0"/>
    <w:lsdException w:name="List Number" w:uiPriority="0"/>
    <w:lsdException w:name="List 2" w:uiPriority="0"/>
    <w:lsdException w:name="List 3" w:uiPriority="0"/>
    <w:lsdException w:name="List 4" w:uiPriority="0"/>
    <w:lsdException w:name="List 5" w:uiPriority="0"/>
    <w:lsdException w:name="List Bullet 2" w:uiPriority="0"/>
    <w:lsdException w:name="List Bullet 3" w:uiPriority="0"/>
    <w:lsdException w:name="List Bullet 4" w:uiPriority="0"/>
    <w:lsdException w:name="List Bullet 5" w:uiPriority="0"/>
    <w:lsdException w:name="List Number 2" w:uiPriority="0"/>
    <w:lsdException w:name="List Number 3" w:uiPriority="0"/>
    <w:lsdException w:name="List Number 4" w:uiPriority="0"/>
    <w:lsdException w:name="List Number 5" w:uiPriority="0"/>
    <w:lsdException w:name="Title" w:semiHidden="0" w:uiPriority="0" w:unhideWhenUsed="0" w:qFormat="1"/>
    <w:lsdException w:name="Closing" w:uiPriority="0"/>
    <w:lsdException w:name="Signature" w:uiPriority="0"/>
    <w:lsdException w:name="Default Paragraph Font" w:uiPriority="1"/>
    <w:lsdException w:name="Body Text" w:uiPriority="0"/>
    <w:lsdException w:name="Body Text Indent" w:uiPriority="0"/>
    <w:lsdException w:name="List Continue" w:uiPriority="0"/>
    <w:lsdException w:name="List Continue 2" w:uiPriority="0"/>
    <w:lsdException w:name="List Continue 3" w:uiPriority="0"/>
    <w:lsdException w:name="List Continue 4" w:uiPriority="0"/>
    <w:lsdException w:name="List Continue 5" w:uiPriority="0"/>
    <w:lsdException w:name="Message Header" w:uiPriority="0"/>
    <w:lsdException w:name="Subtitle" w:semiHidden="0" w:uiPriority="0" w:unhideWhenUsed="0" w:qFormat="1"/>
    <w:lsdException w:name="Salutation" w:uiPriority="0"/>
    <w:lsdException w:name="Date" w:uiPriority="0"/>
    <w:lsdException w:name="Body Text First Indent" w:uiPriority="0"/>
    <w:lsdException w:name="Body Text First Indent 2" w:uiPriority="0"/>
    <w:lsdException w:name="Note Heading" w:uiPriority="0"/>
    <w:lsdException w:name="Body Text 2" w:uiPriority="0"/>
    <w:lsdException w:name="Body Text 3" w:uiPriority="0"/>
    <w:lsdException w:name="Body Text Indent 2" w:uiPriority="0"/>
    <w:lsdException w:name="Body Text Indent 3" w:uiPriority="0"/>
    <w:lsdException w:name="Block Text" w:uiPriority="0" w:qFormat="1"/>
    <w:lsdException w:name="FollowedHyperlink" w:uiPriority="0"/>
    <w:lsdException w:name="Strong" w:semiHidden="0" w:uiPriority="22" w:unhideWhenUsed="0" w:qFormat="1"/>
    <w:lsdException w:name="Emphasis" w:semiHidden="0" w:uiPriority="0" w:unhideWhenUsed="0" w:qFormat="1"/>
    <w:lsdException w:name="Document Map" w:uiPriority="0"/>
    <w:lsdException w:name="E-mail Signature" w:uiPriority="0"/>
    <w:lsdException w:name="HTML Address" w:uiPriority="0"/>
    <w:lsdException w:name="HTML Definition" w:uiPriority="0"/>
    <w:lsdException w:name="HTML Preformatted" w:uiPriority="0"/>
    <w:lsdException w:name="Balloon Text"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qFormat="1"/>
    <w:lsdException w:name="TOC Heading" w:uiPriority="39" w:qFormat="1"/>
  </w:latentStyles>
  <w:style w:type="paragraph" w:default="1" w:styleId="Normal">
    <w:name w:val="Normal"/>
    <w:qFormat/>
    <w:rsid w:val="001F78DF"/>
    <w:pPr>
      <w:spacing w:after="240"/>
    </w:pPr>
    <w:rPr>
      <w:rFonts w:ascii="Cambria" w:hAnsi="Cambria"/>
      <w:color w:val="auto"/>
    </w:rPr>
  </w:style>
  <w:style w:type="paragraph" w:styleId="Heading1">
    <w:name w:val="heading 1"/>
    <w:basedOn w:val="Normal"/>
    <w:next w:val="Normal"/>
    <w:link w:val="Heading1Char9"/>
    <w:qFormat/>
    <w:rsid w:val="00D945E2"/>
    <w:pPr>
      <w:keepNext/>
      <w:keepLines/>
      <w:pageBreakBefore/>
      <w:numPr>
        <w:numId w:val="26"/>
      </w:numPr>
      <w:outlineLvl w:val="0"/>
    </w:pPr>
    <w:rPr>
      <w:rFonts w:ascii="Calibri" w:eastAsiaTheme="majorEastAsia" w:hAnsi="Calibri" w:cstheme="majorBidi"/>
      <w:b/>
      <w:bCs/>
      <w:color w:val="1795D2" w:themeColor="accent1"/>
      <w:sz w:val="36"/>
      <w:szCs w:val="28"/>
    </w:rPr>
  </w:style>
  <w:style w:type="paragraph" w:styleId="Heading2">
    <w:name w:val="heading 2"/>
    <w:basedOn w:val="Normal"/>
    <w:next w:val="Normal"/>
    <w:link w:val="Heading2Char10"/>
    <w:unhideWhenUsed/>
    <w:qFormat/>
    <w:rsid w:val="00B62AF0"/>
    <w:pPr>
      <w:keepNext/>
      <w:keepLines/>
      <w:numPr>
        <w:ilvl w:val="1"/>
        <w:numId w:val="26"/>
      </w:numPr>
      <w:pBdr>
        <w:bottom w:val="single" w:sz="2" w:space="1" w:color="auto"/>
      </w:pBdr>
      <w:spacing w:after="120"/>
      <w:outlineLvl w:val="1"/>
    </w:pPr>
    <w:rPr>
      <w:rFonts w:ascii="Calibri" w:eastAsiaTheme="majorEastAsia" w:hAnsi="Calibri" w:cstheme="majorBidi"/>
      <w:b/>
      <w:bCs/>
      <w:sz w:val="24"/>
      <w:szCs w:val="26"/>
    </w:rPr>
  </w:style>
  <w:style w:type="paragraph" w:styleId="Heading3">
    <w:name w:val="heading 3"/>
    <w:basedOn w:val="Normal"/>
    <w:next w:val="Normal"/>
    <w:link w:val="Heading3Char17"/>
    <w:unhideWhenUsed/>
    <w:qFormat/>
    <w:rsid w:val="00AD30BF"/>
    <w:pPr>
      <w:keepNext/>
      <w:keepLines/>
      <w:numPr>
        <w:ilvl w:val="2"/>
        <w:numId w:val="26"/>
      </w:numPr>
      <w:spacing w:after="120"/>
      <w:outlineLvl w:val="2"/>
    </w:pPr>
    <w:rPr>
      <w:rFonts w:ascii="Calibri" w:eastAsiaTheme="majorEastAsia" w:hAnsi="Calibri" w:cstheme="majorBidi"/>
      <w:b/>
      <w:bCs/>
    </w:rPr>
  </w:style>
  <w:style w:type="paragraph" w:styleId="Heading4">
    <w:name w:val="heading 4"/>
    <w:basedOn w:val="Normal"/>
    <w:next w:val="Normal"/>
    <w:link w:val="Heading4Char10"/>
    <w:unhideWhenUsed/>
    <w:qFormat/>
    <w:rsid w:val="00A72CA4"/>
    <w:pPr>
      <w:keepNext/>
      <w:keepLines/>
      <w:numPr>
        <w:ilvl w:val="3"/>
        <w:numId w:val="26"/>
      </w:numPr>
      <w:spacing w:after="120"/>
      <w:outlineLvl w:val="3"/>
    </w:pPr>
    <w:rPr>
      <w:rFonts w:ascii="Calibri" w:eastAsiaTheme="majorEastAsia" w:hAnsi="Calibri" w:cstheme="majorBidi"/>
      <w:bCs/>
      <w:i/>
      <w:iCs/>
    </w:rPr>
  </w:style>
  <w:style w:type="paragraph" w:styleId="Heading5">
    <w:name w:val="heading 5"/>
    <w:basedOn w:val="Normal"/>
    <w:next w:val="Normal"/>
    <w:link w:val="Heading5Char"/>
    <w:autoRedefine/>
    <w:unhideWhenUsed/>
    <w:qFormat/>
    <w:rsid w:val="00AC69C3"/>
    <w:pPr>
      <w:keepNext/>
      <w:keepLines/>
      <w:numPr>
        <w:ilvl w:val="4"/>
        <w:numId w:val="26"/>
      </w:numPr>
      <w:spacing w:before="200"/>
      <w:outlineLvl w:val="4"/>
    </w:pPr>
    <w:rPr>
      <w:rFonts w:eastAsiaTheme="majorEastAsia" w:cstheme="majorBidi"/>
    </w:rPr>
  </w:style>
  <w:style w:type="paragraph" w:styleId="Heading6">
    <w:name w:val="heading 6"/>
    <w:basedOn w:val="Normal"/>
    <w:next w:val="Normal"/>
    <w:link w:val="Heading6Char"/>
    <w:autoRedefine/>
    <w:unhideWhenUsed/>
    <w:qFormat/>
    <w:rsid w:val="00AC69C3"/>
    <w:pPr>
      <w:keepNext/>
      <w:keepLines/>
      <w:numPr>
        <w:ilvl w:val="5"/>
        <w:numId w:val="26"/>
      </w:numPr>
      <w:spacing w:before="200"/>
      <w:outlineLvl w:val="5"/>
    </w:pPr>
    <w:rPr>
      <w:rFonts w:eastAsiaTheme="majorEastAsia" w:cstheme="majorBidi"/>
      <w:i/>
      <w:iCs/>
      <w:color w:val="0B4968" w:themeColor="accent1" w:themeShade="7F"/>
    </w:rPr>
  </w:style>
  <w:style w:type="paragraph" w:styleId="Heading7">
    <w:name w:val="heading 7"/>
    <w:basedOn w:val="Normal"/>
    <w:next w:val="Normal"/>
    <w:link w:val="Heading7Char"/>
    <w:autoRedefine/>
    <w:unhideWhenUsed/>
    <w:qFormat/>
    <w:rsid w:val="00AC69C3"/>
    <w:pPr>
      <w:keepNext/>
      <w:keepLines/>
      <w:numPr>
        <w:ilvl w:val="6"/>
        <w:numId w:val="26"/>
      </w:numPr>
      <w:spacing w:before="200"/>
      <w:outlineLvl w:val="6"/>
    </w:pPr>
    <w:rPr>
      <w:rFonts w:eastAsiaTheme="majorEastAsia" w:cstheme="majorBidi"/>
      <w:i/>
      <w:iCs/>
      <w:color w:val="869AA2" w:themeColor="text1" w:themeTint="BF"/>
    </w:rPr>
  </w:style>
  <w:style w:type="paragraph" w:styleId="Heading8">
    <w:name w:val="heading 8"/>
    <w:basedOn w:val="Normal"/>
    <w:next w:val="Normal"/>
    <w:link w:val="Heading8Char"/>
    <w:autoRedefine/>
    <w:unhideWhenUsed/>
    <w:qFormat/>
    <w:rsid w:val="00AC69C3"/>
    <w:pPr>
      <w:keepNext/>
      <w:keepLines/>
      <w:numPr>
        <w:ilvl w:val="7"/>
        <w:numId w:val="26"/>
      </w:numPr>
      <w:spacing w:before="200"/>
      <w:outlineLvl w:val="7"/>
    </w:pPr>
    <w:rPr>
      <w:rFonts w:eastAsiaTheme="majorEastAsia" w:cstheme="majorBidi"/>
      <w:color w:val="869AA2" w:themeColor="text1" w:themeTint="BF"/>
    </w:rPr>
  </w:style>
  <w:style w:type="paragraph" w:styleId="Heading9">
    <w:name w:val="heading 9"/>
    <w:basedOn w:val="Normal"/>
    <w:next w:val="Normal"/>
    <w:link w:val="Heading9Char"/>
    <w:autoRedefine/>
    <w:unhideWhenUsed/>
    <w:qFormat/>
    <w:rsid w:val="00AC69C3"/>
    <w:pPr>
      <w:keepNext/>
      <w:keepLines/>
      <w:numPr>
        <w:ilvl w:val="8"/>
        <w:numId w:val="26"/>
      </w:numPr>
      <w:spacing w:before="200"/>
      <w:outlineLvl w:val="8"/>
    </w:pPr>
    <w:rPr>
      <w:rFonts w:eastAsiaTheme="majorEastAsia" w:cstheme="majorBidi"/>
      <w:i/>
      <w:iCs/>
      <w:color w:val="869AA2" w:themeColor="text1" w:themeTint="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numbering" w:customStyle="1" w:styleId="CurrentList1">
    <w:name w:val="Current List1"/>
    <w:rsid w:val="00D56240"/>
  </w:style>
  <w:style w:type="character" w:customStyle="1" w:styleId="Heading1Char">
    <w:name w:val="Heading 1 Char"/>
    <w:basedOn w:val="DefaultParagraphFont"/>
    <w:rsid w:val="009845AD"/>
    <w:rPr>
      <w:rFonts w:ascii="Calibri" w:eastAsia="Times New Roman" w:hAnsi="Calibri" w:cs="Times New Roman"/>
      <w:b/>
      <w:bCs/>
      <w:color w:val="1E6A9A" w:themeColor="text2"/>
      <w:sz w:val="32"/>
      <w:szCs w:val="36"/>
    </w:rPr>
  </w:style>
  <w:style w:type="character" w:customStyle="1" w:styleId="Heading2Char">
    <w:name w:val="Heading 2 Char"/>
    <w:basedOn w:val="DefaultParagraphFont"/>
    <w:rsid w:val="009C2478"/>
    <w:rPr>
      <w:rFonts w:asciiTheme="minorHAnsi" w:eastAsia="Times New Roman" w:hAnsiTheme="minorHAnsi"/>
      <w:b/>
      <w:color w:val="62777F" w:themeColor="text1"/>
      <w:sz w:val="24"/>
      <w:szCs w:val="28"/>
    </w:rPr>
  </w:style>
  <w:style w:type="character" w:customStyle="1" w:styleId="Heading3Char">
    <w:name w:val="Heading 3 Char"/>
    <w:basedOn w:val="DefaultParagraphFont"/>
    <w:rsid w:val="00E70B45"/>
    <w:rPr>
      <w:rFonts w:cs="Arial"/>
      <w:b/>
      <w:color w:val="62777F" w:themeColor="text1"/>
      <w:sz w:val="20"/>
      <w:szCs w:val="20"/>
    </w:rPr>
  </w:style>
  <w:style w:type="character" w:customStyle="1" w:styleId="Heading4Char">
    <w:name w:val="Heading 4 Char"/>
    <w:basedOn w:val="DefaultParagraphFont"/>
    <w:rsid w:val="00473FBA"/>
    <w:rPr>
      <w:rFonts w:ascii="Calibri" w:hAnsi="Calibri"/>
      <w:i/>
      <w:iCs/>
      <w:color w:val="62777F" w:themeColor="text1"/>
      <w:sz w:val="20"/>
      <w:szCs w:val="20"/>
    </w:rPr>
  </w:style>
  <w:style w:type="paragraph" w:styleId="Title">
    <w:name w:val="Title"/>
    <w:basedOn w:val="Normal"/>
    <w:next w:val="Normal"/>
    <w:link w:val="TitleChar"/>
    <w:autoRedefine/>
    <w:qFormat/>
    <w:rsid w:val="00AC69C3"/>
    <w:pPr>
      <w:pBdr>
        <w:bottom w:val="single" w:sz="12" w:space="4" w:color="auto"/>
      </w:pBdr>
      <w:spacing w:after="300" w:line="240" w:lineRule="auto"/>
      <w:contextualSpacing/>
    </w:pPr>
    <w:rPr>
      <w:rFonts w:eastAsiaTheme="majorEastAsia" w:cstheme="majorBidi"/>
      <w:spacing w:val="5"/>
      <w:kern w:val="28"/>
      <w:sz w:val="52"/>
      <w:szCs w:val="52"/>
    </w:rPr>
  </w:style>
  <w:style w:type="character" w:customStyle="1" w:styleId="TitleChar">
    <w:name w:val="Title Char"/>
    <w:basedOn w:val="DefaultParagraphFont"/>
    <w:link w:val="Title"/>
    <w:rsid w:val="00AC69C3"/>
    <w:rPr>
      <w:rFonts w:ascii="Times New Roman" w:eastAsiaTheme="majorEastAsia" w:hAnsi="Times New Roman" w:cstheme="majorBidi"/>
      <w:spacing w:val="5"/>
      <w:kern w:val="28"/>
      <w:sz w:val="52"/>
      <w:szCs w:val="52"/>
    </w:rPr>
  </w:style>
  <w:style w:type="character" w:styleId="IntenseEmphasis">
    <w:name w:val="Intense Emphasis"/>
    <w:basedOn w:val="DefaultParagraphFont"/>
    <w:uiPriority w:val="21"/>
    <w:qFormat/>
    <w:rsid w:val="00AC69C3"/>
    <w:rPr>
      <w:rFonts w:ascii="Arial" w:hAnsi="Arial"/>
      <w:b/>
      <w:bCs/>
      <w:i/>
      <w:iCs/>
      <w:color w:val="auto"/>
    </w:rPr>
  </w:style>
  <w:style w:type="paragraph" w:styleId="Subtitle">
    <w:name w:val="Subtitle"/>
    <w:basedOn w:val="Normal"/>
    <w:next w:val="Normal"/>
    <w:link w:val="SubtitleChar"/>
    <w:autoRedefine/>
    <w:qFormat/>
    <w:rsid w:val="00AC69C3"/>
    <w:pPr>
      <w:numPr>
        <w:ilvl w:val="1"/>
      </w:numPr>
    </w:pPr>
    <w:rPr>
      <w:rFonts w:eastAsiaTheme="majorEastAsia" w:cstheme="majorBidi"/>
      <w:i/>
      <w:iCs/>
      <w:spacing w:val="15"/>
      <w:sz w:val="24"/>
      <w:szCs w:val="24"/>
    </w:rPr>
  </w:style>
  <w:style w:type="character" w:customStyle="1" w:styleId="SubtitleChar">
    <w:name w:val="Subtitle Char"/>
    <w:basedOn w:val="DefaultParagraphFont"/>
    <w:link w:val="Subtitle"/>
    <w:rsid w:val="00AC69C3"/>
    <w:rPr>
      <w:rFonts w:ascii="Times New Roman" w:eastAsiaTheme="majorEastAsia" w:hAnsi="Times New Roman" w:cstheme="majorBidi"/>
      <w:i/>
      <w:iCs/>
      <w:spacing w:val="15"/>
      <w:sz w:val="24"/>
      <w:szCs w:val="24"/>
    </w:rPr>
  </w:style>
  <w:style w:type="character" w:styleId="SubtleEmphasis">
    <w:name w:val="Subtle Emphasis"/>
    <w:basedOn w:val="DefaultParagraphFont"/>
    <w:uiPriority w:val="19"/>
    <w:qFormat/>
    <w:rsid w:val="00AC69C3"/>
    <w:rPr>
      <w:rFonts w:ascii="Times New Roman" w:hAnsi="Times New Roman"/>
      <w:i/>
      <w:iCs/>
      <w:color w:val="AEBCC1" w:themeColor="text1" w:themeTint="7F"/>
    </w:rPr>
  </w:style>
  <w:style w:type="character" w:customStyle="1" w:styleId="Heading5Char">
    <w:name w:val="Heading 5 Char"/>
    <w:basedOn w:val="DefaultParagraphFont"/>
    <w:link w:val="Heading5"/>
    <w:rsid w:val="00AC69C3"/>
    <w:rPr>
      <w:rFonts w:ascii="Cambria" w:eastAsiaTheme="majorEastAsia" w:hAnsi="Cambria" w:cstheme="majorBidi"/>
      <w:color w:val="auto"/>
    </w:rPr>
  </w:style>
  <w:style w:type="paragraph" w:styleId="IntenseQuote">
    <w:name w:val="Intense Quote"/>
    <w:basedOn w:val="Normal"/>
    <w:next w:val="Normal"/>
    <w:link w:val="IntenseQuoteChar"/>
    <w:autoRedefine/>
    <w:uiPriority w:val="30"/>
    <w:qFormat/>
    <w:rsid w:val="00AC69C3"/>
    <w:pPr>
      <w:spacing w:before="200" w:after="280"/>
      <w:ind w:left="936" w:right="936"/>
    </w:pPr>
    <w:rPr>
      <w:b/>
      <w:bCs/>
      <w:i/>
      <w:iCs/>
      <w:color w:val="AEBBC0" w:themeColor="text1" w:themeTint="80"/>
    </w:rPr>
  </w:style>
  <w:style w:type="character" w:customStyle="1" w:styleId="IntenseQuoteChar">
    <w:name w:val="Intense Quote Char"/>
    <w:basedOn w:val="DefaultParagraphFont"/>
    <w:link w:val="IntenseQuote"/>
    <w:uiPriority w:val="30"/>
    <w:rsid w:val="00AC69C3"/>
    <w:rPr>
      <w:rFonts w:ascii="Times New Roman" w:hAnsi="Times New Roman"/>
      <w:b/>
      <w:bCs/>
      <w:i/>
      <w:iCs/>
      <w:color w:val="AEBBC0" w:themeColor="text1" w:themeTint="80"/>
    </w:rPr>
  </w:style>
  <w:style w:type="character" w:styleId="BookTitle">
    <w:name w:val="Book Title"/>
    <w:basedOn w:val="DefaultParagraphFont"/>
    <w:uiPriority w:val="33"/>
    <w:qFormat/>
    <w:rsid w:val="00AC69C3"/>
    <w:rPr>
      <w:rFonts w:ascii="Arial" w:hAnsi="Arial"/>
      <w:b/>
      <w:bCs/>
      <w:smallCaps/>
      <w:spacing w:val="5"/>
    </w:rPr>
  </w:style>
  <w:style w:type="character" w:styleId="IntenseReference">
    <w:name w:val="Intense Reference"/>
    <w:basedOn w:val="DefaultParagraphFont"/>
    <w:uiPriority w:val="32"/>
    <w:qFormat/>
    <w:rsid w:val="00AC69C3"/>
    <w:rPr>
      <w:rFonts w:ascii="Arial" w:hAnsi="Arial"/>
      <w:b/>
      <w:bCs/>
      <w:smallCaps/>
      <w:color w:val="8555A1" w:themeColor="accent2"/>
      <w:spacing w:val="5"/>
      <w:u w:val="single"/>
    </w:rPr>
  </w:style>
  <w:style w:type="character" w:styleId="SubtleReference">
    <w:name w:val="Subtle Reference"/>
    <w:basedOn w:val="DefaultParagraphFont"/>
    <w:uiPriority w:val="31"/>
    <w:qFormat/>
    <w:rsid w:val="00AC69C3"/>
    <w:rPr>
      <w:rFonts w:ascii="Arial" w:hAnsi="Arial"/>
      <w:smallCaps/>
      <w:color w:val="8555A1" w:themeColor="accent2"/>
      <w:u w:val="single"/>
    </w:rPr>
  </w:style>
  <w:style w:type="paragraph" w:styleId="Quote">
    <w:name w:val="Quote"/>
    <w:basedOn w:val="Normal"/>
    <w:next w:val="Normal"/>
    <w:link w:val="QuoteChar"/>
    <w:autoRedefine/>
    <w:uiPriority w:val="29"/>
    <w:qFormat/>
    <w:rsid w:val="00AC69C3"/>
    <w:rPr>
      <w:i/>
      <w:iCs/>
    </w:rPr>
  </w:style>
  <w:style w:type="character" w:customStyle="1" w:styleId="QuoteChar">
    <w:name w:val="Quote Char"/>
    <w:basedOn w:val="DefaultParagraphFont"/>
    <w:link w:val="Quote"/>
    <w:uiPriority w:val="29"/>
    <w:rsid w:val="00AC69C3"/>
    <w:rPr>
      <w:rFonts w:ascii="Times New Roman" w:hAnsi="Times New Roman"/>
      <w:i/>
      <w:iCs/>
      <w:color w:val="62777F" w:themeColor="text1"/>
    </w:rPr>
  </w:style>
  <w:style w:type="character" w:styleId="Strong">
    <w:name w:val="Strong"/>
    <w:basedOn w:val="DefaultParagraphFont"/>
    <w:uiPriority w:val="22"/>
    <w:qFormat/>
    <w:rsid w:val="00AC69C3"/>
    <w:rPr>
      <w:b/>
      <w:bCs/>
    </w:rPr>
  </w:style>
  <w:style w:type="paragraph" w:styleId="NoSpacing">
    <w:name w:val="No Spacing"/>
    <w:link w:val="NoSpacingChar"/>
    <w:autoRedefine/>
    <w:uiPriority w:val="1"/>
    <w:qFormat/>
    <w:rsid w:val="00437B98"/>
    <w:pPr>
      <w:numPr>
        <w:numId w:val="22"/>
      </w:numPr>
      <w:spacing w:after="240"/>
    </w:pPr>
    <w:rPr>
      <w:rFonts w:asciiTheme="majorHAnsi" w:hAnsiTheme="majorHAnsi"/>
    </w:rPr>
  </w:style>
  <w:style w:type="character" w:customStyle="1" w:styleId="Heading6Char">
    <w:name w:val="Heading 6 Char"/>
    <w:basedOn w:val="DefaultParagraphFont"/>
    <w:link w:val="Heading6"/>
    <w:rsid w:val="00AC69C3"/>
    <w:rPr>
      <w:rFonts w:ascii="Cambria" w:eastAsiaTheme="majorEastAsia" w:hAnsi="Cambria" w:cstheme="majorBidi"/>
      <w:i/>
      <w:iCs/>
      <w:color w:val="0B4968" w:themeColor="accent1" w:themeShade="7F"/>
    </w:rPr>
  </w:style>
  <w:style w:type="character" w:customStyle="1" w:styleId="Heading7Char">
    <w:name w:val="Heading 7 Char"/>
    <w:basedOn w:val="DefaultParagraphFont"/>
    <w:link w:val="Heading7"/>
    <w:rsid w:val="00AC69C3"/>
    <w:rPr>
      <w:rFonts w:ascii="Cambria" w:eastAsiaTheme="majorEastAsia" w:hAnsi="Cambria" w:cstheme="majorBidi"/>
      <w:i/>
      <w:iCs/>
      <w:color w:val="869AA2" w:themeColor="text1" w:themeTint="BF"/>
    </w:rPr>
  </w:style>
  <w:style w:type="character" w:customStyle="1" w:styleId="Heading8Char">
    <w:name w:val="Heading 8 Char"/>
    <w:basedOn w:val="DefaultParagraphFont"/>
    <w:link w:val="Heading8"/>
    <w:rsid w:val="00AC69C3"/>
    <w:rPr>
      <w:rFonts w:ascii="Cambria" w:eastAsiaTheme="majorEastAsia" w:hAnsi="Cambria" w:cstheme="majorBidi"/>
      <w:color w:val="869AA2" w:themeColor="text1" w:themeTint="BF"/>
    </w:rPr>
  </w:style>
  <w:style w:type="character" w:customStyle="1" w:styleId="Heading9Char">
    <w:name w:val="Heading 9 Char"/>
    <w:basedOn w:val="DefaultParagraphFont"/>
    <w:link w:val="Heading9"/>
    <w:rsid w:val="00AC69C3"/>
    <w:rPr>
      <w:rFonts w:ascii="Cambria" w:eastAsiaTheme="majorEastAsia" w:hAnsi="Cambria" w:cstheme="majorBidi"/>
      <w:i/>
      <w:iCs/>
      <w:color w:val="869AA2" w:themeColor="text1" w:themeTint="BF"/>
    </w:rPr>
  </w:style>
  <w:style w:type="character" w:customStyle="1" w:styleId="Heading1Char2">
    <w:name w:val="Heading 1 Char2"/>
    <w:basedOn w:val="DefaultParagraphFont"/>
    <w:rsid w:val="006B5C31"/>
    <w:rPr>
      <w:rFonts w:ascii="Calibri" w:eastAsiaTheme="majorEastAsia" w:hAnsi="Calibri" w:cstheme="majorBidi"/>
      <w:b/>
      <w:bCs/>
      <w:color w:val="0070C0"/>
      <w:sz w:val="36"/>
      <w:szCs w:val="28"/>
    </w:rPr>
  </w:style>
  <w:style w:type="paragraph" w:styleId="Bibliography">
    <w:name w:val="Bibliography"/>
    <w:basedOn w:val="Normal"/>
    <w:next w:val="Normal"/>
    <w:autoRedefine/>
    <w:uiPriority w:val="37"/>
    <w:semiHidden/>
    <w:unhideWhenUsed/>
    <w:qFormat/>
    <w:rsid w:val="00AC69C3"/>
  </w:style>
  <w:style w:type="character" w:customStyle="1" w:styleId="Heading3Char7">
    <w:name w:val="Heading 3 Char7"/>
    <w:basedOn w:val="DefaultParagraphFont"/>
    <w:rsid w:val="006B5C31"/>
    <w:rPr>
      <w:rFonts w:ascii="Calibri" w:eastAsiaTheme="majorEastAsia" w:hAnsi="Calibri" w:cstheme="majorBidi"/>
      <w:b/>
      <w:bCs/>
    </w:rPr>
  </w:style>
  <w:style w:type="paragraph" w:styleId="TOC2">
    <w:name w:val="toc 2"/>
    <w:basedOn w:val="Normal"/>
    <w:next w:val="Normal"/>
    <w:autoRedefine/>
    <w:uiPriority w:val="39"/>
    <w:unhideWhenUsed/>
    <w:qFormat/>
    <w:rsid w:val="00D945E2"/>
    <w:pPr>
      <w:tabs>
        <w:tab w:val="right" w:leader="dot" w:pos="9360"/>
      </w:tabs>
      <w:spacing w:after="120" w:line="240" w:lineRule="auto"/>
    </w:pPr>
    <w:rPr>
      <w:rFonts w:asciiTheme="majorHAnsi" w:eastAsiaTheme="majorEastAsia" w:hAnsiTheme="majorHAnsi" w:cstheme="majorBidi"/>
      <w:bCs/>
      <w:iCs/>
      <w:noProof/>
      <w14:scene3d>
        <w14:camera w14:prst="orthographicFront"/>
        <w14:lightRig w14:rig="threePt" w14:dir="t">
          <w14:rot w14:lat="0" w14:lon="0" w14:rev="0"/>
        </w14:lightRig>
      </w14:scene3d>
    </w:rPr>
  </w:style>
  <w:style w:type="paragraph" w:styleId="TOC3">
    <w:name w:val="toc 3"/>
    <w:basedOn w:val="Normal"/>
    <w:next w:val="Normal"/>
    <w:autoRedefine/>
    <w:uiPriority w:val="39"/>
    <w:unhideWhenUsed/>
    <w:qFormat/>
    <w:rsid w:val="005852D8"/>
    <w:pPr>
      <w:tabs>
        <w:tab w:val="right" w:leader="dot" w:pos="9360"/>
        <w:tab w:val="right" w:leader="dot" w:pos="9450"/>
      </w:tabs>
      <w:spacing w:after="40"/>
      <w:ind w:left="907" w:hanging="547"/>
    </w:pPr>
    <w:rPr>
      <w:rFonts w:ascii="Calibri" w:eastAsiaTheme="majorEastAsia" w:hAnsi="Calibri" w:cstheme="majorBidi"/>
      <w:noProof/>
      <w14:scene3d>
        <w14:camera w14:prst="orthographicFront"/>
        <w14:lightRig w14:rig="threePt" w14:dir="t">
          <w14:rot w14:lat="0" w14:lon="0" w14:rev="0"/>
        </w14:lightRig>
      </w14:scene3d>
    </w:rPr>
  </w:style>
  <w:style w:type="paragraph" w:styleId="TOC4">
    <w:name w:val="toc 4"/>
    <w:basedOn w:val="Normal"/>
    <w:next w:val="Normal"/>
    <w:autoRedefine/>
    <w:uiPriority w:val="39"/>
    <w:unhideWhenUsed/>
    <w:qFormat/>
    <w:rsid w:val="00AC69C3"/>
    <w:pPr>
      <w:ind w:left="360"/>
    </w:pPr>
  </w:style>
  <w:style w:type="paragraph" w:styleId="TOC5">
    <w:name w:val="toc 5"/>
    <w:basedOn w:val="Normal"/>
    <w:next w:val="Normal"/>
    <w:autoRedefine/>
    <w:uiPriority w:val="39"/>
    <w:unhideWhenUsed/>
    <w:qFormat/>
    <w:rsid w:val="00AC69C3"/>
    <w:pPr>
      <w:ind w:left="360"/>
    </w:pPr>
  </w:style>
  <w:style w:type="paragraph" w:styleId="TOC6">
    <w:name w:val="toc 6"/>
    <w:basedOn w:val="Normal"/>
    <w:next w:val="Normal"/>
    <w:autoRedefine/>
    <w:uiPriority w:val="39"/>
    <w:unhideWhenUsed/>
    <w:qFormat/>
    <w:rsid w:val="00AC69C3"/>
    <w:pPr>
      <w:ind w:left="360"/>
    </w:pPr>
    <w:rPr>
      <w:rFonts w:ascii="Arial" w:hAnsi="Arial"/>
      <w:sz w:val="18"/>
    </w:rPr>
  </w:style>
  <w:style w:type="paragraph" w:styleId="TOC7">
    <w:name w:val="toc 7"/>
    <w:basedOn w:val="Normal"/>
    <w:next w:val="Normal"/>
    <w:autoRedefine/>
    <w:uiPriority w:val="39"/>
    <w:unhideWhenUsed/>
    <w:qFormat/>
    <w:rsid w:val="00AC69C3"/>
    <w:pPr>
      <w:ind w:left="360"/>
    </w:pPr>
    <w:rPr>
      <w:sz w:val="18"/>
    </w:rPr>
  </w:style>
  <w:style w:type="paragraph" w:styleId="TOC9">
    <w:name w:val="toc 9"/>
    <w:basedOn w:val="Normal"/>
    <w:next w:val="Normal"/>
    <w:autoRedefine/>
    <w:uiPriority w:val="39"/>
    <w:unhideWhenUsed/>
    <w:qFormat/>
    <w:rsid w:val="00AC69C3"/>
    <w:pPr>
      <w:ind w:left="360"/>
    </w:pPr>
    <w:rPr>
      <w:rFonts w:ascii="Arial" w:hAnsi="Arial"/>
      <w:i/>
      <w:sz w:val="18"/>
    </w:rPr>
  </w:style>
  <w:style w:type="paragraph" w:styleId="TOC8">
    <w:name w:val="toc 8"/>
    <w:basedOn w:val="Normal"/>
    <w:next w:val="Normal"/>
    <w:autoRedefine/>
    <w:uiPriority w:val="39"/>
    <w:unhideWhenUsed/>
    <w:qFormat/>
    <w:rsid w:val="00AC69C3"/>
    <w:pPr>
      <w:ind w:left="360"/>
    </w:pPr>
    <w:rPr>
      <w:i/>
      <w:sz w:val="18"/>
    </w:rPr>
  </w:style>
  <w:style w:type="paragraph" w:styleId="TOCHeading">
    <w:name w:val="TOC Heading"/>
    <w:basedOn w:val="Normal"/>
    <w:next w:val="Normal"/>
    <w:autoRedefine/>
    <w:uiPriority w:val="39"/>
    <w:unhideWhenUsed/>
    <w:qFormat/>
    <w:rsid w:val="00E239B3"/>
    <w:pPr>
      <w:keepLines/>
      <w:spacing w:after="480"/>
    </w:pPr>
    <w:rPr>
      <w:rFonts w:eastAsiaTheme="majorEastAsia" w:cs="Arial"/>
      <w:szCs w:val="28"/>
    </w:rPr>
  </w:style>
  <w:style w:type="paragraph" w:styleId="BalloonText">
    <w:name w:val="Balloon Text"/>
    <w:basedOn w:val="Normal"/>
    <w:link w:val="BalloonTextChar"/>
    <w:autoRedefine/>
    <w:uiPriority w:val="99"/>
    <w:semiHidden/>
    <w:unhideWhenUsed/>
    <w:qFormat/>
    <w:rsid w:val="00AC69C3"/>
    <w:pPr>
      <w:spacing w:line="240" w:lineRule="auto"/>
    </w:pPr>
    <w:rPr>
      <w:rFonts w:ascii="Arial" w:hAnsi="Arial" w:cs="Tahoma"/>
      <w:sz w:val="16"/>
      <w:szCs w:val="16"/>
    </w:rPr>
  </w:style>
  <w:style w:type="character" w:customStyle="1" w:styleId="BalloonTextChar">
    <w:name w:val="Balloon Text Char"/>
    <w:basedOn w:val="DefaultParagraphFont"/>
    <w:link w:val="BalloonText"/>
    <w:uiPriority w:val="99"/>
    <w:semiHidden/>
    <w:rsid w:val="00AC69C3"/>
    <w:rPr>
      <w:rFonts w:ascii="Arial" w:hAnsi="Arial" w:cs="Tahoma"/>
      <w:sz w:val="16"/>
      <w:szCs w:val="16"/>
    </w:rPr>
  </w:style>
  <w:style w:type="paragraph" w:styleId="BlockText">
    <w:name w:val="Block Text"/>
    <w:basedOn w:val="Normal"/>
    <w:autoRedefine/>
    <w:semiHidden/>
    <w:unhideWhenUsed/>
    <w:qFormat/>
    <w:rsid w:val="00AC69C3"/>
    <w:pPr>
      <w:keepLines/>
      <w:pBdr>
        <w:top w:val="single" w:sz="12" w:space="10" w:color="auto"/>
        <w:left w:val="single" w:sz="12" w:space="10" w:color="auto"/>
        <w:bottom w:val="single" w:sz="12" w:space="10" w:color="auto"/>
        <w:right w:val="single" w:sz="12" w:space="10" w:color="auto"/>
      </w:pBdr>
      <w:ind w:left="1152" w:right="1152"/>
    </w:pPr>
    <w:rPr>
      <w:rFonts w:ascii="Arial" w:eastAsiaTheme="minorEastAsia" w:hAnsi="Arial"/>
      <w:i/>
      <w:iCs/>
    </w:rPr>
  </w:style>
  <w:style w:type="paragraph" w:styleId="BodyText">
    <w:name w:val="Body Text"/>
    <w:aliases w:val="b"/>
    <w:basedOn w:val="Normal"/>
    <w:link w:val="BodyTextChar"/>
    <w:autoRedefine/>
    <w:unhideWhenUsed/>
    <w:rsid w:val="00AC69C3"/>
  </w:style>
  <w:style w:type="character" w:customStyle="1" w:styleId="BodyTextChar">
    <w:name w:val="Body Text Char"/>
    <w:aliases w:val="b Char1"/>
    <w:basedOn w:val="DefaultParagraphFont"/>
    <w:link w:val="BodyText"/>
    <w:rsid w:val="00AC69C3"/>
    <w:rPr>
      <w:rFonts w:ascii="Times New Roman" w:hAnsi="Times New Roman"/>
    </w:rPr>
  </w:style>
  <w:style w:type="paragraph" w:styleId="BodyText2">
    <w:name w:val="Body Text 2"/>
    <w:basedOn w:val="Normal"/>
    <w:link w:val="BodyText2Char"/>
    <w:autoRedefine/>
    <w:unhideWhenUsed/>
    <w:rsid w:val="00AC69C3"/>
    <w:pPr>
      <w:spacing w:after="120" w:line="480" w:lineRule="auto"/>
    </w:pPr>
  </w:style>
  <w:style w:type="character" w:customStyle="1" w:styleId="BodyText2Char">
    <w:name w:val="Body Text 2 Char"/>
    <w:basedOn w:val="DefaultParagraphFont"/>
    <w:link w:val="BodyText2"/>
    <w:rsid w:val="00AC69C3"/>
    <w:rPr>
      <w:rFonts w:ascii="Times New Roman" w:hAnsi="Times New Roman"/>
    </w:rPr>
  </w:style>
  <w:style w:type="paragraph" w:styleId="BodyText3">
    <w:name w:val="Body Text 3"/>
    <w:basedOn w:val="Normal"/>
    <w:link w:val="BodyText3Char"/>
    <w:autoRedefine/>
    <w:unhideWhenUsed/>
    <w:rsid w:val="005D729D"/>
    <w:pPr>
      <w:spacing w:after="120"/>
    </w:pPr>
    <w:rPr>
      <w:sz w:val="18"/>
      <w:szCs w:val="16"/>
    </w:rPr>
  </w:style>
  <w:style w:type="character" w:customStyle="1" w:styleId="BodyText3Char">
    <w:name w:val="Body Text 3 Char"/>
    <w:basedOn w:val="DefaultParagraphFont"/>
    <w:link w:val="BodyText3"/>
    <w:rsid w:val="005D729D"/>
    <w:rPr>
      <w:rFonts w:ascii="Times New Roman" w:hAnsi="Times New Roman"/>
      <w:sz w:val="18"/>
      <w:szCs w:val="16"/>
    </w:rPr>
  </w:style>
  <w:style w:type="paragraph" w:styleId="BodyTextFirstIndent">
    <w:name w:val="Body Text First Indent"/>
    <w:basedOn w:val="BodyText"/>
    <w:link w:val="BodyTextFirstIndentChar"/>
    <w:autoRedefine/>
    <w:unhideWhenUsed/>
    <w:rsid w:val="005D729D"/>
    <w:pPr>
      <w:spacing w:after="0"/>
      <w:ind w:left="360"/>
    </w:pPr>
  </w:style>
  <w:style w:type="character" w:customStyle="1" w:styleId="BodyTextFirstIndentChar">
    <w:name w:val="Body Text First Indent Char"/>
    <w:basedOn w:val="BodyTextChar"/>
    <w:link w:val="BodyTextFirstIndent"/>
    <w:rsid w:val="005D729D"/>
    <w:rPr>
      <w:rFonts w:ascii="Times New Roman" w:hAnsi="Times New Roman"/>
    </w:rPr>
  </w:style>
  <w:style w:type="paragraph" w:styleId="BodyTextIndent">
    <w:name w:val="Body Text Indent"/>
    <w:basedOn w:val="Normal"/>
    <w:link w:val="BodyTextIndentChar"/>
    <w:unhideWhenUsed/>
    <w:rsid w:val="00AC69C3"/>
    <w:pPr>
      <w:spacing w:after="120"/>
      <w:ind w:left="360"/>
    </w:pPr>
  </w:style>
  <w:style w:type="character" w:customStyle="1" w:styleId="BodyTextIndentChar">
    <w:name w:val="Body Text Indent Char"/>
    <w:basedOn w:val="DefaultParagraphFont"/>
    <w:link w:val="BodyTextIndent"/>
    <w:rsid w:val="00AC69C3"/>
    <w:rPr>
      <w:rFonts w:ascii="Times New Roman" w:hAnsi="Times New Roman"/>
    </w:rPr>
  </w:style>
  <w:style w:type="paragraph" w:styleId="BodyTextFirstIndent2">
    <w:name w:val="Body Text First Indent 2"/>
    <w:basedOn w:val="BodyTextIndent"/>
    <w:link w:val="BodyTextFirstIndent2Char"/>
    <w:autoRedefine/>
    <w:unhideWhenUsed/>
    <w:rsid w:val="00AC69C3"/>
    <w:pPr>
      <w:spacing w:after="0"/>
      <w:ind w:left="720"/>
    </w:pPr>
  </w:style>
  <w:style w:type="character" w:customStyle="1" w:styleId="BodyTextFirstIndent2Char">
    <w:name w:val="Body Text First Indent 2 Char"/>
    <w:basedOn w:val="BodyTextIndentChar"/>
    <w:link w:val="BodyTextFirstIndent2"/>
    <w:rsid w:val="00AC69C3"/>
    <w:rPr>
      <w:rFonts w:ascii="Times New Roman" w:hAnsi="Times New Roman"/>
    </w:rPr>
  </w:style>
  <w:style w:type="character" w:styleId="Hyperlink">
    <w:name w:val="Hyperlink"/>
    <w:basedOn w:val="DefaultParagraphFont"/>
    <w:uiPriority w:val="99"/>
    <w:unhideWhenUsed/>
    <w:rsid w:val="00A44AD1"/>
    <w:rPr>
      <w:color w:val="000000"/>
      <w:u w:val="none"/>
    </w:rPr>
  </w:style>
  <w:style w:type="paragraph" w:customStyle="1" w:styleId="ISOBodyCopy">
    <w:name w:val="ISO Body Copy"/>
    <w:basedOn w:val="Normal"/>
    <w:link w:val="ISOBodyCopyChar"/>
    <w:rsid w:val="00196ECD"/>
    <w:rPr>
      <w:rFonts w:eastAsia="Times New Roman"/>
    </w:rPr>
  </w:style>
  <w:style w:type="character" w:customStyle="1" w:styleId="FootnoteTextChar">
    <w:name w:val="Footnote Text Char"/>
    <w:aliases w:val="ft Char,Footnote Text Char1 Char,Footnote Text Char Char Char,fn Char Char Char,Footnote Text Char1 Char1 Char Char,Footnote Text Char Char Char1 Char Char,Footnote Text Char1 Char Char Char Char,Footnote Text Char Char1 Char,fn Char"/>
    <w:basedOn w:val="DefaultParagraphFont"/>
    <w:uiPriority w:val="99"/>
    <w:qFormat/>
    <w:rsid w:val="00125D52"/>
    <w:rPr>
      <w:rFonts w:asciiTheme="majorHAnsi" w:eastAsia="Times New Roman" w:hAnsiTheme="majorHAnsi"/>
      <w:color w:val="auto"/>
      <w:sz w:val="18"/>
      <w:szCs w:val="18"/>
    </w:rPr>
  </w:style>
  <w:style w:type="paragraph" w:customStyle="1" w:styleId="ISOBulletList">
    <w:name w:val="ISO Bullet List"/>
    <w:basedOn w:val="Normal"/>
    <w:rsid w:val="00196ECD"/>
    <w:pPr>
      <w:numPr>
        <w:numId w:val="2"/>
      </w:numPr>
      <w:spacing w:after="120"/>
    </w:pPr>
    <w:rPr>
      <w:rFonts w:eastAsia="Times New Roman"/>
    </w:rPr>
  </w:style>
  <w:style w:type="character" w:styleId="CommentReference">
    <w:name w:val="annotation reference"/>
    <w:basedOn w:val="DefaultParagraphFont"/>
    <w:uiPriority w:val="99"/>
    <w:rsid w:val="00196ECD"/>
    <w:rPr>
      <w:rFonts w:cs="Times New Roman"/>
      <w:sz w:val="16"/>
      <w:szCs w:val="16"/>
    </w:rPr>
  </w:style>
  <w:style w:type="paragraph" w:styleId="CommentText">
    <w:name w:val="annotation text"/>
    <w:basedOn w:val="Normal"/>
    <w:link w:val="CommentTextChar"/>
    <w:uiPriority w:val="99"/>
    <w:rsid w:val="00196ECD"/>
    <w:pPr>
      <w:spacing w:line="240" w:lineRule="auto"/>
    </w:pPr>
    <w:rPr>
      <w:rFonts w:eastAsia="Times New Roman"/>
    </w:rPr>
  </w:style>
  <w:style w:type="character" w:customStyle="1" w:styleId="CommentTextChar">
    <w:name w:val="Comment Text Char"/>
    <w:basedOn w:val="DefaultParagraphFont"/>
    <w:link w:val="CommentText"/>
    <w:uiPriority w:val="99"/>
    <w:rsid w:val="00196ECD"/>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rsid w:val="00196ECD"/>
    <w:rPr>
      <w:b/>
      <w:bCs/>
    </w:rPr>
  </w:style>
  <w:style w:type="character" w:customStyle="1" w:styleId="CommentSubjectChar">
    <w:name w:val="Comment Subject Char"/>
    <w:basedOn w:val="CommentTextChar"/>
    <w:link w:val="CommentSubject"/>
    <w:uiPriority w:val="99"/>
    <w:semiHidden/>
    <w:rsid w:val="00196ECD"/>
    <w:rPr>
      <w:rFonts w:ascii="Times New Roman" w:eastAsia="Times New Roman" w:hAnsi="Times New Roman" w:cs="Times New Roman"/>
      <w:b/>
      <w:bCs/>
      <w:sz w:val="20"/>
      <w:szCs w:val="20"/>
    </w:rPr>
  </w:style>
  <w:style w:type="character" w:customStyle="1" w:styleId="Heading1Char7">
    <w:name w:val="Heading 1 Char7"/>
    <w:basedOn w:val="DefaultParagraphFont"/>
    <w:rsid w:val="00A66C3B"/>
    <w:rPr>
      <w:rFonts w:eastAsiaTheme="majorEastAsia" w:cstheme="majorBidi"/>
      <w:b/>
      <w:bCs/>
      <w:color w:val="0070C0"/>
      <w:sz w:val="36"/>
      <w:szCs w:val="28"/>
    </w:rPr>
  </w:style>
  <w:style w:type="paragraph" w:styleId="NormalWeb">
    <w:name w:val="Normal (Web)"/>
    <w:basedOn w:val="Normal"/>
    <w:uiPriority w:val="99"/>
    <w:rsid w:val="00196ECD"/>
    <w:pPr>
      <w:spacing w:before="100" w:beforeAutospacing="1" w:after="100" w:afterAutospacing="1" w:line="240" w:lineRule="auto"/>
    </w:pPr>
    <w:rPr>
      <w:rFonts w:eastAsia="Times New Roman"/>
      <w:sz w:val="24"/>
      <w:szCs w:val="24"/>
    </w:rPr>
  </w:style>
  <w:style w:type="character" w:customStyle="1" w:styleId="EmailStyle802">
    <w:name w:val="EmailStyle802"/>
    <w:basedOn w:val="DefaultParagraphFont"/>
    <w:semiHidden/>
    <w:rsid w:val="00196ECD"/>
    <w:rPr>
      <w:rFonts w:ascii="Arial" w:hAnsi="Arial" w:cs="Arial"/>
      <w:color w:val="993366"/>
      <w:sz w:val="20"/>
    </w:rPr>
  </w:style>
  <w:style w:type="paragraph" w:customStyle="1" w:styleId="ISOBullets2">
    <w:name w:val="ISO Bullets 2"/>
    <w:basedOn w:val="Normal"/>
    <w:rsid w:val="00196ECD"/>
    <w:pPr>
      <w:numPr>
        <w:numId w:val="3"/>
      </w:numPr>
      <w:spacing w:line="240" w:lineRule="auto"/>
    </w:pPr>
    <w:rPr>
      <w:rFonts w:eastAsia="Times New Roman"/>
    </w:rPr>
  </w:style>
  <w:style w:type="paragraph" w:styleId="DocumentMap">
    <w:name w:val="Document Map"/>
    <w:basedOn w:val="Normal"/>
    <w:link w:val="DocumentMapChar"/>
    <w:semiHidden/>
    <w:rsid w:val="00196ECD"/>
    <w:pPr>
      <w:shd w:val="clear" w:color="auto" w:fill="000080"/>
    </w:pPr>
    <w:rPr>
      <w:rFonts w:ascii="Tahoma" w:eastAsia="Times New Roman" w:hAnsi="Tahoma" w:cs="Tahoma"/>
    </w:rPr>
  </w:style>
  <w:style w:type="character" w:customStyle="1" w:styleId="DocumentMapChar">
    <w:name w:val="Document Map Char"/>
    <w:basedOn w:val="DefaultParagraphFont"/>
    <w:link w:val="DocumentMap"/>
    <w:semiHidden/>
    <w:rsid w:val="00196ECD"/>
    <w:rPr>
      <w:rFonts w:ascii="Tahoma" w:eastAsia="Times New Roman" w:hAnsi="Tahoma" w:cs="Tahoma"/>
      <w:szCs w:val="20"/>
      <w:shd w:val="clear" w:color="auto" w:fill="000080"/>
    </w:rPr>
  </w:style>
  <w:style w:type="paragraph" w:customStyle="1" w:styleId="TofCHeading">
    <w:name w:val="TofCHeading"/>
    <w:basedOn w:val="Normal"/>
    <w:rsid w:val="00196ECD"/>
    <w:pPr>
      <w:spacing w:line="240" w:lineRule="auto"/>
      <w:jc w:val="center"/>
      <w:outlineLvl w:val="0"/>
    </w:pPr>
    <w:rPr>
      <w:rFonts w:ascii="Arial" w:eastAsia="Times New Roman" w:hAnsi="Arial" w:cs="Arial"/>
      <w:b/>
      <w:bCs/>
      <w:sz w:val="36"/>
      <w:szCs w:val="24"/>
    </w:rPr>
  </w:style>
  <w:style w:type="character" w:styleId="FootnoteReference">
    <w:name w:val="footnote reference"/>
    <w:aliases w:val="o,Style 17,fr,Style 13,Style 12,Style 15,Style 9,o1,fr1,o2,fr2,o3,fr3,Style 18,(NECG) Footnote Reference,Style 20,Style 7,Style 8,Style 19,Style 32,o + Times New Roman,Style 16,StyFootnote Reference,Style 11,Style 28,Styl"/>
    <w:basedOn w:val="DefaultParagraphFont"/>
    <w:uiPriority w:val="99"/>
    <w:qFormat/>
    <w:rsid w:val="0084532F"/>
    <w:rPr>
      <w:rFonts w:ascii="Cambria" w:hAnsi="Cambria" w:cs="Times New Roman"/>
      <w:dstrike w:val="0"/>
      <w:sz w:val="20"/>
      <w:vertAlign w:val="superscript"/>
    </w:rPr>
  </w:style>
  <w:style w:type="paragraph" w:customStyle="1" w:styleId="Caption-Table">
    <w:name w:val="Caption-Table"/>
    <w:basedOn w:val="Normal"/>
    <w:autoRedefine/>
    <w:rsid w:val="002A7F89"/>
    <w:pPr>
      <w:spacing w:after="60"/>
    </w:pPr>
    <w:rPr>
      <w:rFonts w:eastAsia="Times New Roman" w:cs="Arial"/>
      <w:bCs/>
      <w:szCs w:val="22"/>
    </w:rPr>
  </w:style>
  <w:style w:type="paragraph" w:customStyle="1" w:styleId="TableNote">
    <w:name w:val="Table Note"/>
    <w:rsid w:val="00196ECD"/>
    <w:pPr>
      <w:keepNext/>
      <w:spacing w:before="80" w:after="0" w:line="240" w:lineRule="auto"/>
    </w:pPr>
    <w:rPr>
      <w:rFonts w:ascii="Arial" w:eastAsia="Times New Roman" w:hAnsi="Arial"/>
      <w:sz w:val="16"/>
    </w:rPr>
  </w:style>
  <w:style w:type="character" w:styleId="EndnoteReference">
    <w:name w:val="endnote reference"/>
    <w:basedOn w:val="DefaultParagraphFont"/>
    <w:uiPriority w:val="99"/>
    <w:semiHidden/>
    <w:rsid w:val="00196ECD"/>
    <w:rPr>
      <w:rFonts w:cs="Times New Roman"/>
      <w:vertAlign w:val="superscript"/>
    </w:rPr>
  </w:style>
  <w:style w:type="paragraph" w:customStyle="1" w:styleId="StyleNormalBefore0pt">
    <w:name w:val="Style Normal + Before:  0 pt"/>
    <w:basedOn w:val="Normal"/>
    <w:link w:val="StyleNormalBefore0ptChar"/>
    <w:rsid w:val="00196ECD"/>
    <w:pPr>
      <w:tabs>
        <w:tab w:val="num" w:pos="720"/>
      </w:tabs>
      <w:adjustRightInd w:val="0"/>
      <w:spacing w:after="120"/>
      <w:ind w:left="720" w:hanging="360"/>
      <w:textAlignment w:val="baseline"/>
    </w:pPr>
    <w:rPr>
      <w:rFonts w:eastAsia="Times New Roman"/>
    </w:rPr>
  </w:style>
  <w:style w:type="paragraph" w:customStyle="1" w:styleId="TablefontHeading">
    <w:name w:val="TablefontHeading"/>
    <w:basedOn w:val="Tablefont"/>
    <w:rsid w:val="00196ECD"/>
    <w:pPr>
      <w:jc w:val="center"/>
    </w:pPr>
    <w:rPr>
      <w:rFonts w:eastAsia="Arial Unicode MS"/>
      <w:b/>
      <w:bCs/>
      <w:szCs w:val="16"/>
    </w:rPr>
  </w:style>
  <w:style w:type="paragraph" w:customStyle="1" w:styleId="Tablefont">
    <w:name w:val="Tablefont"/>
    <w:basedOn w:val="Normal"/>
    <w:rsid w:val="00196ECD"/>
    <w:pPr>
      <w:keepNext/>
      <w:keepLines/>
      <w:spacing w:before="40" w:after="20" w:line="240" w:lineRule="auto"/>
    </w:pPr>
    <w:rPr>
      <w:rFonts w:ascii="Arial" w:eastAsia="Times New Roman" w:hAnsi="Arial"/>
      <w:sz w:val="16"/>
      <w:szCs w:val="24"/>
    </w:rPr>
  </w:style>
  <w:style w:type="paragraph" w:customStyle="1" w:styleId="Tablefont-num">
    <w:name w:val="Tablefont-num"/>
    <w:basedOn w:val="Tablefont"/>
    <w:rsid w:val="00196ECD"/>
    <w:pPr>
      <w:ind w:right="144"/>
      <w:jc w:val="right"/>
    </w:pPr>
  </w:style>
  <w:style w:type="paragraph" w:customStyle="1" w:styleId="TableTop">
    <w:name w:val="TableTop"/>
    <w:basedOn w:val="Normal"/>
    <w:rsid w:val="00196ECD"/>
    <w:pPr>
      <w:keepNext/>
      <w:keepLines/>
      <w:tabs>
        <w:tab w:val="left" w:pos="2880"/>
        <w:tab w:val="right" w:pos="8550"/>
      </w:tabs>
      <w:spacing w:before="240" w:line="240" w:lineRule="auto"/>
    </w:pPr>
    <w:rPr>
      <w:rFonts w:ascii="Arial" w:eastAsia="Times New Roman" w:hAnsi="Arial" w:cs="Arial"/>
      <w:b/>
      <w:bCs/>
      <w:szCs w:val="24"/>
    </w:rPr>
  </w:style>
  <w:style w:type="paragraph" w:styleId="Footer">
    <w:name w:val="footer"/>
    <w:basedOn w:val="Normal"/>
    <w:link w:val="FooterChar"/>
    <w:uiPriority w:val="99"/>
    <w:rsid w:val="00675B9F"/>
    <w:pPr>
      <w:tabs>
        <w:tab w:val="center" w:pos="4500"/>
        <w:tab w:val="right" w:pos="9360"/>
      </w:tabs>
      <w:spacing w:line="240" w:lineRule="auto"/>
      <w:ind w:right="-360"/>
    </w:pPr>
    <w:rPr>
      <w:rFonts w:eastAsia="Times New Roman"/>
      <w:sz w:val="18"/>
      <w:szCs w:val="24"/>
    </w:rPr>
  </w:style>
  <w:style w:type="character" w:customStyle="1" w:styleId="FooterChar">
    <w:name w:val="Footer Char"/>
    <w:basedOn w:val="DefaultParagraphFont"/>
    <w:link w:val="Footer"/>
    <w:uiPriority w:val="99"/>
    <w:rsid w:val="00675B9F"/>
    <w:rPr>
      <w:rFonts w:ascii="Times New Roman" w:eastAsia="Times New Roman" w:hAnsi="Times New Roman" w:cs="Times New Roman"/>
      <w:sz w:val="18"/>
      <w:szCs w:val="24"/>
    </w:rPr>
  </w:style>
  <w:style w:type="paragraph" w:styleId="Header">
    <w:name w:val="header"/>
    <w:basedOn w:val="Normal"/>
    <w:link w:val="HeaderChar"/>
    <w:uiPriority w:val="99"/>
    <w:rsid w:val="00196ECD"/>
    <w:pPr>
      <w:tabs>
        <w:tab w:val="center" w:pos="4320"/>
        <w:tab w:val="right" w:pos="8640"/>
      </w:tabs>
      <w:spacing w:after="360" w:line="240" w:lineRule="auto"/>
      <w:jc w:val="center"/>
    </w:pPr>
    <w:rPr>
      <w:rFonts w:eastAsia="Times New Roman"/>
      <w:sz w:val="16"/>
      <w:szCs w:val="16"/>
    </w:rPr>
  </w:style>
  <w:style w:type="character" w:customStyle="1" w:styleId="HeaderChar">
    <w:name w:val="Header Char"/>
    <w:basedOn w:val="DefaultParagraphFont"/>
    <w:link w:val="Header"/>
    <w:uiPriority w:val="99"/>
    <w:rsid w:val="00196ECD"/>
    <w:rPr>
      <w:rFonts w:ascii="Times New Roman" w:eastAsia="Times New Roman" w:hAnsi="Times New Roman" w:cs="Times New Roman"/>
      <w:sz w:val="16"/>
      <w:szCs w:val="16"/>
    </w:rPr>
  </w:style>
  <w:style w:type="character" w:styleId="FollowedHyperlink">
    <w:name w:val="FollowedHyperlink"/>
    <w:basedOn w:val="DefaultParagraphFont"/>
    <w:rsid w:val="00196ECD"/>
    <w:rPr>
      <w:rFonts w:cs="Times New Roman"/>
      <w:color w:val="800080"/>
      <w:u w:val="single"/>
    </w:rPr>
  </w:style>
  <w:style w:type="paragraph" w:customStyle="1" w:styleId="body">
    <w:name w:val="body"/>
    <w:basedOn w:val="Normal"/>
    <w:uiPriority w:val="99"/>
    <w:rsid w:val="004935E3"/>
    <w:pPr>
      <w:widowControl w:val="0"/>
      <w:suppressAutoHyphens/>
      <w:autoSpaceDE w:val="0"/>
      <w:autoSpaceDN w:val="0"/>
      <w:adjustRightInd w:val="0"/>
      <w:spacing w:before="260" w:after="0"/>
      <w:textAlignment w:val="center"/>
    </w:pPr>
    <w:rPr>
      <w:rFonts w:ascii="Whitney-Book" w:eastAsiaTheme="minorEastAsia" w:hAnsi="Whitney-Book" w:cs="Whitney-Book"/>
      <w:color w:val="000000"/>
      <w:sz w:val="18"/>
      <w:szCs w:val="18"/>
    </w:rPr>
  </w:style>
  <w:style w:type="character" w:customStyle="1" w:styleId="StyleNormalBefore0ptChar">
    <w:name w:val="Style Normal + Before:  0 pt Char"/>
    <w:basedOn w:val="DefaultParagraphFont"/>
    <w:link w:val="StyleNormalBefore0pt"/>
    <w:locked/>
    <w:rsid w:val="00196ECD"/>
    <w:rPr>
      <w:rFonts w:ascii="Times New Roman" w:eastAsia="Times New Roman" w:hAnsi="Times New Roman" w:cs="Times New Roman"/>
    </w:rPr>
  </w:style>
  <w:style w:type="paragraph" w:customStyle="1" w:styleId="ISOFootnoteText">
    <w:name w:val="ISO Footnote Text"/>
    <w:basedOn w:val="Normal"/>
    <w:rsid w:val="00196ECD"/>
    <w:pPr>
      <w:ind w:left="144" w:hanging="144"/>
    </w:pPr>
  </w:style>
  <w:style w:type="paragraph" w:customStyle="1" w:styleId="TableText">
    <w:name w:val="Table Text"/>
    <w:basedOn w:val="Normal"/>
    <w:autoRedefine/>
    <w:rsid w:val="00196ECD"/>
    <w:pPr>
      <w:spacing w:before="60" w:after="60" w:line="240" w:lineRule="auto"/>
      <w:jc w:val="center"/>
    </w:pPr>
    <w:rPr>
      <w:rFonts w:ascii="Arial" w:eastAsia="Times New Roman" w:hAnsi="Arial" w:cs="Arial"/>
      <w:color w:val="000000"/>
      <w:sz w:val="18"/>
      <w:szCs w:val="24"/>
    </w:rPr>
  </w:style>
  <w:style w:type="paragraph" w:customStyle="1" w:styleId="TableTextLeftCol">
    <w:name w:val="Table Text Left Col"/>
    <w:basedOn w:val="Normal"/>
    <w:rsid w:val="00196ECD"/>
    <w:pPr>
      <w:spacing w:before="60" w:after="60" w:line="240" w:lineRule="auto"/>
    </w:pPr>
    <w:rPr>
      <w:rFonts w:ascii="Arial" w:eastAsia="Times New Roman" w:hAnsi="Arial" w:cs="Arial"/>
      <w:b/>
      <w:bCs/>
      <w:color w:val="000000"/>
      <w:sz w:val="18"/>
      <w:szCs w:val="24"/>
    </w:rPr>
  </w:style>
  <w:style w:type="paragraph" w:customStyle="1" w:styleId="ISOHeader2">
    <w:name w:val="ISO Header 2"/>
    <w:basedOn w:val="Normal"/>
    <w:rsid w:val="00196ECD"/>
    <w:pPr>
      <w:keepNext/>
      <w:spacing w:before="240" w:after="120"/>
      <w:outlineLvl w:val="1"/>
    </w:pPr>
    <w:rPr>
      <w:rFonts w:ascii="Arial" w:eastAsia="Times New Roman" w:hAnsi="Arial"/>
      <w:b/>
      <w:sz w:val="28"/>
      <w:u w:val="single"/>
    </w:rPr>
  </w:style>
  <w:style w:type="paragraph" w:customStyle="1" w:styleId="ISOChapterSectionTitle">
    <w:name w:val="ISO Chapter/Section Title"/>
    <w:basedOn w:val="Title"/>
    <w:rsid w:val="00196ECD"/>
    <w:pPr>
      <w:pageBreakBefore/>
      <w:pBdr>
        <w:bottom w:val="none" w:sz="0" w:space="0" w:color="auto"/>
      </w:pBdr>
      <w:spacing w:before="80" w:after="240" w:line="260" w:lineRule="atLeast"/>
      <w:contextualSpacing w:val="0"/>
    </w:pPr>
    <w:rPr>
      <w:rFonts w:ascii="Arial" w:eastAsia="Times New Roman" w:hAnsi="Arial" w:cs="Times New Roman"/>
      <w:b/>
      <w:spacing w:val="0"/>
      <w:kern w:val="0"/>
      <w:sz w:val="36"/>
      <w:szCs w:val="20"/>
    </w:rPr>
  </w:style>
  <w:style w:type="paragraph" w:customStyle="1" w:styleId="ISOHeading4">
    <w:name w:val="ISO Heading 4"/>
    <w:basedOn w:val="Normal"/>
    <w:rsid w:val="00196ECD"/>
    <w:pPr>
      <w:spacing w:line="240" w:lineRule="atLeast"/>
    </w:pPr>
    <w:rPr>
      <w:bCs/>
    </w:rPr>
  </w:style>
  <w:style w:type="paragraph" w:customStyle="1" w:styleId="ISOHeading3">
    <w:name w:val="ISO Heading 3"/>
    <w:basedOn w:val="Normal"/>
    <w:autoRedefine/>
    <w:rsid w:val="00196ECD"/>
    <w:pPr>
      <w:spacing w:line="240" w:lineRule="atLeast"/>
    </w:pPr>
    <w:rPr>
      <w:rFonts w:ascii="Times New Roman" w:hAnsi="Times New Roman"/>
      <w:b/>
    </w:rPr>
  </w:style>
  <w:style w:type="paragraph" w:customStyle="1" w:styleId="Table-FigureBox">
    <w:name w:val="Table-FigureBox"/>
    <w:basedOn w:val="Normal"/>
    <w:rsid w:val="00196ECD"/>
    <w:pPr>
      <w:spacing w:before="240" w:after="120" w:line="240" w:lineRule="auto"/>
      <w:jc w:val="center"/>
    </w:pPr>
    <w:rPr>
      <w:rFonts w:ascii="Arial" w:eastAsia="Times New Roman" w:hAnsi="Arial"/>
      <w:noProof/>
      <w:sz w:val="24"/>
      <w:szCs w:val="24"/>
    </w:rPr>
  </w:style>
  <w:style w:type="paragraph" w:customStyle="1" w:styleId="TableHeaderText">
    <w:name w:val="Table Header Text"/>
    <w:basedOn w:val="Normal"/>
    <w:rsid w:val="00196ECD"/>
    <w:pPr>
      <w:keepNext/>
      <w:keepLines/>
      <w:spacing w:before="120" w:after="40" w:line="240" w:lineRule="auto"/>
      <w:jc w:val="center"/>
    </w:pPr>
    <w:rPr>
      <w:rFonts w:ascii="Arial" w:eastAsia="Times New Roman" w:hAnsi="Arial" w:cs="Arial"/>
      <w:b/>
      <w:bCs/>
      <w:szCs w:val="24"/>
    </w:rPr>
  </w:style>
  <w:style w:type="paragraph" w:styleId="ListBullet2">
    <w:name w:val="List Bullet 2"/>
    <w:basedOn w:val="Normal"/>
    <w:autoRedefine/>
    <w:rsid w:val="00196ECD"/>
    <w:pPr>
      <w:tabs>
        <w:tab w:val="num" w:pos="1080"/>
      </w:tabs>
      <w:spacing w:line="240" w:lineRule="auto"/>
      <w:ind w:left="1080" w:hanging="360"/>
    </w:pPr>
    <w:rPr>
      <w:rFonts w:eastAsia="Times New Roman"/>
      <w:sz w:val="24"/>
      <w:szCs w:val="24"/>
    </w:rPr>
  </w:style>
  <w:style w:type="character" w:customStyle="1" w:styleId="EmailStyle1112">
    <w:name w:val="EmailStyle1112"/>
    <w:basedOn w:val="DefaultParagraphFont"/>
    <w:semiHidden/>
    <w:rsid w:val="00196ECD"/>
    <w:rPr>
      <w:rFonts w:ascii="Arial" w:hAnsi="Arial" w:cs="Arial"/>
      <w:color w:val="000080"/>
      <w:sz w:val="20"/>
    </w:rPr>
  </w:style>
  <w:style w:type="paragraph" w:customStyle="1" w:styleId="Notes">
    <w:name w:val="Notes"/>
    <w:basedOn w:val="Normal"/>
    <w:rsid w:val="00196ECD"/>
    <w:pPr>
      <w:spacing w:after="480" w:line="240" w:lineRule="auto"/>
      <w:ind w:left="432" w:hanging="101"/>
    </w:pPr>
    <w:rPr>
      <w:rFonts w:ascii="Arial" w:eastAsia="Times New Roman" w:hAnsi="Arial" w:cs="Arial"/>
      <w:sz w:val="16"/>
      <w:szCs w:val="24"/>
    </w:rPr>
  </w:style>
  <w:style w:type="paragraph" w:customStyle="1" w:styleId="StyleCaption-FigureLeft0">
    <w:name w:val="Style Caption-Figure + Left:  0&quot;"/>
    <w:basedOn w:val="Normal"/>
    <w:autoRedefine/>
    <w:rsid w:val="00196ECD"/>
    <w:rPr>
      <w:b/>
    </w:rPr>
  </w:style>
  <w:style w:type="paragraph" w:customStyle="1" w:styleId="StyleCaption-FigureLeft031">
    <w:name w:val="Style Caption-Figure + Left:  0.31&quot;"/>
    <w:basedOn w:val="Normal"/>
    <w:autoRedefine/>
    <w:rsid w:val="00196ECD"/>
    <w:pPr>
      <w:ind w:left="450"/>
    </w:pPr>
    <w:rPr>
      <w:b/>
    </w:rPr>
  </w:style>
  <w:style w:type="paragraph" w:customStyle="1" w:styleId="StyleCaption-FigureLeft031Right025">
    <w:name w:val="Style Caption-Figure + Left:  0.31&quot; Right:  0.25&quot;"/>
    <w:basedOn w:val="Normal"/>
    <w:autoRedefine/>
    <w:rsid w:val="00196ECD"/>
    <w:pPr>
      <w:ind w:left="450" w:right="360"/>
    </w:pPr>
    <w:rPr>
      <w:b/>
    </w:rPr>
  </w:style>
  <w:style w:type="paragraph" w:customStyle="1" w:styleId="StyleTOC2Right038">
    <w:name w:val="Style TOC 2 + Right:  0.38&quot;"/>
    <w:basedOn w:val="TOC2"/>
    <w:next w:val="TOC2"/>
    <w:rsid w:val="00196ECD"/>
    <w:pPr>
      <w:tabs>
        <w:tab w:val="right" w:leader="dot" w:pos="9000"/>
      </w:tabs>
      <w:spacing w:before="120" w:after="60"/>
      <w:ind w:left="540" w:right="540" w:hanging="540"/>
    </w:pPr>
  </w:style>
  <w:style w:type="paragraph" w:customStyle="1" w:styleId="TableCaption">
    <w:name w:val="Table Caption"/>
    <w:basedOn w:val="Normal"/>
    <w:autoRedefine/>
    <w:rsid w:val="00196ECD"/>
    <w:pPr>
      <w:tabs>
        <w:tab w:val="left" w:pos="1260"/>
        <w:tab w:val="left" w:pos="7740"/>
        <w:tab w:val="left" w:pos="9000"/>
      </w:tabs>
      <w:adjustRightInd w:val="0"/>
      <w:ind w:left="1260" w:right="1260"/>
      <w:textAlignment w:val="baseline"/>
    </w:pPr>
    <w:rPr>
      <w:rFonts w:eastAsia="Times New Roman"/>
    </w:rPr>
  </w:style>
  <w:style w:type="character" w:customStyle="1" w:styleId="CaptionChar">
    <w:name w:val="Caption Char"/>
    <w:basedOn w:val="DefaultParagraphFont"/>
    <w:locked/>
    <w:rsid w:val="00B55E5E"/>
    <w:rPr>
      <w:rFonts w:ascii="Calibri" w:hAnsi="Calibri"/>
      <w:b/>
      <w:bCs/>
      <w:szCs w:val="18"/>
    </w:rPr>
  </w:style>
  <w:style w:type="character" w:styleId="HTMLDefinition">
    <w:name w:val="HTML Definition"/>
    <w:basedOn w:val="DefaultParagraphFont"/>
    <w:rsid w:val="00196ECD"/>
    <w:rPr>
      <w:rFonts w:cs="Times New Roman"/>
      <w:i/>
      <w:iCs/>
    </w:rPr>
  </w:style>
  <w:style w:type="paragraph" w:styleId="HTMLPreformatted">
    <w:name w:val="HTML Preformatted"/>
    <w:basedOn w:val="Normal"/>
    <w:link w:val="HTMLPreformattedChar"/>
    <w:rsid w:val="00196E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pPr>
    <w:rPr>
      <w:rFonts w:ascii="Verdana" w:eastAsia="Times New Roman" w:hAnsi="Verdana" w:cs="Courier New"/>
      <w:color w:val="14254B"/>
      <w:sz w:val="18"/>
      <w:szCs w:val="18"/>
    </w:rPr>
  </w:style>
  <w:style w:type="character" w:customStyle="1" w:styleId="HTMLPreformattedChar">
    <w:name w:val="HTML Preformatted Char"/>
    <w:basedOn w:val="DefaultParagraphFont"/>
    <w:link w:val="HTMLPreformatted"/>
    <w:rsid w:val="00196ECD"/>
    <w:rPr>
      <w:rFonts w:ascii="Verdana" w:eastAsia="Times New Roman" w:hAnsi="Verdana" w:cs="Courier New"/>
      <w:color w:val="14254B"/>
      <w:sz w:val="18"/>
      <w:szCs w:val="18"/>
    </w:rPr>
  </w:style>
  <w:style w:type="paragraph" w:customStyle="1" w:styleId="Bullets2">
    <w:name w:val="Bullets 2"/>
    <w:basedOn w:val="Normal"/>
    <w:rsid w:val="00196ECD"/>
    <w:pPr>
      <w:spacing w:before="120" w:after="120"/>
    </w:pPr>
    <w:rPr>
      <w:rFonts w:eastAsia="Times New Roman"/>
      <w:szCs w:val="24"/>
    </w:rPr>
  </w:style>
  <w:style w:type="paragraph" w:customStyle="1" w:styleId="StyleHeading1After6pt">
    <w:name w:val="Style Heading 1 + After:  6 pt"/>
    <w:basedOn w:val="Normal"/>
    <w:autoRedefine/>
    <w:rsid w:val="00196ECD"/>
    <w:pPr>
      <w:keepLines/>
      <w:tabs>
        <w:tab w:val="num" w:pos="1800"/>
      </w:tabs>
      <w:autoSpaceDE w:val="0"/>
      <w:autoSpaceDN w:val="0"/>
      <w:adjustRightInd w:val="0"/>
      <w:ind w:left="288" w:hanging="360"/>
    </w:pPr>
    <w:rPr>
      <w:color w:val="000000"/>
    </w:rPr>
  </w:style>
  <w:style w:type="paragraph" w:customStyle="1" w:styleId="TableofFiguresLeft0">
    <w:name w:val="Table of Figures + Left:  0&quot;"/>
    <w:aliases w:val="Hanging:  0.75&quot;,Right:  0.25&quot;,Before:  6 pt"/>
    <w:basedOn w:val="Normal"/>
    <w:rsid w:val="00196ECD"/>
    <w:pPr>
      <w:ind w:right="360"/>
    </w:pPr>
  </w:style>
  <w:style w:type="table" w:styleId="TableGrid">
    <w:name w:val="Table Grid"/>
    <w:basedOn w:val="TableNormal"/>
    <w:uiPriority w:val="59"/>
    <w:rsid w:val="00196ECD"/>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Index1">
    <w:name w:val="index 1"/>
    <w:basedOn w:val="Normal"/>
    <w:next w:val="Normal"/>
    <w:autoRedefine/>
    <w:semiHidden/>
    <w:rsid w:val="00196ECD"/>
    <w:pPr>
      <w:tabs>
        <w:tab w:val="right" w:leader="dot" w:pos="8990"/>
      </w:tabs>
      <w:ind w:left="280" w:hanging="280"/>
    </w:pPr>
    <w:rPr>
      <w:rFonts w:eastAsia="Times New Roman"/>
      <w:noProof/>
    </w:rPr>
  </w:style>
  <w:style w:type="paragraph" w:styleId="Index2">
    <w:name w:val="index 2"/>
    <w:basedOn w:val="Normal"/>
    <w:next w:val="Normal"/>
    <w:autoRedefine/>
    <w:semiHidden/>
    <w:rsid w:val="00196ECD"/>
    <w:pPr>
      <w:tabs>
        <w:tab w:val="right" w:leader="dot" w:pos="8990"/>
      </w:tabs>
      <w:ind w:left="560" w:hanging="280"/>
    </w:pPr>
    <w:rPr>
      <w:rFonts w:eastAsia="Times New Roman"/>
      <w:noProof/>
    </w:rPr>
  </w:style>
  <w:style w:type="paragraph" w:styleId="Index3">
    <w:name w:val="index 3"/>
    <w:basedOn w:val="Normal"/>
    <w:next w:val="Normal"/>
    <w:autoRedefine/>
    <w:semiHidden/>
    <w:rsid w:val="00196ECD"/>
    <w:pPr>
      <w:ind w:left="840" w:hanging="280"/>
    </w:pPr>
    <w:rPr>
      <w:rFonts w:eastAsia="Times New Roman"/>
    </w:rPr>
  </w:style>
  <w:style w:type="character" w:customStyle="1" w:styleId="StyleCaption-Figure-Text8ptNotBold">
    <w:name w:val="Style Caption-Figure-Text + 8 pt Not Bold"/>
    <w:basedOn w:val="DefaultParagraphFont"/>
    <w:rsid w:val="00196ECD"/>
    <w:rPr>
      <w:rFonts w:ascii="Arial" w:hAnsi="Arial" w:cs="Times New Roman"/>
      <w:b/>
      <w:sz w:val="20"/>
      <w:szCs w:val="20"/>
    </w:rPr>
  </w:style>
  <w:style w:type="paragraph" w:customStyle="1" w:styleId="Default">
    <w:name w:val="Default"/>
    <w:rsid w:val="00196ECD"/>
    <w:pPr>
      <w:autoSpaceDE w:val="0"/>
      <w:autoSpaceDN w:val="0"/>
      <w:adjustRightInd w:val="0"/>
      <w:spacing w:after="0" w:line="240" w:lineRule="auto"/>
    </w:pPr>
    <w:rPr>
      <w:rFonts w:ascii="Times New Roman" w:eastAsia="Times New Roman" w:hAnsi="Times New Roman"/>
      <w:color w:val="000000"/>
      <w:sz w:val="24"/>
      <w:szCs w:val="24"/>
    </w:rPr>
  </w:style>
  <w:style w:type="character" w:customStyle="1" w:styleId="Caption-FigureChar">
    <w:name w:val="Caption-Figure Char"/>
    <w:basedOn w:val="CaptionChar"/>
    <w:link w:val="Caption-Figure"/>
    <w:locked/>
    <w:rsid w:val="00FB12FF"/>
    <w:rPr>
      <w:rFonts w:ascii="Calibri" w:hAnsi="Calibri"/>
      <w:b/>
      <w:bCs w:val="0"/>
      <w:szCs w:val="18"/>
    </w:rPr>
  </w:style>
  <w:style w:type="character" w:customStyle="1" w:styleId="CaptionFigureChar">
    <w:name w:val="CaptionFigure Char"/>
    <w:basedOn w:val="CaptionChar"/>
    <w:link w:val="CaptionFigure"/>
    <w:locked/>
    <w:rsid w:val="00196ECD"/>
    <w:rPr>
      <w:rFonts w:ascii="Calibri" w:hAnsi="Calibri"/>
      <w:b/>
      <w:bCs/>
      <w:sz w:val="20"/>
      <w:szCs w:val="18"/>
    </w:rPr>
  </w:style>
  <w:style w:type="paragraph" w:customStyle="1" w:styleId="StyleNormalBefore6ptJustified">
    <w:name w:val="Style Normal + Before:  6 pt + Justified"/>
    <w:basedOn w:val="NormalBefore6pt"/>
    <w:rsid w:val="00196ECD"/>
    <w:pPr>
      <w:jc w:val="both"/>
    </w:pPr>
    <w:rPr>
      <w:szCs w:val="20"/>
    </w:rPr>
  </w:style>
  <w:style w:type="paragraph" w:customStyle="1" w:styleId="Footer1ptspace">
    <w:name w:val="Footer 1pt space"/>
    <w:basedOn w:val="Footer"/>
    <w:rsid w:val="00196ECD"/>
  </w:style>
  <w:style w:type="paragraph" w:customStyle="1" w:styleId="CaptionFigure">
    <w:name w:val="CaptionFigure"/>
    <w:basedOn w:val="Normal"/>
    <w:link w:val="CaptionFigureChar"/>
    <w:rsid w:val="00196ECD"/>
  </w:style>
  <w:style w:type="character" w:customStyle="1" w:styleId="Caption-Figure-Text">
    <w:name w:val="Caption-Figure-Text"/>
    <w:qFormat/>
    <w:rsid w:val="00CF53C9"/>
    <w:rPr>
      <w:rFonts w:ascii="Calibri" w:hAnsi="Calibri"/>
      <w:b/>
      <w:sz w:val="20"/>
    </w:rPr>
  </w:style>
  <w:style w:type="paragraph" w:customStyle="1" w:styleId="Style1">
    <w:name w:val="Style1"/>
    <w:basedOn w:val="CaptionFigure"/>
    <w:rsid w:val="00196ECD"/>
    <w:pPr>
      <w:ind w:left="360"/>
    </w:pPr>
    <w:rPr>
      <w:b/>
    </w:rPr>
  </w:style>
  <w:style w:type="paragraph" w:customStyle="1" w:styleId="NormalBefore6pt">
    <w:name w:val="Normal + Before:  6 pt"/>
    <w:basedOn w:val="Normal"/>
    <w:rsid w:val="00196ECD"/>
    <w:pPr>
      <w:spacing w:before="120" w:line="240" w:lineRule="auto"/>
    </w:pPr>
    <w:rPr>
      <w:rFonts w:eastAsia="Times New Roman"/>
      <w:szCs w:val="24"/>
    </w:rPr>
  </w:style>
  <w:style w:type="paragraph" w:customStyle="1" w:styleId="FoonoteText">
    <w:name w:val="Foonote Text"/>
    <w:basedOn w:val="Normal"/>
    <w:link w:val="FoonoteTextChar"/>
    <w:qFormat/>
    <w:rsid w:val="00484D6C"/>
    <w:pPr>
      <w:adjustRightInd w:val="0"/>
      <w:textAlignment w:val="baseline"/>
    </w:pPr>
  </w:style>
  <w:style w:type="character" w:styleId="Emphasis">
    <w:name w:val="Emphasis"/>
    <w:basedOn w:val="DefaultParagraphFont"/>
    <w:qFormat/>
    <w:rsid w:val="00196ECD"/>
    <w:rPr>
      <w:rFonts w:cs="Times New Roman"/>
      <w:i/>
      <w:iCs/>
    </w:rPr>
  </w:style>
  <w:style w:type="paragraph" w:styleId="BodyTextIndent2">
    <w:name w:val="Body Text Indent 2"/>
    <w:basedOn w:val="Normal"/>
    <w:link w:val="BodyTextIndent2Char"/>
    <w:rsid w:val="00196ECD"/>
    <w:pPr>
      <w:spacing w:after="120" w:line="480" w:lineRule="auto"/>
      <w:ind w:left="360"/>
    </w:pPr>
    <w:rPr>
      <w:rFonts w:eastAsia="Times New Roman"/>
    </w:rPr>
  </w:style>
  <w:style w:type="character" w:customStyle="1" w:styleId="BodyTextIndent2Char">
    <w:name w:val="Body Text Indent 2 Char"/>
    <w:basedOn w:val="DefaultParagraphFont"/>
    <w:link w:val="BodyTextIndent2"/>
    <w:rsid w:val="00196ECD"/>
    <w:rPr>
      <w:rFonts w:ascii="Times New Roman" w:eastAsia="Times New Roman" w:hAnsi="Times New Roman" w:cs="Times New Roman"/>
      <w:szCs w:val="20"/>
    </w:rPr>
  </w:style>
  <w:style w:type="paragraph" w:styleId="BodyTextIndent3">
    <w:name w:val="Body Text Indent 3"/>
    <w:basedOn w:val="Normal"/>
    <w:link w:val="BodyTextIndent3Char"/>
    <w:rsid w:val="00196ECD"/>
    <w:pPr>
      <w:spacing w:after="120"/>
      <w:ind w:left="360"/>
    </w:pPr>
    <w:rPr>
      <w:rFonts w:eastAsia="Times New Roman"/>
      <w:sz w:val="16"/>
      <w:szCs w:val="16"/>
    </w:rPr>
  </w:style>
  <w:style w:type="character" w:customStyle="1" w:styleId="BodyTextIndent3Char">
    <w:name w:val="Body Text Indent 3 Char"/>
    <w:basedOn w:val="DefaultParagraphFont"/>
    <w:link w:val="BodyTextIndent3"/>
    <w:rsid w:val="00196ECD"/>
    <w:rPr>
      <w:rFonts w:ascii="Times New Roman" w:eastAsia="Times New Roman" w:hAnsi="Times New Roman" w:cs="Times New Roman"/>
      <w:sz w:val="16"/>
      <w:szCs w:val="16"/>
    </w:rPr>
  </w:style>
  <w:style w:type="character" w:customStyle="1" w:styleId="FoonoteTextChar">
    <w:name w:val="Foonote Text Char"/>
    <w:basedOn w:val="FootnoteTextChar"/>
    <w:link w:val="FoonoteText"/>
    <w:locked/>
    <w:rsid w:val="00484D6C"/>
    <w:rPr>
      <w:rFonts w:ascii="Cambria" w:eastAsia="Times New Roman" w:hAnsi="Cambria"/>
      <w:color w:val="auto"/>
      <w:sz w:val="18"/>
      <w:szCs w:val="18"/>
    </w:rPr>
  </w:style>
  <w:style w:type="paragraph" w:customStyle="1" w:styleId="Keyfacts-Text">
    <w:name w:val="Keyfacts-Text"/>
    <w:basedOn w:val="Normal"/>
    <w:rsid w:val="00196ECD"/>
    <w:pPr>
      <w:widowControl w:val="0"/>
      <w:numPr>
        <w:numId w:val="5"/>
      </w:numPr>
      <w:tabs>
        <w:tab w:val="clear" w:pos="720"/>
      </w:tabs>
      <w:spacing w:after="20" w:line="240" w:lineRule="auto"/>
      <w:ind w:left="540" w:hanging="180"/>
    </w:pPr>
    <w:rPr>
      <w:rFonts w:ascii="Arial" w:eastAsia="Times New Roman" w:hAnsi="Arial" w:cs="Arial"/>
      <w:color w:val="000000"/>
      <w:sz w:val="16"/>
      <w:szCs w:val="16"/>
    </w:rPr>
  </w:style>
  <w:style w:type="paragraph" w:customStyle="1" w:styleId="Keyfacts-Space">
    <w:name w:val="Keyfacts-Space"/>
    <w:basedOn w:val="Normal"/>
    <w:rsid w:val="00196ECD"/>
    <w:pPr>
      <w:widowControl w:val="0"/>
      <w:spacing w:after="20" w:line="240" w:lineRule="auto"/>
      <w:ind w:left="360"/>
    </w:pPr>
    <w:rPr>
      <w:rFonts w:ascii="Arial" w:eastAsia="Times New Roman" w:hAnsi="Arial" w:cs="Arial"/>
      <w:color w:val="000000"/>
      <w:sz w:val="16"/>
      <w:szCs w:val="16"/>
    </w:rPr>
  </w:style>
  <w:style w:type="numbering" w:customStyle="1" w:styleId="BulletedList">
    <w:name w:val="Bulleted List"/>
    <w:rsid w:val="00196ECD"/>
    <w:pPr>
      <w:numPr>
        <w:numId w:val="4"/>
      </w:numPr>
    </w:pPr>
  </w:style>
  <w:style w:type="character" w:customStyle="1" w:styleId="NoSpacingChar">
    <w:name w:val="No Spacing Char"/>
    <w:basedOn w:val="DefaultParagraphFont"/>
    <w:link w:val="NoSpacing"/>
    <w:uiPriority w:val="1"/>
    <w:rsid w:val="00437B98"/>
    <w:rPr>
      <w:rFonts w:asciiTheme="majorHAnsi" w:hAnsiTheme="majorHAnsi"/>
    </w:rPr>
  </w:style>
  <w:style w:type="character" w:customStyle="1" w:styleId="EmailStyle1502">
    <w:name w:val="EmailStyle1502"/>
    <w:basedOn w:val="DefaultParagraphFont"/>
    <w:semiHidden/>
    <w:rsid w:val="00196ECD"/>
    <w:rPr>
      <w:rFonts w:ascii="Arial" w:hAnsi="Arial" w:cs="Arial"/>
      <w:color w:val="993366"/>
      <w:sz w:val="20"/>
    </w:rPr>
  </w:style>
  <w:style w:type="character" w:customStyle="1" w:styleId="EmailStyle1512">
    <w:name w:val="EmailStyle1512"/>
    <w:basedOn w:val="DefaultParagraphFont"/>
    <w:semiHidden/>
    <w:rsid w:val="00196ECD"/>
    <w:rPr>
      <w:rFonts w:ascii="Arial" w:hAnsi="Arial" w:cs="Arial"/>
      <w:color w:val="000080"/>
      <w:sz w:val="20"/>
    </w:rPr>
  </w:style>
  <w:style w:type="paragraph" w:styleId="EndnoteText">
    <w:name w:val="endnote text"/>
    <w:basedOn w:val="Normal"/>
    <w:link w:val="EndnoteTextChar"/>
    <w:uiPriority w:val="99"/>
    <w:rsid w:val="00196ECD"/>
    <w:pPr>
      <w:spacing w:line="240" w:lineRule="auto"/>
    </w:pPr>
    <w:rPr>
      <w:rFonts w:eastAsia="Times New Roman"/>
    </w:rPr>
  </w:style>
  <w:style w:type="character" w:customStyle="1" w:styleId="EndnoteTextChar">
    <w:name w:val="Endnote Text Char"/>
    <w:basedOn w:val="DefaultParagraphFont"/>
    <w:link w:val="EndnoteText"/>
    <w:uiPriority w:val="99"/>
    <w:rsid w:val="00196ECD"/>
    <w:rPr>
      <w:rFonts w:ascii="Times New Roman" w:eastAsia="Times New Roman" w:hAnsi="Times New Roman" w:cs="Times New Roman"/>
      <w:sz w:val="20"/>
      <w:szCs w:val="20"/>
    </w:rPr>
  </w:style>
  <w:style w:type="paragraph" w:styleId="PlainText">
    <w:name w:val="Plain Text"/>
    <w:basedOn w:val="Normal"/>
    <w:link w:val="PlainTextChar"/>
    <w:uiPriority w:val="99"/>
    <w:unhideWhenUsed/>
    <w:rsid w:val="00196ECD"/>
    <w:pPr>
      <w:spacing w:line="240" w:lineRule="auto"/>
    </w:pPr>
    <w:rPr>
      <w:rFonts w:ascii="Consolas" w:eastAsia="Calibri" w:hAnsi="Consolas"/>
      <w:sz w:val="21"/>
      <w:szCs w:val="21"/>
    </w:rPr>
  </w:style>
  <w:style w:type="character" w:customStyle="1" w:styleId="PlainTextChar">
    <w:name w:val="Plain Text Char"/>
    <w:basedOn w:val="DefaultParagraphFont"/>
    <w:link w:val="PlainText"/>
    <w:uiPriority w:val="99"/>
    <w:rsid w:val="00196ECD"/>
    <w:rPr>
      <w:rFonts w:ascii="Consolas" w:eastAsia="Calibri" w:hAnsi="Consolas" w:cs="Times New Roman"/>
      <w:sz w:val="21"/>
      <w:szCs w:val="21"/>
    </w:rPr>
  </w:style>
  <w:style w:type="character" w:customStyle="1" w:styleId="EmailStyle1562">
    <w:name w:val="EmailStyle1562"/>
    <w:basedOn w:val="DefaultParagraphFont"/>
    <w:semiHidden/>
    <w:rsid w:val="00196ECD"/>
    <w:rPr>
      <w:rFonts w:ascii="Arial" w:hAnsi="Arial" w:cs="Arial"/>
      <w:color w:val="993366"/>
      <w:sz w:val="20"/>
    </w:rPr>
  </w:style>
  <w:style w:type="character" w:customStyle="1" w:styleId="EmailStyle1572">
    <w:name w:val="EmailStyle1572"/>
    <w:basedOn w:val="DefaultParagraphFont"/>
    <w:semiHidden/>
    <w:rsid w:val="00196ECD"/>
    <w:rPr>
      <w:rFonts w:ascii="Arial" w:hAnsi="Arial" w:cs="Arial"/>
      <w:color w:val="000080"/>
      <w:sz w:val="20"/>
    </w:rPr>
  </w:style>
  <w:style w:type="character" w:customStyle="1" w:styleId="FootnoteCharacters">
    <w:name w:val="Footnote Characters"/>
    <w:basedOn w:val="DefaultParagraphFont"/>
    <w:uiPriority w:val="99"/>
    <w:rsid w:val="00196ECD"/>
    <w:rPr>
      <w:vertAlign w:val="superscript"/>
    </w:rPr>
  </w:style>
  <w:style w:type="paragraph" w:customStyle="1" w:styleId="Body1">
    <w:name w:val="Body 1"/>
    <w:basedOn w:val="Normal"/>
    <w:rsid w:val="00196ECD"/>
    <w:pPr>
      <w:suppressAutoHyphens/>
      <w:spacing w:line="240" w:lineRule="auto"/>
      <w:ind w:firstLine="720"/>
      <w:jc w:val="both"/>
    </w:pPr>
    <w:rPr>
      <w:rFonts w:eastAsia="Times New Roman"/>
      <w:szCs w:val="24"/>
      <w:lang w:eastAsia="ar-SA"/>
    </w:rPr>
  </w:style>
  <w:style w:type="paragraph" w:styleId="Revision">
    <w:name w:val="Revision"/>
    <w:hidden/>
    <w:uiPriority w:val="99"/>
    <w:semiHidden/>
    <w:rsid w:val="00196ECD"/>
    <w:pPr>
      <w:spacing w:after="0" w:line="240" w:lineRule="auto"/>
    </w:pPr>
    <w:rPr>
      <w:rFonts w:ascii="Times New Roman" w:eastAsia="Times New Roman" w:hAnsi="Times New Roman"/>
    </w:rPr>
  </w:style>
  <w:style w:type="character" w:customStyle="1" w:styleId="FootnoteTextChar2">
    <w:name w:val="Footnote Text Char2"/>
    <w:aliases w:val="Footnote Text Char1 Char1,Footnote Text Char Char Char1,fn Char Char Char1,Footnote Text Char1 Char1 Char Char1,Footnote Text Char Char Char1 Char Char1,Footnote Text Char1 Char Char Char Char1,Footnote Text Char Char1 Char1,ft Char2"/>
    <w:basedOn w:val="DefaultParagraphFont"/>
    <w:uiPriority w:val="99"/>
    <w:rsid w:val="00196ECD"/>
    <w:rPr>
      <w:sz w:val="18"/>
      <w:szCs w:val="18"/>
    </w:rPr>
  </w:style>
  <w:style w:type="character" w:customStyle="1" w:styleId="BodyTextChar1">
    <w:name w:val="Body Text Char1"/>
    <w:aliases w:val="b Char,b Char2"/>
    <w:basedOn w:val="DefaultParagraphFont"/>
    <w:rsid w:val="00196ECD"/>
    <w:rPr>
      <w:rFonts w:ascii="Times New Roman" w:eastAsia="Times New Roman" w:hAnsi="Times New Roman"/>
      <w:sz w:val="22"/>
      <w:szCs w:val="22"/>
    </w:rPr>
  </w:style>
  <w:style w:type="paragraph" w:customStyle="1" w:styleId="TextBullet">
    <w:name w:val="Text Bullet"/>
    <w:basedOn w:val="Normal"/>
    <w:autoRedefine/>
    <w:rsid w:val="00196ECD"/>
    <w:pPr>
      <w:spacing w:line="240" w:lineRule="auto"/>
      <w:ind w:left="360"/>
    </w:pPr>
    <w:rPr>
      <w:rFonts w:eastAsia="Times New Roman"/>
    </w:rPr>
  </w:style>
  <w:style w:type="paragraph" w:customStyle="1" w:styleId="nobottom">
    <w:name w:val="nobottom"/>
    <w:basedOn w:val="Normal"/>
    <w:rsid w:val="00196ECD"/>
    <w:pPr>
      <w:spacing w:line="240" w:lineRule="auto"/>
    </w:pPr>
    <w:rPr>
      <w:rFonts w:eastAsia="Times New Roman"/>
      <w:sz w:val="19"/>
      <w:szCs w:val="19"/>
    </w:rPr>
  </w:style>
  <w:style w:type="character" w:customStyle="1" w:styleId="StyleFootnoteReferenceLatinTimesNewRoman">
    <w:name w:val="Style Footnote Reference + (Latin) Times New Roman"/>
    <w:basedOn w:val="FootnoteReference"/>
    <w:rsid w:val="00196ECD"/>
    <w:rPr>
      <w:rFonts w:ascii="Cambria" w:hAnsi="Cambria" w:cs="Times New Roman"/>
      <w:dstrike w:val="0"/>
      <w:sz w:val="20"/>
      <w:vertAlign w:val="superscript"/>
    </w:rPr>
  </w:style>
  <w:style w:type="paragraph" w:customStyle="1" w:styleId="Table-FigureHeading">
    <w:name w:val="Table-FigureHeading"/>
    <w:basedOn w:val="Normal"/>
    <w:rsid w:val="00196ECD"/>
    <w:pPr>
      <w:keepNext/>
      <w:keepLines/>
      <w:spacing w:before="240" w:after="120" w:line="240" w:lineRule="auto"/>
      <w:jc w:val="center"/>
    </w:pPr>
    <w:rPr>
      <w:rFonts w:ascii="Arial" w:eastAsia="Times New Roman" w:hAnsi="Arial"/>
      <w:b/>
      <w:sz w:val="24"/>
    </w:rPr>
  </w:style>
  <w:style w:type="paragraph" w:customStyle="1" w:styleId="Underline">
    <w:name w:val="Underline"/>
    <w:basedOn w:val="Normal"/>
    <w:rsid w:val="00196ECD"/>
    <w:pPr>
      <w:keepNext/>
      <w:keepLines/>
      <w:spacing w:before="120" w:line="240" w:lineRule="auto"/>
      <w:outlineLvl w:val="3"/>
    </w:pPr>
    <w:rPr>
      <w:rFonts w:ascii="Arial" w:eastAsia="Times New Roman" w:hAnsi="Arial" w:cs="Arial"/>
      <w:smallCaps/>
      <w:color w:val="008080"/>
      <w:sz w:val="24"/>
      <w:szCs w:val="24"/>
      <w:u w:val="single"/>
    </w:rPr>
  </w:style>
  <w:style w:type="paragraph" w:customStyle="1" w:styleId="Heading">
    <w:name w:val="Heading"/>
    <w:basedOn w:val="Normal"/>
    <w:rsid w:val="00196ECD"/>
    <w:pPr>
      <w:keepNext/>
      <w:keepLines/>
      <w:pageBreakBefore/>
      <w:spacing w:before="240" w:line="240" w:lineRule="auto"/>
      <w:jc w:val="center"/>
      <w:outlineLvl w:val="0"/>
    </w:pPr>
    <w:rPr>
      <w:rFonts w:ascii="Arial" w:eastAsia="Times New Roman" w:hAnsi="Arial"/>
      <w:b/>
      <w:sz w:val="32"/>
      <w:szCs w:val="24"/>
    </w:rPr>
  </w:style>
  <w:style w:type="paragraph" w:customStyle="1" w:styleId="Bullets">
    <w:name w:val="Bullets"/>
    <w:basedOn w:val="Normal"/>
    <w:rsid w:val="00196ECD"/>
    <w:pPr>
      <w:numPr>
        <w:numId w:val="8"/>
      </w:numPr>
      <w:spacing w:after="60" w:line="240" w:lineRule="auto"/>
    </w:pPr>
    <w:rPr>
      <w:rFonts w:eastAsia="Times New Roman"/>
      <w:sz w:val="24"/>
      <w:szCs w:val="24"/>
    </w:rPr>
  </w:style>
  <w:style w:type="paragraph" w:customStyle="1" w:styleId="NumberedList">
    <w:name w:val="NumberedList"/>
    <w:rsid w:val="00196ECD"/>
    <w:pPr>
      <w:numPr>
        <w:ilvl w:val="1"/>
        <w:numId w:val="7"/>
      </w:numPr>
      <w:spacing w:after="0" w:line="240" w:lineRule="auto"/>
    </w:pPr>
    <w:rPr>
      <w:rFonts w:ascii="Times New Roman" w:eastAsia="Times New Roman" w:hAnsi="Times New Roman"/>
      <w:sz w:val="24"/>
    </w:rPr>
  </w:style>
  <w:style w:type="paragraph" w:customStyle="1" w:styleId="Reference">
    <w:name w:val="Reference"/>
    <w:basedOn w:val="Normal"/>
    <w:rsid w:val="00196ECD"/>
    <w:pPr>
      <w:spacing w:line="240" w:lineRule="auto"/>
    </w:pPr>
    <w:rPr>
      <w:rFonts w:eastAsia="Times New Roman"/>
      <w:sz w:val="24"/>
      <w:szCs w:val="24"/>
    </w:rPr>
  </w:style>
  <w:style w:type="paragraph" w:styleId="Index4">
    <w:name w:val="index 4"/>
    <w:basedOn w:val="Normal"/>
    <w:next w:val="Normal"/>
    <w:autoRedefine/>
    <w:semiHidden/>
    <w:rsid w:val="00196ECD"/>
    <w:pPr>
      <w:spacing w:line="240" w:lineRule="auto"/>
      <w:ind w:left="960" w:hanging="240"/>
    </w:pPr>
    <w:rPr>
      <w:rFonts w:eastAsia="Times New Roman"/>
      <w:sz w:val="24"/>
      <w:szCs w:val="21"/>
    </w:rPr>
  </w:style>
  <w:style w:type="paragraph" w:styleId="Index5">
    <w:name w:val="index 5"/>
    <w:basedOn w:val="Normal"/>
    <w:next w:val="Normal"/>
    <w:autoRedefine/>
    <w:semiHidden/>
    <w:rsid w:val="00196ECD"/>
    <w:pPr>
      <w:spacing w:line="240" w:lineRule="auto"/>
      <w:ind w:left="1200" w:hanging="240"/>
    </w:pPr>
    <w:rPr>
      <w:rFonts w:eastAsia="Times New Roman"/>
      <w:sz w:val="24"/>
      <w:szCs w:val="21"/>
    </w:rPr>
  </w:style>
  <w:style w:type="paragraph" w:styleId="Index6">
    <w:name w:val="index 6"/>
    <w:basedOn w:val="Normal"/>
    <w:next w:val="Normal"/>
    <w:autoRedefine/>
    <w:semiHidden/>
    <w:rsid w:val="00196ECD"/>
    <w:pPr>
      <w:spacing w:line="240" w:lineRule="auto"/>
      <w:ind w:left="1440" w:hanging="240"/>
    </w:pPr>
    <w:rPr>
      <w:rFonts w:eastAsia="Times New Roman"/>
      <w:sz w:val="24"/>
      <w:szCs w:val="21"/>
    </w:rPr>
  </w:style>
  <w:style w:type="paragraph" w:styleId="Index7">
    <w:name w:val="index 7"/>
    <w:basedOn w:val="Normal"/>
    <w:next w:val="Normal"/>
    <w:autoRedefine/>
    <w:semiHidden/>
    <w:rsid w:val="00196ECD"/>
    <w:pPr>
      <w:spacing w:line="240" w:lineRule="auto"/>
      <w:ind w:left="1680" w:hanging="240"/>
    </w:pPr>
    <w:rPr>
      <w:rFonts w:eastAsia="Times New Roman"/>
      <w:sz w:val="24"/>
      <w:szCs w:val="21"/>
    </w:rPr>
  </w:style>
  <w:style w:type="paragraph" w:styleId="Index8">
    <w:name w:val="index 8"/>
    <w:basedOn w:val="Normal"/>
    <w:next w:val="Normal"/>
    <w:autoRedefine/>
    <w:semiHidden/>
    <w:rsid w:val="00196ECD"/>
    <w:pPr>
      <w:spacing w:line="240" w:lineRule="auto"/>
      <w:ind w:left="1920" w:hanging="240"/>
    </w:pPr>
    <w:rPr>
      <w:rFonts w:eastAsia="Times New Roman"/>
      <w:sz w:val="24"/>
      <w:szCs w:val="21"/>
    </w:rPr>
  </w:style>
  <w:style w:type="paragraph" w:styleId="Index9">
    <w:name w:val="index 9"/>
    <w:basedOn w:val="Normal"/>
    <w:next w:val="Normal"/>
    <w:autoRedefine/>
    <w:semiHidden/>
    <w:rsid w:val="00196ECD"/>
    <w:pPr>
      <w:spacing w:line="240" w:lineRule="auto"/>
      <w:ind w:left="2160" w:hanging="240"/>
    </w:pPr>
    <w:rPr>
      <w:rFonts w:eastAsia="Times New Roman"/>
      <w:sz w:val="24"/>
      <w:szCs w:val="21"/>
    </w:rPr>
  </w:style>
  <w:style w:type="paragraph" w:styleId="IndexHeading">
    <w:name w:val="index heading"/>
    <w:basedOn w:val="Normal"/>
    <w:next w:val="Index1"/>
    <w:semiHidden/>
    <w:rsid w:val="00196ECD"/>
    <w:pPr>
      <w:keepNext/>
      <w:pBdr>
        <w:top w:val="double" w:sz="6" w:space="0" w:color="auto" w:shadow="1"/>
        <w:left w:val="double" w:sz="6" w:space="0" w:color="auto" w:shadow="1"/>
        <w:bottom w:val="double" w:sz="6" w:space="0" w:color="auto" w:shadow="1"/>
        <w:right w:val="double" w:sz="6" w:space="0" w:color="auto" w:shadow="1"/>
      </w:pBdr>
      <w:tabs>
        <w:tab w:val="right" w:leader="dot" w:pos="2630"/>
      </w:tabs>
      <w:spacing w:before="240" w:after="120" w:line="240" w:lineRule="auto"/>
      <w:jc w:val="center"/>
    </w:pPr>
    <w:rPr>
      <w:rFonts w:ascii="Arial" w:eastAsia="Times New Roman" w:hAnsi="Arial"/>
      <w:b/>
      <w:bCs/>
      <w:noProof/>
      <w:color w:val="008080"/>
      <w:sz w:val="16"/>
      <w:szCs w:val="26"/>
    </w:rPr>
  </w:style>
  <w:style w:type="paragraph" w:customStyle="1" w:styleId="FigureBox">
    <w:name w:val="FigureBox"/>
    <w:basedOn w:val="Normal"/>
    <w:rsid w:val="00196ECD"/>
    <w:pPr>
      <w:spacing w:before="60" w:after="120" w:line="240" w:lineRule="auto"/>
      <w:jc w:val="center"/>
    </w:pPr>
    <w:rPr>
      <w:rFonts w:ascii="Arial" w:eastAsia="Times New Roman" w:hAnsi="Arial"/>
      <w:noProof/>
      <w:sz w:val="24"/>
    </w:rPr>
  </w:style>
  <w:style w:type="paragraph" w:customStyle="1" w:styleId="1Numbering">
    <w:name w:val="1.Numbering"/>
    <w:basedOn w:val="Normal"/>
    <w:rsid w:val="00196ECD"/>
    <w:pPr>
      <w:tabs>
        <w:tab w:val="num" w:pos="1080"/>
      </w:tabs>
      <w:spacing w:line="240" w:lineRule="auto"/>
      <w:ind w:left="1080" w:hanging="360"/>
    </w:pPr>
    <w:rPr>
      <w:rFonts w:eastAsia="Times New Roman"/>
      <w:sz w:val="24"/>
      <w:szCs w:val="24"/>
    </w:rPr>
  </w:style>
  <w:style w:type="paragraph" w:customStyle="1" w:styleId="StudyRef1">
    <w:name w:val="StudyRef1"/>
    <w:basedOn w:val="Normal"/>
    <w:rsid w:val="00196ECD"/>
    <w:pPr>
      <w:keepNext/>
      <w:tabs>
        <w:tab w:val="right" w:pos="1170"/>
        <w:tab w:val="left" w:pos="2160"/>
      </w:tabs>
      <w:spacing w:before="360" w:line="240" w:lineRule="auto"/>
      <w:ind w:left="2160" w:hanging="1526"/>
    </w:pPr>
    <w:rPr>
      <w:rFonts w:ascii="Arial" w:eastAsia="Times New Roman" w:hAnsi="Arial"/>
      <w:b/>
      <w:sz w:val="24"/>
    </w:rPr>
  </w:style>
  <w:style w:type="paragraph" w:customStyle="1" w:styleId="NumberedList1">
    <w:name w:val="NumberedList1"/>
    <w:rsid w:val="00196ECD"/>
    <w:pPr>
      <w:tabs>
        <w:tab w:val="num" w:pos="1440"/>
      </w:tabs>
      <w:spacing w:after="0" w:line="240" w:lineRule="auto"/>
      <w:ind w:left="1440" w:hanging="360"/>
    </w:pPr>
    <w:rPr>
      <w:rFonts w:ascii="Times New Roman" w:eastAsia="Times New Roman" w:hAnsi="Times New Roman"/>
      <w:sz w:val="24"/>
    </w:rPr>
  </w:style>
  <w:style w:type="paragraph" w:customStyle="1" w:styleId="R521DocumentTitle">
    <w:name w:val="R521 Document Title"/>
    <w:basedOn w:val="Normal"/>
    <w:rsid w:val="00196ECD"/>
    <w:pPr>
      <w:keepLines/>
      <w:tabs>
        <w:tab w:val="num" w:pos="1080"/>
      </w:tabs>
      <w:ind w:left="1080" w:hanging="360"/>
    </w:pPr>
    <w:rPr>
      <w:rFonts w:ascii="Verdana" w:hAnsi="Verdana"/>
      <w:bCs/>
      <w:smallCaps/>
      <w:color w:val="008080"/>
      <w:sz w:val="40"/>
    </w:rPr>
  </w:style>
  <w:style w:type="paragraph" w:customStyle="1" w:styleId="FigureHeading">
    <w:name w:val="FigureHeading"/>
    <w:basedOn w:val="Normal"/>
    <w:rsid w:val="00196ECD"/>
    <w:pPr>
      <w:keepNext/>
      <w:keepLines/>
      <w:spacing w:after="120" w:line="240" w:lineRule="auto"/>
      <w:jc w:val="center"/>
    </w:pPr>
    <w:rPr>
      <w:rFonts w:ascii="Arial" w:eastAsia="Times New Roman" w:hAnsi="Arial"/>
      <w:b/>
      <w:sz w:val="24"/>
      <w:szCs w:val="24"/>
    </w:rPr>
  </w:style>
  <w:style w:type="paragraph" w:customStyle="1" w:styleId="Heading-plain">
    <w:name w:val="Heading-plain"/>
    <w:basedOn w:val="Heading"/>
    <w:rsid w:val="00196ECD"/>
    <w:rPr>
      <w:smallCaps/>
      <w:color w:val="008080"/>
    </w:rPr>
  </w:style>
  <w:style w:type="character" w:styleId="PageNumber">
    <w:name w:val="page number"/>
    <w:basedOn w:val="DefaultParagraphFont"/>
    <w:semiHidden/>
    <w:rsid w:val="00196ECD"/>
  </w:style>
  <w:style w:type="paragraph" w:styleId="EnvelopeReturn">
    <w:name w:val="envelope return"/>
    <w:basedOn w:val="Normal"/>
    <w:semiHidden/>
    <w:rsid w:val="00196ECD"/>
    <w:pPr>
      <w:spacing w:line="240" w:lineRule="auto"/>
    </w:pPr>
    <w:rPr>
      <w:rFonts w:eastAsia="Times New Roman" w:cs="Arial"/>
    </w:rPr>
  </w:style>
  <w:style w:type="paragraph" w:customStyle="1" w:styleId="Bullets-indented">
    <w:name w:val="Bullets-indented"/>
    <w:basedOn w:val="Bullets"/>
    <w:rsid w:val="00196ECD"/>
    <w:pPr>
      <w:tabs>
        <w:tab w:val="clear" w:pos="720"/>
        <w:tab w:val="left" w:pos="1080"/>
      </w:tabs>
      <w:ind w:left="1080"/>
    </w:pPr>
  </w:style>
  <w:style w:type="paragraph" w:customStyle="1" w:styleId="font5">
    <w:name w:val="font5"/>
    <w:basedOn w:val="Normal"/>
    <w:rsid w:val="00196ECD"/>
    <w:pPr>
      <w:spacing w:before="100" w:beforeAutospacing="1" w:after="100" w:afterAutospacing="1" w:line="240" w:lineRule="auto"/>
    </w:pPr>
    <w:rPr>
      <w:rFonts w:ascii="Tahoma" w:eastAsia="Times New Roman" w:hAnsi="Tahoma" w:cs="Tahoma"/>
      <w:b/>
      <w:bCs/>
      <w:color w:val="000000"/>
      <w:sz w:val="16"/>
      <w:szCs w:val="16"/>
    </w:rPr>
  </w:style>
  <w:style w:type="paragraph" w:customStyle="1" w:styleId="font6">
    <w:name w:val="font6"/>
    <w:basedOn w:val="Normal"/>
    <w:rsid w:val="00196ECD"/>
    <w:pPr>
      <w:spacing w:before="100" w:beforeAutospacing="1" w:after="100" w:afterAutospacing="1" w:line="240" w:lineRule="auto"/>
    </w:pPr>
    <w:rPr>
      <w:rFonts w:ascii="Tahoma" w:eastAsia="Times New Roman" w:hAnsi="Tahoma" w:cs="Tahoma"/>
      <w:color w:val="000000"/>
      <w:sz w:val="16"/>
      <w:szCs w:val="16"/>
    </w:rPr>
  </w:style>
  <w:style w:type="paragraph" w:styleId="Closing">
    <w:name w:val="Closing"/>
    <w:basedOn w:val="Normal"/>
    <w:link w:val="ClosingChar"/>
    <w:semiHidden/>
    <w:rsid w:val="00196ECD"/>
    <w:pPr>
      <w:spacing w:line="240" w:lineRule="auto"/>
      <w:ind w:left="4320"/>
    </w:pPr>
    <w:rPr>
      <w:rFonts w:eastAsia="Times New Roman"/>
      <w:sz w:val="24"/>
      <w:szCs w:val="24"/>
    </w:rPr>
  </w:style>
  <w:style w:type="character" w:customStyle="1" w:styleId="ClosingChar">
    <w:name w:val="Closing Char"/>
    <w:basedOn w:val="DefaultParagraphFont"/>
    <w:link w:val="Closing"/>
    <w:semiHidden/>
    <w:rsid w:val="00196ECD"/>
    <w:rPr>
      <w:rFonts w:ascii="Times New Roman" w:eastAsia="Times New Roman" w:hAnsi="Times New Roman" w:cs="Times New Roman"/>
      <w:sz w:val="24"/>
      <w:szCs w:val="24"/>
    </w:rPr>
  </w:style>
  <w:style w:type="paragraph" w:styleId="Date">
    <w:name w:val="Date"/>
    <w:basedOn w:val="Normal"/>
    <w:next w:val="Normal"/>
    <w:link w:val="DateChar"/>
    <w:rsid w:val="00196ECD"/>
    <w:pPr>
      <w:spacing w:line="240" w:lineRule="auto"/>
    </w:pPr>
    <w:rPr>
      <w:rFonts w:eastAsia="Times New Roman"/>
      <w:sz w:val="24"/>
      <w:szCs w:val="24"/>
    </w:rPr>
  </w:style>
  <w:style w:type="character" w:customStyle="1" w:styleId="DateChar">
    <w:name w:val="Date Char"/>
    <w:basedOn w:val="DefaultParagraphFont"/>
    <w:link w:val="Date"/>
    <w:rsid w:val="00196ECD"/>
    <w:rPr>
      <w:rFonts w:ascii="Times New Roman" w:eastAsia="Times New Roman" w:hAnsi="Times New Roman" w:cs="Times New Roman"/>
      <w:sz w:val="24"/>
      <w:szCs w:val="24"/>
    </w:rPr>
  </w:style>
  <w:style w:type="paragraph" w:styleId="E-mailSignature">
    <w:name w:val="E-mail Signature"/>
    <w:basedOn w:val="Normal"/>
    <w:link w:val="E-mailSignatureChar"/>
    <w:semiHidden/>
    <w:rsid w:val="00196ECD"/>
    <w:pPr>
      <w:spacing w:line="240" w:lineRule="auto"/>
    </w:pPr>
    <w:rPr>
      <w:rFonts w:eastAsia="Times New Roman"/>
      <w:sz w:val="24"/>
      <w:szCs w:val="24"/>
    </w:rPr>
  </w:style>
  <w:style w:type="character" w:customStyle="1" w:styleId="E-mailSignatureChar">
    <w:name w:val="E-mail Signature Char"/>
    <w:basedOn w:val="DefaultParagraphFont"/>
    <w:link w:val="E-mailSignature"/>
    <w:semiHidden/>
    <w:rsid w:val="00196ECD"/>
    <w:rPr>
      <w:rFonts w:ascii="Times New Roman" w:eastAsia="Times New Roman" w:hAnsi="Times New Roman" w:cs="Times New Roman"/>
      <w:sz w:val="24"/>
      <w:szCs w:val="24"/>
    </w:rPr>
  </w:style>
  <w:style w:type="paragraph" w:styleId="EnvelopeAddress">
    <w:name w:val="envelope address"/>
    <w:basedOn w:val="Normal"/>
    <w:semiHidden/>
    <w:rsid w:val="00196ECD"/>
    <w:pPr>
      <w:framePr w:w="7920" w:h="1980" w:hRule="exact" w:hSpace="180" w:wrap="auto" w:hAnchor="page" w:xAlign="center" w:yAlign="bottom"/>
      <w:spacing w:line="240" w:lineRule="auto"/>
      <w:ind w:left="2880"/>
    </w:pPr>
    <w:rPr>
      <w:rFonts w:ascii="Arial" w:eastAsia="Times New Roman" w:hAnsi="Arial" w:cs="Arial"/>
      <w:sz w:val="24"/>
      <w:szCs w:val="24"/>
    </w:rPr>
  </w:style>
  <w:style w:type="paragraph" w:styleId="HTMLAddress">
    <w:name w:val="HTML Address"/>
    <w:basedOn w:val="Normal"/>
    <w:link w:val="HTMLAddressChar"/>
    <w:semiHidden/>
    <w:rsid w:val="00196ECD"/>
    <w:pPr>
      <w:spacing w:line="240" w:lineRule="auto"/>
    </w:pPr>
    <w:rPr>
      <w:rFonts w:eastAsia="Times New Roman"/>
      <w:i/>
      <w:iCs/>
      <w:sz w:val="24"/>
      <w:szCs w:val="24"/>
    </w:rPr>
  </w:style>
  <w:style w:type="character" w:customStyle="1" w:styleId="HTMLAddressChar">
    <w:name w:val="HTML Address Char"/>
    <w:basedOn w:val="DefaultParagraphFont"/>
    <w:link w:val="HTMLAddress"/>
    <w:semiHidden/>
    <w:rsid w:val="00196ECD"/>
    <w:rPr>
      <w:rFonts w:ascii="Times New Roman" w:eastAsia="Times New Roman" w:hAnsi="Times New Roman" w:cs="Times New Roman"/>
      <w:i/>
      <w:iCs/>
      <w:sz w:val="24"/>
      <w:szCs w:val="24"/>
    </w:rPr>
  </w:style>
  <w:style w:type="paragraph" w:styleId="List">
    <w:name w:val="List"/>
    <w:basedOn w:val="Normal"/>
    <w:semiHidden/>
    <w:rsid w:val="00196ECD"/>
    <w:pPr>
      <w:spacing w:line="240" w:lineRule="auto"/>
      <w:ind w:left="360" w:hanging="360"/>
    </w:pPr>
    <w:rPr>
      <w:rFonts w:eastAsia="Times New Roman"/>
      <w:sz w:val="24"/>
      <w:szCs w:val="24"/>
    </w:rPr>
  </w:style>
  <w:style w:type="paragraph" w:styleId="List2">
    <w:name w:val="List 2"/>
    <w:basedOn w:val="Normal"/>
    <w:semiHidden/>
    <w:rsid w:val="00196ECD"/>
    <w:pPr>
      <w:spacing w:line="240" w:lineRule="auto"/>
      <w:ind w:left="720" w:hanging="360"/>
    </w:pPr>
    <w:rPr>
      <w:rFonts w:eastAsia="Times New Roman"/>
      <w:sz w:val="24"/>
      <w:szCs w:val="24"/>
    </w:rPr>
  </w:style>
  <w:style w:type="paragraph" w:styleId="List3">
    <w:name w:val="List 3"/>
    <w:basedOn w:val="Normal"/>
    <w:semiHidden/>
    <w:rsid w:val="00196ECD"/>
    <w:pPr>
      <w:spacing w:line="240" w:lineRule="auto"/>
      <w:ind w:left="1080" w:hanging="360"/>
    </w:pPr>
    <w:rPr>
      <w:rFonts w:eastAsia="Times New Roman"/>
      <w:sz w:val="24"/>
      <w:szCs w:val="24"/>
    </w:rPr>
  </w:style>
  <w:style w:type="paragraph" w:styleId="List4">
    <w:name w:val="List 4"/>
    <w:basedOn w:val="Normal"/>
    <w:semiHidden/>
    <w:rsid w:val="00196ECD"/>
    <w:pPr>
      <w:spacing w:line="240" w:lineRule="auto"/>
      <w:ind w:left="1440" w:hanging="360"/>
    </w:pPr>
    <w:rPr>
      <w:rFonts w:eastAsia="Times New Roman"/>
      <w:sz w:val="24"/>
      <w:szCs w:val="24"/>
    </w:rPr>
  </w:style>
  <w:style w:type="paragraph" w:styleId="List5">
    <w:name w:val="List 5"/>
    <w:basedOn w:val="Normal"/>
    <w:semiHidden/>
    <w:rsid w:val="00196ECD"/>
    <w:pPr>
      <w:spacing w:line="240" w:lineRule="auto"/>
      <w:ind w:left="1800" w:hanging="360"/>
    </w:pPr>
    <w:rPr>
      <w:rFonts w:eastAsia="Times New Roman"/>
      <w:sz w:val="24"/>
      <w:szCs w:val="24"/>
    </w:rPr>
  </w:style>
  <w:style w:type="paragraph" w:styleId="ListBullet">
    <w:name w:val="List Bullet"/>
    <w:basedOn w:val="Normal"/>
    <w:autoRedefine/>
    <w:semiHidden/>
    <w:rsid w:val="00196ECD"/>
    <w:pPr>
      <w:tabs>
        <w:tab w:val="num" w:pos="1800"/>
      </w:tabs>
      <w:spacing w:line="240" w:lineRule="auto"/>
      <w:ind w:left="1800" w:hanging="360"/>
    </w:pPr>
    <w:rPr>
      <w:rFonts w:eastAsia="Times New Roman"/>
      <w:sz w:val="24"/>
      <w:szCs w:val="24"/>
    </w:rPr>
  </w:style>
  <w:style w:type="paragraph" w:styleId="ListBullet3">
    <w:name w:val="List Bullet 3"/>
    <w:basedOn w:val="Normal"/>
    <w:autoRedefine/>
    <w:semiHidden/>
    <w:rsid w:val="00196ECD"/>
    <w:pPr>
      <w:numPr>
        <w:numId w:val="9"/>
      </w:numPr>
      <w:tabs>
        <w:tab w:val="clear" w:pos="720"/>
        <w:tab w:val="num" w:pos="1080"/>
      </w:tabs>
      <w:spacing w:line="240" w:lineRule="auto"/>
      <w:ind w:left="1080"/>
    </w:pPr>
    <w:rPr>
      <w:rFonts w:eastAsia="Times New Roman"/>
      <w:sz w:val="24"/>
      <w:szCs w:val="24"/>
    </w:rPr>
  </w:style>
  <w:style w:type="paragraph" w:styleId="ListBullet4">
    <w:name w:val="List Bullet 4"/>
    <w:basedOn w:val="Normal"/>
    <w:autoRedefine/>
    <w:semiHidden/>
    <w:rsid w:val="00196ECD"/>
    <w:pPr>
      <w:numPr>
        <w:numId w:val="10"/>
      </w:numPr>
      <w:tabs>
        <w:tab w:val="clear" w:pos="1080"/>
        <w:tab w:val="num" w:pos="1440"/>
      </w:tabs>
      <w:spacing w:line="240" w:lineRule="auto"/>
      <w:ind w:left="1440"/>
    </w:pPr>
    <w:rPr>
      <w:rFonts w:eastAsia="Times New Roman"/>
      <w:sz w:val="24"/>
      <w:szCs w:val="24"/>
    </w:rPr>
  </w:style>
  <w:style w:type="paragraph" w:styleId="ListBullet5">
    <w:name w:val="List Bullet 5"/>
    <w:basedOn w:val="Normal"/>
    <w:autoRedefine/>
    <w:semiHidden/>
    <w:rsid w:val="00196ECD"/>
    <w:pPr>
      <w:numPr>
        <w:numId w:val="11"/>
      </w:numPr>
      <w:tabs>
        <w:tab w:val="clear" w:pos="1440"/>
        <w:tab w:val="num" w:pos="1800"/>
      </w:tabs>
      <w:spacing w:line="240" w:lineRule="auto"/>
      <w:ind w:left="1800"/>
    </w:pPr>
    <w:rPr>
      <w:rFonts w:eastAsia="Times New Roman"/>
      <w:sz w:val="24"/>
      <w:szCs w:val="24"/>
    </w:rPr>
  </w:style>
  <w:style w:type="paragraph" w:styleId="ListContinue">
    <w:name w:val="List Continue"/>
    <w:basedOn w:val="Normal"/>
    <w:semiHidden/>
    <w:rsid w:val="00196ECD"/>
    <w:pPr>
      <w:numPr>
        <w:numId w:val="12"/>
      </w:numPr>
      <w:tabs>
        <w:tab w:val="clear" w:pos="1800"/>
      </w:tabs>
      <w:spacing w:after="120" w:line="240" w:lineRule="auto"/>
      <w:ind w:left="360" w:firstLine="0"/>
    </w:pPr>
    <w:rPr>
      <w:rFonts w:eastAsia="Times New Roman"/>
      <w:sz w:val="24"/>
      <w:szCs w:val="24"/>
    </w:rPr>
  </w:style>
  <w:style w:type="paragraph" w:styleId="ListContinue2">
    <w:name w:val="List Continue 2"/>
    <w:basedOn w:val="Normal"/>
    <w:semiHidden/>
    <w:rsid w:val="00196ECD"/>
    <w:pPr>
      <w:spacing w:after="120" w:line="240" w:lineRule="auto"/>
      <w:ind w:left="720"/>
    </w:pPr>
    <w:rPr>
      <w:rFonts w:eastAsia="Times New Roman"/>
      <w:sz w:val="24"/>
      <w:szCs w:val="24"/>
    </w:rPr>
  </w:style>
  <w:style w:type="paragraph" w:styleId="ListContinue3">
    <w:name w:val="List Continue 3"/>
    <w:basedOn w:val="Normal"/>
    <w:semiHidden/>
    <w:rsid w:val="00196ECD"/>
    <w:pPr>
      <w:spacing w:after="120" w:line="240" w:lineRule="auto"/>
      <w:ind w:left="1080"/>
    </w:pPr>
    <w:rPr>
      <w:rFonts w:eastAsia="Times New Roman"/>
      <w:sz w:val="24"/>
      <w:szCs w:val="24"/>
    </w:rPr>
  </w:style>
  <w:style w:type="paragraph" w:styleId="ListContinue4">
    <w:name w:val="List Continue 4"/>
    <w:basedOn w:val="Normal"/>
    <w:semiHidden/>
    <w:rsid w:val="00196ECD"/>
    <w:pPr>
      <w:spacing w:after="120" w:line="240" w:lineRule="auto"/>
      <w:ind w:left="1440"/>
    </w:pPr>
    <w:rPr>
      <w:rFonts w:eastAsia="Times New Roman"/>
      <w:sz w:val="24"/>
      <w:szCs w:val="24"/>
    </w:rPr>
  </w:style>
  <w:style w:type="paragraph" w:styleId="ListContinue5">
    <w:name w:val="List Continue 5"/>
    <w:basedOn w:val="Normal"/>
    <w:semiHidden/>
    <w:rsid w:val="00196ECD"/>
    <w:pPr>
      <w:spacing w:after="120" w:line="240" w:lineRule="auto"/>
      <w:ind w:left="1800"/>
    </w:pPr>
    <w:rPr>
      <w:rFonts w:eastAsia="Times New Roman"/>
      <w:sz w:val="24"/>
      <w:szCs w:val="24"/>
    </w:rPr>
  </w:style>
  <w:style w:type="paragraph" w:styleId="ListNumber">
    <w:name w:val="List Number"/>
    <w:basedOn w:val="Normal"/>
    <w:semiHidden/>
    <w:rsid w:val="00196ECD"/>
    <w:pPr>
      <w:tabs>
        <w:tab w:val="num" w:pos="360"/>
      </w:tabs>
      <w:spacing w:line="240" w:lineRule="auto"/>
      <w:ind w:left="360" w:hanging="360"/>
    </w:pPr>
    <w:rPr>
      <w:rFonts w:eastAsia="Times New Roman"/>
      <w:sz w:val="24"/>
      <w:szCs w:val="24"/>
    </w:rPr>
  </w:style>
  <w:style w:type="paragraph" w:styleId="ListNumber2">
    <w:name w:val="List Number 2"/>
    <w:basedOn w:val="Normal"/>
    <w:semiHidden/>
    <w:rsid w:val="00196ECD"/>
    <w:pPr>
      <w:numPr>
        <w:numId w:val="13"/>
      </w:numPr>
      <w:tabs>
        <w:tab w:val="clear" w:pos="360"/>
        <w:tab w:val="num" w:pos="720"/>
      </w:tabs>
      <w:spacing w:line="240" w:lineRule="auto"/>
      <w:ind w:left="720"/>
    </w:pPr>
    <w:rPr>
      <w:rFonts w:eastAsia="Times New Roman"/>
      <w:sz w:val="24"/>
      <w:szCs w:val="24"/>
    </w:rPr>
  </w:style>
  <w:style w:type="paragraph" w:styleId="ListNumber3">
    <w:name w:val="List Number 3"/>
    <w:basedOn w:val="Normal"/>
    <w:semiHidden/>
    <w:rsid w:val="00196ECD"/>
    <w:pPr>
      <w:numPr>
        <w:numId w:val="14"/>
      </w:numPr>
      <w:tabs>
        <w:tab w:val="clear" w:pos="720"/>
        <w:tab w:val="num" w:pos="1080"/>
      </w:tabs>
      <w:spacing w:line="240" w:lineRule="auto"/>
      <w:ind w:left="1080"/>
    </w:pPr>
    <w:rPr>
      <w:rFonts w:eastAsia="Times New Roman"/>
      <w:sz w:val="24"/>
      <w:szCs w:val="24"/>
    </w:rPr>
  </w:style>
  <w:style w:type="paragraph" w:styleId="ListNumber4">
    <w:name w:val="List Number 4"/>
    <w:basedOn w:val="Normal"/>
    <w:semiHidden/>
    <w:rsid w:val="00196ECD"/>
    <w:pPr>
      <w:numPr>
        <w:numId w:val="15"/>
      </w:numPr>
      <w:tabs>
        <w:tab w:val="clear" w:pos="1080"/>
        <w:tab w:val="num" w:pos="1440"/>
      </w:tabs>
      <w:spacing w:line="240" w:lineRule="auto"/>
      <w:ind w:left="1440"/>
    </w:pPr>
    <w:rPr>
      <w:rFonts w:eastAsia="Times New Roman"/>
      <w:sz w:val="24"/>
      <w:szCs w:val="24"/>
    </w:rPr>
  </w:style>
  <w:style w:type="paragraph" w:styleId="ListNumber5">
    <w:name w:val="List Number 5"/>
    <w:basedOn w:val="Normal"/>
    <w:semiHidden/>
    <w:rsid w:val="00196ECD"/>
    <w:pPr>
      <w:numPr>
        <w:numId w:val="16"/>
      </w:numPr>
      <w:tabs>
        <w:tab w:val="clear" w:pos="1440"/>
        <w:tab w:val="num" w:pos="1800"/>
      </w:tabs>
      <w:spacing w:line="240" w:lineRule="auto"/>
      <w:ind w:left="1800"/>
    </w:pPr>
    <w:rPr>
      <w:rFonts w:eastAsia="Times New Roman"/>
      <w:sz w:val="24"/>
      <w:szCs w:val="24"/>
    </w:rPr>
  </w:style>
  <w:style w:type="paragraph" w:styleId="MacroText">
    <w:name w:val="macro"/>
    <w:link w:val="MacroTextChar"/>
    <w:semiHidden/>
    <w:rsid w:val="00196ECD"/>
    <w:pPr>
      <w:numPr>
        <w:numId w:val="17"/>
      </w:numPr>
      <w:tabs>
        <w:tab w:val="clear" w:pos="1800"/>
        <w:tab w:val="left" w:pos="480"/>
        <w:tab w:val="left" w:pos="960"/>
        <w:tab w:val="left" w:pos="1440"/>
        <w:tab w:val="left" w:pos="1920"/>
        <w:tab w:val="left" w:pos="2400"/>
        <w:tab w:val="left" w:pos="2880"/>
        <w:tab w:val="left" w:pos="3360"/>
        <w:tab w:val="left" w:pos="3840"/>
        <w:tab w:val="left" w:pos="4320"/>
      </w:tabs>
      <w:spacing w:after="240" w:line="240" w:lineRule="auto"/>
      <w:ind w:left="0" w:firstLine="0"/>
    </w:pPr>
    <w:rPr>
      <w:rFonts w:ascii="Courier New" w:eastAsia="Times New Roman" w:hAnsi="Courier New" w:cs="Courier New"/>
    </w:rPr>
  </w:style>
  <w:style w:type="character" w:customStyle="1" w:styleId="MacroTextChar">
    <w:name w:val="Macro Text Char"/>
    <w:basedOn w:val="DefaultParagraphFont"/>
    <w:link w:val="MacroText"/>
    <w:semiHidden/>
    <w:rsid w:val="00196ECD"/>
    <w:rPr>
      <w:rFonts w:ascii="Courier New" w:eastAsia="Times New Roman" w:hAnsi="Courier New" w:cs="Courier New"/>
    </w:rPr>
  </w:style>
  <w:style w:type="paragraph" w:styleId="MessageHeader">
    <w:name w:val="Message Header"/>
    <w:basedOn w:val="Normal"/>
    <w:link w:val="MessageHeaderChar"/>
    <w:semiHidden/>
    <w:rsid w:val="00196ECD"/>
    <w:pPr>
      <w:pBdr>
        <w:top w:val="single" w:sz="6" w:space="1" w:color="auto"/>
        <w:left w:val="single" w:sz="6" w:space="1" w:color="auto"/>
        <w:bottom w:val="single" w:sz="6" w:space="1" w:color="auto"/>
        <w:right w:val="single" w:sz="6" w:space="1" w:color="auto"/>
      </w:pBdr>
      <w:shd w:val="pct20" w:color="auto" w:fill="auto"/>
      <w:spacing w:line="240" w:lineRule="auto"/>
      <w:ind w:left="1080" w:hanging="1080"/>
    </w:pPr>
    <w:rPr>
      <w:rFonts w:ascii="Arial" w:eastAsia="Times New Roman" w:hAnsi="Arial" w:cs="Arial"/>
      <w:sz w:val="24"/>
      <w:szCs w:val="24"/>
    </w:rPr>
  </w:style>
  <w:style w:type="character" w:customStyle="1" w:styleId="MessageHeaderChar">
    <w:name w:val="Message Header Char"/>
    <w:basedOn w:val="DefaultParagraphFont"/>
    <w:link w:val="MessageHeader"/>
    <w:semiHidden/>
    <w:rsid w:val="00196ECD"/>
    <w:rPr>
      <w:rFonts w:ascii="Arial" w:eastAsia="Times New Roman" w:hAnsi="Arial" w:cs="Arial"/>
      <w:sz w:val="24"/>
      <w:szCs w:val="24"/>
      <w:shd w:val="pct20" w:color="auto" w:fill="auto"/>
    </w:rPr>
  </w:style>
  <w:style w:type="paragraph" w:styleId="NormalIndent">
    <w:name w:val="Normal Indent"/>
    <w:basedOn w:val="Normal"/>
    <w:semiHidden/>
    <w:rsid w:val="00196ECD"/>
    <w:pPr>
      <w:spacing w:line="240" w:lineRule="auto"/>
      <w:ind w:left="720"/>
    </w:pPr>
    <w:rPr>
      <w:rFonts w:eastAsia="Times New Roman"/>
      <w:sz w:val="24"/>
      <w:szCs w:val="24"/>
    </w:rPr>
  </w:style>
  <w:style w:type="paragraph" w:styleId="NoteHeading">
    <w:name w:val="Note Heading"/>
    <w:basedOn w:val="Normal"/>
    <w:next w:val="Normal"/>
    <w:link w:val="NoteHeadingChar"/>
    <w:semiHidden/>
    <w:rsid w:val="00196ECD"/>
    <w:pPr>
      <w:spacing w:line="240" w:lineRule="auto"/>
    </w:pPr>
    <w:rPr>
      <w:rFonts w:eastAsia="Times New Roman"/>
      <w:sz w:val="24"/>
      <w:szCs w:val="24"/>
    </w:rPr>
  </w:style>
  <w:style w:type="character" w:customStyle="1" w:styleId="NoteHeadingChar">
    <w:name w:val="Note Heading Char"/>
    <w:basedOn w:val="DefaultParagraphFont"/>
    <w:link w:val="NoteHeading"/>
    <w:semiHidden/>
    <w:rsid w:val="00196ECD"/>
    <w:rPr>
      <w:rFonts w:ascii="Times New Roman" w:eastAsia="Times New Roman" w:hAnsi="Times New Roman" w:cs="Times New Roman"/>
      <w:sz w:val="24"/>
      <w:szCs w:val="24"/>
    </w:rPr>
  </w:style>
  <w:style w:type="paragraph" w:styleId="Salutation">
    <w:name w:val="Salutation"/>
    <w:basedOn w:val="Normal"/>
    <w:next w:val="Normal"/>
    <w:link w:val="SalutationChar"/>
    <w:semiHidden/>
    <w:rsid w:val="00196ECD"/>
    <w:pPr>
      <w:spacing w:line="240" w:lineRule="auto"/>
    </w:pPr>
    <w:rPr>
      <w:rFonts w:eastAsia="Times New Roman"/>
      <w:sz w:val="24"/>
      <w:szCs w:val="24"/>
    </w:rPr>
  </w:style>
  <w:style w:type="character" w:customStyle="1" w:styleId="SalutationChar">
    <w:name w:val="Salutation Char"/>
    <w:basedOn w:val="DefaultParagraphFont"/>
    <w:link w:val="Salutation"/>
    <w:semiHidden/>
    <w:rsid w:val="00196ECD"/>
    <w:rPr>
      <w:rFonts w:ascii="Times New Roman" w:eastAsia="Times New Roman" w:hAnsi="Times New Roman" w:cs="Times New Roman"/>
      <w:sz w:val="24"/>
      <w:szCs w:val="24"/>
    </w:rPr>
  </w:style>
  <w:style w:type="paragraph" w:styleId="Signature">
    <w:name w:val="Signature"/>
    <w:basedOn w:val="Normal"/>
    <w:link w:val="SignatureChar"/>
    <w:semiHidden/>
    <w:rsid w:val="00196ECD"/>
    <w:pPr>
      <w:spacing w:line="240" w:lineRule="auto"/>
      <w:ind w:left="4320"/>
    </w:pPr>
    <w:rPr>
      <w:rFonts w:eastAsia="Times New Roman"/>
      <w:sz w:val="24"/>
      <w:szCs w:val="24"/>
    </w:rPr>
  </w:style>
  <w:style w:type="character" w:customStyle="1" w:styleId="SignatureChar">
    <w:name w:val="Signature Char"/>
    <w:basedOn w:val="DefaultParagraphFont"/>
    <w:link w:val="Signature"/>
    <w:semiHidden/>
    <w:rsid w:val="00196ECD"/>
    <w:rPr>
      <w:rFonts w:ascii="Times New Roman" w:eastAsia="Times New Roman" w:hAnsi="Times New Roman" w:cs="Times New Roman"/>
      <w:sz w:val="24"/>
      <w:szCs w:val="24"/>
    </w:rPr>
  </w:style>
  <w:style w:type="paragraph" w:styleId="TableofAuthorities">
    <w:name w:val="table of authorities"/>
    <w:basedOn w:val="Normal"/>
    <w:next w:val="Normal"/>
    <w:semiHidden/>
    <w:rsid w:val="00196ECD"/>
    <w:pPr>
      <w:spacing w:line="240" w:lineRule="auto"/>
      <w:ind w:left="240" w:hanging="240"/>
    </w:pPr>
    <w:rPr>
      <w:rFonts w:eastAsia="Times New Roman"/>
      <w:sz w:val="24"/>
      <w:szCs w:val="24"/>
    </w:rPr>
  </w:style>
  <w:style w:type="paragraph" w:styleId="TOAHeading">
    <w:name w:val="toa heading"/>
    <w:basedOn w:val="Normal"/>
    <w:next w:val="Normal"/>
    <w:semiHidden/>
    <w:rsid w:val="00196ECD"/>
    <w:pPr>
      <w:spacing w:before="120" w:line="240" w:lineRule="auto"/>
    </w:pPr>
    <w:rPr>
      <w:rFonts w:ascii="Arial" w:eastAsia="Times New Roman" w:hAnsi="Arial" w:cs="Arial"/>
      <w:b/>
      <w:bCs/>
      <w:sz w:val="24"/>
      <w:szCs w:val="24"/>
    </w:rPr>
  </w:style>
  <w:style w:type="paragraph" w:customStyle="1" w:styleId="Normal-nospace">
    <w:name w:val="Normal-nospace"/>
    <w:basedOn w:val="Normal"/>
    <w:rsid w:val="00196ECD"/>
    <w:pPr>
      <w:spacing w:line="240" w:lineRule="auto"/>
    </w:pPr>
    <w:rPr>
      <w:rFonts w:eastAsia="Times New Roman"/>
      <w:sz w:val="24"/>
      <w:szCs w:val="24"/>
    </w:rPr>
  </w:style>
  <w:style w:type="paragraph" w:customStyle="1" w:styleId="BodyText1">
    <w:name w:val="Body Text 1"/>
    <w:basedOn w:val="BodyText"/>
    <w:qFormat/>
    <w:rsid w:val="005828A4"/>
    <w:pPr>
      <w:spacing w:after="120" w:line="200" w:lineRule="atLeast"/>
    </w:pPr>
    <w:rPr>
      <w:rFonts w:ascii="Arial" w:eastAsia="Times New Roman" w:hAnsi="Arial"/>
      <w:sz w:val="16"/>
    </w:rPr>
  </w:style>
  <w:style w:type="paragraph" w:customStyle="1" w:styleId="bulleted">
    <w:name w:val="bulleted"/>
    <w:basedOn w:val="Normal"/>
    <w:rsid w:val="00196ECD"/>
    <w:pPr>
      <w:tabs>
        <w:tab w:val="num" w:pos="360"/>
        <w:tab w:val="num" w:pos="1080"/>
      </w:tabs>
      <w:spacing w:before="120" w:after="120" w:line="240" w:lineRule="auto"/>
      <w:ind w:left="1080"/>
    </w:pPr>
    <w:rPr>
      <w:rFonts w:eastAsia="Times New Roman"/>
      <w:sz w:val="24"/>
    </w:rPr>
  </w:style>
  <w:style w:type="paragraph" w:customStyle="1" w:styleId="numbered">
    <w:name w:val="numbered"/>
    <w:basedOn w:val="Normal"/>
    <w:rsid w:val="00196ECD"/>
    <w:pPr>
      <w:tabs>
        <w:tab w:val="num" w:pos="360"/>
      </w:tabs>
      <w:spacing w:after="60" w:line="240" w:lineRule="auto"/>
      <w:ind w:left="360" w:hanging="360"/>
    </w:pPr>
    <w:rPr>
      <w:rFonts w:eastAsia="Times New Roman"/>
      <w:sz w:val="24"/>
      <w:szCs w:val="24"/>
    </w:rPr>
  </w:style>
  <w:style w:type="paragraph" w:customStyle="1" w:styleId="number-left">
    <w:name w:val="number-left"/>
    <w:basedOn w:val="1Numbering"/>
    <w:rsid w:val="00196ECD"/>
    <w:pPr>
      <w:numPr>
        <w:numId w:val="18"/>
      </w:numPr>
      <w:tabs>
        <w:tab w:val="clear" w:pos="1080"/>
        <w:tab w:val="num" w:pos="360"/>
      </w:tabs>
      <w:ind w:left="360"/>
    </w:pPr>
  </w:style>
  <w:style w:type="paragraph" w:customStyle="1" w:styleId="Normal-6">
    <w:name w:val="Normal-6"/>
    <w:basedOn w:val="Normal"/>
    <w:rsid w:val="00196ECD"/>
    <w:pPr>
      <w:spacing w:after="120" w:line="240" w:lineRule="auto"/>
    </w:pPr>
    <w:rPr>
      <w:rFonts w:eastAsia="Times New Roman"/>
      <w:sz w:val="24"/>
      <w:szCs w:val="24"/>
    </w:rPr>
  </w:style>
  <w:style w:type="paragraph" w:customStyle="1" w:styleId="Bullets-12">
    <w:name w:val="Bullets-12"/>
    <w:basedOn w:val="Bullets"/>
    <w:rsid w:val="00196ECD"/>
    <w:pPr>
      <w:spacing w:after="240"/>
    </w:pPr>
  </w:style>
  <w:style w:type="paragraph" w:customStyle="1" w:styleId="FaxBodyText">
    <w:name w:val="Fax Body Text"/>
    <w:basedOn w:val="Normal"/>
    <w:qFormat/>
    <w:rsid w:val="00196ECD"/>
    <w:pPr>
      <w:framePr w:hSpace="180" w:wrap="around" w:vAnchor="text" w:hAnchor="text" w:y="55"/>
    </w:pPr>
    <w:rPr>
      <w:rFonts w:eastAsia="Times New Roman"/>
      <w:lang w:bidi="en-US"/>
    </w:rPr>
  </w:style>
  <w:style w:type="paragraph" w:customStyle="1" w:styleId="Bullet-Open">
    <w:name w:val="Bullet-Open"/>
    <w:basedOn w:val="Normal"/>
    <w:link w:val="Bullet-OpenChar"/>
    <w:qFormat/>
    <w:rsid w:val="00AE0B3B"/>
    <w:pPr>
      <w:numPr>
        <w:numId w:val="20"/>
      </w:numPr>
      <w:spacing w:after="120"/>
    </w:pPr>
    <w:rPr>
      <w:color w:val="000000"/>
    </w:rPr>
  </w:style>
  <w:style w:type="character" w:customStyle="1" w:styleId="ListParagraphChar">
    <w:name w:val="List Paragraph Char"/>
    <w:basedOn w:val="DefaultParagraphFont"/>
    <w:uiPriority w:val="34"/>
    <w:rsid w:val="00D84966"/>
  </w:style>
  <w:style w:type="character" w:customStyle="1" w:styleId="Bullet-SolidChar">
    <w:name w:val="Bullet-Solid Char"/>
    <w:basedOn w:val="ListParagraphChar"/>
    <w:link w:val="Bullet-Solid"/>
    <w:rsid w:val="00AB55E9"/>
    <w:rPr>
      <w:color w:val="000000"/>
    </w:rPr>
  </w:style>
  <w:style w:type="paragraph" w:customStyle="1" w:styleId="Bullet-Square">
    <w:name w:val="Bullet-Square"/>
    <w:basedOn w:val="Normal"/>
    <w:link w:val="Bullet-SquareChar"/>
    <w:qFormat/>
    <w:rsid w:val="00196ECD"/>
    <w:pPr>
      <w:numPr>
        <w:ilvl w:val="1"/>
        <w:numId w:val="6"/>
      </w:numPr>
      <w:spacing w:line="240" w:lineRule="auto"/>
    </w:pPr>
    <w:rPr>
      <w:rFonts w:eastAsia="Times New Roman"/>
    </w:rPr>
  </w:style>
  <w:style w:type="character" w:customStyle="1" w:styleId="Bullet-OpenChar">
    <w:name w:val="Bullet-Open Char"/>
    <w:basedOn w:val="ListParagraphChar"/>
    <w:link w:val="Bullet-Open"/>
    <w:rsid w:val="00AE0B3B"/>
    <w:rPr>
      <w:rFonts w:ascii="Cambria" w:hAnsi="Cambria"/>
      <w:color w:val="000000"/>
    </w:rPr>
  </w:style>
  <w:style w:type="character" w:customStyle="1" w:styleId="update1">
    <w:name w:val="update1"/>
    <w:basedOn w:val="DefaultParagraphFont"/>
    <w:rsid w:val="00196ECD"/>
    <w:rPr>
      <w:rFonts w:ascii="Arial" w:hAnsi="Arial" w:cs="Arial" w:hint="default"/>
      <w:b/>
      <w:bCs/>
      <w:color w:val="666666"/>
      <w:sz w:val="16"/>
      <w:szCs w:val="16"/>
    </w:rPr>
  </w:style>
  <w:style w:type="character" w:customStyle="1" w:styleId="Bullet-SquareChar">
    <w:name w:val="Bullet-Square Char"/>
    <w:basedOn w:val="DefaultParagraphFont"/>
    <w:link w:val="Bullet-Square"/>
    <w:rsid w:val="00196ECD"/>
    <w:rPr>
      <w:rFonts w:ascii="Cambria" w:eastAsia="Times New Roman" w:hAnsi="Cambria"/>
      <w:color w:val="auto"/>
    </w:rPr>
  </w:style>
  <w:style w:type="character" w:customStyle="1" w:styleId="EmailStyle2482">
    <w:name w:val="EmailStyle2482"/>
    <w:basedOn w:val="DefaultParagraphFont"/>
    <w:semiHidden/>
    <w:rsid w:val="00B04808"/>
    <w:rPr>
      <w:rFonts w:ascii="Arial" w:hAnsi="Arial" w:cs="Arial"/>
      <w:color w:val="993366"/>
      <w:sz w:val="20"/>
    </w:rPr>
  </w:style>
  <w:style w:type="character" w:customStyle="1" w:styleId="EmailStyle2492">
    <w:name w:val="EmailStyle2492"/>
    <w:basedOn w:val="DefaultParagraphFont"/>
    <w:semiHidden/>
    <w:rsid w:val="00B04808"/>
    <w:rPr>
      <w:rFonts w:ascii="Arial" w:hAnsi="Arial" w:cs="Arial"/>
      <w:color w:val="000080"/>
      <w:sz w:val="20"/>
    </w:rPr>
  </w:style>
  <w:style w:type="character" w:customStyle="1" w:styleId="EmailStyle2502">
    <w:name w:val="EmailStyle2502"/>
    <w:basedOn w:val="DefaultParagraphFont"/>
    <w:semiHidden/>
    <w:rsid w:val="00B04808"/>
    <w:rPr>
      <w:rFonts w:ascii="Arial" w:hAnsi="Arial" w:cs="Arial"/>
      <w:color w:val="993366"/>
      <w:sz w:val="20"/>
    </w:rPr>
  </w:style>
  <w:style w:type="character" w:customStyle="1" w:styleId="EmailStyle2512">
    <w:name w:val="EmailStyle2512"/>
    <w:basedOn w:val="DefaultParagraphFont"/>
    <w:semiHidden/>
    <w:rsid w:val="00B04808"/>
    <w:rPr>
      <w:rFonts w:ascii="Arial" w:hAnsi="Arial" w:cs="Arial"/>
      <w:color w:val="000080"/>
      <w:sz w:val="20"/>
    </w:rPr>
  </w:style>
  <w:style w:type="character" w:customStyle="1" w:styleId="EmailStyle2522">
    <w:name w:val="EmailStyle2522"/>
    <w:basedOn w:val="DefaultParagraphFont"/>
    <w:semiHidden/>
    <w:rsid w:val="00B04808"/>
    <w:rPr>
      <w:rFonts w:ascii="Arial" w:hAnsi="Arial" w:cs="Arial"/>
      <w:color w:val="993366"/>
      <w:sz w:val="20"/>
    </w:rPr>
  </w:style>
  <w:style w:type="character" w:customStyle="1" w:styleId="EmailStyle2532">
    <w:name w:val="EmailStyle2532"/>
    <w:basedOn w:val="DefaultParagraphFont"/>
    <w:semiHidden/>
    <w:rsid w:val="00B04808"/>
    <w:rPr>
      <w:rFonts w:ascii="Arial" w:hAnsi="Arial" w:cs="Arial"/>
      <w:color w:val="000080"/>
      <w:sz w:val="20"/>
    </w:rPr>
  </w:style>
  <w:style w:type="table" w:customStyle="1" w:styleId="LightShading1">
    <w:name w:val="Light Shading1"/>
    <w:basedOn w:val="TableNormal"/>
    <w:uiPriority w:val="60"/>
    <w:rsid w:val="00B04808"/>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
    <w:name w:val="Light Grid1"/>
    <w:basedOn w:val="TableNormal"/>
    <w:uiPriority w:val="62"/>
    <w:rsid w:val="00B04808"/>
    <w:pPr>
      <w:spacing w:after="0" w:line="240" w:lineRule="auto"/>
    </w:pPr>
    <w:rPr>
      <w:rFonts w:ascii="Arial" w:eastAsia="Arial" w:hAnsi="Arial"/>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paragraph" w:customStyle="1" w:styleId="ParaText">
    <w:name w:val="ParaText"/>
    <w:basedOn w:val="Normal"/>
    <w:rsid w:val="00B04808"/>
    <w:pPr>
      <w:spacing w:line="312" w:lineRule="auto"/>
    </w:pPr>
    <w:rPr>
      <w:rFonts w:ascii="Arial" w:eastAsia="Times New Roman" w:hAnsi="Arial"/>
    </w:rPr>
  </w:style>
  <w:style w:type="table" w:customStyle="1" w:styleId="MediumShading1-Accent11">
    <w:name w:val="Medium Shading 1 - Accent 11"/>
    <w:basedOn w:val="TableNormal"/>
    <w:uiPriority w:val="63"/>
    <w:rsid w:val="00B04808"/>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character" w:customStyle="1" w:styleId="EmailStyle2582">
    <w:name w:val="EmailStyle2582"/>
    <w:basedOn w:val="DefaultParagraphFont"/>
    <w:semiHidden/>
    <w:rsid w:val="00B04808"/>
    <w:rPr>
      <w:rFonts w:ascii="Arial" w:hAnsi="Arial" w:cs="Arial"/>
      <w:color w:val="993366"/>
      <w:sz w:val="20"/>
    </w:rPr>
  </w:style>
  <w:style w:type="character" w:customStyle="1" w:styleId="EmailStyle2592">
    <w:name w:val="EmailStyle2592"/>
    <w:basedOn w:val="DefaultParagraphFont"/>
    <w:semiHidden/>
    <w:rsid w:val="00B04808"/>
    <w:rPr>
      <w:rFonts w:ascii="Arial" w:hAnsi="Arial" w:cs="Arial"/>
      <w:color w:val="000080"/>
      <w:sz w:val="20"/>
    </w:rPr>
  </w:style>
  <w:style w:type="character" w:customStyle="1" w:styleId="EmailStyle2602">
    <w:name w:val="EmailStyle2602"/>
    <w:basedOn w:val="DefaultParagraphFont"/>
    <w:semiHidden/>
    <w:rsid w:val="00B04808"/>
    <w:rPr>
      <w:rFonts w:ascii="Arial" w:hAnsi="Arial" w:cs="Arial"/>
      <w:color w:val="993366"/>
      <w:sz w:val="20"/>
    </w:rPr>
  </w:style>
  <w:style w:type="character" w:customStyle="1" w:styleId="EmailStyle2612">
    <w:name w:val="EmailStyle2612"/>
    <w:basedOn w:val="DefaultParagraphFont"/>
    <w:semiHidden/>
    <w:rsid w:val="00B04808"/>
    <w:rPr>
      <w:rFonts w:ascii="Arial" w:hAnsi="Arial" w:cs="Arial"/>
      <w:color w:val="000080"/>
      <w:sz w:val="20"/>
    </w:rPr>
  </w:style>
  <w:style w:type="character" w:customStyle="1" w:styleId="EmailStyle2622">
    <w:name w:val="EmailStyle2622"/>
    <w:basedOn w:val="DefaultParagraphFont"/>
    <w:semiHidden/>
    <w:rsid w:val="00B04808"/>
    <w:rPr>
      <w:rFonts w:ascii="Arial" w:hAnsi="Arial" w:cs="Arial"/>
      <w:color w:val="993366"/>
      <w:sz w:val="20"/>
    </w:rPr>
  </w:style>
  <w:style w:type="character" w:customStyle="1" w:styleId="EmailStyle2632">
    <w:name w:val="EmailStyle2632"/>
    <w:basedOn w:val="DefaultParagraphFont"/>
    <w:semiHidden/>
    <w:rsid w:val="00B04808"/>
    <w:rPr>
      <w:rFonts w:ascii="Arial" w:hAnsi="Arial" w:cs="Arial"/>
      <w:color w:val="000080"/>
      <w:sz w:val="20"/>
    </w:rPr>
  </w:style>
  <w:style w:type="character" w:styleId="HTMLAcronym">
    <w:name w:val="HTML Acronym"/>
    <w:basedOn w:val="DefaultParagraphFont"/>
    <w:uiPriority w:val="99"/>
    <w:semiHidden/>
    <w:unhideWhenUsed/>
    <w:rsid w:val="00B04808"/>
  </w:style>
  <w:style w:type="character" w:customStyle="1" w:styleId="EmailStyle2652">
    <w:name w:val="EmailStyle2652"/>
    <w:basedOn w:val="DefaultParagraphFont"/>
    <w:semiHidden/>
    <w:rsid w:val="00107F1F"/>
    <w:rPr>
      <w:rFonts w:ascii="Arial" w:hAnsi="Arial" w:cs="Arial"/>
      <w:color w:val="993366"/>
      <w:sz w:val="20"/>
    </w:rPr>
  </w:style>
  <w:style w:type="character" w:customStyle="1" w:styleId="EmailStyle2662">
    <w:name w:val="EmailStyle2662"/>
    <w:basedOn w:val="DefaultParagraphFont"/>
    <w:semiHidden/>
    <w:rsid w:val="00107F1F"/>
    <w:rPr>
      <w:rFonts w:ascii="Arial" w:hAnsi="Arial" w:cs="Arial"/>
      <w:color w:val="000080"/>
      <w:sz w:val="20"/>
    </w:rPr>
  </w:style>
  <w:style w:type="table" w:styleId="MediumGrid1-Accent1">
    <w:name w:val="Medium Grid 1 Accent 1"/>
    <w:basedOn w:val="TableNormal"/>
    <w:uiPriority w:val="67"/>
    <w:rsid w:val="00107F1F"/>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character" w:customStyle="1" w:styleId="ISOBodyCopyChar">
    <w:name w:val="ISO Body Copy Char"/>
    <w:basedOn w:val="DefaultParagraphFont"/>
    <w:link w:val="ISOBodyCopy"/>
    <w:rsid w:val="001D6F6C"/>
    <w:rPr>
      <w:rFonts w:ascii="Times New Roman" w:eastAsia="Times New Roman" w:hAnsi="Times New Roman" w:cs="Times New Roman"/>
    </w:rPr>
  </w:style>
  <w:style w:type="paragraph" w:customStyle="1" w:styleId="ISOHeading3nonumbering">
    <w:name w:val="ISO Heading 3 no numbering"/>
    <w:basedOn w:val="Normal"/>
    <w:rsid w:val="001D6F6C"/>
    <w:pPr>
      <w:keepNext/>
      <w:widowControl w:val="0"/>
      <w:spacing w:before="240" w:line="240" w:lineRule="atLeast"/>
      <w:outlineLvl w:val="2"/>
    </w:pPr>
    <w:rPr>
      <w:rFonts w:ascii="Arial" w:eastAsia="Times New Roman" w:hAnsi="Arial"/>
      <w:i/>
    </w:rPr>
  </w:style>
  <w:style w:type="paragraph" w:customStyle="1" w:styleId="ISONumberedList">
    <w:name w:val="ISO Numbered List"/>
    <w:basedOn w:val="ISOBulletList"/>
    <w:qFormat/>
    <w:rsid w:val="001D6F6C"/>
    <w:pPr>
      <w:widowControl w:val="0"/>
      <w:numPr>
        <w:numId w:val="0"/>
      </w:numPr>
      <w:spacing w:after="80" w:line="240" w:lineRule="auto"/>
      <w:ind w:left="720" w:hanging="360"/>
    </w:pPr>
  </w:style>
  <w:style w:type="table" w:customStyle="1" w:styleId="LightShading-Accent11">
    <w:name w:val="Light Shading - Accent 11"/>
    <w:basedOn w:val="TableNormal"/>
    <w:uiPriority w:val="60"/>
    <w:rsid w:val="00AB49CA"/>
    <w:pPr>
      <w:spacing w:after="0" w:line="240" w:lineRule="auto"/>
    </w:pPr>
    <w:rPr>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
    <w:name w:val="RSP_Style"/>
    <w:basedOn w:val="TableNormal"/>
    <w:uiPriority w:val="99"/>
    <w:qFormat/>
    <w:rsid w:val="005354AB"/>
    <w:pPr>
      <w:spacing w:after="0" w:line="240" w:lineRule="auto"/>
    </w:pPr>
    <w:tblPr/>
  </w:style>
  <w:style w:type="table" w:customStyle="1" w:styleId="20122tableformat">
    <w:name w:val="2012 2 table format"/>
    <w:basedOn w:val="TableNormal"/>
    <w:uiPriority w:val="63"/>
    <w:rsid w:val="008407BE"/>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paragraph" w:customStyle="1" w:styleId="HeadingBody3">
    <w:name w:val="Heading Body 3"/>
    <w:basedOn w:val="Normal"/>
    <w:rsid w:val="00D3293B"/>
    <w:pPr>
      <w:spacing w:line="480" w:lineRule="auto"/>
      <w:ind w:left="2160"/>
    </w:pPr>
    <w:rPr>
      <w:rFonts w:eastAsia="Times New Roman"/>
      <w:sz w:val="24"/>
      <w:szCs w:val="24"/>
    </w:rPr>
  </w:style>
  <w:style w:type="character" w:customStyle="1" w:styleId="EmailStyle2752">
    <w:name w:val="EmailStyle2752"/>
    <w:basedOn w:val="DefaultParagraphFont"/>
    <w:semiHidden/>
    <w:rsid w:val="0034080E"/>
    <w:rPr>
      <w:rFonts w:ascii="Arial" w:hAnsi="Arial" w:cs="Arial"/>
      <w:color w:val="993366"/>
      <w:sz w:val="20"/>
    </w:rPr>
  </w:style>
  <w:style w:type="character" w:customStyle="1" w:styleId="EmailStyle2762">
    <w:name w:val="EmailStyle2762"/>
    <w:basedOn w:val="DefaultParagraphFont"/>
    <w:semiHidden/>
    <w:rsid w:val="0034080E"/>
    <w:rPr>
      <w:rFonts w:ascii="Arial" w:hAnsi="Arial" w:cs="Arial"/>
      <w:color w:val="000080"/>
      <w:sz w:val="20"/>
    </w:rPr>
  </w:style>
  <w:style w:type="character" w:customStyle="1" w:styleId="EmailStyle2772">
    <w:name w:val="EmailStyle2772"/>
    <w:basedOn w:val="DefaultParagraphFont"/>
    <w:semiHidden/>
    <w:rsid w:val="0034080E"/>
    <w:rPr>
      <w:rFonts w:ascii="Arial" w:hAnsi="Arial" w:cs="Arial"/>
      <w:color w:val="993366"/>
      <w:sz w:val="20"/>
    </w:rPr>
  </w:style>
  <w:style w:type="character" w:customStyle="1" w:styleId="EmailStyle2782">
    <w:name w:val="EmailStyle2782"/>
    <w:basedOn w:val="DefaultParagraphFont"/>
    <w:semiHidden/>
    <w:rsid w:val="0034080E"/>
    <w:rPr>
      <w:rFonts w:ascii="Arial" w:hAnsi="Arial" w:cs="Arial"/>
      <w:color w:val="000080"/>
      <w:sz w:val="20"/>
    </w:rPr>
  </w:style>
  <w:style w:type="character" w:customStyle="1" w:styleId="EmailStyle2792">
    <w:name w:val="EmailStyle2792"/>
    <w:basedOn w:val="DefaultParagraphFont"/>
    <w:semiHidden/>
    <w:rsid w:val="0034080E"/>
    <w:rPr>
      <w:rFonts w:ascii="Arial" w:hAnsi="Arial" w:cs="Arial"/>
      <w:color w:val="993366"/>
      <w:sz w:val="20"/>
    </w:rPr>
  </w:style>
  <w:style w:type="character" w:customStyle="1" w:styleId="EmailStyle2802">
    <w:name w:val="EmailStyle2802"/>
    <w:basedOn w:val="DefaultParagraphFont"/>
    <w:semiHidden/>
    <w:rsid w:val="0034080E"/>
    <w:rPr>
      <w:rFonts w:ascii="Arial" w:hAnsi="Arial" w:cs="Arial"/>
      <w:color w:val="000080"/>
      <w:sz w:val="20"/>
    </w:rPr>
  </w:style>
  <w:style w:type="character" w:customStyle="1" w:styleId="EmailStyle2812">
    <w:name w:val="EmailStyle2812"/>
    <w:basedOn w:val="DefaultParagraphFont"/>
    <w:semiHidden/>
    <w:rsid w:val="0034080E"/>
    <w:rPr>
      <w:rFonts w:ascii="Arial" w:hAnsi="Arial" w:cs="Arial"/>
      <w:color w:val="993366"/>
      <w:sz w:val="20"/>
    </w:rPr>
  </w:style>
  <w:style w:type="character" w:customStyle="1" w:styleId="EmailStyle2822">
    <w:name w:val="EmailStyle2822"/>
    <w:basedOn w:val="DefaultParagraphFont"/>
    <w:semiHidden/>
    <w:rsid w:val="0034080E"/>
    <w:rPr>
      <w:rFonts w:ascii="Arial" w:hAnsi="Arial" w:cs="Arial"/>
      <w:color w:val="000080"/>
      <w:sz w:val="20"/>
    </w:rPr>
  </w:style>
  <w:style w:type="character" w:customStyle="1" w:styleId="EmailStyle2832">
    <w:name w:val="EmailStyle2832"/>
    <w:basedOn w:val="DefaultParagraphFont"/>
    <w:semiHidden/>
    <w:rsid w:val="0034080E"/>
    <w:rPr>
      <w:rFonts w:ascii="Arial" w:hAnsi="Arial" w:cs="Arial"/>
      <w:color w:val="993366"/>
      <w:sz w:val="20"/>
    </w:rPr>
  </w:style>
  <w:style w:type="character" w:customStyle="1" w:styleId="EmailStyle2842">
    <w:name w:val="EmailStyle2842"/>
    <w:basedOn w:val="DefaultParagraphFont"/>
    <w:semiHidden/>
    <w:rsid w:val="0034080E"/>
    <w:rPr>
      <w:rFonts w:ascii="Arial" w:hAnsi="Arial" w:cs="Arial"/>
      <w:color w:val="000080"/>
      <w:sz w:val="20"/>
    </w:rPr>
  </w:style>
  <w:style w:type="character" w:customStyle="1" w:styleId="EmailStyle2852">
    <w:name w:val="EmailStyle2852"/>
    <w:basedOn w:val="DefaultParagraphFont"/>
    <w:semiHidden/>
    <w:rsid w:val="0034080E"/>
    <w:rPr>
      <w:rFonts w:ascii="Arial" w:hAnsi="Arial" w:cs="Arial"/>
      <w:color w:val="993366"/>
      <w:sz w:val="20"/>
    </w:rPr>
  </w:style>
  <w:style w:type="character" w:customStyle="1" w:styleId="EmailStyle2862">
    <w:name w:val="EmailStyle2862"/>
    <w:basedOn w:val="DefaultParagraphFont"/>
    <w:semiHidden/>
    <w:rsid w:val="0034080E"/>
    <w:rPr>
      <w:rFonts w:ascii="Arial" w:hAnsi="Arial" w:cs="Arial"/>
      <w:color w:val="000080"/>
      <w:sz w:val="20"/>
    </w:rPr>
  </w:style>
  <w:style w:type="character" w:customStyle="1" w:styleId="EmailStyle2872">
    <w:name w:val="EmailStyle2872"/>
    <w:basedOn w:val="DefaultParagraphFont"/>
    <w:semiHidden/>
    <w:rsid w:val="0034080E"/>
    <w:rPr>
      <w:rFonts w:ascii="Arial" w:hAnsi="Arial" w:cs="Arial"/>
      <w:color w:val="993366"/>
      <w:sz w:val="20"/>
    </w:rPr>
  </w:style>
  <w:style w:type="character" w:customStyle="1" w:styleId="EmailStyle2882">
    <w:name w:val="EmailStyle2882"/>
    <w:basedOn w:val="DefaultParagraphFont"/>
    <w:semiHidden/>
    <w:rsid w:val="0034080E"/>
    <w:rPr>
      <w:rFonts w:ascii="Arial" w:hAnsi="Arial" w:cs="Arial"/>
      <w:color w:val="000080"/>
      <w:sz w:val="20"/>
    </w:rPr>
  </w:style>
  <w:style w:type="character" w:customStyle="1" w:styleId="EmailStyle2892">
    <w:name w:val="EmailStyle2892"/>
    <w:basedOn w:val="DefaultParagraphFont"/>
    <w:semiHidden/>
    <w:rsid w:val="0034080E"/>
    <w:rPr>
      <w:rFonts w:ascii="Arial" w:hAnsi="Arial" w:cs="Arial"/>
      <w:color w:val="993366"/>
      <w:sz w:val="20"/>
    </w:rPr>
  </w:style>
  <w:style w:type="character" w:customStyle="1" w:styleId="EmailStyle2902">
    <w:name w:val="EmailStyle2902"/>
    <w:basedOn w:val="DefaultParagraphFont"/>
    <w:semiHidden/>
    <w:rsid w:val="0034080E"/>
    <w:rPr>
      <w:rFonts w:ascii="Arial" w:hAnsi="Arial" w:cs="Arial"/>
      <w:color w:val="000080"/>
      <w:sz w:val="20"/>
    </w:rPr>
  </w:style>
  <w:style w:type="character" w:customStyle="1" w:styleId="EmailStyle2912">
    <w:name w:val="EmailStyle2912"/>
    <w:basedOn w:val="DefaultParagraphFont"/>
    <w:semiHidden/>
    <w:rsid w:val="0034080E"/>
    <w:rPr>
      <w:rFonts w:ascii="Arial" w:hAnsi="Arial" w:cs="Arial"/>
      <w:color w:val="993366"/>
      <w:sz w:val="20"/>
    </w:rPr>
  </w:style>
  <w:style w:type="character" w:customStyle="1" w:styleId="EmailStyle2922">
    <w:name w:val="EmailStyle2922"/>
    <w:basedOn w:val="DefaultParagraphFont"/>
    <w:semiHidden/>
    <w:rsid w:val="0034080E"/>
    <w:rPr>
      <w:rFonts w:ascii="Arial" w:hAnsi="Arial" w:cs="Arial"/>
      <w:color w:val="000080"/>
      <w:sz w:val="20"/>
    </w:rPr>
  </w:style>
  <w:style w:type="character" w:customStyle="1" w:styleId="EmailStyle2932">
    <w:name w:val="EmailStyle2932"/>
    <w:basedOn w:val="DefaultParagraphFont"/>
    <w:semiHidden/>
    <w:rsid w:val="0034080E"/>
    <w:rPr>
      <w:rFonts w:ascii="Arial" w:hAnsi="Arial" w:cs="Arial"/>
      <w:color w:val="993366"/>
      <w:sz w:val="20"/>
    </w:rPr>
  </w:style>
  <w:style w:type="character" w:customStyle="1" w:styleId="EmailStyle2942">
    <w:name w:val="EmailStyle2942"/>
    <w:basedOn w:val="DefaultParagraphFont"/>
    <w:semiHidden/>
    <w:rsid w:val="0034080E"/>
    <w:rPr>
      <w:rFonts w:ascii="Arial" w:hAnsi="Arial" w:cs="Arial"/>
      <w:color w:val="000080"/>
      <w:sz w:val="20"/>
    </w:rPr>
  </w:style>
  <w:style w:type="paragraph" w:customStyle="1" w:styleId="HeadingBody2">
    <w:name w:val="Heading Body 2"/>
    <w:basedOn w:val="Normal"/>
    <w:rsid w:val="0034080E"/>
    <w:pPr>
      <w:spacing w:line="480" w:lineRule="auto"/>
      <w:ind w:left="1440"/>
    </w:pPr>
    <w:rPr>
      <w:rFonts w:eastAsia="Times New Roman"/>
      <w:sz w:val="24"/>
      <w:szCs w:val="24"/>
    </w:rPr>
  </w:style>
  <w:style w:type="paragraph" w:customStyle="1" w:styleId="ISODocumentChapterTile">
    <w:name w:val="ISO Document/Chapter Tile"/>
    <w:basedOn w:val="Title"/>
    <w:link w:val="ISODocumentChapterTileChar"/>
    <w:rsid w:val="00ED05F0"/>
    <w:pPr>
      <w:widowControl w:val="0"/>
      <w:pBdr>
        <w:bottom w:val="none" w:sz="0" w:space="0" w:color="auto"/>
      </w:pBdr>
      <w:spacing w:before="80" w:after="0"/>
      <w:contextualSpacing w:val="0"/>
    </w:pPr>
    <w:rPr>
      <w:rFonts w:ascii="Arial" w:eastAsia="Times New Roman" w:hAnsi="Arial" w:cs="Times New Roman"/>
      <w:b/>
      <w:spacing w:val="0"/>
      <w:kern w:val="0"/>
      <w:sz w:val="36"/>
      <w:szCs w:val="20"/>
    </w:rPr>
  </w:style>
  <w:style w:type="character" w:customStyle="1" w:styleId="ISODocumentChapterTileChar">
    <w:name w:val="ISO Document/Chapter Tile Char"/>
    <w:basedOn w:val="TitleChar"/>
    <w:link w:val="ISODocumentChapterTile"/>
    <w:rsid w:val="00ED05F0"/>
    <w:rPr>
      <w:rFonts w:ascii="Arial" w:eastAsia="Times New Roman" w:hAnsi="Arial" w:cs="Times New Roman"/>
      <w:b/>
      <w:spacing w:val="5"/>
      <w:kern w:val="28"/>
      <w:sz w:val="36"/>
      <w:szCs w:val="20"/>
    </w:rPr>
  </w:style>
  <w:style w:type="paragraph" w:customStyle="1" w:styleId="BulletedPara">
    <w:name w:val="Bulleted Para"/>
    <w:rsid w:val="00ED05F0"/>
    <w:pPr>
      <w:numPr>
        <w:numId w:val="19"/>
      </w:numPr>
      <w:spacing w:before="120" w:line="240" w:lineRule="auto"/>
      <w:jc w:val="both"/>
    </w:pPr>
    <w:rPr>
      <w:rFonts w:ascii="Times New Roman" w:eastAsia="Times New Roman" w:hAnsi="Times New Roman"/>
      <w:sz w:val="24"/>
    </w:rPr>
  </w:style>
  <w:style w:type="table" w:styleId="MediumGrid1-Accent6">
    <w:name w:val="Medium Grid 1 Accent 6"/>
    <w:basedOn w:val="TableNormal"/>
    <w:uiPriority w:val="67"/>
    <w:rsid w:val="00696730"/>
    <w:pPr>
      <w:spacing w:after="0" w:line="240" w:lineRule="auto"/>
    </w:p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character" w:customStyle="1" w:styleId="EmailStyle3002">
    <w:name w:val="EmailStyle3002"/>
    <w:basedOn w:val="DefaultParagraphFont"/>
    <w:semiHidden/>
    <w:rsid w:val="004001CC"/>
    <w:rPr>
      <w:rFonts w:ascii="Arial" w:hAnsi="Arial" w:cs="Arial"/>
      <w:color w:val="993366"/>
      <w:sz w:val="20"/>
    </w:rPr>
  </w:style>
  <w:style w:type="character" w:customStyle="1" w:styleId="EmailStyle3012">
    <w:name w:val="EmailStyle3012"/>
    <w:basedOn w:val="DefaultParagraphFont"/>
    <w:semiHidden/>
    <w:rsid w:val="004001CC"/>
    <w:rPr>
      <w:rFonts w:ascii="Arial" w:hAnsi="Arial" w:cs="Arial"/>
      <w:color w:val="000080"/>
      <w:sz w:val="20"/>
    </w:rPr>
  </w:style>
  <w:style w:type="character" w:customStyle="1" w:styleId="EmailStyle3022">
    <w:name w:val="EmailStyle3022"/>
    <w:basedOn w:val="DefaultParagraphFont"/>
    <w:semiHidden/>
    <w:rsid w:val="004001CC"/>
    <w:rPr>
      <w:rFonts w:ascii="Arial" w:hAnsi="Arial" w:cs="Arial"/>
      <w:color w:val="993366"/>
      <w:sz w:val="20"/>
    </w:rPr>
  </w:style>
  <w:style w:type="character" w:customStyle="1" w:styleId="EmailStyle3032">
    <w:name w:val="EmailStyle3032"/>
    <w:basedOn w:val="DefaultParagraphFont"/>
    <w:semiHidden/>
    <w:rsid w:val="004001CC"/>
    <w:rPr>
      <w:rFonts w:ascii="Arial" w:hAnsi="Arial" w:cs="Arial"/>
      <w:color w:val="000080"/>
      <w:sz w:val="20"/>
    </w:rPr>
  </w:style>
  <w:style w:type="character" w:customStyle="1" w:styleId="EmailStyle3042">
    <w:name w:val="EmailStyle3042"/>
    <w:basedOn w:val="DefaultParagraphFont"/>
    <w:semiHidden/>
    <w:rsid w:val="004001CC"/>
    <w:rPr>
      <w:rFonts w:ascii="Arial" w:hAnsi="Arial" w:cs="Arial"/>
      <w:color w:val="993366"/>
      <w:sz w:val="20"/>
    </w:rPr>
  </w:style>
  <w:style w:type="character" w:customStyle="1" w:styleId="EmailStyle3052">
    <w:name w:val="EmailStyle3052"/>
    <w:basedOn w:val="DefaultParagraphFont"/>
    <w:semiHidden/>
    <w:rsid w:val="004001CC"/>
    <w:rPr>
      <w:rFonts w:ascii="Arial" w:hAnsi="Arial" w:cs="Arial"/>
      <w:color w:val="000080"/>
      <w:sz w:val="20"/>
    </w:rPr>
  </w:style>
  <w:style w:type="character" w:customStyle="1" w:styleId="EmailStyle3062">
    <w:name w:val="EmailStyle3062"/>
    <w:basedOn w:val="DefaultParagraphFont"/>
    <w:semiHidden/>
    <w:rsid w:val="004001CC"/>
    <w:rPr>
      <w:rFonts w:ascii="Arial" w:hAnsi="Arial" w:cs="Arial"/>
      <w:color w:val="993366"/>
      <w:sz w:val="20"/>
    </w:rPr>
  </w:style>
  <w:style w:type="character" w:customStyle="1" w:styleId="EmailStyle3072">
    <w:name w:val="EmailStyle3072"/>
    <w:basedOn w:val="DefaultParagraphFont"/>
    <w:semiHidden/>
    <w:rsid w:val="004001CC"/>
    <w:rPr>
      <w:rFonts w:ascii="Arial" w:hAnsi="Arial" w:cs="Arial"/>
      <w:color w:val="000080"/>
      <w:sz w:val="20"/>
    </w:rPr>
  </w:style>
  <w:style w:type="character" w:customStyle="1" w:styleId="EmailStyle3082">
    <w:name w:val="EmailStyle3082"/>
    <w:basedOn w:val="DefaultParagraphFont"/>
    <w:semiHidden/>
    <w:rsid w:val="004001CC"/>
    <w:rPr>
      <w:rFonts w:ascii="Arial" w:hAnsi="Arial" w:cs="Arial"/>
      <w:color w:val="993366"/>
      <w:sz w:val="20"/>
    </w:rPr>
  </w:style>
  <w:style w:type="character" w:customStyle="1" w:styleId="EmailStyle3092">
    <w:name w:val="EmailStyle3092"/>
    <w:basedOn w:val="DefaultParagraphFont"/>
    <w:semiHidden/>
    <w:rsid w:val="004001CC"/>
    <w:rPr>
      <w:rFonts w:ascii="Arial" w:hAnsi="Arial" w:cs="Arial"/>
      <w:color w:val="000080"/>
      <w:sz w:val="20"/>
    </w:rPr>
  </w:style>
  <w:style w:type="character" w:customStyle="1" w:styleId="EmailStyle3102">
    <w:name w:val="EmailStyle3102"/>
    <w:basedOn w:val="DefaultParagraphFont"/>
    <w:semiHidden/>
    <w:rsid w:val="004001CC"/>
    <w:rPr>
      <w:rFonts w:ascii="Arial" w:hAnsi="Arial" w:cs="Arial"/>
      <w:color w:val="993366"/>
      <w:sz w:val="20"/>
    </w:rPr>
  </w:style>
  <w:style w:type="character" w:customStyle="1" w:styleId="EmailStyle3112">
    <w:name w:val="EmailStyle3112"/>
    <w:basedOn w:val="DefaultParagraphFont"/>
    <w:semiHidden/>
    <w:rsid w:val="004001CC"/>
    <w:rPr>
      <w:rFonts w:ascii="Arial" w:hAnsi="Arial" w:cs="Arial"/>
      <w:color w:val="000080"/>
      <w:sz w:val="20"/>
    </w:rPr>
  </w:style>
  <w:style w:type="character" w:customStyle="1" w:styleId="EmailStyle3122">
    <w:name w:val="EmailStyle3122"/>
    <w:basedOn w:val="DefaultParagraphFont"/>
    <w:semiHidden/>
    <w:rsid w:val="004001CC"/>
    <w:rPr>
      <w:rFonts w:ascii="Arial" w:hAnsi="Arial" w:cs="Arial"/>
      <w:color w:val="993366"/>
      <w:sz w:val="20"/>
    </w:rPr>
  </w:style>
  <w:style w:type="character" w:customStyle="1" w:styleId="EmailStyle3132">
    <w:name w:val="EmailStyle3132"/>
    <w:basedOn w:val="DefaultParagraphFont"/>
    <w:semiHidden/>
    <w:rsid w:val="004001CC"/>
    <w:rPr>
      <w:rFonts w:ascii="Arial" w:hAnsi="Arial" w:cs="Arial"/>
      <w:color w:val="000080"/>
      <w:sz w:val="20"/>
    </w:rPr>
  </w:style>
  <w:style w:type="character" w:customStyle="1" w:styleId="EmailStyle3142">
    <w:name w:val="EmailStyle3142"/>
    <w:basedOn w:val="DefaultParagraphFont"/>
    <w:semiHidden/>
    <w:rsid w:val="004001CC"/>
    <w:rPr>
      <w:rFonts w:ascii="Arial" w:hAnsi="Arial" w:cs="Arial"/>
      <w:color w:val="993366"/>
      <w:sz w:val="20"/>
    </w:rPr>
  </w:style>
  <w:style w:type="character" w:customStyle="1" w:styleId="EmailStyle3152">
    <w:name w:val="EmailStyle3152"/>
    <w:basedOn w:val="DefaultParagraphFont"/>
    <w:semiHidden/>
    <w:rsid w:val="004001CC"/>
    <w:rPr>
      <w:rFonts w:ascii="Arial" w:hAnsi="Arial" w:cs="Arial"/>
      <w:color w:val="000080"/>
      <w:sz w:val="20"/>
    </w:rPr>
  </w:style>
  <w:style w:type="character" w:customStyle="1" w:styleId="EmailStyle3162">
    <w:name w:val="EmailStyle3162"/>
    <w:basedOn w:val="DefaultParagraphFont"/>
    <w:semiHidden/>
    <w:rsid w:val="004001CC"/>
    <w:rPr>
      <w:rFonts w:ascii="Arial" w:hAnsi="Arial" w:cs="Arial"/>
      <w:color w:val="993366"/>
      <w:sz w:val="20"/>
    </w:rPr>
  </w:style>
  <w:style w:type="character" w:customStyle="1" w:styleId="EmailStyle3172">
    <w:name w:val="EmailStyle3172"/>
    <w:basedOn w:val="DefaultParagraphFont"/>
    <w:semiHidden/>
    <w:rsid w:val="004001CC"/>
    <w:rPr>
      <w:rFonts w:ascii="Arial" w:hAnsi="Arial" w:cs="Arial"/>
      <w:color w:val="000080"/>
      <w:sz w:val="20"/>
    </w:rPr>
  </w:style>
  <w:style w:type="character" w:customStyle="1" w:styleId="EmailStyle3182">
    <w:name w:val="EmailStyle3182"/>
    <w:basedOn w:val="DefaultParagraphFont"/>
    <w:semiHidden/>
    <w:rsid w:val="004001CC"/>
    <w:rPr>
      <w:rFonts w:ascii="Arial" w:hAnsi="Arial" w:cs="Arial"/>
      <w:color w:val="993366"/>
      <w:sz w:val="20"/>
    </w:rPr>
  </w:style>
  <w:style w:type="character" w:customStyle="1" w:styleId="EmailStyle3192">
    <w:name w:val="EmailStyle3192"/>
    <w:basedOn w:val="DefaultParagraphFont"/>
    <w:semiHidden/>
    <w:rsid w:val="004001CC"/>
    <w:rPr>
      <w:rFonts w:ascii="Arial" w:hAnsi="Arial" w:cs="Arial"/>
      <w:color w:val="000080"/>
      <w:sz w:val="20"/>
    </w:rPr>
  </w:style>
  <w:style w:type="paragraph" w:customStyle="1" w:styleId="asdf">
    <w:name w:val="asdf"/>
    <w:basedOn w:val="Normal"/>
    <w:rsid w:val="004001CC"/>
    <w:pPr>
      <w:spacing w:before="100" w:beforeAutospacing="1" w:after="100" w:afterAutospacing="1" w:line="240" w:lineRule="auto"/>
      <w:jc w:val="center"/>
    </w:pPr>
    <w:rPr>
      <w:rFonts w:ascii="Arial Black" w:eastAsia="Times New Roman" w:hAnsi="Arial Black"/>
      <w:sz w:val="21"/>
      <w:szCs w:val="21"/>
    </w:rPr>
  </w:style>
  <w:style w:type="character" w:customStyle="1" w:styleId="sdaf1">
    <w:name w:val="sdaf1"/>
    <w:basedOn w:val="DefaultParagraphFont"/>
    <w:rsid w:val="004001CC"/>
    <w:rPr>
      <w:rFonts w:ascii="Arial" w:hAnsi="Arial" w:cs="Arial" w:hint="default"/>
      <w:sz w:val="21"/>
      <w:szCs w:val="21"/>
    </w:rPr>
  </w:style>
  <w:style w:type="character" w:customStyle="1" w:styleId="EmailStyle3222">
    <w:name w:val="EmailStyle3222"/>
    <w:basedOn w:val="DefaultParagraphFont"/>
    <w:semiHidden/>
    <w:rsid w:val="004E3B8A"/>
    <w:rPr>
      <w:rFonts w:ascii="Arial" w:hAnsi="Arial" w:cs="Arial"/>
      <w:color w:val="993366"/>
      <w:sz w:val="20"/>
    </w:rPr>
  </w:style>
  <w:style w:type="character" w:customStyle="1" w:styleId="EmailStyle3232">
    <w:name w:val="EmailStyle3232"/>
    <w:basedOn w:val="DefaultParagraphFont"/>
    <w:semiHidden/>
    <w:rsid w:val="004E3B8A"/>
    <w:rPr>
      <w:rFonts w:ascii="Arial" w:hAnsi="Arial" w:cs="Arial"/>
      <w:color w:val="000080"/>
      <w:sz w:val="20"/>
    </w:rPr>
  </w:style>
  <w:style w:type="character" w:customStyle="1" w:styleId="EmailStyle3242">
    <w:name w:val="EmailStyle3242"/>
    <w:basedOn w:val="DefaultParagraphFont"/>
    <w:semiHidden/>
    <w:rsid w:val="004E3B8A"/>
    <w:rPr>
      <w:rFonts w:ascii="Arial" w:hAnsi="Arial" w:cs="Arial"/>
      <w:color w:val="993366"/>
      <w:sz w:val="20"/>
    </w:rPr>
  </w:style>
  <w:style w:type="character" w:customStyle="1" w:styleId="EmailStyle3252">
    <w:name w:val="EmailStyle3252"/>
    <w:basedOn w:val="DefaultParagraphFont"/>
    <w:semiHidden/>
    <w:rsid w:val="004E3B8A"/>
    <w:rPr>
      <w:rFonts w:ascii="Arial" w:hAnsi="Arial" w:cs="Arial"/>
      <w:color w:val="000080"/>
      <w:sz w:val="20"/>
    </w:rPr>
  </w:style>
  <w:style w:type="character" w:customStyle="1" w:styleId="EmailStyle3262">
    <w:name w:val="EmailStyle3262"/>
    <w:basedOn w:val="DefaultParagraphFont"/>
    <w:semiHidden/>
    <w:rsid w:val="004E3B8A"/>
    <w:rPr>
      <w:rFonts w:ascii="Arial" w:hAnsi="Arial" w:cs="Arial"/>
      <w:color w:val="000080"/>
      <w:sz w:val="20"/>
    </w:rPr>
  </w:style>
  <w:style w:type="character" w:customStyle="1" w:styleId="EmailStyle3272">
    <w:name w:val="EmailStyle3272"/>
    <w:basedOn w:val="DefaultParagraphFont"/>
    <w:semiHidden/>
    <w:rsid w:val="004E3B8A"/>
    <w:rPr>
      <w:rFonts w:ascii="Arial" w:hAnsi="Arial" w:cs="Arial"/>
      <w:color w:val="993366"/>
      <w:sz w:val="20"/>
    </w:rPr>
  </w:style>
  <w:style w:type="character" w:customStyle="1" w:styleId="EmailStyle3282">
    <w:name w:val="EmailStyle3282"/>
    <w:basedOn w:val="DefaultParagraphFont"/>
    <w:semiHidden/>
    <w:rsid w:val="004E3B8A"/>
    <w:rPr>
      <w:rFonts w:ascii="Arial" w:hAnsi="Arial" w:cs="Arial"/>
      <w:color w:val="000080"/>
      <w:sz w:val="20"/>
    </w:rPr>
  </w:style>
  <w:style w:type="character" w:customStyle="1" w:styleId="EmailStyle3292">
    <w:name w:val="EmailStyle3292"/>
    <w:basedOn w:val="DefaultParagraphFont"/>
    <w:semiHidden/>
    <w:rsid w:val="004E3B8A"/>
    <w:rPr>
      <w:rFonts w:ascii="Arial" w:hAnsi="Arial" w:cs="Arial"/>
      <w:color w:val="993366"/>
      <w:sz w:val="20"/>
    </w:rPr>
  </w:style>
  <w:style w:type="character" w:customStyle="1" w:styleId="EmailStyle3302">
    <w:name w:val="EmailStyle3302"/>
    <w:basedOn w:val="DefaultParagraphFont"/>
    <w:semiHidden/>
    <w:rsid w:val="004E3B8A"/>
    <w:rPr>
      <w:rFonts w:ascii="Arial" w:hAnsi="Arial" w:cs="Arial"/>
      <w:color w:val="000080"/>
      <w:sz w:val="20"/>
    </w:rPr>
  </w:style>
  <w:style w:type="character" w:customStyle="1" w:styleId="EmailStyle3312">
    <w:name w:val="EmailStyle3312"/>
    <w:basedOn w:val="DefaultParagraphFont"/>
    <w:semiHidden/>
    <w:rsid w:val="004E3B8A"/>
    <w:rPr>
      <w:rFonts w:ascii="Arial" w:hAnsi="Arial" w:cs="Arial"/>
      <w:color w:val="000080"/>
      <w:sz w:val="20"/>
    </w:rPr>
  </w:style>
  <w:style w:type="paragraph" w:customStyle="1" w:styleId="00BodyText5">
    <w:name w:val="00 Body Text .5"/>
    <w:basedOn w:val="Normal"/>
    <w:rsid w:val="004E3B8A"/>
    <w:pPr>
      <w:spacing w:line="240" w:lineRule="auto"/>
      <w:ind w:firstLine="720"/>
    </w:pPr>
    <w:rPr>
      <w:rFonts w:eastAsia="Times New Roman"/>
      <w:sz w:val="24"/>
      <w:szCs w:val="24"/>
    </w:rPr>
  </w:style>
  <w:style w:type="paragraph" w:customStyle="1" w:styleId="TextBoxText">
    <w:name w:val="Text Box Text"/>
    <w:basedOn w:val="Normal"/>
    <w:link w:val="TextBoxTextChar"/>
    <w:qFormat/>
    <w:rsid w:val="004E3B8A"/>
    <w:pPr>
      <w:widowControl w:val="0"/>
      <w:spacing w:after="120" w:line="240" w:lineRule="auto"/>
    </w:pPr>
    <w:rPr>
      <w:i/>
      <w:sz w:val="16"/>
      <w:szCs w:val="14"/>
    </w:rPr>
  </w:style>
  <w:style w:type="character" w:customStyle="1" w:styleId="TextBoxTextChar">
    <w:name w:val="Text Box Text Char"/>
    <w:basedOn w:val="DefaultParagraphFont"/>
    <w:link w:val="TextBoxText"/>
    <w:rsid w:val="004E3B8A"/>
    <w:rPr>
      <w:rFonts w:ascii="Times New Roman" w:hAnsi="Times New Roman"/>
      <w:i/>
      <w:sz w:val="16"/>
      <w:szCs w:val="14"/>
    </w:rPr>
  </w:style>
  <w:style w:type="character" w:customStyle="1" w:styleId="EmailStyle3352">
    <w:name w:val="EmailStyle3352"/>
    <w:basedOn w:val="DefaultParagraphFont"/>
    <w:semiHidden/>
    <w:rsid w:val="00BA5816"/>
    <w:rPr>
      <w:rFonts w:ascii="Arial" w:hAnsi="Arial" w:cs="Arial"/>
      <w:color w:val="993366"/>
      <w:sz w:val="20"/>
    </w:rPr>
  </w:style>
  <w:style w:type="character" w:customStyle="1" w:styleId="EmailStyle3362">
    <w:name w:val="EmailStyle3362"/>
    <w:basedOn w:val="DefaultParagraphFont"/>
    <w:semiHidden/>
    <w:rsid w:val="00BA5816"/>
    <w:rPr>
      <w:rFonts w:ascii="Arial" w:hAnsi="Arial" w:cs="Arial"/>
      <w:color w:val="000080"/>
      <w:sz w:val="20"/>
    </w:rPr>
  </w:style>
  <w:style w:type="character" w:customStyle="1" w:styleId="EmailStyle3372">
    <w:name w:val="EmailStyle3372"/>
    <w:basedOn w:val="DefaultParagraphFont"/>
    <w:semiHidden/>
    <w:rsid w:val="00BA5816"/>
    <w:rPr>
      <w:rFonts w:ascii="Arial" w:hAnsi="Arial" w:cs="Arial"/>
      <w:color w:val="993366"/>
      <w:sz w:val="20"/>
    </w:rPr>
  </w:style>
  <w:style w:type="character" w:customStyle="1" w:styleId="EmailStyle3382">
    <w:name w:val="EmailStyle3382"/>
    <w:basedOn w:val="DefaultParagraphFont"/>
    <w:semiHidden/>
    <w:rsid w:val="00BA5816"/>
    <w:rPr>
      <w:rFonts w:ascii="Arial" w:hAnsi="Arial" w:cs="Arial"/>
      <w:color w:val="000080"/>
      <w:sz w:val="20"/>
    </w:rPr>
  </w:style>
  <w:style w:type="character" w:customStyle="1" w:styleId="EmailStyle3392">
    <w:name w:val="EmailStyle3392"/>
    <w:basedOn w:val="DefaultParagraphFont"/>
    <w:semiHidden/>
    <w:rsid w:val="00BA5816"/>
    <w:rPr>
      <w:rFonts w:ascii="Arial" w:hAnsi="Arial" w:cs="Arial"/>
      <w:color w:val="000080"/>
      <w:sz w:val="20"/>
    </w:rPr>
  </w:style>
  <w:style w:type="character" w:customStyle="1" w:styleId="EmailStyle3402">
    <w:name w:val="EmailStyle3402"/>
    <w:basedOn w:val="DefaultParagraphFont"/>
    <w:semiHidden/>
    <w:rsid w:val="00BA5816"/>
    <w:rPr>
      <w:rFonts w:ascii="Arial" w:hAnsi="Arial" w:cs="Arial"/>
      <w:color w:val="993366"/>
      <w:sz w:val="20"/>
    </w:rPr>
  </w:style>
  <w:style w:type="character" w:customStyle="1" w:styleId="EmailStyle3412">
    <w:name w:val="EmailStyle3412"/>
    <w:basedOn w:val="DefaultParagraphFont"/>
    <w:semiHidden/>
    <w:rsid w:val="00BA5816"/>
    <w:rPr>
      <w:rFonts w:ascii="Arial" w:hAnsi="Arial" w:cs="Arial"/>
      <w:color w:val="000080"/>
      <w:sz w:val="20"/>
    </w:rPr>
  </w:style>
  <w:style w:type="character" w:customStyle="1" w:styleId="EmailStyle3422">
    <w:name w:val="EmailStyle3422"/>
    <w:basedOn w:val="DefaultParagraphFont"/>
    <w:semiHidden/>
    <w:rsid w:val="00BA5816"/>
    <w:rPr>
      <w:rFonts w:ascii="Arial" w:hAnsi="Arial" w:cs="Arial"/>
      <w:color w:val="993366"/>
      <w:sz w:val="20"/>
    </w:rPr>
  </w:style>
  <w:style w:type="character" w:customStyle="1" w:styleId="EmailStyle3432">
    <w:name w:val="EmailStyle3432"/>
    <w:basedOn w:val="DefaultParagraphFont"/>
    <w:semiHidden/>
    <w:rsid w:val="00BA5816"/>
    <w:rPr>
      <w:rFonts w:ascii="Arial" w:hAnsi="Arial" w:cs="Arial"/>
      <w:color w:val="000080"/>
      <w:sz w:val="20"/>
    </w:rPr>
  </w:style>
  <w:style w:type="character" w:customStyle="1" w:styleId="EmailStyle3442">
    <w:name w:val="EmailStyle3442"/>
    <w:basedOn w:val="DefaultParagraphFont"/>
    <w:semiHidden/>
    <w:rsid w:val="00BA5816"/>
    <w:rPr>
      <w:rFonts w:ascii="Arial" w:hAnsi="Arial" w:cs="Arial"/>
      <w:color w:val="000080"/>
      <w:sz w:val="20"/>
    </w:rPr>
  </w:style>
  <w:style w:type="paragraph" w:customStyle="1" w:styleId="Pa4">
    <w:name w:val="Pa4"/>
    <w:basedOn w:val="Default"/>
    <w:next w:val="Default"/>
    <w:uiPriority w:val="99"/>
    <w:rsid w:val="00900A08"/>
    <w:pPr>
      <w:spacing w:after="80" w:line="201" w:lineRule="atLeast"/>
    </w:pPr>
    <w:rPr>
      <w:rFonts w:ascii="Helvetica 45 Light" w:hAnsi="Helvetica 45 Light"/>
      <w:color w:val="auto"/>
    </w:rPr>
  </w:style>
  <w:style w:type="paragraph" w:customStyle="1" w:styleId="Pa5">
    <w:name w:val="Pa5"/>
    <w:basedOn w:val="Normal"/>
    <w:next w:val="Normal"/>
    <w:uiPriority w:val="99"/>
    <w:rsid w:val="00900A08"/>
    <w:pPr>
      <w:autoSpaceDE w:val="0"/>
      <w:autoSpaceDN w:val="0"/>
      <w:adjustRightInd w:val="0"/>
      <w:spacing w:after="80" w:line="201" w:lineRule="atLeast"/>
    </w:pPr>
    <w:rPr>
      <w:rFonts w:ascii="Helvetica 45 Light" w:eastAsia="Calibri" w:hAnsi="Helvetica 45 Light"/>
      <w:color w:val="000000"/>
      <w:sz w:val="24"/>
      <w:szCs w:val="24"/>
    </w:rPr>
  </w:style>
  <w:style w:type="paragraph" w:customStyle="1" w:styleId="Pa6">
    <w:name w:val="Pa6"/>
    <w:basedOn w:val="Normal"/>
    <w:next w:val="Normal"/>
    <w:uiPriority w:val="99"/>
    <w:rsid w:val="00900A08"/>
    <w:pPr>
      <w:autoSpaceDE w:val="0"/>
      <w:autoSpaceDN w:val="0"/>
      <w:adjustRightInd w:val="0"/>
      <w:spacing w:after="40" w:line="141" w:lineRule="atLeast"/>
    </w:pPr>
    <w:rPr>
      <w:rFonts w:ascii="HelveticaNeue LightCond" w:eastAsia="Calibri" w:hAnsi="HelveticaNeue LightCond"/>
      <w:color w:val="000000"/>
      <w:sz w:val="24"/>
      <w:szCs w:val="24"/>
    </w:rPr>
  </w:style>
  <w:style w:type="table" w:styleId="LightList-Accent6">
    <w:name w:val="Light List Accent 6"/>
    <w:basedOn w:val="TableNormal"/>
    <w:uiPriority w:val="61"/>
    <w:rsid w:val="00FB15AD"/>
    <w:pPr>
      <w:spacing w:after="0" w:line="240" w:lineRule="auto"/>
    </w:p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character" w:customStyle="1" w:styleId="A0">
    <w:name w:val="A0"/>
    <w:uiPriority w:val="99"/>
    <w:rsid w:val="00F17D2E"/>
    <w:rPr>
      <w:rFonts w:cs="Gotham Narrow Medium"/>
      <w:color w:val="000000"/>
      <w:sz w:val="45"/>
      <w:szCs w:val="45"/>
    </w:rPr>
  </w:style>
  <w:style w:type="character" w:customStyle="1" w:styleId="EmailStyle3502">
    <w:name w:val="EmailStyle3502"/>
    <w:basedOn w:val="DefaultParagraphFont"/>
    <w:semiHidden/>
    <w:rsid w:val="00584B24"/>
    <w:rPr>
      <w:rFonts w:ascii="Arial" w:hAnsi="Arial" w:cs="Arial"/>
      <w:color w:val="993366"/>
      <w:sz w:val="20"/>
    </w:rPr>
  </w:style>
  <w:style w:type="character" w:customStyle="1" w:styleId="EmailStyle3512">
    <w:name w:val="EmailStyle3512"/>
    <w:basedOn w:val="DefaultParagraphFont"/>
    <w:semiHidden/>
    <w:rsid w:val="00584B24"/>
    <w:rPr>
      <w:rFonts w:ascii="Arial" w:hAnsi="Arial" w:cs="Arial"/>
      <w:color w:val="000080"/>
      <w:sz w:val="20"/>
    </w:rPr>
  </w:style>
  <w:style w:type="character" w:customStyle="1" w:styleId="EmailStyle3522">
    <w:name w:val="EmailStyle3522"/>
    <w:basedOn w:val="DefaultParagraphFont"/>
    <w:semiHidden/>
    <w:rsid w:val="00584B24"/>
    <w:rPr>
      <w:rFonts w:ascii="Arial" w:hAnsi="Arial" w:cs="Arial"/>
      <w:color w:val="000080"/>
      <w:sz w:val="20"/>
    </w:rPr>
  </w:style>
  <w:style w:type="character" w:customStyle="1" w:styleId="EmailStyle3532">
    <w:name w:val="EmailStyle3532"/>
    <w:basedOn w:val="DefaultParagraphFont"/>
    <w:semiHidden/>
    <w:rsid w:val="00584B24"/>
    <w:rPr>
      <w:rFonts w:ascii="Arial" w:hAnsi="Arial" w:cs="Arial"/>
      <w:color w:val="000080"/>
      <w:sz w:val="20"/>
    </w:rPr>
  </w:style>
  <w:style w:type="character" w:customStyle="1" w:styleId="EmailStyle3542">
    <w:name w:val="EmailStyle3542"/>
    <w:basedOn w:val="DefaultParagraphFont"/>
    <w:semiHidden/>
    <w:rsid w:val="00A2696F"/>
    <w:rPr>
      <w:rFonts w:ascii="Arial" w:hAnsi="Arial" w:cs="Arial"/>
      <w:color w:val="993366"/>
      <w:sz w:val="20"/>
    </w:rPr>
  </w:style>
  <w:style w:type="character" w:customStyle="1" w:styleId="EmailStyle3552">
    <w:name w:val="EmailStyle3552"/>
    <w:basedOn w:val="DefaultParagraphFont"/>
    <w:semiHidden/>
    <w:rsid w:val="00A2696F"/>
    <w:rPr>
      <w:rFonts w:ascii="Arial" w:hAnsi="Arial" w:cs="Arial"/>
      <w:color w:val="993366"/>
      <w:sz w:val="20"/>
    </w:rPr>
  </w:style>
  <w:style w:type="character" w:customStyle="1" w:styleId="EmailStyle3562">
    <w:name w:val="EmailStyle3562"/>
    <w:basedOn w:val="DefaultParagraphFont"/>
    <w:semiHidden/>
    <w:rsid w:val="00A2696F"/>
    <w:rPr>
      <w:rFonts w:ascii="Arial" w:hAnsi="Arial" w:cs="Arial"/>
      <w:color w:val="993366"/>
      <w:sz w:val="20"/>
    </w:rPr>
  </w:style>
  <w:style w:type="character" w:customStyle="1" w:styleId="EmailStyle3572">
    <w:name w:val="EmailStyle3572"/>
    <w:basedOn w:val="DefaultParagraphFont"/>
    <w:semiHidden/>
    <w:rsid w:val="00A2696F"/>
    <w:rPr>
      <w:rFonts w:ascii="Arial" w:hAnsi="Arial" w:cs="Arial"/>
      <w:color w:val="993366"/>
      <w:sz w:val="20"/>
    </w:rPr>
  </w:style>
  <w:style w:type="character" w:customStyle="1" w:styleId="EmailStyle3582">
    <w:name w:val="EmailStyle3582"/>
    <w:basedOn w:val="DefaultParagraphFont"/>
    <w:semiHidden/>
    <w:rsid w:val="00A2696F"/>
    <w:rPr>
      <w:rFonts w:ascii="Arial" w:hAnsi="Arial" w:cs="Arial"/>
      <w:color w:val="993366"/>
      <w:sz w:val="20"/>
    </w:rPr>
  </w:style>
  <w:style w:type="character" w:customStyle="1" w:styleId="EmailStyle3592">
    <w:name w:val="EmailStyle3592"/>
    <w:basedOn w:val="DefaultParagraphFont"/>
    <w:semiHidden/>
    <w:rsid w:val="00A2696F"/>
    <w:rPr>
      <w:rFonts w:ascii="Arial" w:hAnsi="Arial" w:cs="Arial"/>
      <w:color w:val="993366"/>
      <w:sz w:val="20"/>
    </w:rPr>
  </w:style>
  <w:style w:type="character" w:customStyle="1" w:styleId="EmailStyle3602">
    <w:name w:val="EmailStyle3602"/>
    <w:basedOn w:val="DefaultParagraphFont"/>
    <w:semiHidden/>
    <w:rsid w:val="00A2696F"/>
    <w:rPr>
      <w:rFonts w:ascii="Arial" w:hAnsi="Arial" w:cs="Arial"/>
      <w:color w:val="993366"/>
      <w:sz w:val="20"/>
    </w:rPr>
  </w:style>
  <w:style w:type="character" w:customStyle="1" w:styleId="EmailStyle3612">
    <w:name w:val="EmailStyle3612"/>
    <w:basedOn w:val="DefaultParagraphFont"/>
    <w:semiHidden/>
    <w:rsid w:val="00A2696F"/>
    <w:rPr>
      <w:rFonts w:ascii="Arial" w:hAnsi="Arial" w:cs="Arial"/>
      <w:color w:val="993366"/>
      <w:sz w:val="20"/>
    </w:rPr>
  </w:style>
  <w:style w:type="character" w:customStyle="1" w:styleId="EmailStyle3622">
    <w:name w:val="EmailStyle3622"/>
    <w:basedOn w:val="DefaultParagraphFont"/>
    <w:semiHidden/>
    <w:rsid w:val="00A2696F"/>
    <w:rPr>
      <w:rFonts w:ascii="Arial" w:hAnsi="Arial" w:cs="Arial"/>
      <w:color w:val="993366"/>
      <w:sz w:val="20"/>
    </w:rPr>
  </w:style>
  <w:style w:type="character" w:styleId="HTMLCite">
    <w:name w:val="HTML Cite"/>
    <w:basedOn w:val="DefaultParagraphFont"/>
    <w:uiPriority w:val="99"/>
    <w:semiHidden/>
    <w:unhideWhenUsed/>
    <w:rsid w:val="00AD41EA"/>
    <w:rPr>
      <w:i/>
      <w:iCs/>
    </w:rPr>
  </w:style>
  <w:style w:type="paragraph" w:customStyle="1" w:styleId="Label1-ISO-NE">
    <w:name w:val="Label 1 - ISO-NE"/>
    <w:basedOn w:val="Normal"/>
    <w:link w:val="Label1-ISO-NEChar"/>
    <w:qFormat/>
    <w:rsid w:val="00954952"/>
    <w:pPr>
      <w:spacing w:before="240"/>
    </w:pPr>
    <w:rPr>
      <w:rFonts w:ascii="Arial Bold" w:eastAsia="Times New Roman" w:hAnsi="Arial Bold"/>
      <w:bCs/>
    </w:rPr>
  </w:style>
  <w:style w:type="character" w:customStyle="1" w:styleId="Label1-ISO-NEChar">
    <w:name w:val="Label 1 - ISO-NE Char"/>
    <w:basedOn w:val="CaptionChar"/>
    <w:link w:val="Label1-ISO-NE"/>
    <w:locked/>
    <w:rsid w:val="00954952"/>
    <w:rPr>
      <w:rFonts w:ascii="Arial Bold" w:eastAsia="Times New Roman" w:hAnsi="Arial Bold" w:cs="Times New Roman"/>
      <w:b/>
      <w:bCs/>
      <w:sz w:val="20"/>
      <w:szCs w:val="20"/>
    </w:rPr>
  </w:style>
  <w:style w:type="table" w:customStyle="1" w:styleId="LightGrid-Accent11">
    <w:name w:val="Light Grid - Accent 11"/>
    <w:basedOn w:val="TableNormal"/>
    <w:uiPriority w:val="62"/>
    <w:rsid w:val="00954952"/>
    <w:pPr>
      <w:spacing w:after="0" w:line="240" w:lineRule="auto"/>
    </w:p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character" w:customStyle="1" w:styleId="EmailStyle3672">
    <w:name w:val="EmailStyle3672"/>
    <w:basedOn w:val="DefaultParagraphFont"/>
    <w:semiHidden/>
    <w:rsid w:val="000325A4"/>
    <w:rPr>
      <w:rFonts w:ascii="Arial" w:hAnsi="Arial" w:cs="Arial"/>
      <w:color w:val="993366"/>
      <w:sz w:val="20"/>
    </w:rPr>
  </w:style>
  <w:style w:type="character" w:customStyle="1" w:styleId="EmailStyle3682">
    <w:name w:val="EmailStyle3682"/>
    <w:basedOn w:val="DefaultParagraphFont"/>
    <w:semiHidden/>
    <w:rsid w:val="000325A4"/>
    <w:rPr>
      <w:rFonts w:ascii="Arial" w:hAnsi="Arial" w:cs="Arial"/>
      <w:color w:val="000080"/>
      <w:sz w:val="20"/>
    </w:rPr>
  </w:style>
  <w:style w:type="character" w:customStyle="1" w:styleId="EmailStyle3692">
    <w:name w:val="EmailStyle3692"/>
    <w:basedOn w:val="DefaultParagraphFont"/>
    <w:semiHidden/>
    <w:rsid w:val="000325A4"/>
    <w:rPr>
      <w:rFonts w:ascii="Arial" w:hAnsi="Arial" w:cs="Arial"/>
      <w:color w:val="993366"/>
      <w:sz w:val="20"/>
    </w:rPr>
  </w:style>
  <w:style w:type="character" w:customStyle="1" w:styleId="EmailStyle3702">
    <w:name w:val="EmailStyle3702"/>
    <w:basedOn w:val="DefaultParagraphFont"/>
    <w:semiHidden/>
    <w:rsid w:val="000325A4"/>
    <w:rPr>
      <w:rFonts w:ascii="Arial" w:hAnsi="Arial" w:cs="Arial"/>
      <w:color w:val="000080"/>
      <w:sz w:val="20"/>
    </w:rPr>
  </w:style>
  <w:style w:type="character" w:customStyle="1" w:styleId="EmailStyle3712">
    <w:name w:val="EmailStyle3712"/>
    <w:basedOn w:val="DefaultParagraphFont"/>
    <w:semiHidden/>
    <w:rsid w:val="000325A4"/>
    <w:rPr>
      <w:rFonts w:ascii="Arial" w:hAnsi="Arial" w:cs="Arial"/>
      <w:color w:val="993366"/>
      <w:sz w:val="20"/>
    </w:rPr>
  </w:style>
  <w:style w:type="character" w:customStyle="1" w:styleId="EmailStyle3722">
    <w:name w:val="EmailStyle3722"/>
    <w:basedOn w:val="DefaultParagraphFont"/>
    <w:semiHidden/>
    <w:rsid w:val="000325A4"/>
    <w:rPr>
      <w:rFonts w:ascii="Arial" w:hAnsi="Arial" w:cs="Arial"/>
      <w:color w:val="000080"/>
      <w:sz w:val="20"/>
    </w:rPr>
  </w:style>
  <w:style w:type="character" w:customStyle="1" w:styleId="EmailStyle3732">
    <w:name w:val="EmailStyle3732"/>
    <w:basedOn w:val="DefaultParagraphFont"/>
    <w:semiHidden/>
    <w:rsid w:val="000325A4"/>
    <w:rPr>
      <w:rFonts w:ascii="Arial" w:hAnsi="Arial" w:cs="Arial"/>
      <w:color w:val="993366"/>
      <w:sz w:val="20"/>
    </w:rPr>
  </w:style>
  <w:style w:type="character" w:customStyle="1" w:styleId="EmailStyle3742">
    <w:name w:val="EmailStyle3742"/>
    <w:basedOn w:val="DefaultParagraphFont"/>
    <w:semiHidden/>
    <w:rsid w:val="000325A4"/>
    <w:rPr>
      <w:rFonts w:ascii="Arial" w:hAnsi="Arial" w:cs="Arial"/>
      <w:color w:val="000080"/>
      <w:sz w:val="20"/>
    </w:rPr>
  </w:style>
  <w:style w:type="character" w:customStyle="1" w:styleId="EmailStyle3752">
    <w:name w:val="EmailStyle3752"/>
    <w:basedOn w:val="DefaultParagraphFont"/>
    <w:semiHidden/>
    <w:rsid w:val="000325A4"/>
    <w:rPr>
      <w:rFonts w:ascii="Arial" w:hAnsi="Arial" w:cs="Arial"/>
      <w:color w:val="993366"/>
      <w:sz w:val="20"/>
    </w:rPr>
  </w:style>
  <w:style w:type="character" w:customStyle="1" w:styleId="EmailStyle3762">
    <w:name w:val="EmailStyle3762"/>
    <w:basedOn w:val="DefaultParagraphFont"/>
    <w:semiHidden/>
    <w:rsid w:val="000325A4"/>
    <w:rPr>
      <w:rFonts w:ascii="Arial" w:hAnsi="Arial" w:cs="Arial"/>
      <w:color w:val="000080"/>
      <w:sz w:val="20"/>
    </w:rPr>
  </w:style>
  <w:style w:type="character" w:customStyle="1" w:styleId="EmailStyle3772">
    <w:name w:val="EmailStyle3772"/>
    <w:basedOn w:val="DefaultParagraphFont"/>
    <w:semiHidden/>
    <w:rsid w:val="000325A4"/>
    <w:rPr>
      <w:rFonts w:ascii="Arial" w:hAnsi="Arial" w:cs="Arial"/>
      <w:color w:val="993366"/>
      <w:sz w:val="20"/>
    </w:rPr>
  </w:style>
  <w:style w:type="character" w:customStyle="1" w:styleId="EmailStyle3782">
    <w:name w:val="EmailStyle3782"/>
    <w:basedOn w:val="DefaultParagraphFont"/>
    <w:semiHidden/>
    <w:rsid w:val="000325A4"/>
    <w:rPr>
      <w:rFonts w:ascii="Arial" w:hAnsi="Arial" w:cs="Arial"/>
      <w:color w:val="000080"/>
      <w:sz w:val="20"/>
    </w:rPr>
  </w:style>
  <w:style w:type="character" w:customStyle="1" w:styleId="EmailStyle3792">
    <w:name w:val="EmailStyle3792"/>
    <w:basedOn w:val="DefaultParagraphFont"/>
    <w:semiHidden/>
    <w:rsid w:val="000325A4"/>
    <w:rPr>
      <w:rFonts w:ascii="Arial" w:hAnsi="Arial" w:cs="Arial"/>
      <w:color w:val="993366"/>
      <w:sz w:val="20"/>
    </w:rPr>
  </w:style>
  <w:style w:type="character" w:customStyle="1" w:styleId="EmailStyle3802">
    <w:name w:val="EmailStyle3802"/>
    <w:basedOn w:val="DefaultParagraphFont"/>
    <w:semiHidden/>
    <w:rsid w:val="000325A4"/>
    <w:rPr>
      <w:rFonts w:ascii="Arial" w:hAnsi="Arial" w:cs="Arial"/>
      <w:color w:val="000080"/>
      <w:sz w:val="20"/>
    </w:rPr>
  </w:style>
  <w:style w:type="character" w:customStyle="1" w:styleId="EmailStyle3812">
    <w:name w:val="EmailStyle3812"/>
    <w:basedOn w:val="DefaultParagraphFont"/>
    <w:semiHidden/>
    <w:rsid w:val="000325A4"/>
    <w:rPr>
      <w:rFonts w:ascii="Arial" w:hAnsi="Arial" w:cs="Arial"/>
      <w:color w:val="993366"/>
      <w:sz w:val="20"/>
    </w:rPr>
  </w:style>
  <w:style w:type="character" w:customStyle="1" w:styleId="EmailStyle3822">
    <w:name w:val="EmailStyle3822"/>
    <w:basedOn w:val="DefaultParagraphFont"/>
    <w:semiHidden/>
    <w:rsid w:val="000325A4"/>
    <w:rPr>
      <w:rFonts w:ascii="Arial" w:hAnsi="Arial" w:cs="Arial"/>
      <w:color w:val="000080"/>
      <w:sz w:val="20"/>
    </w:rPr>
  </w:style>
  <w:style w:type="character" w:customStyle="1" w:styleId="EmailStyle3832">
    <w:name w:val="EmailStyle3832"/>
    <w:basedOn w:val="DefaultParagraphFont"/>
    <w:semiHidden/>
    <w:rsid w:val="000325A4"/>
    <w:rPr>
      <w:rFonts w:ascii="Arial" w:hAnsi="Arial" w:cs="Arial"/>
      <w:color w:val="993366"/>
      <w:sz w:val="20"/>
    </w:rPr>
  </w:style>
  <w:style w:type="character" w:customStyle="1" w:styleId="EmailStyle3842">
    <w:name w:val="EmailStyle3842"/>
    <w:basedOn w:val="DefaultParagraphFont"/>
    <w:semiHidden/>
    <w:rsid w:val="000325A4"/>
    <w:rPr>
      <w:rFonts w:ascii="Arial" w:hAnsi="Arial" w:cs="Arial"/>
      <w:color w:val="000080"/>
      <w:sz w:val="20"/>
    </w:rPr>
  </w:style>
  <w:style w:type="character" w:customStyle="1" w:styleId="EmailStyle3852">
    <w:name w:val="EmailStyle3852"/>
    <w:basedOn w:val="DefaultParagraphFont"/>
    <w:semiHidden/>
    <w:rsid w:val="000325A4"/>
    <w:rPr>
      <w:rFonts w:ascii="Arial" w:hAnsi="Arial" w:cs="Arial"/>
      <w:color w:val="993366"/>
      <w:sz w:val="20"/>
    </w:rPr>
  </w:style>
  <w:style w:type="character" w:customStyle="1" w:styleId="EmailStyle3862">
    <w:name w:val="EmailStyle3862"/>
    <w:basedOn w:val="DefaultParagraphFont"/>
    <w:semiHidden/>
    <w:rsid w:val="000325A4"/>
    <w:rPr>
      <w:rFonts w:ascii="Arial" w:hAnsi="Arial" w:cs="Arial"/>
      <w:color w:val="000080"/>
      <w:sz w:val="20"/>
    </w:rPr>
  </w:style>
  <w:style w:type="character" w:customStyle="1" w:styleId="EmailStyle3872">
    <w:name w:val="EmailStyle3872"/>
    <w:basedOn w:val="DefaultParagraphFont"/>
    <w:semiHidden/>
    <w:rsid w:val="000325A4"/>
    <w:rPr>
      <w:rFonts w:ascii="Arial" w:hAnsi="Arial" w:cs="Arial"/>
      <w:color w:val="993366"/>
      <w:sz w:val="20"/>
    </w:rPr>
  </w:style>
  <w:style w:type="character" w:customStyle="1" w:styleId="EmailStyle3882">
    <w:name w:val="EmailStyle3882"/>
    <w:basedOn w:val="DefaultParagraphFont"/>
    <w:semiHidden/>
    <w:rsid w:val="000325A4"/>
    <w:rPr>
      <w:rFonts w:ascii="Arial" w:hAnsi="Arial" w:cs="Arial"/>
      <w:color w:val="000080"/>
      <w:sz w:val="20"/>
    </w:rPr>
  </w:style>
  <w:style w:type="character" w:customStyle="1" w:styleId="EmailStyle3892">
    <w:name w:val="EmailStyle3892"/>
    <w:basedOn w:val="DefaultParagraphFont"/>
    <w:semiHidden/>
    <w:rsid w:val="000325A4"/>
    <w:rPr>
      <w:rFonts w:ascii="Arial" w:hAnsi="Arial" w:cs="Arial"/>
      <w:color w:val="993366"/>
      <w:sz w:val="20"/>
    </w:rPr>
  </w:style>
  <w:style w:type="character" w:customStyle="1" w:styleId="EmailStyle3902">
    <w:name w:val="EmailStyle3902"/>
    <w:basedOn w:val="DefaultParagraphFont"/>
    <w:semiHidden/>
    <w:rsid w:val="000325A4"/>
    <w:rPr>
      <w:rFonts w:ascii="Arial" w:hAnsi="Arial" w:cs="Arial"/>
      <w:color w:val="000080"/>
      <w:sz w:val="20"/>
    </w:rPr>
  </w:style>
  <w:style w:type="character" w:customStyle="1" w:styleId="EmailStyle3912">
    <w:name w:val="EmailStyle3912"/>
    <w:basedOn w:val="DefaultParagraphFont"/>
    <w:semiHidden/>
    <w:rsid w:val="000325A4"/>
    <w:rPr>
      <w:rFonts w:ascii="Arial" w:hAnsi="Arial" w:cs="Arial"/>
      <w:color w:val="993366"/>
      <w:sz w:val="20"/>
    </w:rPr>
  </w:style>
  <w:style w:type="character" w:customStyle="1" w:styleId="EmailStyle3922">
    <w:name w:val="EmailStyle3922"/>
    <w:basedOn w:val="DefaultParagraphFont"/>
    <w:semiHidden/>
    <w:rsid w:val="000325A4"/>
    <w:rPr>
      <w:rFonts w:ascii="Arial" w:hAnsi="Arial" w:cs="Arial"/>
      <w:color w:val="000080"/>
      <w:sz w:val="20"/>
    </w:rPr>
  </w:style>
  <w:style w:type="character" w:customStyle="1" w:styleId="EmailStyle3932">
    <w:name w:val="EmailStyle3932"/>
    <w:basedOn w:val="DefaultParagraphFont"/>
    <w:semiHidden/>
    <w:rsid w:val="000325A4"/>
    <w:rPr>
      <w:rFonts w:ascii="Arial" w:hAnsi="Arial" w:cs="Arial"/>
      <w:color w:val="993366"/>
      <w:sz w:val="20"/>
    </w:rPr>
  </w:style>
  <w:style w:type="character" w:customStyle="1" w:styleId="EmailStyle3942">
    <w:name w:val="EmailStyle3942"/>
    <w:basedOn w:val="DefaultParagraphFont"/>
    <w:semiHidden/>
    <w:rsid w:val="000325A4"/>
    <w:rPr>
      <w:rFonts w:ascii="Arial" w:hAnsi="Arial" w:cs="Arial"/>
      <w:color w:val="000080"/>
      <w:sz w:val="20"/>
    </w:rPr>
  </w:style>
  <w:style w:type="character" w:customStyle="1" w:styleId="EmailStyle3952">
    <w:name w:val="EmailStyle3952"/>
    <w:basedOn w:val="DefaultParagraphFont"/>
    <w:semiHidden/>
    <w:rsid w:val="000325A4"/>
    <w:rPr>
      <w:rFonts w:ascii="Arial" w:hAnsi="Arial" w:cs="Arial"/>
      <w:color w:val="993366"/>
      <w:sz w:val="20"/>
    </w:rPr>
  </w:style>
  <w:style w:type="character" w:customStyle="1" w:styleId="EmailStyle3962">
    <w:name w:val="EmailStyle3962"/>
    <w:basedOn w:val="DefaultParagraphFont"/>
    <w:semiHidden/>
    <w:rsid w:val="000325A4"/>
    <w:rPr>
      <w:rFonts w:ascii="Arial" w:hAnsi="Arial" w:cs="Arial"/>
      <w:color w:val="000080"/>
      <w:sz w:val="20"/>
    </w:rPr>
  </w:style>
  <w:style w:type="character" w:customStyle="1" w:styleId="EmailStyle3972">
    <w:name w:val="EmailStyle3972"/>
    <w:basedOn w:val="DefaultParagraphFont"/>
    <w:semiHidden/>
    <w:rsid w:val="000325A4"/>
    <w:rPr>
      <w:rFonts w:ascii="Arial" w:hAnsi="Arial" w:cs="Arial"/>
      <w:color w:val="993366"/>
      <w:sz w:val="20"/>
    </w:rPr>
  </w:style>
  <w:style w:type="character" w:customStyle="1" w:styleId="EmailStyle3982">
    <w:name w:val="EmailStyle3982"/>
    <w:basedOn w:val="DefaultParagraphFont"/>
    <w:semiHidden/>
    <w:rsid w:val="000325A4"/>
    <w:rPr>
      <w:rFonts w:ascii="Arial" w:hAnsi="Arial" w:cs="Arial"/>
      <w:color w:val="000080"/>
      <w:sz w:val="20"/>
    </w:rPr>
  </w:style>
  <w:style w:type="character" w:customStyle="1" w:styleId="EmailStyle3992">
    <w:name w:val="EmailStyle3992"/>
    <w:basedOn w:val="DefaultParagraphFont"/>
    <w:semiHidden/>
    <w:rsid w:val="000325A4"/>
    <w:rPr>
      <w:rFonts w:ascii="Arial" w:hAnsi="Arial" w:cs="Arial"/>
      <w:color w:val="993366"/>
      <w:sz w:val="20"/>
    </w:rPr>
  </w:style>
  <w:style w:type="character" w:customStyle="1" w:styleId="EmailStyle4002">
    <w:name w:val="EmailStyle4002"/>
    <w:basedOn w:val="DefaultParagraphFont"/>
    <w:semiHidden/>
    <w:rsid w:val="000325A4"/>
    <w:rPr>
      <w:rFonts w:ascii="Arial" w:hAnsi="Arial" w:cs="Arial"/>
      <w:color w:val="000080"/>
      <w:sz w:val="20"/>
    </w:rPr>
  </w:style>
  <w:style w:type="character" w:customStyle="1" w:styleId="EmailStyle4012">
    <w:name w:val="EmailStyle4012"/>
    <w:basedOn w:val="DefaultParagraphFont"/>
    <w:semiHidden/>
    <w:rsid w:val="000325A4"/>
    <w:rPr>
      <w:rFonts w:ascii="Arial" w:hAnsi="Arial" w:cs="Arial"/>
      <w:color w:val="993366"/>
      <w:sz w:val="20"/>
    </w:rPr>
  </w:style>
  <w:style w:type="character" w:customStyle="1" w:styleId="EmailStyle4022">
    <w:name w:val="EmailStyle4022"/>
    <w:basedOn w:val="DefaultParagraphFont"/>
    <w:semiHidden/>
    <w:rsid w:val="000325A4"/>
    <w:rPr>
      <w:rFonts w:ascii="Arial" w:hAnsi="Arial" w:cs="Arial"/>
      <w:color w:val="000080"/>
      <w:sz w:val="20"/>
    </w:rPr>
  </w:style>
  <w:style w:type="character" w:customStyle="1" w:styleId="EmailStyle4032">
    <w:name w:val="EmailStyle4032"/>
    <w:basedOn w:val="DefaultParagraphFont"/>
    <w:semiHidden/>
    <w:rsid w:val="000325A4"/>
    <w:rPr>
      <w:rFonts w:ascii="Arial" w:hAnsi="Arial" w:cs="Arial"/>
      <w:color w:val="993366"/>
      <w:sz w:val="20"/>
    </w:rPr>
  </w:style>
  <w:style w:type="character" w:customStyle="1" w:styleId="EmailStyle4042">
    <w:name w:val="EmailStyle4042"/>
    <w:basedOn w:val="DefaultParagraphFont"/>
    <w:semiHidden/>
    <w:rsid w:val="000325A4"/>
    <w:rPr>
      <w:rFonts w:ascii="Arial" w:hAnsi="Arial" w:cs="Arial"/>
      <w:color w:val="000080"/>
      <w:sz w:val="20"/>
    </w:rPr>
  </w:style>
  <w:style w:type="character" w:customStyle="1" w:styleId="EmailStyle4052">
    <w:name w:val="EmailStyle4052"/>
    <w:basedOn w:val="DefaultParagraphFont"/>
    <w:semiHidden/>
    <w:rsid w:val="000325A4"/>
    <w:rPr>
      <w:rFonts w:ascii="Arial" w:hAnsi="Arial" w:cs="Arial"/>
      <w:color w:val="993366"/>
      <w:sz w:val="20"/>
    </w:rPr>
  </w:style>
  <w:style w:type="character" w:customStyle="1" w:styleId="EmailStyle4062">
    <w:name w:val="EmailStyle4062"/>
    <w:basedOn w:val="DefaultParagraphFont"/>
    <w:semiHidden/>
    <w:rsid w:val="000325A4"/>
    <w:rPr>
      <w:rFonts w:ascii="Arial" w:hAnsi="Arial" w:cs="Arial"/>
      <w:color w:val="000080"/>
      <w:sz w:val="20"/>
    </w:rPr>
  </w:style>
  <w:style w:type="character" w:customStyle="1" w:styleId="EmailStyle4072">
    <w:name w:val="EmailStyle4072"/>
    <w:basedOn w:val="DefaultParagraphFont"/>
    <w:semiHidden/>
    <w:rsid w:val="000325A4"/>
    <w:rPr>
      <w:rFonts w:ascii="Arial" w:hAnsi="Arial" w:cs="Arial"/>
      <w:color w:val="993366"/>
      <w:sz w:val="20"/>
    </w:rPr>
  </w:style>
  <w:style w:type="character" w:customStyle="1" w:styleId="EmailStyle4082">
    <w:name w:val="EmailStyle4082"/>
    <w:basedOn w:val="DefaultParagraphFont"/>
    <w:semiHidden/>
    <w:rsid w:val="000325A4"/>
    <w:rPr>
      <w:rFonts w:ascii="Arial" w:hAnsi="Arial" w:cs="Arial"/>
      <w:color w:val="000080"/>
      <w:sz w:val="20"/>
    </w:rPr>
  </w:style>
  <w:style w:type="character" w:customStyle="1" w:styleId="EmailStyle4092">
    <w:name w:val="EmailStyle4092"/>
    <w:basedOn w:val="DefaultParagraphFont"/>
    <w:semiHidden/>
    <w:rsid w:val="000325A4"/>
    <w:rPr>
      <w:rFonts w:ascii="Arial" w:hAnsi="Arial" w:cs="Arial"/>
      <w:color w:val="993366"/>
      <w:sz w:val="20"/>
    </w:rPr>
  </w:style>
  <w:style w:type="character" w:customStyle="1" w:styleId="EmailStyle4102">
    <w:name w:val="EmailStyle4102"/>
    <w:basedOn w:val="DefaultParagraphFont"/>
    <w:semiHidden/>
    <w:rsid w:val="000325A4"/>
    <w:rPr>
      <w:rFonts w:ascii="Arial" w:hAnsi="Arial" w:cs="Arial"/>
      <w:color w:val="000080"/>
      <w:sz w:val="20"/>
    </w:rPr>
  </w:style>
  <w:style w:type="character" w:customStyle="1" w:styleId="EmailStyle4112">
    <w:name w:val="EmailStyle4112"/>
    <w:basedOn w:val="DefaultParagraphFont"/>
    <w:semiHidden/>
    <w:rsid w:val="000325A4"/>
    <w:rPr>
      <w:rFonts w:ascii="Arial" w:hAnsi="Arial" w:cs="Arial"/>
      <w:color w:val="993366"/>
      <w:sz w:val="20"/>
    </w:rPr>
  </w:style>
  <w:style w:type="character" w:customStyle="1" w:styleId="EmailStyle4122">
    <w:name w:val="EmailStyle4122"/>
    <w:basedOn w:val="DefaultParagraphFont"/>
    <w:semiHidden/>
    <w:rsid w:val="000325A4"/>
    <w:rPr>
      <w:rFonts w:ascii="Arial" w:hAnsi="Arial" w:cs="Arial"/>
      <w:color w:val="000080"/>
      <w:sz w:val="20"/>
    </w:rPr>
  </w:style>
  <w:style w:type="character" w:customStyle="1" w:styleId="EmailStyle4132">
    <w:name w:val="EmailStyle4132"/>
    <w:basedOn w:val="DefaultParagraphFont"/>
    <w:semiHidden/>
    <w:rsid w:val="000325A4"/>
    <w:rPr>
      <w:rFonts w:ascii="Arial" w:hAnsi="Arial" w:cs="Arial"/>
      <w:color w:val="993366"/>
      <w:sz w:val="20"/>
    </w:rPr>
  </w:style>
  <w:style w:type="character" w:customStyle="1" w:styleId="EmailStyle4142">
    <w:name w:val="EmailStyle4142"/>
    <w:basedOn w:val="DefaultParagraphFont"/>
    <w:semiHidden/>
    <w:rsid w:val="000325A4"/>
    <w:rPr>
      <w:rFonts w:ascii="Arial" w:hAnsi="Arial" w:cs="Arial"/>
      <w:color w:val="000080"/>
      <w:sz w:val="20"/>
    </w:rPr>
  </w:style>
  <w:style w:type="character" w:customStyle="1" w:styleId="EmailStyle4152">
    <w:name w:val="EmailStyle4152"/>
    <w:basedOn w:val="DefaultParagraphFont"/>
    <w:semiHidden/>
    <w:rsid w:val="000325A4"/>
    <w:rPr>
      <w:rFonts w:ascii="Arial" w:hAnsi="Arial" w:cs="Arial"/>
      <w:color w:val="993366"/>
      <w:sz w:val="20"/>
    </w:rPr>
  </w:style>
  <w:style w:type="character" w:customStyle="1" w:styleId="EmailStyle4162">
    <w:name w:val="EmailStyle4162"/>
    <w:basedOn w:val="DefaultParagraphFont"/>
    <w:semiHidden/>
    <w:rsid w:val="000325A4"/>
    <w:rPr>
      <w:rFonts w:ascii="Arial" w:hAnsi="Arial" w:cs="Arial"/>
      <w:color w:val="000080"/>
      <w:sz w:val="20"/>
    </w:rPr>
  </w:style>
  <w:style w:type="character" w:customStyle="1" w:styleId="EmailStyle4172">
    <w:name w:val="EmailStyle4172"/>
    <w:basedOn w:val="DefaultParagraphFont"/>
    <w:semiHidden/>
    <w:rsid w:val="000325A4"/>
    <w:rPr>
      <w:rFonts w:ascii="Arial" w:hAnsi="Arial" w:cs="Arial"/>
      <w:color w:val="993366"/>
      <w:sz w:val="20"/>
    </w:rPr>
  </w:style>
  <w:style w:type="character" w:customStyle="1" w:styleId="EmailStyle4182">
    <w:name w:val="EmailStyle4182"/>
    <w:basedOn w:val="DefaultParagraphFont"/>
    <w:semiHidden/>
    <w:rsid w:val="000325A4"/>
    <w:rPr>
      <w:rFonts w:ascii="Arial" w:hAnsi="Arial" w:cs="Arial"/>
      <w:color w:val="000080"/>
      <w:sz w:val="20"/>
    </w:rPr>
  </w:style>
  <w:style w:type="character" w:customStyle="1" w:styleId="EmailStyle4192">
    <w:name w:val="EmailStyle4192"/>
    <w:basedOn w:val="DefaultParagraphFont"/>
    <w:semiHidden/>
    <w:rsid w:val="000325A4"/>
    <w:rPr>
      <w:rFonts w:ascii="Arial" w:hAnsi="Arial" w:cs="Arial"/>
      <w:color w:val="993366"/>
      <w:sz w:val="20"/>
    </w:rPr>
  </w:style>
  <w:style w:type="character" w:customStyle="1" w:styleId="EmailStyle4202">
    <w:name w:val="EmailStyle4202"/>
    <w:basedOn w:val="DefaultParagraphFont"/>
    <w:semiHidden/>
    <w:rsid w:val="000325A4"/>
    <w:rPr>
      <w:rFonts w:ascii="Arial" w:hAnsi="Arial" w:cs="Arial"/>
      <w:color w:val="000080"/>
      <w:sz w:val="20"/>
    </w:rPr>
  </w:style>
  <w:style w:type="character" w:customStyle="1" w:styleId="EmailStyle4212">
    <w:name w:val="EmailStyle4212"/>
    <w:basedOn w:val="DefaultParagraphFont"/>
    <w:semiHidden/>
    <w:rsid w:val="000325A4"/>
    <w:rPr>
      <w:rFonts w:ascii="Arial" w:hAnsi="Arial" w:cs="Arial"/>
      <w:color w:val="993366"/>
      <w:sz w:val="20"/>
    </w:rPr>
  </w:style>
  <w:style w:type="character" w:customStyle="1" w:styleId="EmailStyle4222">
    <w:name w:val="EmailStyle4222"/>
    <w:basedOn w:val="DefaultParagraphFont"/>
    <w:semiHidden/>
    <w:rsid w:val="000325A4"/>
    <w:rPr>
      <w:rFonts w:ascii="Arial" w:hAnsi="Arial" w:cs="Arial"/>
      <w:color w:val="000080"/>
      <w:sz w:val="20"/>
    </w:rPr>
  </w:style>
  <w:style w:type="character" w:customStyle="1" w:styleId="EmailStyle4232">
    <w:name w:val="EmailStyle4232"/>
    <w:basedOn w:val="DefaultParagraphFont"/>
    <w:semiHidden/>
    <w:rsid w:val="000325A4"/>
    <w:rPr>
      <w:rFonts w:ascii="Arial" w:hAnsi="Arial" w:cs="Arial"/>
      <w:color w:val="993366"/>
      <w:sz w:val="20"/>
    </w:rPr>
  </w:style>
  <w:style w:type="character" w:customStyle="1" w:styleId="EmailStyle4242">
    <w:name w:val="EmailStyle4242"/>
    <w:basedOn w:val="DefaultParagraphFont"/>
    <w:semiHidden/>
    <w:rsid w:val="000325A4"/>
    <w:rPr>
      <w:rFonts w:ascii="Arial" w:hAnsi="Arial" w:cs="Arial"/>
      <w:color w:val="000080"/>
      <w:sz w:val="20"/>
    </w:rPr>
  </w:style>
  <w:style w:type="character" w:customStyle="1" w:styleId="EmailStyle4252">
    <w:name w:val="EmailStyle4252"/>
    <w:basedOn w:val="DefaultParagraphFont"/>
    <w:semiHidden/>
    <w:rsid w:val="000325A4"/>
    <w:rPr>
      <w:rFonts w:ascii="Arial" w:hAnsi="Arial" w:cs="Arial"/>
      <w:color w:val="993366"/>
      <w:sz w:val="20"/>
    </w:rPr>
  </w:style>
  <w:style w:type="character" w:customStyle="1" w:styleId="EmailStyle4262">
    <w:name w:val="EmailStyle4262"/>
    <w:basedOn w:val="DefaultParagraphFont"/>
    <w:semiHidden/>
    <w:rsid w:val="000325A4"/>
    <w:rPr>
      <w:rFonts w:ascii="Arial" w:hAnsi="Arial" w:cs="Arial"/>
      <w:color w:val="000080"/>
      <w:sz w:val="20"/>
    </w:rPr>
  </w:style>
  <w:style w:type="character" w:customStyle="1" w:styleId="EmailStyle4272">
    <w:name w:val="EmailStyle4272"/>
    <w:basedOn w:val="DefaultParagraphFont"/>
    <w:semiHidden/>
    <w:rsid w:val="000325A4"/>
    <w:rPr>
      <w:rFonts w:ascii="Arial" w:hAnsi="Arial" w:cs="Arial"/>
      <w:color w:val="993366"/>
      <w:sz w:val="20"/>
    </w:rPr>
  </w:style>
  <w:style w:type="character" w:customStyle="1" w:styleId="EmailStyle4282">
    <w:name w:val="EmailStyle4282"/>
    <w:basedOn w:val="DefaultParagraphFont"/>
    <w:semiHidden/>
    <w:rsid w:val="000325A4"/>
    <w:rPr>
      <w:rFonts w:ascii="Arial" w:hAnsi="Arial" w:cs="Arial"/>
      <w:color w:val="000080"/>
      <w:sz w:val="20"/>
    </w:rPr>
  </w:style>
  <w:style w:type="character" w:customStyle="1" w:styleId="EmailStyle4292">
    <w:name w:val="EmailStyle4292"/>
    <w:basedOn w:val="DefaultParagraphFont"/>
    <w:semiHidden/>
    <w:rsid w:val="000325A4"/>
    <w:rPr>
      <w:rFonts w:ascii="Arial" w:hAnsi="Arial" w:cs="Arial"/>
      <w:color w:val="993366"/>
      <w:sz w:val="20"/>
    </w:rPr>
  </w:style>
  <w:style w:type="character" w:customStyle="1" w:styleId="EmailStyle4302">
    <w:name w:val="EmailStyle4302"/>
    <w:basedOn w:val="DefaultParagraphFont"/>
    <w:semiHidden/>
    <w:rsid w:val="000325A4"/>
    <w:rPr>
      <w:rFonts w:ascii="Arial" w:hAnsi="Arial" w:cs="Arial"/>
      <w:color w:val="000080"/>
      <w:sz w:val="20"/>
    </w:rPr>
  </w:style>
  <w:style w:type="character" w:customStyle="1" w:styleId="EmailStyle4312">
    <w:name w:val="EmailStyle4312"/>
    <w:basedOn w:val="DefaultParagraphFont"/>
    <w:semiHidden/>
    <w:rsid w:val="000325A4"/>
    <w:rPr>
      <w:rFonts w:ascii="Arial" w:hAnsi="Arial" w:cs="Arial"/>
      <w:color w:val="000080"/>
      <w:sz w:val="20"/>
    </w:rPr>
  </w:style>
  <w:style w:type="character" w:customStyle="1" w:styleId="EmailStyle4322">
    <w:name w:val="EmailStyle4322"/>
    <w:basedOn w:val="DefaultParagraphFont"/>
    <w:semiHidden/>
    <w:rsid w:val="000325A4"/>
    <w:rPr>
      <w:rFonts w:ascii="Arial" w:hAnsi="Arial" w:cs="Arial"/>
      <w:color w:val="993366"/>
      <w:sz w:val="20"/>
    </w:rPr>
  </w:style>
  <w:style w:type="character" w:customStyle="1" w:styleId="EmailStyle4332">
    <w:name w:val="EmailStyle4332"/>
    <w:basedOn w:val="DefaultParagraphFont"/>
    <w:semiHidden/>
    <w:rsid w:val="000325A4"/>
    <w:rPr>
      <w:rFonts w:ascii="Arial" w:hAnsi="Arial" w:cs="Arial"/>
      <w:color w:val="000080"/>
      <w:sz w:val="20"/>
    </w:rPr>
  </w:style>
  <w:style w:type="character" w:customStyle="1" w:styleId="EmailStyle4342">
    <w:name w:val="EmailStyle4342"/>
    <w:basedOn w:val="DefaultParagraphFont"/>
    <w:semiHidden/>
    <w:rsid w:val="000325A4"/>
    <w:rPr>
      <w:rFonts w:ascii="Arial" w:hAnsi="Arial" w:cs="Arial"/>
      <w:color w:val="993366"/>
      <w:sz w:val="20"/>
    </w:rPr>
  </w:style>
  <w:style w:type="character" w:customStyle="1" w:styleId="EmailStyle4352">
    <w:name w:val="EmailStyle4352"/>
    <w:basedOn w:val="DefaultParagraphFont"/>
    <w:semiHidden/>
    <w:rsid w:val="000325A4"/>
    <w:rPr>
      <w:rFonts w:ascii="Arial" w:hAnsi="Arial" w:cs="Arial"/>
      <w:color w:val="000080"/>
      <w:sz w:val="20"/>
    </w:rPr>
  </w:style>
  <w:style w:type="character" w:customStyle="1" w:styleId="EmailStyle4362">
    <w:name w:val="EmailStyle4362"/>
    <w:basedOn w:val="DefaultParagraphFont"/>
    <w:semiHidden/>
    <w:rsid w:val="000325A4"/>
    <w:rPr>
      <w:rFonts w:ascii="Arial" w:hAnsi="Arial" w:cs="Arial"/>
      <w:color w:val="000080"/>
      <w:sz w:val="20"/>
    </w:rPr>
  </w:style>
  <w:style w:type="character" w:customStyle="1" w:styleId="EmailStyle4372">
    <w:name w:val="EmailStyle4372"/>
    <w:basedOn w:val="DefaultParagraphFont"/>
    <w:semiHidden/>
    <w:rsid w:val="000325A4"/>
    <w:rPr>
      <w:rFonts w:ascii="Arial" w:hAnsi="Arial" w:cs="Arial"/>
      <w:color w:val="993366"/>
      <w:sz w:val="20"/>
    </w:rPr>
  </w:style>
  <w:style w:type="character" w:customStyle="1" w:styleId="EmailStyle4382">
    <w:name w:val="EmailStyle4382"/>
    <w:basedOn w:val="DefaultParagraphFont"/>
    <w:semiHidden/>
    <w:rsid w:val="000325A4"/>
    <w:rPr>
      <w:rFonts w:ascii="Arial" w:hAnsi="Arial" w:cs="Arial"/>
      <w:color w:val="000080"/>
      <w:sz w:val="20"/>
    </w:rPr>
  </w:style>
  <w:style w:type="character" w:customStyle="1" w:styleId="EmailStyle4392">
    <w:name w:val="EmailStyle4392"/>
    <w:basedOn w:val="DefaultParagraphFont"/>
    <w:semiHidden/>
    <w:rsid w:val="000325A4"/>
    <w:rPr>
      <w:rFonts w:ascii="Arial" w:hAnsi="Arial" w:cs="Arial"/>
      <w:color w:val="993366"/>
      <w:sz w:val="20"/>
    </w:rPr>
  </w:style>
  <w:style w:type="character" w:customStyle="1" w:styleId="EmailStyle4402">
    <w:name w:val="EmailStyle4402"/>
    <w:basedOn w:val="DefaultParagraphFont"/>
    <w:semiHidden/>
    <w:rsid w:val="000325A4"/>
    <w:rPr>
      <w:rFonts w:ascii="Arial" w:hAnsi="Arial" w:cs="Arial"/>
      <w:color w:val="000080"/>
      <w:sz w:val="20"/>
    </w:rPr>
  </w:style>
  <w:style w:type="character" w:customStyle="1" w:styleId="EmailStyle4412">
    <w:name w:val="EmailStyle4412"/>
    <w:basedOn w:val="DefaultParagraphFont"/>
    <w:semiHidden/>
    <w:rsid w:val="000325A4"/>
    <w:rPr>
      <w:rFonts w:ascii="Arial" w:hAnsi="Arial" w:cs="Arial"/>
      <w:color w:val="000080"/>
      <w:sz w:val="20"/>
    </w:rPr>
  </w:style>
  <w:style w:type="character" w:customStyle="1" w:styleId="EmailStyle4422">
    <w:name w:val="EmailStyle4422"/>
    <w:basedOn w:val="DefaultParagraphFont"/>
    <w:semiHidden/>
    <w:rsid w:val="000325A4"/>
    <w:rPr>
      <w:rFonts w:ascii="Arial" w:hAnsi="Arial" w:cs="Arial"/>
      <w:color w:val="993366"/>
      <w:sz w:val="20"/>
    </w:rPr>
  </w:style>
  <w:style w:type="character" w:customStyle="1" w:styleId="EmailStyle4432">
    <w:name w:val="EmailStyle4432"/>
    <w:basedOn w:val="DefaultParagraphFont"/>
    <w:semiHidden/>
    <w:rsid w:val="000325A4"/>
    <w:rPr>
      <w:rFonts w:ascii="Arial" w:hAnsi="Arial" w:cs="Arial"/>
      <w:color w:val="000080"/>
      <w:sz w:val="20"/>
    </w:rPr>
  </w:style>
  <w:style w:type="character" w:customStyle="1" w:styleId="EmailStyle4442">
    <w:name w:val="EmailStyle4442"/>
    <w:basedOn w:val="DefaultParagraphFont"/>
    <w:semiHidden/>
    <w:rsid w:val="000325A4"/>
    <w:rPr>
      <w:rFonts w:ascii="Arial" w:hAnsi="Arial" w:cs="Arial"/>
      <w:color w:val="993366"/>
      <w:sz w:val="20"/>
    </w:rPr>
  </w:style>
  <w:style w:type="character" w:customStyle="1" w:styleId="EmailStyle4452">
    <w:name w:val="EmailStyle4452"/>
    <w:basedOn w:val="DefaultParagraphFont"/>
    <w:semiHidden/>
    <w:rsid w:val="000325A4"/>
    <w:rPr>
      <w:rFonts w:ascii="Arial" w:hAnsi="Arial" w:cs="Arial"/>
      <w:color w:val="000080"/>
      <w:sz w:val="20"/>
    </w:rPr>
  </w:style>
  <w:style w:type="character" w:customStyle="1" w:styleId="EmailStyle4462">
    <w:name w:val="EmailStyle4462"/>
    <w:basedOn w:val="DefaultParagraphFont"/>
    <w:semiHidden/>
    <w:rsid w:val="000325A4"/>
    <w:rPr>
      <w:rFonts w:ascii="Arial" w:hAnsi="Arial" w:cs="Arial"/>
      <w:color w:val="000080"/>
      <w:sz w:val="20"/>
    </w:rPr>
  </w:style>
  <w:style w:type="paragraph" w:customStyle="1" w:styleId="PrefaceStyle2">
    <w:name w:val="Preface Style2"/>
    <w:basedOn w:val="Normal"/>
    <w:qFormat/>
    <w:rsid w:val="00032814"/>
    <w:pPr>
      <w:keepNext/>
      <w:keepLines/>
      <w:pBdr>
        <w:bottom w:val="single" w:sz="2" w:space="1" w:color="62777F" w:themeColor="text1"/>
      </w:pBdr>
      <w:spacing w:after="120"/>
    </w:pPr>
    <w:rPr>
      <w:rFonts w:ascii="Calibri" w:hAnsi="Calibri" w:cs="Arial"/>
      <w:b/>
      <w:sz w:val="28"/>
      <w:szCs w:val="32"/>
    </w:rPr>
  </w:style>
  <w:style w:type="paragraph" w:customStyle="1" w:styleId="Text">
    <w:name w:val="Text"/>
    <w:basedOn w:val="Normal"/>
    <w:rsid w:val="003D257B"/>
    <w:pPr>
      <w:widowControl w:val="0"/>
      <w:spacing w:after="0" w:line="252" w:lineRule="auto"/>
      <w:ind w:firstLine="240"/>
      <w:jc w:val="both"/>
    </w:pPr>
    <w:rPr>
      <w:rFonts w:ascii="Times New Roman" w:eastAsia="Times New Roman" w:hAnsi="Times New Roman"/>
    </w:rPr>
  </w:style>
  <w:style w:type="character" w:customStyle="1" w:styleId="EmailStyle80">
    <w:name w:val="EmailStyle80"/>
    <w:basedOn w:val="DefaultParagraphFont"/>
    <w:semiHidden/>
    <w:rsid w:val="006D4FD3"/>
    <w:rPr>
      <w:rFonts w:ascii="Arial" w:hAnsi="Arial" w:cs="Arial"/>
      <w:color w:val="993366"/>
      <w:sz w:val="20"/>
    </w:rPr>
  </w:style>
  <w:style w:type="character" w:customStyle="1" w:styleId="EmailStyle111">
    <w:name w:val="EmailStyle111"/>
    <w:basedOn w:val="DefaultParagraphFont"/>
    <w:semiHidden/>
    <w:rsid w:val="006D4FD3"/>
    <w:rPr>
      <w:rFonts w:ascii="Arial" w:hAnsi="Arial" w:cs="Arial"/>
      <w:color w:val="000080"/>
      <w:sz w:val="20"/>
    </w:rPr>
  </w:style>
  <w:style w:type="character" w:customStyle="1" w:styleId="EmailStyle150">
    <w:name w:val="EmailStyle150"/>
    <w:basedOn w:val="DefaultParagraphFont"/>
    <w:semiHidden/>
    <w:rsid w:val="006D4FD3"/>
    <w:rPr>
      <w:rFonts w:ascii="Arial" w:hAnsi="Arial" w:cs="Arial"/>
      <w:color w:val="993366"/>
      <w:sz w:val="20"/>
    </w:rPr>
  </w:style>
  <w:style w:type="character" w:customStyle="1" w:styleId="EmailStyle151">
    <w:name w:val="EmailStyle151"/>
    <w:basedOn w:val="DefaultParagraphFont"/>
    <w:semiHidden/>
    <w:rsid w:val="006D4FD3"/>
    <w:rPr>
      <w:rFonts w:ascii="Arial" w:hAnsi="Arial" w:cs="Arial"/>
      <w:color w:val="000080"/>
      <w:sz w:val="20"/>
    </w:rPr>
  </w:style>
  <w:style w:type="character" w:customStyle="1" w:styleId="EmailStyle156">
    <w:name w:val="EmailStyle156"/>
    <w:basedOn w:val="DefaultParagraphFont"/>
    <w:semiHidden/>
    <w:rsid w:val="006D4FD3"/>
    <w:rPr>
      <w:rFonts w:ascii="Arial" w:hAnsi="Arial" w:cs="Arial"/>
      <w:color w:val="993366"/>
      <w:sz w:val="20"/>
    </w:rPr>
  </w:style>
  <w:style w:type="character" w:customStyle="1" w:styleId="EmailStyle157">
    <w:name w:val="EmailStyle157"/>
    <w:basedOn w:val="DefaultParagraphFont"/>
    <w:semiHidden/>
    <w:rsid w:val="006D4FD3"/>
    <w:rPr>
      <w:rFonts w:ascii="Arial" w:hAnsi="Arial" w:cs="Arial"/>
      <w:color w:val="000080"/>
      <w:sz w:val="20"/>
    </w:rPr>
  </w:style>
  <w:style w:type="character" w:customStyle="1" w:styleId="EmailStyle248">
    <w:name w:val="EmailStyle248"/>
    <w:basedOn w:val="DefaultParagraphFont"/>
    <w:semiHidden/>
    <w:rsid w:val="006D4FD3"/>
    <w:rPr>
      <w:rFonts w:ascii="Arial" w:hAnsi="Arial" w:cs="Arial"/>
      <w:color w:val="993366"/>
      <w:sz w:val="20"/>
    </w:rPr>
  </w:style>
  <w:style w:type="character" w:customStyle="1" w:styleId="EmailStyle249">
    <w:name w:val="EmailStyle249"/>
    <w:basedOn w:val="DefaultParagraphFont"/>
    <w:semiHidden/>
    <w:rsid w:val="006D4FD3"/>
    <w:rPr>
      <w:rFonts w:ascii="Arial" w:hAnsi="Arial" w:cs="Arial"/>
      <w:color w:val="000080"/>
      <w:sz w:val="20"/>
    </w:rPr>
  </w:style>
  <w:style w:type="character" w:customStyle="1" w:styleId="EmailStyle250">
    <w:name w:val="EmailStyle250"/>
    <w:basedOn w:val="DefaultParagraphFont"/>
    <w:semiHidden/>
    <w:rsid w:val="006D4FD3"/>
    <w:rPr>
      <w:rFonts w:ascii="Arial" w:hAnsi="Arial" w:cs="Arial"/>
      <w:color w:val="993366"/>
      <w:sz w:val="20"/>
    </w:rPr>
  </w:style>
  <w:style w:type="character" w:customStyle="1" w:styleId="EmailStyle251">
    <w:name w:val="EmailStyle251"/>
    <w:basedOn w:val="DefaultParagraphFont"/>
    <w:semiHidden/>
    <w:rsid w:val="006D4FD3"/>
    <w:rPr>
      <w:rFonts w:ascii="Arial" w:hAnsi="Arial" w:cs="Arial"/>
      <w:color w:val="000080"/>
      <w:sz w:val="20"/>
    </w:rPr>
  </w:style>
  <w:style w:type="character" w:customStyle="1" w:styleId="EmailStyle252">
    <w:name w:val="EmailStyle252"/>
    <w:basedOn w:val="DefaultParagraphFont"/>
    <w:semiHidden/>
    <w:rsid w:val="006D4FD3"/>
    <w:rPr>
      <w:rFonts w:ascii="Arial" w:hAnsi="Arial" w:cs="Arial"/>
      <w:color w:val="993366"/>
      <w:sz w:val="20"/>
    </w:rPr>
  </w:style>
  <w:style w:type="character" w:customStyle="1" w:styleId="EmailStyle253">
    <w:name w:val="EmailStyle253"/>
    <w:basedOn w:val="DefaultParagraphFont"/>
    <w:semiHidden/>
    <w:rsid w:val="006D4FD3"/>
    <w:rPr>
      <w:rFonts w:ascii="Arial" w:hAnsi="Arial" w:cs="Arial"/>
      <w:color w:val="000080"/>
      <w:sz w:val="20"/>
    </w:rPr>
  </w:style>
  <w:style w:type="character" w:customStyle="1" w:styleId="EmailStyle258">
    <w:name w:val="EmailStyle258"/>
    <w:basedOn w:val="DefaultParagraphFont"/>
    <w:semiHidden/>
    <w:rsid w:val="006D4FD3"/>
    <w:rPr>
      <w:rFonts w:ascii="Arial" w:hAnsi="Arial" w:cs="Arial"/>
      <w:color w:val="993366"/>
      <w:sz w:val="20"/>
    </w:rPr>
  </w:style>
  <w:style w:type="character" w:customStyle="1" w:styleId="EmailStyle259">
    <w:name w:val="EmailStyle259"/>
    <w:basedOn w:val="DefaultParagraphFont"/>
    <w:semiHidden/>
    <w:rsid w:val="006D4FD3"/>
    <w:rPr>
      <w:rFonts w:ascii="Arial" w:hAnsi="Arial" w:cs="Arial"/>
      <w:color w:val="000080"/>
      <w:sz w:val="20"/>
    </w:rPr>
  </w:style>
  <w:style w:type="character" w:customStyle="1" w:styleId="EmailStyle260">
    <w:name w:val="EmailStyle260"/>
    <w:basedOn w:val="DefaultParagraphFont"/>
    <w:semiHidden/>
    <w:rsid w:val="006D4FD3"/>
    <w:rPr>
      <w:rFonts w:ascii="Arial" w:hAnsi="Arial" w:cs="Arial"/>
      <w:color w:val="993366"/>
      <w:sz w:val="20"/>
    </w:rPr>
  </w:style>
  <w:style w:type="character" w:customStyle="1" w:styleId="EmailStyle261">
    <w:name w:val="EmailStyle261"/>
    <w:basedOn w:val="DefaultParagraphFont"/>
    <w:semiHidden/>
    <w:rsid w:val="006D4FD3"/>
    <w:rPr>
      <w:rFonts w:ascii="Arial" w:hAnsi="Arial" w:cs="Arial"/>
      <w:color w:val="000080"/>
      <w:sz w:val="20"/>
    </w:rPr>
  </w:style>
  <w:style w:type="character" w:customStyle="1" w:styleId="EmailStyle262">
    <w:name w:val="EmailStyle262"/>
    <w:basedOn w:val="DefaultParagraphFont"/>
    <w:semiHidden/>
    <w:rsid w:val="006D4FD3"/>
    <w:rPr>
      <w:rFonts w:ascii="Arial" w:hAnsi="Arial" w:cs="Arial"/>
      <w:color w:val="993366"/>
      <w:sz w:val="20"/>
    </w:rPr>
  </w:style>
  <w:style w:type="character" w:customStyle="1" w:styleId="EmailStyle263">
    <w:name w:val="EmailStyle263"/>
    <w:basedOn w:val="DefaultParagraphFont"/>
    <w:semiHidden/>
    <w:rsid w:val="006D4FD3"/>
    <w:rPr>
      <w:rFonts w:ascii="Arial" w:hAnsi="Arial" w:cs="Arial"/>
      <w:color w:val="000080"/>
      <w:sz w:val="20"/>
    </w:rPr>
  </w:style>
  <w:style w:type="character" w:customStyle="1" w:styleId="EmailStyle265">
    <w:name w:val="EmailStyle265"/>
    <w:basedOn w:val="DefaultParagraphFont"/>
    <w:semiHidden/>
    <w:rsid w:val="006D4FD3"/>
    <w:rPr>
      <w:rFonts w:ascii="Arial" w:hAnsi="Arial" w:cs="Arial"/>
      <w:color w:val="993366"/>
      <w:sz w:val="20"/>
    </w:rPr>
  </w:style>
  <w:style w:type="character" w:customStyle="1" w:styleId="EmailStyle266">
    <w:name w:val="EmailStyle266"/>
    <w:basedOn w:val="DefaultParagraphFont"/>
    <w:semiHidden/>
    <w:rsid w:val="006D4FD3"/>
    <w:rPr>
      <w:rFonts w:ascii="Arial" w:hAnsi="Arial" w:cs="Arial"/>
      <w:color w:val="000080"/>
      <w:sz w:val="20"/>
    </w:rPr>
  </w:style>
  <w:style w:type="character" w:customStyle="1" w:styleId="EmailStyle275">
    <w:name w:val="EmailStyle275"/>
    <w:basedOn w:val="DefaultParagraphFont"/>
    <w:semiHidden/>
    <w:rsid w:val="006D4FD3"/>
    <w:rPr>
      <w:rFonts w:ascii="Arial" w:hAnsi="Arial" w:cs="Arial"/>
      <w:color w:val="993366"/>
      <w:sz w:val="20"/>
    </w:rPr>
  </w:style>
  <w:style w:type="character" w:customStyle="1" w:styleId="EmailStyle276">
    <w:name w:val="EmailStyle276"/>
    <w:basedOn w:val="DefaultParagraphFont"/>
    <w:semiHidden/>
    <w:rsid w:val="006D4FD3"/>
    <w:rPr>
      <w:rFonts w:ascii="Arial" w:hAnsi="Arial" w:cs="Arial"/>
      <w:color w:val="000080"/>
      <w:sz w:val="20"/>
    </w:rPr>
  </w:style>
  <w:style w:type="character" w:customStyle="1" w:styleId="EmailStyle277">
    <w:name w:val="EmailStyle277"/>
    <w:basedOn w:val="DefaultParagraphFont"/>
    <w:semiHidden/>
    <w:rsid w:val="006D4FD3"/>
    <w:rPr>
      <w:rFonts w:ascii="Arial" w:hAnsi="Arial" w:cs="Arial"/>
      <w:color w:val="993366"/>
      <w:sz w:val="20"/>
    </w:rPr>
  </w:style>
  <w:style w:type="character" w:customStyle="1" w:styleId="EmailStyle278">
    <w:name w:val="EmailStyle278"/>
    <w:basedOn w:val="DefaultParagraphFont"/>
    <w:semiHidden/>
    <w:rsid w:val="006D4FD3"/>
    <w:rPr>
      <w:rFonts w:ascii="Arial" w:hAnsi="Arial" w:cs="Arial"/>
      <w:color w:val="000080"/>
      <w:sz w:val="20"/>
    </w:rPr>
  </w:style>
  <w:style w:type="character" w:customStyle="1" w:styleId="EmailStyle279">
    <w:name w:val="EmailStyle279"/>
    <w:basedOn w:val="DefaultParagraphFont"/>
    <w:semiHidden/>
    <w:rsid w:val="006D4FD3"/>
    <w:rPr>
      <w:rFonts w:ascii="Arial" w:hAnsi="Arial" w:cs="Arial"/>
      <w:color w:val="993366"/>
      <w:sz w:val="20"/>
    </w:rPr>
  </w:style>
  <w:style w:type="character" w:customStyle="1" w:styleId="EmailStyle280">
    <w:name w:val="EmailStyle280"/>
    <w:basedOn w:val="DefaultParagraphFont"/>
    <w:semiHidden/>
    <w:rsid w:val="006D4FD3"/>
    <w:rPr>
      <w:rFonts w:ascii="Arial" w:hAnsi="Arial" w:cs="Arial"/>
      <w:color w:val="000080"/>
      <w:sz w:val="20"/>
    </w:rPr>
  </w:style>
  <w:style w:type="character" w:customStyle="1" w:styleId="EmailStyle281">
    <w:name w:val="EmailStyle281"/>
    <w:basedOn w:val="DefaultParagraphFont"/>
    <w:semiHidden/>
    <w:rsid w:val="006D4FD3"/>
    <w:rPr>
      <w:rFonts w:ascii="Arial" w:hAnsi="Arial" w:cs="Arial"/>
      <w:color w:val="993366"/>
      <w:sz w:val="20"/>
    </w:rPr>
  </w:style>
  <w:style w:type="character" w:customStyle="1" w:styleId="EmailStyle282">
    <w:name w:val="EmailStyle282"/>
    <w:basedOn w:val="DefaultParagraphFont"/>
    <w:semiHidden/>
    <w:rsid w:val="006D4FD3"/>
    <w:rPr>
      <w:rFonts w:ascii="Arial" w:hAnsi="Arial" w:cs="Arial"/>
      <w:color w:val="000080"/>
      <w:sz w:val="20"/>
    </w:rPr>
  </w:style>
  <w:style w:type="character" w:customStyle="1" w:styleId="EmailStyle283">
    <w:name w:val="EmailStyle283"/>
    <w:basedOn w:val="DefaultParagraphFont"/>
    <w:semiHidden/>
    <w:rsid w:val="006D4FD3"/>
    <w:rPr>
      <w:rFonts w:ascii="Arial" w:hAnsi="Arial" w:cs="Arial"/>
      <w:color w:val="993366"/>
      <w:sz w:val="20"/>
    </w:rPr>
  </w:style>
  <w:style w:type="character" w:customStyle="1" w:styleId="EmailStyle284">
    <w:name w:val="EmailStyle284"/>
    <w:basedOn w:val="DefaultParagraphFont"/>
    <w:semiHidden/>
    <w:rsid w:val="006D4FD3"/>
    <w:rPr>
      <w:rFonts w:ascii="Arial" w:hAnsi="Arial" w:cs="Arial"/>
      <w:color w:val="000080"/>
      <w:sz w:val="20"/>
    </w:rPr>
  </w:style>
  <w:style w:type="character" w:customStyle="1" w:styleId="EmailStyle285">
    <w:name w:val="EmailStyle285"/>
    <w:basedOn w:val="DefaultParagraphFont"/>
    <w:semiHidden/>
    <w:rsid w:val="006D4FD3"/>
    <w:rPr>
      <w:rFonts w:ascii="Arial" w:hAnsi="Arial" w:cs="Arial"/>
      <w:color w:val="993366"/>
      <w:sz w:val="20"/>
    </w:rPr>
  </w:style>
  <w:style w:type="character" w:customStyle="1" w:styleId="EmailStyle286">
    <w:name w:val="EmailStyle286"/>
    <w:basedOn w:val="DefaultParagraphFont"/>
    <w:semiHidden/>
    <w:rsid w:val="006D4FD3"/>
    <w:rPr>
      <w:rFonts w:ascii="Arial" w:hAnsi="Arial" w:cs="Arial"/>
      <w:color w:val="000080"/>
      <w:sz w:val="20"/>
    </w:rPr>
  </w:style>
  <w:style w:type="character" w:customStyle="1" w:styleId="EmailStyle287">
    <w:name w:val="EmailStyle287"/>
    <w:basedOn w:val="DefaultParagraphFont"/>
    <w:semiHidden/>
    <w:rsid w:val="006D4FD3"/>
    <w:rPr>
      <w:rFonts w:ascii="Arial" w:hAnsi="Arial" w:cs="Arial"/>
      <w:color w:val="993366"/>
      <w:sz w:val="20"/>
    </w:rPr>
  </w:style>
  <w:style w:type="character" w:customStyle="1" w:styleId="EmailStyle288">
    <w:name w:val="EmailStyle288"/>
    <w:basedOn w:val="DefaultParagraphFont"/>
    <w:semiHidden/>
    <w:rsid w:val="006D4FD3"/>
    <w:rPr>
      <w:rFonts w:ascii="Arial" w:hAnsi="Arial" w:cs="Arial"/>
      <w:color w:val="000080"/>
      <w:sz w:val="20"/>
    </w:rPr>
  </w:style>
  <w:style w:type="character" w:customStyle="1" w:styleId="EmailStyle289">
    <w:name w:val="EmailStyle289"/>
    <w:basedOn w:val="DefaultParagraphFont"/>
    <w:semiHidden/>
    <w:rsid w:val="006D4FD3"/>
    <w:rPr>
      <w:rFonts w:ascii="Arial" w:hAnsi="Arial" w:cs="Arial"/>
      <w:color w:val="993366"/>
      <w:sz w:val="20"/>
    </w:rPr>
  </w:style>
  <w:style w:type="character" w:customStyle="1" w:styleId="EmailStyle290">
    <w:name w:val="EmailStyle290"/>
    <w:basedOn w:val="DefaultParagraphFont"/>
    <w:semiHidden/>
    <w:rsid w:val="006D4FD3"/>
    <w:rPr>
      <w:rFonts w:ascii="Arial" w:hAnsi="Arial" w:cs="Arial"/>
      <w:color w:val="000080"/>
      <w:sz w:val="20"/>
    </w:rPr>
  </w:style>
  <w:style w:type="character" w:customStyle="1" w:styleId="EmailStyle291">
    <w:name w:val="EmailStyle291"/>
    <w:basedOn w:val="DefaultParagraphFont"/>
    <w:semiHidden/>
    <w:rsid w:val="006D4FD3"/>
    <w:rPr>
      <w:rFonts w:ascii="Arial" w:hAnsi="Arial" w:cs="Arial"/>
      <w:color w:val="993366"/>
      <w:sz w:val="20"/>
    </w:rPr>
  </w:style>
  <w:style w:type="character" w:customStyle="1" w:styleId="EmailStyle292">
    <w:name w:val="EmailStyle292"/>
    <w:basedOn w:val="DefaultParagraphFont"/>
    <w:semiHidden/>
    <w:rsid w:val="006D4FD3"/>
    <w:rPr>
      <w:rFonts w:ascii="Arial" w:hAnsi="Arial" w:cs="Arial"/>
      <w:color w:val="000080"/>
      <w:sz w:val="20"/>
    </w:rPr>
  </w:style>
  <w:style w:type="character" w:customStyle="1" w:styleId="EmailStyle293">
    <w:name w:val="EmailStyle293"/>
    <w:basedOn w:val="DefaultParagraphFont"/>
    <w:semiHidden/>
    <w:rsid w:val="006D4FD3"/>
    <w:rPr>
      <w:rFonts w:ascii="Arial" w:hAnsi="Arial" w:cs="Arial"/>
      <w:color w:val="993366"/>
      <w:sz w:val="20"/>
    </w:rPr>
  </w:style>
  <w:style w:type="character" w:customStyle="1" w:styleId="EmailStyle294">
    <w:name w:val="EmailStyle294"/>
    <w:basedOn w:val="DefaultParagraphFont"/>
    <w:semiHidden/>
    <w:rsid w:val="006D4FD3"/>
    <w:rPr>
      <w:rFonts w:ascii="Arial" w:hAnsi="Arial" w:cs="Arial"/>
      <w:color w:val="000080"/>
      <w:sz w:val="20"/>
    </w:rPr>
  </w:style>
  <w:style w:type="character" w:customStyle="1" w:styleId="EmailStyle300">
    <w:name w:val="EmailStyle300"/>
    <w:basedOn w:val="DefaultParagraphFont"/>
    <w:semiHidden/>
    <w:rsid w:val="006D4FD3"/>
    <w:rPr>
      <w:rFonts w:ascii="Arial" w:hAnsi="Arial" w:cs="Arial"/>
      <w:color w:val="993366"/>
      <w:sz w:val="20"/>
    </w:rPr>
  </w:style>
  <w:style w:type="character" w:customStyle="1" w:styleId="EmailStyle301">
    <w:name w:val="EmailStyle301"/>
    <w:basedOn w:val="DefaultParagraphFont"/>
    <w:semiHidden/>
    <w:rsid w:val="006D4FD3"/>
    <w:rPr>
      <w:rFonts w:ascii="Arial" w:hAnsi="Arial" w:cs="Arial"/>
      <w:color w:val="000080"/>
      <w:sz w:val="20"/>
    </w:rPr>
  </w:style>
  <w:style w:type="character" w:customStyle="1" w:styleId="EmailStyle302">
    <w:name w:val="EmailStyle302"/>
    <w:basedOn w:val="DefaultParagraphFont"/>
    <w:semiHidden/>
    <w:rsid w:val="006D4FD3"/>
    <w:rPr>
      <w:rFonts w:ascii="Arial" w:hAnsi="Arial" w:cs="Arial"/>
      <w:color w:val="993366"/>
      <w:sz w:val="20"/>
    </w:rPr>
  </w:style>
  <w:style w:type="character" w:customStyle="1" w:styleId="EmailStyle303">
    <w:name w:val="EmailStyle303"/>
    <w:basedOn w:val="DefaultParagraphFont"/>
    <w:semiHidden/>
    <w:rsid w:val="006D4FD3"/>
    <w:rPr>
      <w:rFonts w:ascii="Arial" w:hAnsi="Arial" w:cs="Arial"/>
      <w:color w:val="000080"/>
      <w:sz w:val="20"/>
    </w:rPr>
  </w:style>
  <w:style w:type="character" w:customStyle="1" w:styleId="EmailStyle304">
    <w:name w:val="EmailStyle304"/>
    <w:basedOn w:val="DefaultParagraphFont"/>
    <w:semiHidden/>
    <w:rsid w:val="006D4FD3"/>
    <w:rPr>
      <w:rFonts w:ascii="Arial" w:hAnsi="Arial" w:cs="Arial"/>
      <w:color w:val="993366"/>
      <w:sz w:val="20"/>
    </w:rPr>
  </w:style>
  <w:style w:type="character" w:customStyle="1" w:styleId="EmailStyle305">
    <w:name w:val="EmailStyle305"/>
    <w:basedOn w:val="DefaultParagraphFont"/>
    <w:semiHidden/>
    <w:rsid w:val="006D4FD3"/>
    <w:rPr>
      <w:rFonts w:ascii="Arial" w:hAnsi="Arial" w:cs="Arial"/>
      <w:color w:val="000080"/>
      <w:sz w:val="20"/>
    </w:rPr>
  </w:style>
  <w:style w:type="character" w:customStyle="1" w:styleId="EmailStyle306">
    <w:name w:val="EmailStyle306"/>
    <w:basedOn w:val="DefaultParagraphFont"/>
    <w:semiHidden/>
    <w:rsid w:val="006D4FD3"/>
    <w:rPr>
      <w:rFonts w:ascii="Arial" w:hAnsi="Arial" w:cs="Arial"/>
      <w:color w:val="993366"/>
      <w:sz w:val="20"/>
    </w:rPr>
  </w:style>
  <w:style w:type="character" w:customStyle="1" w:styleId="EmailStyle307">
    <w:name w:val="EmailStyle307"/>
    <w:basedOn w:val="DefaultParagraphFont"/>
    <w:semiHidden/>
    <w:rsid w:val="006D4FD3"/>
    <w:rPr>
      <w:rFonts w:ascii="Arial" w:hAnsi="Arial" w:cs="Arial"/>
      <w:color w:val="000080"/>
      <w:sz w:val="20"/>
    </w:rPr>
  </w:style>
  <w:style w:type="character" w:customStyle="1" w:styleId="EmailStyle308">
    <w:name w:val="EmailStyle308"/>
    <w:basedOn w:val="DefaultParagraphFont"/>
    <w:semiHidden/>
    <w:rsid w:val="006D4FD3"/>
    <w:rPr>
      <w:rFonts w:ascii="Arial" w:hAnsi="Arial" w:cs="Arial"/>
      <w:color w:val="993366"/>
      <w:sz w:val="20"/>
    </w:rPr>
  </w:style>
  <w:style w:type="character" w:customStyle="1" w:styleId="EmailStyle309">
    <w:name w:val="EmailStyle309"/>
    <w:basedOn w:val="DefaultParagraphFont"/>
    <w:semiHidden/>
    <w:rsid w:val="006D4FD3"/>
    <w:rPr>
      <w:rFonts w:ascii="Arial" w:hAnsi="Arial" w:cs="Arial"/>
      <w:color w:val="000080"/>
      <w:sz w:val="20"/>
    </w:rPr>
  </w:style>
  <w:style w:type="character" w:customStyle="1" w:styleId="EmailStyle310">
    <w:name w:val="EmailStyle310"/>
    <w:basedOn w:val="DefaultParagraphFont"/>
    <w:semiHidden/>
    <w:rsid w:val="006D4FD3"/>
    <w:rPr>
      <w:rFonts w:ascii="Arial" w:hAnsi="Arial" w:cs="Arial"/>
      <w:color w:val="993366"/>
      <w:sz w:val="20"/>
    </w:rPr>
  </w:style>
  <w:style w:type="character" w:customStyle="1" w:styleId="EmailStyle311">
    <w:name w:val="EmailStyle311"/>
    <w:basedOn w:val="DefaultParagraphFont"/>
    <w:semiHidden/>
    <w:rsid w:val="006D4FD3"/>
    <w:rPr>
      <w:rFonts w:ascii="Arial" w:hAnsi="Arial" w:cs="Arial"/>
      <w:color w:val="000080"/>
      <w:sz w:val="20"/>
    </w:rPr>
  </w:style>
  <w:style w:type="character" w:customStyle="1" w:styleId="EmailStyle312">
    <w:name w:val="EmailStyle312"/>
    <w:basedOn w:val="DefaultParagraphFont"/>
    <w:semiHidden/>
    <w:rsid w:val="006D4FD3"/>
    <w:rPr>
      <w:rFonts w:ascii="Arial" w:hAnsi="Arial" w:cs="Arial"/>
      <w:color w:val="993366"/>
      <w:sz w:val="20"/>
    </w:rPr>
  </w:style>
  <w:style w:type="character" w:customStyle="1" w:styleId="EmailStyle313">
    <w:name w:val="EmailStyle313"/>
    <w:basedOn w:val="DefaultParagraphFont"/>
    <w:semiHidden/>
    <w:rsid w:val="006D4FD3"/>
    <w:rPr>
      <w:rFonts w:ascii="Arial" w:hAnsi="Arial" w:cs="Arial"/>
      <w:color w:val="000080"/>
      <w:sz w:val="20"/>
    </w:rPr>
  </w:style>
  <w:style w:type="character" w:customStyle="1" w:styleId="EmailStyle314">
    <w:name w:val="EmailStyle314"/>
    <w:basedOn w:val="DefaultParagraphFont"/>
    <w:semiHidden/>
    <w:rsid w:val="006D4FD3"/>
    <w:rPr>
      <w:rFonts w:ascii="Arial" w:hAnsi="Arial" w:cs="Arial"/>
      <w:color w:val="993366"/>
      <w:sz w:val="20"/>
    </w:rPr>
  </w:style>
  <w:style w:type="character" w:customStyle="1" w:styleId="EmailStyle315">
    <w:name w:val="EmailStyle315"/>
    <w:basedOn w:val="DefaultParagraphFont"/>
    <w:semiHidden/>
    <w:rsid w:val="006D4FD3"/>
    <w:rPr>
      <w:rFonts w:ascii="Arial" w:hAnsi="Arial" w:cs="Arial"/>
      <w:color w:val="000080"/>
      <w:sz w:val="20"/>
    </w:rPr>
  </w:style>
  <w:style w:type="character" w:customStyle="1" w:styleId="EmailStyle316">
    <w:name w:val="EmailStyle316"/>
    <w:basedOn w:val="DefaultParagraphFont"/>
    <w:semiHidden/>
    <w:rsid w:val="006D4FD3"/>
    <w:rPr>
      <w:rFonts w:ascii="Arial" w:hAnsi="Arial" w:cs="Arial"/>
      <w:color w:val="993366"/>
      <w:sz w:val="20"/>
    </w:rPr>
  </w:style>
  <w:style w:type="character" w:customStyle="1" w:styleId="EmailStyle317">
    <w:name w:val="EmailStyle317"/>
    <w:basedOn w:val="DefaultParagraphFont"/>
    <w:semiHidden/>
    <w:rsid w:val="006D4FD3"/>
    <w:rPr>
      <w:rFonts w:ascii="Arial" w:hAnsi="Arial" w:cs="Arial"/>
      <w:color w:val="000080"/>
      <w:sz w:val="20"/>
    </w:rPr>
  </w:style>
  <w:style w:type="character" w:customStyle="1" w:styleId="EmailStyle318">
    <w:name w:val="EmailStyle318"/>
    <w:basedOn w:val="DefaultParagraphFont"/>
    <w:semiHidden/>
    <w:rsid w:val="006D4FD3"/>
    <w:rPr>
      <w:rFonts w:ascii="Arial" w:hAnsi="Arial" w:cs="Arial"/>
      <w:color w:val="993366"/>
      <w:sz w:val="20"/>
    </w:rPr>
  </w:style>
  <w:style w:type="character" w:customStyle="1" w:styleId="EmailStyle319">
    <w:name w:val="EmailStyle319"/>
    <w:basedOn w:val="DefaultParagraphFont"/>
    <w:semiHidden/>
    <w:rsid w:val="006D4FD3"/>
    <w:rPr>
      <w:rFonts w:ascii="Arial" w:hAnsi="Arial" w:cs="Arial"/>
      <w:color w:val="000080"/>
      <w:sz w:val="20"/>
    </w:rPr>
  </w:style>
  <w:style w:type="character" w:customStyle="1" w:styleId="EmailStyle322">
    <w:name w:val="EmailStyle322"/>
    <w:basedOn w:val="DefaultParagraphFont"/>
    <w:semiHidden/>
    <w:rsid w:val="006D4FD3"/>
    <w:rPr>
      <w:rFonts w:ascii="Arial" w:hAnsi="Arial" w:cs="Arial"/>
      <w:color w:val="993366"/>
      <w:sz w:val="20"/>
    </w:rPr>
  </w:style>
  <w:style w:type="character" w:customStyle="1" w:styleId="EmailStyle323">
    <w:name w:val="EmailStyle323"/>
    <w:basedOn w:val="DefaultParagraphFont"/>
    <w:semiHidden/>
    <w:rsid w:val="006D4FD3"/>
    <w:rPr>
      <w:rFonts w:ascii="Arial" w:hAnsi="Arial" w:cs="Arial"/>
      <w:color w:val="000080"/>
      <w:sz w:val="20"/>
    </w:rPr>
  </w:style>
  <w:style w:type="character" w:customStyle="1" w:styleId="EmailStyle324">
    <w:name w:val="EmailStyle324"/>
    <w:basedOn w:val="DefaultParagraphFont"/>
    <w:semiHidden/>
    <w:rsid w:val="006D4FD3"/>
    <w:rPr>
      <w:rFonts w:ascii="Arial" w:hAnsi="Arial" w:cs="Arial"/>
      <w:color w:val="993366"/>
      <w:sz w:val="20"/>
    </w:rPr>
  </w:style>
  <w:style w:type="character" w:customStyle="1" w:styleId="EmailStyle325">
    <w:name w:val="EmailStyle325"/>
    <w:basedOn w:val="DefaultParagraphFont"/>
    <w:semiHidden/>
    <w:rsid w:val="006D4FD3"/>
    <w:rPr>
      <w:rFonts w:ascii="Arial" w:hAnsi="Arial" w:cs="Arial"/>
      <w:color w:val="000080"/>
      <w:sz w:val="20"/>
    </w:rPr>
  </w:style>
  <w:style w:type="character" w:customStyle="1" w:styleId="EmailStyle326">
    <w:name w:val="EmailStyle326"/>
    <w:basedOn w:val="DefaultParagraphFont"/>
    <w:semiHidden/>
    <w:rsid w:val="006D4FD3"/>
    <w:rPr>
      <w:rFonts w:ascii="Arial" w:hAnsi="Arial" w:cs="Arial"/>
      <w:color w:val="000080"/>
      <w:sz w:val="20"/>
    </w:rPr>
  </w:style>
  <w:style w:type="character" w:customStyle="1" w:styleId="EmailStyle327">
    <w:name w:val="EmailStyle327"/>
    <w:basedOn w:val="DefaultParagraphFont"/>
    <w:semiHidden/>
    <w:rsid w:val="006D4FD3"/>
    <w:rPr>
      <w:rFonts w:ascii="Arial" w:hAnsi="Arial" w:cs="Arial"/>
      <w:color w:val="993366"/>
      <w:sz w:val="20"/>
    </w:rPr>
  </w:style>
  <w:style w:type="character" w:customStyle="1" w:styleId="EmailStyle328">
    <w:name w:val="EmailStyle328"/>
    <w:basedOn w:val="DefaultParagraphFont"/>
    <w:semiHidden/>
    <w:rsid w:val="006D4FD3"/>
    <w:rPr>
      <w:rFonts w:ascii="Arial" w:hAnsi="Arial" w:cs="Arial"/>
      <w:color w:val="000080"/>
      <w:sz w:val="20"/>
    </w:rPr>
  </w:style>
  <w:style w:type="character" w:customStyle="1" w:styleId="EmailStyle329">
    <w:name w:val="EmailStyle329"/>
    <w:basedOn w:val="DefaultParagraphFont"/>
    <w:semiHidden/>
    <w:rsid w:val="006D4FD3"/>
    <w:rPr>
      <w:rFonts w:ascii="Arial" w:hAnsi="Arial" w:cs="Arial"/>
      <w:color w:val="993366"/>
      <w:sz w:val="20"/>
    </w:rPr>
  </w:style>
  <w:style w:type="character" w:customStyle="1" w:styleId="EmailStyle330">
    <w:name w:val="EmailStyle330"/>
    <w:basedOn w:val="DefaultParagraphFont"/>
    <w:semiHidden/>
    <w:rsid w:val="006D4FD3"/>
    <w:rPr>
      <w:rFonts w:ascii="Arial" w:hAnsi="Arial" w:cs="Arial"/>
      <w:color w:val="000080"/>
      <w:sz w:val="20"/>
    </w:rPr>
  </w:style>
  <w:style w:type="character" w:customStyle="1" w:styleId="EmailStyle331">
    <w:name w:val="EmailStyle331"/>
    <w:basedOn w:val="DefaultParagraphFont"/>
    <w:semiHidden/>
    <w:rsid w:val="006D4FD3"/>
    <w:rPr>
      <w:rFonts w:ascii="Arial" w:hAnsi="Arial" w:cs="Arial"/>
      <w:color w:val="000080"/>
      <w:sz w:val="20"/>
    </w:rPr>
  </w:style>
  <w:style w:type="character" w:customStyle="1" w:styleId="EmailStyle335">
    <w:name w:val="EmailStyle335"/>
    <w:basedOn w:val="DefaultParagraphFont"/>
    <w:semiHidden/>
    <w:rsid w:val="006D4FD3"/>
    <w:rPr>
      <w:rFonts w:ascii="Arial" w:hAnsi="Arial" w:cs="Arial"/>
      <w:color w:val="993366"/>
      <w:sz w:val="20"/>
    </w:rPr>
  </w:style>
  <w:style w:type="character" w:customStyle="1" w:styleId="EmailStyle336">
    <w:name w:val="EmailStyle336"/>
    <w:basedOn w:val="DefaultParagraphFont"/>
    <w:semiHidden/>
    <w:rsid w:val="006D4FD3"/>
    <w:rPr>
      <w:rFonts w:ascii="Arial" w:hAnsi="Arial" w:cs="Arial"/>
      <w:color w:val="000080"/>
      <w:sz w:val="20"/>
    </w:rPr>
  </w:style>
  <w:style w:type="character" w:customStyle="1" w:styleId="EmailStyle337">
    <w:name w:val="EmailStyle337"/>
    <w:basedOn w:val="DefaultParagraphFont"/>
    <w:semiHidden/>
    <w:rsid w:val="006D4FD3"/>
    <w:rPr>
      <w:rFonts w:ascii="Arial" w:hAnsi="Arial" w:cs="Arial"/>
      <w:color w:val="993366"/>
      <w:sz w:val="20"/>
    </w:rPr>
  </w:style>
  <w:style w:type="character" w:customStyle="1" w:styleId="EmailStyle338">
    <w:name w:val="EmailStyle338"/>
    <w:basedOn w:val="DefaultParagraphFont"/>
    <w:semiHidden/>
    <w:rsid w:val="006D4FD3"/>
    <w:rPr>
      <w:rFonts w:ascii="Arial" w:hAnsi="Arial" w:cs="Arial"/>
      <w:color w:val="000080"/>
      <w:sz w:val="20"/>
    </w:rPr>
  </w:style>
  <w:style w:type="character" w:customStyle="1" w:styleId="EmailStyle339">
    <w:name w:val="EmailStyle339"/>
    <w:basedOn w:val="DefaultParagraphFont"/>
    <w:semiHidden/>
    <w:rsid w:val="006D4FD3"/>
    <w:rPr>
      <w:rFonts w:ascii="Arial" w:hAnsi="Arial" w:cs="Arial"/>
      <w:color w:val="000080"/>
      <w:sz w:val="20"/>
    </w:rPr>
  </w:style>
  <w:style w:type="character" w:customStyle="1" w:styleId="EmailStyle340">
    <w:name w:val="EmailStyle340"/>
    <w:basedOn w:val="DefaultParagraphFont"/>
    <w:semiHidden/>
    <w:rsid w:val="006D4FD3"/>
    <w:rPr>
      <w:rFonts w:ascii="Arial" w:hAnsi="Arial" w:cs="Arial"/>
      <w:color w:val="993366"/>
      <w:sz w:val="20"/>
    </w:rPr>
  </w:style>
  <w:style w:type="character" w:customStyle="1" w:styleId="EmailStyle341">
    <w:name w:val="EmailStyle341"/>
    <w:basedOn w:val="DefaultParagraphFont"/>
    <w:semiHidden/>
    <w:rsid w:val="006D4FD3"/>
    <w:rPr>
      <w:rFonts w:ascii="Arial" w:hAnsi="Arial" w:cs="Arial"/>
      <w:color w:val="000080"/>
      <w:sz w:val="20"/>
    </w:rPr>
  </w:style>
  <w:style w:type="character" w:customStyle="1" w:styleId="EmailStyle342">
    <w:name w:val="EmailStyle342"/>
    <w:basedOn w:val="DefaultParagraphFont"/>
    <w:semiHidden/>
    <w:rsid w:val="006D4FD3"/>
    <w:rPr>
      <w:rFonts w:ascii="Arial" w:hAnsi="Arial" w:cs="Arial"/>
      <w:color w:val="993366"/>
      <w:sz w:val="20"/>
    </w:rPr>
  </w:style>
  <w:style w:type="character" w:customStyle="1" w:styleId="EmailStyle343">
    <w:name w:val="EmailStyle343"/>
    <w:basedOn w:val="DefaultParagraphFont"/>
    <w:semiHidden/>
    <w:rsid w:val="006D4FD3"/>
    <w:rPr>
      <w:rFonts w:ascii="Arial" w:hAnsi="Arial" w:cs="Arial"/>
      <w:color w:val="000080"/>
      <w:sz w:val="20"/>
    </w:rPr>
  </w:style>
  <w:style w:type="character" w:customStyle="1" w:styleId="EmailStyle344">
    <w:name w:val="EmailStyle344"/>
    <w:basedOn w:val="DefaultParagraphFont"/>
    <w:semiHidden/>
    <w:rsid w:val="006D4FD3"/>
    <w:rPr>
      <w:rFonts w:ascii="Arial" w:hAnsi="Arial" w:cs="Arial"/>
      <w:color w:val="000080"/>
      <w:sz w:val="20"/>
    </w:rPr>
  </w:style>
  <w:style w:type="character" w:customStyle="1" w:styleId="EmailStyle350">
    <w:name w:val="EmailStyle350"/>
    <w:basedOn w:val="DefaultParagraphFont"/>
    <w:semiHidden/>
    <w:rsid w:val="006D4FD3"/>
    <w:rPr>
      <w:rFonts w:ascii="Arial" w:hAnsi="Arial" w:cs="Arial"/>
      <w:color w:val="993366"/>
      <w:sz w:val="20"/>
    </w:rPr>
  </w:style>
  <w:style w:type="character" w:customStyle="1" w:styleId="EmailStyle351">
    <w:name w:val="EmailStyle351"/>
    <w:basedOn w:val="DefaultParagraphFont"/>
    <w:semiHidden/>
    <w:rsid w:val="006D4FD3"/>
    <w:rPr>
      <w:rFonts w:ascii="Arial" w:hAnsi="Arial" w:cs="Arial"/>
      <w:color w:val="000080"/>
      <w:sz w:val="20"/>
    </w:rPr>
  </w:style>
  <w:style w:type="character" w:customStyle="1" w:styleId="EmailStyle352">
    <w:name w:val="EmailStyle352"/>
    <w:basedOn w:val="DefaultParagraphFont"/>
    <w:semiHidden/>
    <w:rsid w:val="006D4FD3"/>
    <w:rPr>
      <w:rFonts w:ascii="Arial" w:hAnsi="Arial" w:cs="Arial"/>
      <w:color w:val="000080"/>
      <w:sz w:val="20"/>
    </w:rPr>
  </w:style>
  <w:style w:type="character" w:customStyle="1" w:styleId="EmailStyle353">
    <w:name w:val="EmailStyle353"/>
    <w:basedOn w:val="DefaultParagraphFont"/>
    <w:semiHidden/>
    <w:rsid w:val="006D4FD3"/>
    <w:rPr>
      <w:rFonts w:ascii="Arial" w:hAnsi="Arial" w:cs="Arial"/>
      <w:color w:val="000080"/>
      <w:sz w:val="20"/>
    </w:rPr>
  </w:style>
  <w:style w:type="character" w:customStyle="1" w:styleId="EmailStyle354">
    <w:name w:val="EmailStyle354"/>
    <w:basedOn w:val="DefaultParagraphFont"/>
    <w:semiHidden/>
    <w:rsid w:val="006D4FD3"/>
    <w:rPr>
      <w:rFonts w:ascii="Arial" w:hAnsi="Arial" w:cs="Arial"/>
      <w:color w:val="993366"/>
      <w:sz w:val="20"/>
    </w:rPr>
  </w:style>
  <w:style w:type="character" w:customStyle="1" w:styleId="EmailStyle355">
    <w:name w:val="EmailStyle355"/>
    <w:basedOn w:val="DefaultParagraphFont"/>
    <w:semiHidden/>
    <w:rsid w:val="006D4FD3"/>
    <w:rPr>
      <w:rFonts w:ascii="Arial" w:hAnsi="Arial" w:cs="Arial"/>
      <w:color w:val="993366"/>
      <w:sz w:val="20"/>
    </w:rPr>
  </w:style>
  <w:style w:type="character" w:customStyle="1" w:styleId="EmailStyle356">
    <w:name w:val="EmailStyle356"/>
    <w:basedOn w:val="DefaultParagraphFont"/>
    <w:semiHidden/>
    <w:rsid w:val="006D4FD3"/>
    <w:rPr>
      <w:rFonts w:ascii="Arial" w:hAnsi="Arial" w:cs="Arial"/>
      <w:color w:val="993366"/>
      <w:sz w:val="20"/>
    </w:rPr>
  </w:style>
  <w:style w:type="character" w:customStyle="1" w:styleId="EmailStyle357">
    <w:name w:val="EmailStyle357"/>
    <w:basedOn w:val="DefaultParagraphFont"/>
    <w:semiHidden/>
    <w:rsid w:val="006D4FD3"/>
    <w:rPr>
      <w:rFonts w:ascii="Arial" w:hAnsi="Arial" w:cs="Arial"/>
      <w:color w:val="993366"/>
      <w:sz w:val="20"/>
    </w:rPr>
  </w:style>
  <w:style w:type="character" w:customStyle="1" w:styleId="EmailStyle358">
    <w:name w:val="EmailStyle358"/>
    <w:basedOn w:val="DefaultParagraphFont"/>
    <w:semiHidden/>
    <w:rsid w:val="006D4FD3"/>
    <w:rPr>
      <w:rFonts w:ascii="Arial" w:hAnsi="Arial" w:cs="Arial"/>
      <w:color w:val="993366"/>
      <w:sz w:val="20"/>
    </w:rPr>
  </w:style>
  <w:style w:type="character" w:customStyle="1" w:styleId="EmailStyle359">
    <w:name w:val="EmailStyle359"/>
    <w:basedOn w:val="DefaultParagraphFont"/>
    <w:semiHidden/>
    <w:rsid w:val="006D4FD3"/>
    <w:rPr>
      <w:rFonts w:ascii="Arial" w:hAnsi="Arial" w:cs="Arial"/>
      <w:color w:val="993366"/>
      <w:sz w:val="20"/>
    </w:rPr>
  </w:style>
  <w:style w:type="character" w:customStyle="1" w:styleId="EmailStyle360">
    <w:name w:val="EmailStyle360"/>
    <w:basedOn w:val="DefaultParagraphFont"/>
    <w:semiHidden/>
    <w:rsid w:val="006D4FD3"/>
    <w:rPr>
      <w:rFonts w:ascii="Arial" w:hAnsi="Arial" w:cs="Arial"/>
      <w:color w:val="993366"/>
      <w:sz w:val="20"/>
    </w:rPr>
  </w:style>
  <w:style w:type="character" w:customStyle="1" w:styleId="EmailStyle361">
    <w:name w:val="EmailStyle361"/>
    <w:basedOn w:val="DefaultParagraphFont"/>
    <w:semiHidden/>
    <w:rsid w:val="006D4FD3"/>
    <w:rPr>
      <w:rFonts w:ascii="Arial" w:hAnsi="Arial" w:cs="Arial"/>
      <w:color w:val="993366"/>
      <w:sz w:val="20"/>
    </w:rPr>
  </w:style>
  <w:style w:type="character" w:customStyle="1" w:styleId="EmailStyle362">
    <w:name w:val="EmailStyle362"/>
    <w:basedOn w:val="DefaultParagraphFont"/>
    <w:semiHidden/>
    <w:rsid w:val="006D4FD3"/>
    <w:rPr>
      <w:rFonts w:ascii="Arial" w:hAnsi="Arial" w:cs="Arial"/>
      <w:color w:val="993366"/>
      <w:sz w:val="20"/>
    </w:rPr>
  </w:style>
  <w:style w:type="character" w:customStyle="1" w:styleId="EmailStyle3671">
    <w:name w:val="EmailStyle3671"/>
    <w:basedOn w:val="DefaultParagraphFont"/>
    <w:semiHidden/>
    <w:rsid w:val="006D4FD3"/>
    <w:rPr>
      <w:rFonts w:ascii="Arial" w:hAnsi="Arial" w:cs="Arial"/>
      <w:color w:val="993366"/>
      <w:sz w:val="20"/>
    </w:rPr>
  </w:style>
  <w:style w:type="character" w:customStyle="1" w:styleId="EmailStyle3681">
    <w:name w:val="EmailStyle3681"/>
    <w:basedOn w:val="DefaultParagraphFont"/>
    <w:semiHidden/>
    <w:rsid w:val="006D4FD3"/>
    <w:rPr>
      <w:rFonts w:ascii="Arial" w:hAnsi="Arial" w:cs="Arial"/>
      <w:color w:val="000080"/>
      <w:sz w:val="20"/>
    </w:rPr>
  </w:style>
  <w:style w:type="character" w:customStyle="1" w:styleId="EmailStyle3691">
    <w:name w:val="EmailStyle3691"/>
    <w:basedOn w:val="DefaultParagraphFont"/>
    <w:semiHidden/>
    <w:rsid w:val="006D4FD3"/>
    <w:rPr>
      <w:rFonts w:ascii="Arial" w:hAnsi="Arial" w:cs="Arial"/>
      <w:color w:val="993366"/>
      <w:sz w:val="20"/>
    </w:rPr>
  </w:style>
  <w:style w:type="character" w:customStyle="1" w:styleId="EmailStyle3701">
    <w:name w:val="EmailStyle3701"/>
    <w:basedOn w:val="DefaultParagraphFont"/>
    <w:semiHidden/>
    <w:rsid w:val="006D4FD3"/>
    <w:rPr>
      <w:rFonts w:ascii="Arial" w:hAnsi="Arial" w:cs="Arial"/>
      <w:color w:val="000080"/>
      <w:sz w:val="20"/>
    </w:rPr>
  </w:style>
  <w:style w:type="character" w:customStyle="1" w:styleId="EmailStyle3711">
    <w:name w:val="EmailStyle3711"/>
    <w:basedOn w:val="DefaultParagraphFont"/>
    <w:semiHidden/>
    <w:rsid w:val="006D4FD3"/>
    <w:rPr>
      <w:rFonts w:ascii="Arial" w:hAnsi="Arial" w:cs="Arial"/>
      <w:color w:val="993366"/>
      <w:sz w:val="20"/>
    </w:rPr>
  </w:style>
  <w:style w:type="character" w:customStyle="1" w:styleId="EmailStyle3721">
    <w:name w:val="EmailStyle3721"/>
    <w:basedOn w:val="DefaultParagraphFont"/>
    <w:semiHidden/>
    <w:rsid w:val="006D4FD3"/>
    <w:rPr>
      <w:rFonts w:ascii="Arial" w:hAnsi="Arial" w:cs="Arial"/>
      <w:color w:val="000080"/>
      <w:sz w:val="20"/>
    </w:rPr>
  </w:style>
  <w:style w:type="character" w:customStyle="1" w:styleId="EmailStyle3731">
    <w:name w:val="EmailStyle3731"/>
    <w:basedOn w:val="DefaultParagraphFont"/>
    <w:semiHidden/>
    <w:rsid w:val="006D4FD3"/>
    <w:rPr>
      <w:rFonts w:ascii="Arial" w:hAnsi="Arial" w:cs="Arial"/>
      <w:color w:val="993366"/>
      <w:sz w:val="20"/>
    </w:rPr>
  </w:style>
  <w:style w:type="character" w:customStyle="1" w:styleId="EmailStyle3741">
    <w:name w:val="EmailStyle3741"/>
    <w:basedOn w:val="DefaultParagraphFont"/>
    <w:semiHidden/>
    <w:rsid w:val="006D4FD3"/>
    <w:rPr>
      <w:rFonts w:ascii="Arial" w:hAnsi="Arial" w:cs="Arial"/>
      <w:color w:val="000080"/>
      <w:sz w:val="20"/>
    </w:rPr>
  </w:style>
  <w:style w:type="character" w:customStyle="1" w:styleId="EmailStyle3751">
    <w:name w:val="EmailStyle3751"/>
    <w:basedOn w:val="DefaultParagraphFont"/>
    <w:semiHidden/>
    <w:rsid w:val="006D4FD3"/>
    <w:rPr>
      <w:rFonts w:ascii="Arial" w:hAnsi="Arial" w:cs="Arial"/>
      <w:color w:val="993366"/>
      <w:sz w:val="20"/>
    </w:rPr>
  </w:style>
  <w:style w:type="character" w:customStyle="1" w:styleId="EmailStyle3761">
    <w:name w:val="EmailStyle3761"/>
    <w:basedOn w:val="DefaultParagraphFont"/>
    <w:semiHidden/>
    <w:rsid w:val="006D4FD3"/>
    <w:rPr>
      <w:rFonts w:ascii="Arial" w:hAnsi="Arial" w:cs="Arial"/>
      <w:color w:val="000080"/>
      <w:sz w:val="20"/>
    </w:rPr>
  </w:style>
  <w:style w:type="character" w:customStyle="1" w:styleId="EmailStyle3771">
    <w:name w:val="EmailStyle3771"/>
    <w:basedOn w:val="DefaultParagraphFont"/>
    <w:semiHidden/>
    <w:rsid w:val="006D4FD3"/>
    <w:rPr>
      <w:rFonts w:ascii="Arial" w:hAnsi="Arial" w:cs="Arial"/>
      <w:color w:val="993366"/>
      <w:sz w:val="20"/>
    </w:rPr>
  </w:style>
  <w:style w:type="character" w:customStyle="1" w:styleId="EmailStyle3781">
    <w:name w:val="EmailStyle3781"/>
    <w:basedOn w:val="DefaultParagraphFont"/>
    <w:semiHidden/>
    <w:rsid w:val="006D4FD3"/>
    <w:rPr>
      <w:rFonts w:ascii="Arial" w:hAnsi="Arial" w:cs="Arial"/>
      <w:color w:val="000080"/>
      <w:sz w:val="20"/>
    </w:rPr>
  </w:style>
  <w:style w:type="character" w:customStyle="1" w:styleId="EmailStyle3791">
    <w:name w:val="EmailStyle3791"/>
    <w:basedOn w:val="DefaultParagraphFont"/>
    <w:semiHidden/>
    <w:rsid w:val="006D4FD3"/>
    <w:rPr>
      <w:rFonts w:ascii="Arial" w:hAnsi="Arial" w:cs="Arial"/>
      <w:color w:val="993366"/>
      <w:sz w:val="20"/>
    </w:rPr>
  </w:style>
  <w:style w:type="character" w:customStyle="1" w:styleId="EmailStyle3801">
    <w:name w:val="EmailStyle3801"/>
    <w:basedOn w:val="DefaultParagraphFont"/>
    <w:semiHidden/>
    <w:rsid w:val="006D4FD3"/>
    <w:rPr>
      <w:rFonts w:ascii="Arial" w:hAnsi="Arial" w:cs="Arial"/>
      <w:color w:val="000080"/>
      <w:sz w:val="20"/>
    </w:rPr>
  </w:style>
  <w:style w:type="character" w:customStyle="1" w:styleId="EmailStyle3811">
    <w:name w:val="EmailStyle3811"/>
    <w:basedOn w:val="DefaultParagraphFont"/>
    <w:semiHidden/>
    <w:rsid w:val="006D4FD3"/>
    <w:rPr>
      <w:rFonts w:ascii="Arial" w:hAnsi="Arial" w:cs="Arial"/>
      <w:color w:val="993366"/>
      <w:sz w:val="20"/>
    </w:rPr>
  </w:style>
  <w:style w:type="character" w:customStyle="1" w:styleId="EmailStyle3821">
    <w:name w:val="EmailStyle3821"/>
    <w:basedOn w:val="DefaultParagraphFont"/>
    <w:semiHidden/>
    <w:rsid w:val="006D4FD3"/>
    <w:rPr>
      <w:rFonts w:ascii="Arial" w:hAnsi="Arial" w:cs="Arial"/>
      <w:color w:val="000080"/>
      <w:sz w:val="20"/>
    </w:rPr>
  </w:style>
  <w:style w:type="character" w:customStyle="1" w:styleId="EmailStyle3831">
    <w:name w:val="EmailStyle3831"/>
    <w:basedOn w:val="DefaultParagraphFont"/>
    <w:semiHidden/>
    <w:rsid w:val="006D4FD3"/>
    <w:rPr>
      <w:rFonts w:ascii="Arial" w:hAnsi="Arial" w:cs="Arial"/>
      <w:color w:val="993366"/>
      <w:sz w:val="20"/>
    </w:rPr>
  </w:style>
  <w:style w:type="character" w:customStyle="1" w:styleId="EmailStyle3841">
    <w:name w:val="EmailStyle3841"/>
    <w:basedOn w:val="DefaultParagraphFont"/>
    <w:semiHidden/>
    <w:rsid w:val="006D4FD3"/>
    <w:rPr>
      <w:rFonts w:ascii="Arial" w:hAnsi="Arial" w:cs="Arial"/>
      <w:color w:val="000080"/>
      <w:sz w:val="20"/>
    </w:rPr>
  </w:style>
  <w:style w:type="character" w:customStyle="1" w:styleId="EmailStyle3851">
    <w:name w:val="EmailStyle3851"/>
    <w:basedOn w:val="DefaultParagraphFont"/>
    <w:semiHidden/>
    <w:rsid w:val="006D4FD3"/>
    <w:rPr>
      <w:rFonts w:ascii="Arial" w:hAnsi="Arial" w:cs="Arial"/>
      <w:color w:val="993366"/>
      <w:sz w:val="20"/>
    </w:rPr>
  </w:style>
  <w:style w:type="character" w:customStyle="1" w:styleId="EmailStyle3861">
    <w:name w:val="EmailStyle3861"/>
    <w:basedOn w:val="DefaultParagraphFont"/>
    <w:semiHidden/>
    <w:rsid w:val="006D4FD3"/>
    <w:rPr>
      <w:rFonts w:ascii="Arial" w:hAnsi="Arial" w:cs="Arial"/>
      <w:color w:val="000080"/>
      <w:sz w:val="20"/>
    </w:rPr>
  </w:style>
  <w:style w:type="character" w:customStyle="1" w:styleId="EmailStyle3871">
    <w:name w:val="EmailStyle3871"/>
    <w:basedOn w:val="DefaultParagraphFont"/>
    <w:semiHidden/>
    <w:rsid w:val="006D4FD3"/>
    <w:rPr>
      <w:rFonts w:ascii="Arial" w:hAnsi="Arial" w:cs="Arial"/>
      <w:color w:val="993366"/>
      <w:sz w:val="20"/>
    </w:rPr>
  </w:style>
  <w:style w:type="character" w:customStyle="1" w:styleId="EmailStyle3881">
    <w:name w:val="EmailStyle3881"/>
    <w:basedOn w:val="DefaultParagraphFont"/>
    <w:semiHidden/>
    <w:rsid w:val="006D4FD3"/>
    <w:rPr>
      <w:rFonts w:ascii="Arial" w:hAnsi="Arial" w:cs="Arial"/>
      <w:color w:val="000080"/>
      <w:sz w:val="20"/>
    </w:rPr>
  </w:style>
  <w:style w:type="character" w:customStyle="1" w:styleId="EmailStyle3891">
    <w:name w:val="EmailStyle3891"/>
    <w:basedOn w:val="DefaultParagraphFont"/>
    <w:semiHidden/>
    <w:rsid w:val="006D4FD3"/>
    <w:rPr>
      <w:rFonts w:ascii="Arial" w:hAnsi="Arial" w:cs="Arial"/>
      <w:color w:val="993366"/>
      <w:sz w:val="20"/>
    </w:rPr>
  </w:style>
  <w:style w:type="character" w:customStyle="1" w:styleId="EmailStyle3901">
    <w:name w:val="EmailStyle3901"/>
    <w:basedOn w:val="DefaultParagraphFont"/>
    <w:semiHidden/>
    <w:rsid w:val="006D4FD3"/>
    <w:rPr>
      <w:rFonts w:ascii="Arial" w:hAnsi="Arial" w:cs="Arial"/>
      <w:color w:val="000080"/>
      <w:sz w:val="20"/>
    </w:rPr>
  </w:style>
  <w:style w:type="character" w:customStyle="1" w:styleId="EmailStyle3911">
    <w:name w:val="EmailStyle3911"/>
    <w:basedOn w:val="DefaultParagraphFont"/>
    <w:semiHidden/>
    <w:rsid w:val="006D4FD3"/>
    <w:rPr>
      <w:rFonts w:ascii="Arial" w:hAnsi="Arial" w:cs="Arial"/>
      <w:color w:val="993366"/>
      <w:sz w:val="20"/>
    </w:rPr>
  </w:style>
  <w:style w:type="character" w:customStyle="1" w:styleId="EmailStyle3921">
    <w:name w:val="EmailStyle3921"/>
    <w:basedOn w:val="DefaultParagraphFont"/>
    <w:semiHidden/>
    <w:rsid w:val="006D4FD3"/>
    <w:rPr>
      <w:rFonts w:ascii="Arial" w:hAnsi="Arial" w:cs="Arial"/>
      <w:color w:val="000080"/>
      <w:sz w:val="20"/>
    </w:rPr>
  </w:style>
  <w:style w:type="character" w:customStyle="1" w:styleId="EmailStyle3931">
    <w:name w:val="EmailStyle3931"/>
    <w:basedOn w:val="DefaultParagraphFont"/>
    <w:semiHidden/>
    <w:rsid w:val="006D4FD3"/>
    <w:rPr>
      <w:rFonts w:ascii="Arial" w:hAnsi="Arial" w:cs="Arial"/>
      <w:color w:val="993366"/>
      <w:sz w:val="20"/>
    </w:rPr>
  </w:style>
  <w:style w:type="character" w:customStyle="1" w:styleId="EmailStyle3941">
    <w:name w:val="EmailStyle3941"/>
    <w:basedOn w:val="DefaultParagraphFont"/>
    <w:semiHidden/>
    <w:rsid w:val="006D4FD3"/>
    <w:rPr>
      <w:rFonts w:ascii="Arial" w:hAnsi="Arial" w:cs="Arial"/>
      <w:color w:val="000080"/>
      <w:sz w:val="20"/>
    </w:rPr>
  </w:style>
  <w:style w:type="character" w:customStyle="1" w:styleId="EmailStyle3951">
    <w:name w:val="EmailStyle3951"/>
    <w:basedOn w:val="DefaultParagraphFont"/>
    <w:semiHidden/>
    <w:rsid w:val="006D4FD3"/>
    <w:rPr>
      <w:rFonts w:ascii="Arial" w:hAnsi="Arial" w:cs="Arial"/>
      <w:color w:val="993366"/>
      <w:sz w:val="20"/>
    </w:rPr>
  </w:style>
  <w:style w:type="character" w:customStyle="1" w:styleId="EmailStyle3961">
    <w:name w:val="EmailStyle3961"/>
    <w:basedOn w:val="DefaultParagraphFont"/>
    <w:semiHidden/>
    <w:rsid w:val="006D4FD3"/>
    <w:rPr>
      <w:rFonts w:ascii="Arial" w:hAnsi="Arial" w:cs="Arial"/>
      <w:color w:val="000080"/>
      <w:sz w:val="20"/>
    </w:rPr>
  </w:style>
  <w:style w:type="character" w:customStyle="1" w:styleId="EmailStyle3971">
    <w:name w:val="EmailStyle3971"/>
    <w:basedOn w:val="DefaultParagraphFont"/>
    <w:semiHidden/>
    <w:rsid w:val="006D4FD3"/>
    <w:rPr>
      <w:rFonts w:ascii="Arial" w:hAnsi="Arial" w:cs="Arial"/>
      <w:color w:val="993366"/>
      <w:sz w:val="20"/>
    </w:rPr>
  </w:style>
  <w:style w:type="character" w:customStyle="1" w:styleId="EmailStyle3981">
    <w:name w:val="EmailStyle3981"/>
    <w:basedOn w:val="DefaultParagraphFont"/>
    <w:semiHidden/>
    <w:rsid w:val="006D4FD3"/>
    <w:rPr>
      <w:rFonts w:ascii="Arial" w:hAnsi="Arial" w:cs="Arial"/>
      <w:color w:val="000080"/>
      <w:sz w:val="20"/>
    </w:rPr>
  </w:style>
  <w:style w:type="character" w:customStyle="1" w:styleId="EmailStyle3991">
    <w:name w:val="EmailStyle3991"/>
    <w:basedOn w:val="DefaultParagraphFont"/>
    <w:semiHidden/>
    <w:rsid w:val="006D4FD3"/>
    <w:rPr>
      <w:rFonts w:ascii="Arial" w:hAnsi="Arial" w:cs="Arial"/>
      <w:color w:val="993366"/>
      <w:sz w:val="20"/>
    </w:rPr>
  </w:style>
  <w:style w:type="character" w:customStyle="1" w:styleId="EmailStyle4001">
    <w:name w:val="EmailStyle4001"/>
    <w:basedOn w:val="DefaultParagraphFont"/>
    <w:semiHidden/>
    <w:rsid w:val="006D4FD3"/>
    <w:rPr>
      <w:rFonts w:ascii="Arial" w:hAnsi="Arial" w:cs="Arial"/>
      <w:color w:val="000080"/>
      <w:sz w:val="20"/>
    </w:rPr>
  </w:style>
  <w:style w:type="character" w:customStyle="1" w:styleId="EmailStyle4011">
    <w:name w:val="EmailStyle4011"/>
    <w:basedOn w:val="DefaultParagraphFont"/>
    <w:semiHidden/>
    <w:rsid w:val="006D4FD3"/>
    <w:rPr>
      <w:rFonts w:ascii="Arial" w:hAnsi="Arial" w:cs="Arial"/>
      <w:color w:val="993366"/>
      <w:sz w:val="20"/>
    </w:rPr>
  </w:style>
  <w:style w:type="character" w:customStyle="1" w:styleId="EmailStyle4021">
    <w:name w:val="EmailStyle4021"/>
    <w:basedOn w:val="DefaultParagraphFont"/>
    <w:semiHidden/>
    <w:rsid w:val="006D4FD3"/>
    <w:rPr>
      <w:rFonts w:ascii="Arial" w:hAnsi="Arial" w:cs="Arial"/>
      <w:color w:val="000080"/>
      <w:sz w:val="20"/>
    </w:rPr>
  </w:style>
  <w:style w:type="character" w:customStyle="1" w:styleId="EmailStyle4031">
    <w:name w:val="EmailStyle4031"/>
    <w:basedOn w:val="DefaultParagraphFont"/>
    <w:semiHidden/>
    <w:rsid w:val="006D4FD3"/>
    <w:rPr>
      <w:rFonts w:ascii="Arial" w:hAnsi="Arial" w:cs="Arial"/>
      <w:color w:val="993366"/>
      <w:sz w:val="20"/>
    </w:rPr>
  </w:style>
  <w:style w:type="character" w:customStyle="1" w:styleId="EmailStyle4041">
    <w:name w:val="EmailStyle4041"/>
    <w:basedOn w:val="DefaultParagraphFont"/>
    <w:semiHidden/>
    <w:rsid w:val="006D4FD3"/>
    <w:rPr>
      <w:rFonts w:ascii="Arial" w:hAnsi="Arial" w:cs="Arial"/>
      <w:color w:val="000080"/>
      <w:sz w:val="20"/>
    </w:rPr>
  </w:style>
  <w:style w:type="character" w:customStyle="1" w:styleId="EmailStyle4051">
    <w:name w:val="EmailStyle4051"/>
    <w:basedOn w:val="DefaultParagraphFont"/>
    <w:semiHidden/>
    <w:rsid w:val="006D4FD3"/>
    <w:rPr>
      <w:rFonts w:ascii="Arial" w:hAnsi="Arial" w:cs="Arial"/>
      <w:color w:val="993366"/>
      <w:sz w:val="20"/>
    </w:rPr>
  </w:style>
  <w:style w:type="character" w:customStyle="1" w:styleId="EmailStyle4061">
    <w:name w:val="EmailStyle4061"/>
    <w:basedOn w:val="DefaultParagraphFont"/>
    <w:semiHidden/>
    <w:rsid w:val="006D4FD3"/>
    <w:rPr>
      <w:rFonts w:ascii="Arial" w:hAnsi="Arial" w:cs="Arial"/>
      <w:color w:val="000080"/>
      <w:sz w:val="20"/>
    </w:rPr>
  </w:style>
  <w:style w:type="character" w:customStyle="1" w:styleId="EmailStyle4071">
    <w:name w:val="EmailStyle4071"/>
    <w:basedOn w:val="DefaultParagraphFont"/>
    <w:semiHidden/>
    <w:rsid w:val="006D4FD3"/>
    <w:rPr>
      <w:rFonts w:ascii="Arial" w:hAnsi="Arial" w:cs="Arial"/>
      <w:color w:val="993366"/>
      <w:sz w:val="20"/>
    </w:rPr>
  </w:style>
  <w:style w:type="character" w:customStyle="1" w:styleId="EmailStyle4081">
    <w:name w:val="EmailStyle4081"/>
    <w:basedOn w:val="DefaultParagraphFont"/>
    <w:semiHidden/>
    <w:rsid w:val="006D4FD3"/>
    <w:rPr>
      <w:rFonts w:ascii="Arial" w:hAnsi="Arial" w:cs="Arial"/>
      <w:color w:val="000080"/>
      <w:sz w:val="20"/>
    </w:rPr>
  </w:style>
  <w:style w:type="character" w:customStyle="1" w:styleId="EmailStyle4091">
    <w:name w:val="EmailStyle4091"/>
    <w:basedOn w:val="DefaultParagraphFont"/>
    <w:semiHidden/>
    <w:rsid w:val="006D4FD3"/>
    <w:rPr>
      <w:rFonts w:ascii="Arial" w:hAnsi="Arial" w:cs="Arial"/>
      <w:color w:val="993366"/>
      <w:sz w:val="20"/>
    </w:rPr>
  </w:style>
  <w:style w:type="character" w:customStyle="1" w:styleId="EmailStyle4101">
    <w:name w:val="EmailStyle4101"/>
    <w:basedOn w:val="DefaultParagraphFont"/>
    <w:semiHidden/>
    <w:rsid w:val="006D4FD3"/>
    <w:rPr>
      <w:rFonts w:ascii="Arial" w:hAnsi="Arial" w:cs="Arial"/>
      <w:color w:val="000080"/>
      <w:sz w:val="20"/>
    </w:rPr>
  </w:style>
  <w:style w:type="character" w:customStyle="1" w:styleId="EmailStyle4111">
    <w:name w:val="EmailStyle4111"/>
    <w:basedOn w:val="DefaultParagraphFont"/>
    <w:semiHidden/>
    <w:rsid w:val="006D4FD3"/>
    <w:rPr>
      <w:rFonts w:ascii="Arial" w:hAnsi="Arial" w:cs="Arial"/>
      <w:color w:val="993366"/>
      <w:sz w:val="20"/>
    </w:rPr>
  </w:style>
  <w:style w:type="character" w:customStyle="1" w:styleId="EmailStyle4121">
    <w:name w:val="EmailStyle4121"/>
    <w:basedOn w:val="DefaultParagraphFont"/>
    <w:semiHidden/>
    <w:rsid w:val="006D4FD3"/>
    <w:rPr>
      <w:rFonts w:ascii="Arial" w:hAnsi="Arial" w:cs="Arial"/>
      <w:color w:val="000080"/>
      <w:sz w:val="20"/>
    </w:rPr>
  </w:style>
  <w:style w:type="character" w:customStyle="1" w:styleId="EmailStyle4131">
    <w:name w:val="EmailStyle4131"/>
    <w:basedOn w:val="DefaultParagraphFont"/>
    <w:semiHidden/>
    <w:rsid w:val="006D4FD3"/>
    <w:rPr>
      <w:rFonts w:ascii="Arial" w:hAnsi="Arial" w:cs="Arial"/>
      <w:color w:val="993366"/>
      <w:sz w:val="20"/>
    </w:rPr>
  </w:style>
  <w:style w:type="character" w:customStyle="1" w:styleId="EmailStyle4141">
    <w:name w:val="EmailStyle4141"/>
    <w:basedOn w:val="DefaultParagraphFont"/>
    <w:semiHidden/>
    <w:rsid w:val="006D4FD3"/>
    <w:rPr>
      <w:rFonts w:ascii="Arial" w:hAnsi="Arial" w:cs="Arial"/>
      <w:color w:val="000080"/>
      <w:sz w:val="20"/>
    </w:rPr>
  </w:style>
  <w:style w:type="character" w:customStyle="1" w:styleId="EmailStyle4151">
    <w:name w:val="EmailStyle4151"/>
    <w:basedOn w:val="DefaultParagraphFont"/>
    <w:semiHidden/>
    <w:rsid w:val="006D4FD3"/>
    <w:rPr>
      <w:rFonts w:ascii="Arial" w:hAnsi="Arial" w:cs="Arial"/>
      <w:color w:val="993366"/>
      <w:sz w:val="20"/>
    </w:rPr>
  </w:style>
  <w:style w:type="character" w:customStyle="1" w:styleId="EmailStyle4161">
    <w:name w:val="EmailStyle4161"/>
    <w:basedOn w:val="DefaultParagraphFont"/>
    <w:semiHidden/>
    <w:rsid w:val="006D4FD3"/>
    <w:rPr>
      <w:rFonts w:ascii="Arial" w:hAnsi="Arial" w:cs="Arial"/>
      <w:color w:val="000080"/>
      <w:sz w:val="20"/>
    </w:rPr>
  </w:style>
  <w:style w:type="character" w:customStyle="1" w:styleId="EmailStyle4171">
    <w:name w:val="EmailStyle4171"/>
    <w:basedOn w:val="DefaultParagraphFont"/>
    <w:semiHidden/>
    <w:rsid w:val="006D4FD3"/>
    <w:rPr>
      <w:rFonts w:ascii="Arial" w:hAnsi="Arial" w:cs="Arial"/>
      <w:color w:val="993366"/>
      <w:sz w:val="20"/>
    </w:rPr>
  </w:style>
  <w:style w:type="character" w:customStyle="1" w:styleId="EmailStyle4181">
    <w:name w:val="EmailStyle4181"/>
    <w:basedOn w:val="DefaultParagraphFont"/>
    <w:semiHidden/>
    <w:rsid w:val="006D4FD3"/>
    <w:rPr>
      <w:rFonts w:ascii="Arial" w:hAnsi="Arial" w:cs="Arial"/>
      <w:color w:val="000080"/>
      <w:sz w:val="20"/>
    </w:rPr>
  </w:style>
  <w:style w:type="character" w:customStyle="1" w:styleId="EmailStyle4191">
    <w:name w:val="EmailStyle4191"/>
    <w:basedOn w:val="DefaultParagraphFont"/>
    <w:semiHidden/>
    <w:rsid w:val="006D4FD3"/>
    <w:rPr>
      <w:rFonts w:ascii="Arial" w:hAnsi="Arial" w:cs="Arial"/>
      <w:color w:val="993366"/>
      <w:sz w:val="20"/>
    </w:rPr>
  </w:style>
  <w:style w:type="character" w:customStyle="1" w:styleId="EmailStyle4201">
    <w:name w:val="EmailStyle4201"/>
    <w:basedOn w:val="DefaultParagraphFont"/>
    <w:semiHidden/>
    <w:rsid w:val="006D4FD3"/>
    <w:rPr>
      <w:rFonts w:ascii="Arial" w:hAnsi="Arial" w:cs="Arial"/>
      <w:color w:val="000080"/>
      <w:sz w:val="20"/>
    </w:rPr>
  </w:style>
  <w:style w:type="character" w:customStyle="1" w:styleId="EmailStyle4211">
    <w:name w:val="EmailStyle4211"/>
    <w:basedOn w:val="DefaultParagraphFont"/>
    <w:semiHidden/>
    <w:rsid w:val="006D4FD3"/>
    <w:rPr>
      <w:rFonts w:ascii="Arial" w:hAnsi="Arial" w:cs="Arial"/>
      <w:color w:val="993366"/>
      <w:sz w:val="20"/>
    </w:rPr>
  </w:style>
  <w:style w:type="character" w:customStyle="1" w:styleId="EmailStyle4221">
    <w:name w:val="EmailStyle4221"/>
    <w:basedOn w:val="DefaultParagraphFont"/>
    <w:semiHidden/>
    <w:rsid w:val="006D4FD3"/>
    <w:rPr>
      <w:rFonts w:ascii="Arial" w:hAnsi="Arial" w:cs="Arial"/>
      <w:color w:val="000080"/>
      <w:sz w:val="20"/>
    </w:rPr>
  </w:style>
  <w:style w:type="character" w:customStyle="1" w:styleId="EmailStyle4231">
    <w:name w:val="EmailStyle4231"/>
    <w:basedOn w:val="DefaultParagraphFont"/>
    <w:semiHidden/>
    <w:rsid w:val="006D4FD3"/>
    <w:rPr>
      <w:rFonts w:ascii="Arial" w:hAnsi="Arial" w:cs="Arial"/>
      <w:color w:val="993366"/>
      <w:sz w:val="20"/>
    </w:rPr>
  </w:style>
  <w:style w:type="character" w:customStyle="1" w:styleId="EmailStyle4241">
    <w:name w:val="EmailStyle4241"/>
    <w:basedOn w:val="DefaultParagraphFont"/>
    <w:semiHidden/>
    <w:rsid w:val="006D4FD3"/>
    <w:rPr>
      <w:rFonts w:ascii="Arial" w:hAnsi="Arial" w:cs="Arial"/>
      <w:color w:val="000080"/>
      <w:sz w:val="20"/>
    </w:rPr>
  </w:style>
  <w:style w:type="character" w:customStyle="1" w:styleId="EmailStyle4251">
    <w:name w:val="EmailStyle4251"/>
    <w:basedOn w:val="DefaultParagraphFont"/>
    <w:semiHidden/>
    <w:rsid w:val="006D4FD3"/>
    <w:rPr>
      <w:rFonts w:ascii="Arial" w:hAnsi="Arial" w:cs="Arial"/>
      <w:color w:val="993366"/>
      <w:sz w:val="20"/>
    </w:rPr>
  </w:style>
  <w:style w:type="character" w:customStyle="1" w:styleId="EmailStyle4261">
    <w:name w:val="EmailStyle4261"/>
    <w:basedOn w:val="DefaultParagraphFont"/>
    <w:semiHidden/>
    <w:rsid w:val="006D4FD3"/>
    <w:rPr>
      <w:rFonts w:ascii="Arial" w:hAnsi="Arial" w:cs="Arial"/>
      <w:color w:val="000080"/>
      <w:sz w:val="20"/>
    </w:rPr>
  </w:style>
  <w:style w:type="character" w:customStyle="1" w:styleId="EmailStyle4271">
    <w:name w:val="EmailStyle4271"/>
    <w:basedOn w:val="DefaultParagraphFont"/>
    <w:semiHidden/>
    <w:rsid w:val="006D4FD3"/>
    <w:rPr>
      <w:rFonts w:ascii="Arial" w:hAnsi="Arial" w:cs="Arial"/>
      <w:color w:val="993366"/>
      <w:sz w:val="20"/>
    </w:rPr>
  </w:style>
  <w:style w:type="character" w:customStyle="1" w:styleId="EmailStyle4281">
    <w:name w:val="EmailStyle4281"/>
    <w:basedOn w:val="DefaultParagraphFont"/>
    <w:semiHidden/>
    <w:rsid w:val="006D4FD3"/>
    <w:rPr>
      <w:rFonts w:ascii="Arial" w:hAnsi="Arial" w:cs="Arial"/>
      <w:color w:val="000080"/>
      <w:sz w:val="20"/>
    </w:rPr>
  </w:style>
  <w:style w:type="character" w:customStyle="1" w:styleId="EmailStyle4291">
    <w:name w:val="EmailStyle4291"/>
    <w:basedOn w:val="DefaultParagraphFont"/>
    <w:semiHidden/>
    <w:rsid w:val="006D4FD3"/>
    <w:rPr>
      <w:rFonts w:ascii="Arial" w:hAnsi="Arial" w:cs="Arial"/>
      <w:color w:val="993366"/>
      <w:sz w:val="20"/>
    </w:rPr>
  </w:style>
  <w:style w:type="character" w:customStyle="1" w:styleId="EmailStyle4301">
    <w:name w:val="EmailStyle4301"/>
    <w:basedOn w:val="DefaultParagraphFont"/>
    <w:semiHidden/>
    <w:rsid w:val="006D4FD3"/>
    <w:rPr>
      <w:rFonts w:ascii="Arial" w:hAnsi="Arial" w:cs="Arial"/>
      <w:color w:val="000080"/>
      <w:sz w:val="20"/>
    </w:rPr>
  </w:style>
  <w:style w:type="character" w:customStyle="1" w:styleId="EmailStyle4311">
    <w:name w:val="EmailStyle4311"/>
    <w:basedOn w:val="DefaultParagraphFont"/>
    <w:semiHidden/>
    <w:rsid w:val="006D4FD3"/>
    <w:rPr>
      <w:rFonts w:ascii="Arial" w:hAnsi="Arial" w:cs="Arial"/>
      <w:color w:val="000080"/>
      <w:sz w:val="20"/>
    </w:rPr>
  </w:style>
  <w:style w:type="character" w:customStyle="1" w:styleId="EmailStyle4321">
    <w:name w:val="EmailStyle4321"/>
    <w:basedOn w:val="DefaultParagraphFont"/>
    <w:semiHidden/>
    <w:rsid w:val="006D4FD3"/>
    <w:rPr>
      <w:rFonts w:ascii="Arial" w:hAnsi="Arial" w:cs="Arial"/>
      <w:color w:val="993366"/>
      <w:sz w:val="20"/>
    </w:rPr>
  </w:style>
  <w:style w:type="character" w:customStyle="1" w:styleId="EmailStyle4331">
    <w:name w:val="EmailStyle4331"/>
    <w:basedOn w:val="DefaultParagraphFont"/>
    <w:semiHidden/>
    <w:rsid w:val="006D4FD3"/>
    <w:rPr>
      <w:rFonts w:ascii="Arial" w:hAnsi="Arial" w:cs="Arial"/>
      <w:color w:val="000080"/>
      <w:sz w:val="20"/>
    </w:rPr>
  </w:style>
  <w:style w:type="character" w:customStyle="1" w:styleId="EmailStyle4341">
    <w:name w:val="EmailStyle4341"/>
    <w:basedOn w:val="DefaultParagraphFont"/>
    <w:semiHidden/>
    <w:rsid w:val="006D4FD3"/>
    <w:rPr>
      <w:rFonts w:ascii="Arial" w:hAnsi="Arial" w:cs="Arial"/>
      <w:color w:val="993366"/>
      <w:sz w:val="20"/>
    </w:rPr>
  </w:style>
  <w:style w:type="character" w:customStyle="1" w:styleId="EmailStyle4351">
    <w:name w:val="EmailStyle4351"/>
    <w:basedOn w:val="DefaultParagraphFont"/>
    <w:semiHidden/>
    <w:rsid w:val="006D4FD3"/>
    <w:rPr>
      <w:rFonts w:ascii="Arial" w:hAnsi="Arial" w:cs="Arial"/>
      <w:color w:val="000080"/>
      <w:sz w:val="20"/>
    </w:rPr>
  </w:style>
  <w:style w:type="character" w:customStyle="1" w:styleId="EmailStyle4361">
    <w:name w:val="EmailStyle4361"/>
    <w:basedOn w:val="DefaultParagraphFont"/>
    <w:semiHidden/>
    <w:rsid w:val="006D4FD3"/>
    <w:rPr>
      <w:rFonts w:ascii="Arial" w:hAnsi="Arial" w:cs="Arial"/>
      <w:color w:val="000080"/>
      <w:sz w:val="20"/>
    </w:rPr>
  </w:style>
  <w:style w:type="character" w:customStyle="1" w:styleId="EmailStyle4371">
    <w:name w:val="EmailStyle4371"/>
    <w:basedOn w:val="DefaultParagraphFont"/>
    <w:semiHidden/>
    <w:rsid w:val="006D4FD3"/>
    <w:rPr>
      <w:rFonts w:ascii="Arial" w:hAnsi="Arial" w:cs="Arial"/>
      <w:color w:val="993366"/>
      <w:sz w:val="20"/>
    </w:rPr>
  </w:style>
  <w:style w:type="character" w:customStyle="1" w:styleId="EmailStyle4381">
    <w:name w:val="EmailStyle4381"/>
    <w:basedOn w:val="DefaultParagraphFont"/>
    <w:semiHidden/>
    <w:rsid w:val="006D4FD3"/>
    <w:rPr>
      <w:rFonts w:ascii="Arial" w:hAnsi="Arial" w:cs="Arial"/>
      <w:color w:val="000080"/>
      <w:sz w:val="20"/>
    </w:rPr>
  </w:style>
  <w:style w:type="character" w:customStyle="1" w:styleId="EmailStyle4391">
    <w:name w:val="EmailStyle4391"/>
    <w:basedOn w:val="DefaultParagraphFont"/>
    <w:semiHidden/>
    <w:rsid w:val="006D4FD3"/>
    <w:rPr>
      <w:rFonts w:ascii="Arial" w:hAnsi="Arial" w:cs="Arial"/>
      <w:color w:val="993366"/>
      <w:sz w:val="20"/>
    </w:rPr>
  </w:style>
  <w:style w:type="character" w:customStyle="1" w:styleId="EmailStyle4401">
    <w:name w:val="EmailStyle4401"/>
    <w:basedOn w:val="DefaultParagraphFont"/>
    <w:semiHidden/>
    <w:rsid w:val="006D4FD3"/>
    <w:rPr>
      <w:rFonts w:ascii="Arial" w:hAnsi="Arial" w:cs="Arial"/>
      <w:color w:val="000080"/>
      <w:sz w:val="20"/>
    </w:rPr>
  </w:style>
  <w:style w:type="character" w:customStyle="1" w:styleId="EmailStyle4411">
    <w:name w:val="EmailStyle4411"/>
    <w:basedOn w:val="DefaultParagraphFont"/>
    <w:semiHidden/>
    <w:rsid w:val="006D4FD3"/>
    <w:rPr>
      <w:rFonts w:ascii="Arial" w:hAnsi="Arial" w:cs="Arial"/>
      <w:color w:val="000080"/>
      <w:sz w:val="20"/>
    </w:rPr>
  </w:style>
  <w:style w:type="character" w:customStyle="1" w:styleId="EmailStyle4421">
    <w:name w:val="EmailStyle4421"/>
    <w:basedOn w:val="DefaultParagraphFont"/>
    <w:semiHidden/>
    <w:rsid w:val="006D4FD3"/>
    <w:rPr>
      <w:rFonts w:ascii="Arial" w:hAnsi="Arial" w:cs="Arial"/>
      <w:color w:val="993366"/>
      <w:sz w:val="20"/>
    </w:rPr>
  </w:style>
  <w:style w:type="character" w:customStyle="1" w:styleId="EmailStyle4431">
    <w:name w:val="EmailStyle4431"/>
    <w:basedOn w:val="DefaultParagraphFont"/>
    <w:semiHidden/>
    <w:rsid w:val="006D4FD3"/>
    <w:rPr>
      <w:rFonts w:ascii="Arial" w:hAnsi="Arial" w:cs="Arial"/>
      <w:color w:val="000080"/>
      <w:sz w:val="20"/>
    </w:rPr>
  </w:style>
  <w:style w:type="character" w:customStyle="1" w:styleId="EmailStyle4441">
    <w:name w:val="EmailStyle4441"/>
    <w:basedOn w:val="DefaultParagraphFont"/>
    <w:semiHidden/>
    <w:rsid w:val="006D4FD3"/>
    <w:rPr>
      <w:rFonts w:ascii="Arial" w:hAnsi="Arial" w:cs="Arial"/>
      <w:color w:val="993366"/>
      <w:sz w:val="20"/>
    </w:rPr>
  </w:style>
  <w:style w:type="character" w:customStyle="1" w:styleId="EmailStyle4451">
    <w:name w:val="EmailStyle4451"/>
    <w:basedOn w:val="DefaultParagraphFont"/>
    <w:semiHidden/>
    <w:rsid w:val="006D4FD3"/>
    <w:rPr>
      <w:rFonts w:ascii="Arial" w:hAnsi="Arial" w:cs="Arial"/>
      <w:color w:val="000080"/>
      <w:sz w:val="20"/>
    </w:rPr>
  </w:style>
  <w:style w:type="character" w:customStyle="1" w:styleId="EmailStyle4461">
    <w:name w:val="EmailStyle4461"/>
    <w:basedOn w:val="DefaultParagraphFont"/>
    <w:semiHidden/>
    <w:rsid w:val="006D4FD3"/>
    <w:rPr>
      <w:rFonts w:ascii="Arial" w:hAnsi="Arial" w:cs="Arial"/>
      <w:color w:val="000080"/>
      <w:sz w:val="20"/>
    </w:rPr>
  </w:style>
  <w:style w:type="character" w:customStyle="1" w:styleId="EmailStyle448">
    <w:name w:val="EmailStyle448"/>
    <w:basedOn w:val="DefaultParagraphFont"/>
    <w:semiHidden/>
    <w:rsid w:val="00442BD0"/>
    <w:rPr>
      <w:rFonts w:ascii="Arial" w:hAnsi="Arial" w:cs="Arial"/>
      <w:color w:val="993366"/>
      <w:sz w:val="20"/>
    </w:rPr>
  </w:style>
  <w:style w:type="character" w:customStyle="1" w:styleId="EmailStyle449">
    <w:name w:val="EmailStyle449"/>
    <w:basedOn w:val="DefaultParagraphFont"/>
    <w:semiHidden/>
    <w:rsid w:val="00442BD0"/>
    <w:rPr>
      <w:rFonts w:ascii="Arial" w:hAnsi="Arial" w:cs="Arial"/>
      <w:color w:val="000080"/>
      <w:sz w:val="20"/>
    </w:rPr>
  </w:style>
  <w:style w:type="character" w:customStyle="1" w:styleId="EmailStyle450">
    <w:name w:val="EmailStyle450"/>
    <w:basedOn w:val="DefaultParagraphFont"/>
    <w:semiHidden/>
    <w:rsid w:val="00442BD0"/>
    <w:rPr>
      <w:rFonts w:ascii="Arial" w:hAnsi="Arial" w:cs="Arial"/>
      <w:color w:val="993366"/>
      <w:sz w:val="20"/>
    </w:rPr>
  </w:style>
  <w:style w:type="character" w:customStyle="1" w:styleId="EmailStyle451">
    <w:name w:val="EmailStyle451"/>
    <w:basedOn w:val="DefaultParagraphFont"/>
    <w:semiHidden/>
    <w:rsid w:val="00442BD0"/>
    <w:rPr>
      <w:rFonts w:ascii="Arial" w:hAnsi="Arial" w:cs="Arial"/>
      <w:color w:val="000080"/>
      <w:sz w:val="20"/>
    </w:rPr>
  </w:style>
  <w:style w:type="character" w:customStyle="1" w:styleId="EmailStyle452">
    <w:name w:val="EmailStyle452"/>
    <w:basedOn w:val="DefaultParagraphFont"/>
    <w:semiHidden/>
    <w:rsid w:val="00442BD0"/>
    <w:rPr>
      <w:rFonts w:ascii="Arial" w:hAnsi="Arial" w:cs="Arial"/>
      <w:color w:val="993366"/>
      <w:sz w:val="20"/>
    </w:rPr>
  </w:style>
  <w:style w:type="character" w:customStyle="1" w:styleId="EmailStyle453">
    <w:name w:val="EmailStyle453"/>
    <w:basedOn w:val="DefaultParagraphFont"/>
    <w:semiHidden/>
    <w:rsid w:val="00442BD0"/>
    <w:rPr>
      <w:rFonts w:ascii="Arial" w:hAnsi="Arial" w:cs="Arial"/>
      <w:color w:val="000080"/>
      <w:sz w:val="20"/>
    </w:rPr>
  </w:style>
  <w:style w:type="character" w:customStyle="1" w:styleId="EmailStyle454">
    <w:name w:val="EmailStyle454"/>
    <w:basedOn w:val="DefaultParagraphFont"/>
    <w:semiHidden/>
    <w:rsid w:val="00442BD0"/>
    <w:rPr>
      <w:rFonts w:ascii="Arial" w:hAnsi="Arial" w:cs="Arial"/>
      <w:color w:val="993366"/>
      <w:sz w:val="20"/>
    </w:rPr>
  </w:style>
  <w:style w:type="character" w:customStyle="1" w:styleId="EmailStyle455">
    <w:name w:val="EmailStyle455"/>
    <w:basedOn w:val="DefaultParagraphFont"/>
    <w:semiHidden/>
    <w:rsid w:val="00442BD0"/>
    <w:rPr>
      <w:rFonts w:ascii="Arial" w:hAnsi="Arial" w:cs="Arial"/>
      <w:color w:val="000080"/>
      <w:sz w:val="20"/>
    </w:rPr>
  </w:style>
  <w:style w:type="character" w:customStyle="1" w:styleId="EmailStyle456">
    <w:name w:val="EmailStyle456"/>
    <w:basedOn w:val="DefaultParagraphFont"/>
    <w:semiHidden/>
    <w:rsid w:val="00442BD0"/>
    <w:rPr>
      <w:rFonts w:ascii="Arial" w:hAnsi="Arial" w:cs="Arial"/>
      <w:color w:val="993366"/>
      <w:sz w:val="20"/>
    </w:rPr>
  </w:style>
  <w:style w:type="character" w:customStyle="1" w:styleId="EmailStyle457">
    <w:name w:val="EmailStyle457"/>
    <w:basedOn w:val="DefaultParagraphFont"/>
    <w:semiHidden/>
    <w:rsid w:val="00442BD0"/>
    <w:rPr>
      <w:rFonts w:ascii="Arial" w:hAnsi="Arial" w:cs="Arial"/>
      <w:color w:val="000080"/>
      <w:sz w:val="20"/>
    </w:rPr>
  </w:style>
  <w:style w:type="character" w:customStyle="1" w:styleId="EmailStyle458">
    <w:name w:val="EmailStyle458"/>
    <w:basedOn w:val="DefaultParagraphFont"/>
    <w:semiHidden/>
    <w:rsid w:val="00442BD0"/>
    <w:rPr>
      <w:rFonts w:ascii="Arial" w:hAnsi="Arial" w:cs="Arial"/>
      <w:color w:val="993366"/>
      <w:sz w:val="20"/>
    </w:rPr>
  </w:style>
  <w:style w:type="character" w:customStyle="1" w:styleId="EmailStyle459">
    <w:name w:val="EmailStyle459"/>
    <w:basedOn w:val="DefaultParagraphFont"/>
    <w:semiHidden/>
    <w:rsid w:val="00442BD0"/>
    <w:rPr>
      <w:rFonts w:ascii="Arial" w:hAnsi="Arial" w:cs="Arial"/>
      <w:color w:val="000080"/>
      <w:sz w:val="20"/>
    </w:rPr>
  </w:style>
  <w:style w:type="character" w:customStyle="1" w:styleId="EmailStyle460">
    <w:name w:val="EmailStyle460"/>
    <w:basedOn w:val="DefaultParagraphFont"/>
    <w:semiHidden/>
    <w:rsid w:val="00442BD0"/>
    <w:rPr>
      <w:rFonts w:ascii="Arial" w:hAnsi="Arial" w:cs="Arial"/>
      <w:color w:val="993366"/>
      <w:sz w:val="20"/>
    </w:rPr>
  </w:style>
  <w:style w:type="character" w:customStyle="1" w:styleId="EmailStyle461">
    <w:name w:val="EmailStyle461"/>
    <w:basedOn w:val="DefaultParagraphFont"/>
    <w:semiHidden/>
    <w:rsid w:val="00442BD0"/>
    <w:rPr>
      <w:rFonts w:ascii="Arial" w:hAnsi="Arial" w:cs="Arial"/>
      <w:color w:val="000080"/>
      <w:sz w:val="20"/>
    </w:rPr>
  </w:style>
  <w:style w:type="character" w:customStyle="1" w:styleId="EmailStyle462">
    <w:name w:val="EmailStyle462"/>
    <w:basedOn w:val="DefaultParagraphFont"/>
    <w:semiHidden/>
    <w:rsid w:val="00442BD0"/>
    <w:rPr>
      <w:rFonts w:ascii="Arial" w:hAnsi="Arial" w:cs="Arial"/>
      <w:color w:val="993366"/>
      <w:sz w:val="20"/>
    </w:rPr>
  </w:style>
  <w:style w:type="character" w:customStyle="1" w:styleId="EmailStyle463">
    <w:name w:val="EmailStyle463"/>
    <w:basedOn w:val="DefaultParagraphFont"/>
    <w:semiHidden/>
    <w:rsid w:val="00442BD0"/>
    <w:rPr>
      <w:rFonts w:ascii="Arial" w:hAnsi="Arial" w:cs="Arial"/>
      <w:color w:val="000080"/>
      <w:sz w:val="20"/>
    </w:rPr>
  </w:style>
  <w:style w:type="character" w:customStyle="1" w:styleId="EmailStyle464">
    <w:name w:val="EmailStyle464"/>
    <w:basedOn w:val="DefaultParagraphFont"/>
    <w:semiHidden/>
    <w:rsid w:val="00442BD0"/>
    <w:rPr>
      <w:rFonts w:ascii="Arial" w:hAnsi="Arial" w:cs="Arial"/>
      <w:color w:val="993366"/>
      <w:sz w:val="20"/>
    </w:rPr>
  </w:style>
  <w:style w:type="character" w:customStyle="1" w:styleId="EmailStyle465">
    <w:name w:val="EmailStyle465"/>
    <w:basedOn w:val="DefaultParagraphFont"/>
    <w:semiHidden/>
    <w:rsid w:val="00442BD0"/>
    <w:rPr>
      <w:rFonts w:ascii="Arial" w:hAnsi="Arial" w:cs="Arial"/>
      <w:color w:val="000080"/>
      <w:sz w:val="20"/>
    </w:rPr>
  </w:style>
  <w:style w:type="character" w:customStyle="1" w:styleId="EmailStyle466">
    <w:name w:val="EmailStyle466"/>
    <w:basedOn w:val="DefaultParagraphFont"/>
    <w:semiHidden/>
    <w:rsid w:val="00442BD0"/>
    <w:rPr>
      <w:rFonts w:ascii="Arial" w:hAnsi="Arial" w:cs="Arial"/>
      <w:color w:val="993366"/>
      <w:sz w:val="20"/>
    </w:rPr>
  </w:style>
  <w:style w:type="character" w:customStyle="1" w:styleId="EmailStyle467">
    <w:name w:val="EmailStyle467"/>
    <w:basedOn w:val="DefaultParagraphFont"/>
    <w:semiHidden/>
    <w:rsid w:val="00442BD0"/>
    <w:rPr>
      <w:rFonts w:ascii="Arial" w:hAnsi="Arial" w:cs="Arial"/>
      <w:color w:val="000080"/>
      <w:sz w:val="20"/>
    </w:rPr>
  </w:style>
  <w:style w:type="character" w:customStyle="1" w:styleId="EmailStyle468">
    <w:name w:val="EmailStyle468"/>
    <w:basedOn w:val="DefaultParagraphFont"/>
    <w:semiHidden/>
    <w:rsid w:val="00442BD0"/>
    <w:rPr>
      <w:rFonts w:ascii="Arial" w:hAnsi="Arial" w:cs="Arial"/>
      <w:color w:val="993366"/>
      <w:sz w:val="20"/>
    </w:rPr>
  </w:style>
  <w:style w:type="character" w:customStyle="1" w:styleId="EmailStyle469">
    <w:name w:val="EmailStyle469"/>
    <w:basedOn w:val="DefaultParagraphFont"/>
    <w:semiHidden/>
    <w:rsid w:val="00442BD0"/>
    <w:rPr>
      <w:rFonts w:ascii="Arial" w:hAnsi="Arial" w:cs="Arial"/>
      <w:color w:val="000080"/>
      <w:sz w:val="20"/>
    </w:rPr>
  </w:style>
  <w:style w:type="character" w:customStyle="1" w:styleId="EmailStyle470">
    <w:name w:val="EmailStyle470"/>
    <w:basedOn w:val="DefaultParagraphFont"/>
    <w:semiHidden/>
    <w:rsid w:val="00442BD0"/>
    <w:rPr>
      <w:rFonts w:ascii="Arial" w:hAnsi="Arial" w:cs="Arial"/>
      <w:color w:val="993366"/>
      <w:sz w:val="20"/>
    </w:rPr>
  </w:style>
  <w:style w:type="character" w:customStyle="1" w:styleId="EmailStyle471">
    <w:name w:val="EmailStyle471"/>
    <w:basedOn w:val="DefaultParagraphFont"/>
    <w:semiHidden/>
    <w:rsid w:val="00442BD0"/>
    <w:rPr>
      <w:rFonts w:ascii="Arial" w:hAnsi="Arial" w:cs="Arial"/>
      <w:color w:val="000080"/>
      <w:sz w:val="20"/>
    </w:rPr>
  </w:style>
  <w:style w:type="character" w:customStyle="1" w:styleId="EmailStyle472">
    <w:name w:val="EmailStyle472"/>
    <w:basedOn w:val="DefaultParagraphFont"/>
    <w:semiHidden/>
    <w:rsid w:val="00442BD0"/>
    <w:rPr>
      <w:rFonts w:ascii="Arial" w:hAnsi="Arial" w:cs="Arial"/>
      <w:color w:val="993366"/>
      <w:sz w:val="20"/>
    </w:rPr>
  </w:style>
  <w:style w:type="character" w:customStyle="1" w:styleId="EmailStyle473">
    <w:name w:val="EmailStyle473"/>
    <w:basedOn w:val="DefaultParagraphFont"/>
    <w:semiHidden/>
    <w:rsid w:val="00442BD0"/>
    <w:rPr>
      <w:rFonts w:ascii="Arial" w:hAnsi="Arial" w:cs="Arial"/>
      <w:color w:val="000080"/>
      <w:sz w:val="20"/>
    </w:rPr>
  </w:style>
  <w:style w:type="character" w:customStyle="1" w:styleId="EmailStyle474">
    <w:name w:val="EmailStyle474"/>
    <w:basedOn w:val="DefaultParagraphFont"/>
    <w:semiHidden/>
    <w:rsid w:val="00442BD0"/>
    <w:rPr>
      <w:rFonts w:ascii="Arial" w:hAnsi="Arial" w:cs="Arial"/>
      <w:color w:val="993366"/>
      <w:sz w:val="20"/>
    </w:rPr>
  </w:style>
  <w:style w:type="character" w:customStyle="1" w:styleId="EmailStyle475">
    <w:name w:val="EmailStyle475"/>
    <w:basedOn w:val="DefaultParagraphFont"/>
    <w:semiHidden/>
    <w:rsid w:val="00442BD0"/>
    <w:rPr>
      <w:rFonts w:ascii="Arial" w:hAnsi="Arial" w:cs="Arial"/>
      <w:color w:val="000080"/>
      <w:sz w:val="20"/>
    </w:rPr>
  </w:style>
  <w:style w:type="character" w:customStyle="1" w:styleId="EmailStyle476">
    <w:name w:val="EmailStyle476"/>
    <w:basedOn w:val="DefaultParagraphFont"/>
    <w:semiHidden/>
    <w:rsid w:val="00442BD0"/>
    <w:rPr>
      <w:rFonts w:ascii="Arial" w:hAnsi="Arial" w:cs="Arial"/>
      <w:color w:val="993366"/>
      <w:sz w:val="20"/>
    </w:rPr>
  </w:style>
  <w:style w:type="character" w:customStyle="1" w:styleId="EmailStyle477">
    <w:name w:val="EmailStyle477"/>
    <w:basedOn w:val="DefaultParagraphFont"/>
    <w:semiHidden/>
    <w:rsid w:val="00442BD0"/>
    <w:rPr>
      <w:rFonts w:ascii="Arial" w:hAnsi="Arial" w:cs="Arial"/>
      <w:color w:val="000080"/>
      <w:sz w:val="20"/>
    </w:rPr>
  </w:style>
  <w:style w:type="character" w:customStyle="1" w:styleId="EmailStyle478">
    <w:name w:val="EmailStyle478"/>
    <w:basedOn w:val="DefaultParagraphFont"/>
    <w:semiHidden/>
    <w:rsid w:val="00442BD0"/>
    <w:rPr>
      <w:rFonts w:ascii="Arial" w:hAnsi="Arial" w:cs="Arial"/>
      <w:color w:val="993366"/>
      <w:sz w:val="20"/>
    </w:rPr>
  </w:style>
  <w:style w:type="character" w:customStyle="1" w:styleId="EmailStyle479">
    <w:name w:val="EmailStyle479"/>
    <w:basedOn w:val="DefaultParagraphFont"/>
    <w:semiHidden/>
    <w:rsid w:val="00442BD0"/>
    <w:rPr>
      <w:rFonts w:ascii="Arial" w:hAnsi="Arial" w:cs="Arial"/>
      <w:color w:val="000080"/>
      <w:sz w:val="20"/>
    </w:rPr>
  </w:style>
  <w:style w:type="character" w:customStyle="1" w:styleId="EmailStyle480">
    <w:name w:val="EmailStyle480"/>
    <w:basedOn w:val="DefaultParagraphFont"/>
    <w:semiHidden/>
    <w:rsid w:val="00442BD0"/>
    <w:rPr>
      <w:rFonts w:ascii="Arial" w:hAnsi="Arial" w:cs="Arial"/>
      <w:color w:val="993366"/>
      <w:sz w:val="20"/>
    </w:rPr>
  </w:style>
  <w:style w:type="character" w:customStyle="1" w:styleId="EmailStyle481">
    <w:name w:val="EmailStyle481"/>
    <w:basedOn w:val="DefaultParagraphFont"/>
    <w:semiHidden/>
    <w:rsid w:val="00442BD0"/>
    <w:rPr>
      <w:rFonts w:ascii="Arial" w:hAnsi="Arial" w:cs="Arial"/>
      <w:color w:val="000080"/>
      <w:sz w:val="20"/>
    </w:rPr>
  </w:style>
  <w:style w:type="character" w:customStyle="1" w:styleId="EmailStyle482">
    <w:name w:val="EmailStyle482"/>
    <w:basedOn w:val="DefaultParagraphFont"/>
    <w:semiHidden/>
    <w:rsid w:val="00442BD0"/>
    <w:rPr>
      <w:rFonts w:ascii="Arial" w:hAnsi="Arial" w:cs="Arial"/>
      <w:color w:val="993366"/>
      <w:sz w:val="20"/>
    </w:rPr>
  </w:style>
  <w:style w:type="character" w:customStyle="1" w:styleId="EmailStyle483">
    <w:name w:val="EmailStyle483"/>
    <w:basedOn w:val="DefaultParagraphFont"/>
    <w:semiHidden/>
    <w:rsid w:val="00442BD0"/>
    <w:rPr>
      <w:rFonts w:ascii="Arial" w:hAnsi="Arial" w:cs="Arial"/>
      <w:color w:val="000080"/>
      <w:sz w:val="20"/>
    </w:rPr>
  </w:style>
  <w:style w:type="character" w:customStyle="1" w:styleId="EmailStyle484">
    <w:name w:val="EmailStyle484"/>
    <w:basedOn w:val="DefaultParagraphFont"/>
    <w:semiHidden/>
    <w:rsid w:val="00442BD0"/>
    <w:rPr>
      <w:rFonts w:ascii="Arial" w:hAnsi="Arial" w:cs="Arial"/>
      <w:color w:val="993366"/>
      <w:sz w:val="20"/>
    </w:rPr>
  </w:style>
  <w:style w:type="character" w:customStyle="1" w:styleId="EmailStyle485">
    <w:name w:val="EmailStyle485"/>
    <w:basedOn w:val="DefaultParagraphFont"/>
    <w:semiHidden/>
    <w:rsid w:val="00442BD0"/>
    <w:rPr>
      <w:rFonts w:ascii="Arial" w:hAnsi="Arial" w:cs="Arial"/>
      <w:color w:val="000080"/>
      <w:sz w:val="20"/>
    </w:rPr>
  </w:style>
  <w:style w:type="character" w:customStyle="1" w:styleId="EmailStyle486">
    <w:name w:val="EmailStyle486"/>
    <w:basedOn w:val="DefaultParagraphFont"/>
    <w:semiHidden/>
    <w:rsid w:val="00442BD0"/>
    <w:rPr>
      <w:rFonts w:ascii="Arial" w:hAnsi="Arial" w:cs="Arial"/>
      <w:color w:val="993366"/>
      <w:sz w:val="20"/>
    </w:rPr>
  </w:style>
  <w:style w:type="character" w:customStyle="1" w:styleId="EmailStyle487">
    <w:name w:val="EmailStyle487"/>
    <w:basedOn w:val="DefaultParagraphFont"/>
    <w:semiHidden/>
    <w:rsid w:val="00442BD0"/>
    <w:rPr>
      <w:rFonts w:ascii="Arial" w:hAnsi="Arial" w:cs="Arial"/>
      <w:color w:val="000080"/>
      <w:sz w:val="20"/>
    </w:rPr>
  </w:style>
  <w:style w:type="character" w:customStyle="1" w:styleId="EmailStyle488">
    <w:name w:val="EmailStyle488"/>
    <w:basedOn w:val="DefaultParagraphFont"/>
    <w:semiHidden/>
    <w:rsid w:val="00442BD0"/>
    <w:rPr>
      <w:rFonts w:ascii="Arial" w:hAnsi="Arial" w:cs="Arial"/>
      <w:color w:val="993366"/>
      <w:sz w:val="20"/>
    </w:rPr>
  </w:style>
  <w:style w:type="character" w:customStyle="1" w:styleId="EmailStyle489">
    <w:name w:val="EmailStyle489"/>
    <w:basedOn w:val="DefaultParagraphFont"/>
    <w:semiHidden/>
    <w:rsid w:val="00442BD0"/>
    <w:rPr>
      <w:rFonts w:ascii="Arial" w:hAnsi="Arial" w:cs="Arial"/>
      <w:color w:val="000080"/>
      <w:sz w:val="20"/>
    </w:rPr>
  </w:style>
  <w:style w:type="character" w:customStyle="1" w:styleId="EmailStyle490">
    <w:name w:val="EmailStyle490"/>
    <w:basedOn w:val="DefaultParagraphFont"/>
    <w:semiHidden/>
    <w:rsid w:val="00442BD0"/>
    <w:rPr>
      <w:rFonts w:ascii="Arial" w:hAnsi="Arial" w:cs="Arial"/>
      <w:color w:val="993366"/>
      <w:sz w:val="20"/>
    </w:rPr>
  </w:style>
  <w:style w:type="character" w:customStyle="1" w:styleId="EmailStyle491">
    <w:name w:val="EmailStyle491"/>
    <w:basedOn w:val="DefaultParagraphFont"/>
    <w:semiHidden/>
    <w:rsid w:val="00442BD0"/>
    <w:rPr>
      <w:rFonts w:ascii="Arial" w:hAnsi="Arial" w:cs="Arial"/>
      <w:color w:val="000080"/>
      <w:sz w:val="20"/>
    </w:rPr>
  </w:style>
  <w:style w:type="character" w:customStyle="1" w:styleId="EmailStyle492">
    <w:name w:val="EmailStyle492"/>
    <w:basedOn w:val="DefaultParagraphFont"/>
    <w:semiHidden/>
    <w:rsid w:val="00442BD0"/>
    <w:rPr>
      <w:rFonts w:ascii="Arial" w:hAnsi="Arial" w:cs="Arial"/>
      <w:color w:val="993366"/>
      <w:sz w:val="20"/>
    </w:rPr>
  </w:style>
  <w:style w:type="character" w:customStyle="1" w:styleId="EmailStyle493">
    <w:name w:val="EmailStyle493"/>
    <w:basedOn w:val="DefaultParagraphFont"/>
    <w:semiHidden/>
    <w:rsid w:val="00442BD0"/>
    <w:rPr>
      <w:rFonts w:ascii="Arial" w:hAnsi="Arial" w:cs="Arial"/>
      <w:color w:val="000080"/>
      <w:sz w:val="20"/>
    </w:rPr>
  </w:style>
  <w:style w:type="character" w:customStyle="1" w:styleId="EmailStyle494">
    <w:name w:val="EmailStyle494"/>
    <w:basedOn w:val="DefaultParagraphFont"/>
    <w:semiHidden/>
    <w:rsid w:val="00442BD0"/>
    <w:rPr>
      <w:rFonts w:ascii="Arial" w:hAnsi="Arial" w:cs="Arial"/>
      <w:color w:val="993366"/>
      <w:sz w:val="20"/>
    </w:rPr>
  </w:style>
  <w:style w:type="character" w:customStyle="1" w:styleId="EmailStyle495">
    <w:name w:val="EmailStyle495"/>
    <w:basedOn w:val="DefaultParagraphFont"/>
    <w:semiHidden/>
    <w:rsid w:val="00442BD0"/>
    <w:rPr>
      <w:rFonts w:ascii="Arial" w:hAnsi="Arial" w:cs="Arial"/>
      <w:color w:val="000080"/>
      <w:sz w:val="20"/>
    </w:rPr>
  </w:style>
  <w:style w:type="character" w:customStyle="1" w:styleId="EmailStyle496">
    <w:name w:val="EmailStyle496"/>
    <w:basedOn w:val="DefaultParagraphFont"/>
    <w:semiHidden/>
    <w:rsid w:val="00442BD0"/>
    <w:rPr>
      <w:rFonts w:ascii="Arial" w:hAnsi="Arial" w:cs="Arial"/>
      <w:color w:val="993366"/>
      <w:sz w:val="20"/>
    </w:rPr>
  </w:style>
  <w:style w:type="character" w:customStyle="1" w:styleId="EmailStyle497">
    <w:name w:val="EmailStyle497"/>
    <w:basedOn w:val="DefaultParagraphFont"/>
    <w:semiHidden/>
    <w:rsid w:val="00442BD0"/>
    <w:rPr>
      <w:rFonts w:ascii="Arial" w:hAnsi="Arial" w:cs="Arial"/>
      <w:color w:val="000080"/>
      <w:sz w:val="20"/>
    </w:rPr>
  </w:style>
  <w:style w:type="character" w:customStyle="1" w:styleId="EmailStyle498">
    <w:name w:val="EmailStyle498"/>
    <w:basedOn w:val="DefaultParagraphFont"/>
    <w:semiHidden/>
    <w:rsid w:val="00442BD0"/>
    <w:rPr>
      <w:rFonts w:ascii="Arial" w:hAnsi="Arial" w:cs="Arial"/>
      <w:color w:val="993366"/>
      <w:sz w:val="20"/>
    </w:rPr>
  </w:style>
  <w:style w:type="character" w:customStyle="1" w:styleId="EmailStyle499">
    <w:name w:val="EmailStyle499"/>
    <w:basedOn w:val="DefaultParagraphFont"/>
    <w:semiHidden/>
    <w:rsid w:val="00442BD0"/>
    <w:rPr>
      <w:rFonts w:ascii="Arial" w:hAnsi="Arial" w:cs="Arial"/>
      <w:color w:val="000080"/>
      <w:sz w:val="20"/>
    </w:rPr>
  </w:style>
  <w:style w:type="character" w:customStyle="1" w:styleId="EmailStyle500">
    <w:name w:val="EmailStyle500"/>
    <w:basedOn w:val="DefaultParagraphFont"/>
    <w:semiHidden/>
    <w:rsid w:val="00442BD0"/>
    <w:rPr>
      <w:rFonts w:ascii="Arial" w:hAnsi="Arial" w:cs="Arial"/>
      <w:color w:val="993366"/>
      <w:sz w:val="20"/>
    </w:rPr>
  </w:style>
  <w:style w:type="character" w:customStyle="1" w:styleId="EmailStyle501">
    <w:name w:val="EmailStyle501"/>
    <w:basedOn w:val="DefaultParagraphFont"/>
    <w:semiHidden/>
    <w:rsid w:val="00442BD0"/>
    <w:rPr>
      <w:rFonts w:ascii="Arial" w:hAnsi="Arial" w:cs="Arial"/>
      <w:color w:val="000080"/>
      <w:sz w:val="20"/>
    </w:rPr>
  </w:style>
  <w:style w:type="character" w:customStyle="1" w:styleId="EmailStyle502">
    <w:name w:val="EmailStyle502"/>
    <w:basedOn w:val="DefaultParagraphFont"/>
    <w:semiHidden/>
    <w:rsid w:val="00442BD0"/>
    <w:rPr>
      <w:rFonts w:ascii="Arial" w:hAnsi="Arial" w:cs="Arial"/>
      <w:color w:val="993366"/>
      <w:sz w:val="20"/>
    </w:rPr>
  </w:style>
  <w:style w:type="character" w:customStyle="1" w:styleId="EmailStyle503">
    <w:name w:val="EmailStyle503"/>
    <w:basedOn w:val="DefaultParagraphFont"/>
    <w:semiHidden/>
    <w:rsid w:val="00442BD0"/>
    <w:rPr>
      <w:rFonts w:ascii="Arial" w:hAnsi="Arial" w:cs="Arial"/>
      <w:color w:val="000080"/>
      <w:sz w:val="20"/>
    </w:rPr>
  </w:style>
  <w:style w:type="character" w:customStyle="1" w:styleId="EmailStyle504">
    <w:name w:val="EmailStyle504"/>
    <w:basedOn w:val="DefaultParagraphFont"/>
    <w:semiHidden/>
    <w:rsid w:val="00442BD0"/>
    <w:rPr>
      <w:rFonts w:ascii="Arial" w:hAnsi="Arial" w:cs="Arial"/>
      <w:color w:val="993366"/>
      <w:sz w:val="20"/>
    </w:rPr>
  </w:style>
  <w:style w:type="character" w:customStyle="1" w:styleId="EmailStyle505">
    <w:name w:val="EmailStyle505"/>
    <w:basedOn w:val="DefaultParagraphFont"/>
    <w:semiHidden/>
    <w:rsid w:val="00442BD0"/>
    <w:rPr>
      <w:rFonts w:ascii="Arial" w:hAnsi="Arial" w:cs="Arial"/>
      <w:color w:val="000080"/>
      <w:sz w:val="20"/>
    </w:rPr>
  </w:style>
  <w:style w:type="character" w:customStyle="1" w:styleId="EmailStyle506">
    <w:name w:val="EmailStyle506"/>
    <w:basedOn w:val="DefaultParagraphFont"/>
    <w:semiHidden/>
    <w:rsid w:val="00442BD0"/>
    <w:rPr>
      <w:rFonts w:ascii="Arial" w:hAnsi="Arial" w:cs="Arial"/>
      <w:color w:val="993366"/>
      <w:sz w:val="20"/>
    </w:rPr>
  </w:style>
  <w:style w:type="character" w:customStyle="1" w:styleId="EmailStyle507">
    <w:name w:val="EmailStyle507"/>
    <w:basedOn w:val="DefaultParagraphFont"/>
    <w:semiHidden/>
    <w:rsid w:val="00442BD0"/>
    <w:rPr>
      <w:rFonts w:ascii="Arial" w:hAnsi="Arial" w:cs="Arial"/>
      <w:color w:val="000080"/>
      <w:sz w:val="20"/>
    </w:rPr>
  </w:style>
  <w:style w:type="character" w:customStyle="1" w:styleId="EmailStyle508">
    <w:name w:val="EmailStyle508"/>
    <w:basedOn w:val="DefaultParagraphFont"/>
    <w:semiHidden/>
    <w:rsid w:val="00442BD0"/>
    <w:rPr>
      <w:rFonts w:ascii="Arial" w:hAnsi="Arial" w:cs="Arial"/>
      <w:color w:val="993366"/>
      <w:sz w:val="20"/>
    </w:rPr>
  </w:style>
  <w:style w:type="character" w:customStyle="1" w:styleId="EmailStyle509">
    <w:name w:val="EmailStyle509"/>
    <w:basedOn w:val="DefaultParagraphFont"/>
    <w:semiHidden/>
    <w:rsid w:val="00442BD0"/>
    <w:rPr>
      <w:rFonts w:ascii="Arial" w:hAnsi="Arial" w:cs="Arial"/>
      <w:color w:val="000080"/>
      <w:sz w:val="20"/>
    </w:rPr>
  </w:style>
  <w:style w:type="character" w:customStyle="1" w:styleId="EmailStyle510">
    <w:name w:val="EmailStyle510"/>
    <w:basedOn w:val="DefaultParagraphFont"/>
    <w:semiHidden/>
    <w:rsid w:val="00442BD0"/>
    <w:rPr>
      <w:rFonts w:ascii="Arial" w:hAnsi="Arial" w:cs="Arial"/>
      <w:color w:val="993366"/>
      <w:sz w:val="20"/>
    </w:rPr>
  </w:style>
  <w:style w:type="character" w:customStyle="1" w:styleId="EmailStyle511">
    <w:name w:val="EmailStyle511"/>
    <w:basedOn w:val="DefaultParagraphFont"/>
    <w:semiHidden/>
    <w:rsid w:val="00442BD0"/>
    <w:rPr>
      <w:rFonts w:ascii="Arial" w:hAnsi="Arial" w:cs="Arial"/>
      <w:color w:val="000080"/>
      <w:sz w:val="20"/>
    </w:rPr>
  </w:style>
  <w:style w:type="character" w:customStyle="1" w:styleId="EmailStyle512">
    <w:name w:val="EmailStyle512"/>
    <w:basedOn w:val="DefaultParagraphFont"/>
    <w:semiHidden/>
    <w:rsid w:val="00442BD0"/>
    <w:rPr>
      <w:rFonts w:ascii="Arial" w:hAnsi="Arial" w:cs="Arial"/>
      <w:color w:val="000080"/>
      <w:sz w:val="20"/>
    </w:rPr>
  </w:style>
  <w:style w:type="character" w:customStyle="1" w:styleId="EmailStyle513">
    <w:name w:val="EmailStyle513"/>
    <w:basedOn w:val="DefaultParagraphFont"/>
    <w:semiHidden/>
    <w:rsid w:val="00442BD0"/>
    <w:rPr>
      <w:rFonts w:ascii="Arial" w:hAnsi="Arial" w:cs="Arial"/>
      <w:color w:val="993366"/>
      <w:sz w:val="20"/>
    </w:rPr>
  </w:style>
  <w:style w:type="character" w:customStyle="1" w:styleId="EmailStyle514">
    <w:name w:val="EmailStyle514"/>
    <w:basedOn w:val="DefaultParagraphFont"/>
    <w:semiHidden/>
    <w:rsid w:val="00442BD0"/>
    <w:rPr>
      <w:rFonts w:ascii="Arial" w:hAnsi="Arial" w:cs="Arial"/>
      <w:color w:val="000080"/>
      <w:sz w:val="20"/>
    </w:rPr>
  </w:style>
  <w:style w:type="character" w:customStyle="1" w:styleId="EmailStyle515">
    <w:name w:val="EmailStyle515"/>
    <w:basedOn w:val="DefaultParagraphFont"/>
    <w:semiHidden/>
    <w:rsid w:val="00442BD0"/>
    <w:rPr>
      <w:rFonts w:ascii="Arial" w:hAnsi="Arial" w:cs="Arial"/>
      <w:color w:val="993366"/>
      <w:sz w:val="20"/>
    </w:rPr>
  </w:style>
  <w:style w:type="character" w:customStyle="1" w:styleId="EmailStyle516">
    <w:name w:val="EmailStyle516"/>
    <w:basedOn w:val="DefaultParagraphFont"/>
    <w:semiHidden/>
    <w:rsid w:val="00442BD0"/>
    <w:rPr>
      <w:rFonts w:ascii="Arial" w:hAnsi="Arial" w:cs="Arial"/>
      <w:color w:val="000080"/>
      <w:sz w:val="20"/>
    </w:rPr>
  </w:style>
  <w:style w:type="character" w:customStyle="1" w:styleId="EmailStyle517">
    <w:name w:val="EmailStyle517"/>
    <w:basedOn w:val="DefaultParagraphFont"/>
    <w:semiHidden/>
    <w:rsid w:val="00442BD0"/>
    <w:rPr>
      <w:rFonts w:ascii="Arial" w:hAnsi="Arial" w:cs="Arial"/>
      <w:color w:val="000080"/>
      <w:sz w:val="20"/>
    </w:rPr>
  </w:style>
  <w:style w:type="character" w:customStyle="1" w:styleId="EmailStyle518">
    <w:name w:val="EmailStyle518"/>
    <w:basedOn w:val="DefaultParagraphFont"/>
    <w:semiHidden/>
    <w:rsid w:val="00442BD0"/>
    <w:rPr>
      <w:rFonts w:ascii="Arial" w:hAnsi="Arial" w:cs="Arial"/>
      <w:color w:val="993366"/>
      <w:sz w:val="20"/>
    </w:rPr>
  </w:style>
  <w:style w:type="character" w:customStyle="1" w:styleId="EmailStyle519">
    <w:name w:val="EmailStyle519"/>
    <w:basedOn w:val="DefaultParagraphFont"/>
    <w:semiHidden/>
    <w:rsid w:val="00442BD0"/>
    <w:rPr>
      <w:rFonts w:ascii="Arial" w:hAnsi="Arial" w:cs="Arial"/>
      <w:color w:val="000080"/>
      <w:sz w:val="20"/>
    </w:rPr>
  </w:style>
  <w:style w:type="character" w:customStyle="1" w:styleId="EmailStyle520">
    <w:name w:val="EmailStyle520"/>
    <w:basedOn w:val="DefaultParagraphFont"/>
    <w:semiHidden/>
    <w:rsid w:val="00442BD0"/>
    <w:rPr>
      <w:rFonts w:ascii="Arial" w:hAnsi="Arial" w:cs="Arial"/>
      <w:color w:val="993366"/>
      <w:sz w:val="20"/>
    </w:rPr>
  </w:style>
  <w:style w:type="character" w:customStyle="1" w:styleId="EmailStyle521">
    <w:name w:val="EmailStyle521"/>
    <w:basedOn w:val="DefaultParagraphFont"/>
    <w:semiHidden/>
    <w:rsid w:val="00442BD0"/>
    <w:rPr>
      <w:rFonts w:ascii="Arial" w:hAnsi="Arial" w:cs="Arial"/>
      <w:color w:val="000080"/>
      <w:sz w:val="20"/>
    </w:rPr>
  </w:style>
  <w:style w:type="character" w:customStyle="1" w:styleId="EmailStyle522">
    <w:name w:val="EmailStyle522"/>
    <w:basedOn w:val="DefaultParagraphFont"/>
    <w:semiHidden/>
    <w:rsid w:val="00442BD0"/>
    <w:rPr>
      <w:rFonts w:ascii="Arial" w:hAnsi="Arial" w:cs="Arial"/>
      <w:color w:val="000080"/>
      <w:sz w:val="20"/>
    </w:rPr>
  </w:style>
  <w:style w:type="character" w:customStyle="1" w:styleId="EmailStyle523">
    <w:name w:val="EmailStyle523"/>
    <w:basedOn w:val="DefaultParagraphFont"/>
    <w:semiHidden/>
    <w:rsid w:val="00442BD0"/>
    <w:rPr>
      <w:rFonts w:ascii="Arial" w:hAnsi="Arial" w:cs="Arial"/>
      <w:color w:val="993366"/>
      <w:sz w:val="20"/>
    </w:rPr>
  </w:style>
  <w:style w:type="character" w:customStyle="1" w:styleId="EmailStyle524">
    <w:name w:val="EmailStyle524"/>
    <w:basedOn w:val="DefaultParagraphFont"/>
    <w:semiHidden/>
    <w:rsid w:val="00442BD0"/>
    <w:rPr>
      <w:rFonts w:ascii="Arial" w:hAnsi="Arial" w:cs="Arial"/>
      <w:color w:val="000080"/>
      <w:sz w:val="20"/>
    </w:rPr>
  </w:style>
  <w:style w:type="character" w:customStyle="1" w:styleId="EmailStyle525">
    <w:name w:val="EmailStyle525"/>
    <w:basedOn w:val="DefaultParagraphFont"/>
    <w:semiHidden/>
    <w:rsid w:val="00442BD0"/>
    <w:rPr>
      <w:rFonts w:ascii="Arial" w:hAnsi="Arial" w:cs="Arial"/>
      <w:color w:val="993366"/>
      <w:sz w:val="20"/>
    </w:rPr>
  </w:style>
  <w:style w:type="character" w:customStyle="1" w:styleId="EmailStyle526">
    <w:name w:val="EmailStyle526"/>
    <w:basedOn w:val="DefaultParagraphFont"/>
    <w:semiHidden/>
    <w:rsid w:val="00442BD0"/>
    <w:rPr>
      <w:rFonts w:ascii="Arial" w:hAnsi="Arial" w:cs="Arial"/>
      <w:color w:val="000080"/>
      <w:sz w:val="20"/>
    </w:rPr>
  </w:style>
  <w:style w:type="character" w:customStyle="1" w:styleId="EmailStyle527">
    <w:name w:val="EmailStyle527"/>
    <w:basedOn w:val="DefaultParagraphFont"/>
    <w:semiHidden/>
    <w:rsid w:val="00442BD0"/>
    <w:rPr>
      <w:rFonts w:ascii="Arial" w:hAnsi="Arial" w:cs="Arial"/>
      <w:color w:val="000080"/>
      <w:sz w:val="20"/>
    </w:rPr>
  </w:style>
  <w:style w:type="character" w:customStyle="1" w:styleId="EmailStyle528">
    <w:name w:val="EmailStyle528"/>
    <w:basedOn w:val="DefaultParagraphFont"/>
    <w:semiHidden/>
    <w:rsid w:val="00442BD0"/>
    <w:rPr>
      <w:rFonts w:ascii="Arial" w:hAnsi="Arial" w:cs="Arial"/>
      <w:color w:val="993366"/>
      <w:sz w:val="20"/>
    </w:rPr>
  </w:style>
  <w:style w:type="character" w:customStyle="1" w:styleId="EmailStyle529">
    <w:name w:val="EmailStyle529"/>
    <w:basedOn w:val="DefaultParagraphFont"/>
    <w:semiHidden/>
    <w:rsid w:val="00442BD0"/>
    <w:rPr>
      <w:rFonts w:ascii="Arial" w:hAnsi="Arial" w:cs="Arial"/>
      <w:color w:val="000080"/>
      <w:sz w:val="20"/>
    </w:rPr>
  </w:style>
  <w:style w:type="character" w:customStyle="1" w:styleId="EmailStyle530">
    <w:name w:val="EmailStyle530"/>
    <w:basedOn w:val="DefaultParagraphFont"/>
    <w:semiHidden/>
    <w:rsid w:val="00442BD0"/>
    <w:rPr>
      <w:rFonts w:ascii="Arial" w:hAnsi="Arial" w:cs="Arial"/>
      <w:color w:val="000080"/>
      <w:sz w:val="20"/>
    </w:rPr>
  </w:style>
  <w:style w:type="character" w:customStyle="1" w:styleId="EmailStyle531">
    <w:name w:val="EmailStyle531"/>
    <w:basedOn w:val="DefaultParagraphFont"/>
    <w:semiHidden/>
    <w:rsid w:val="00442BD0"/>
    <w:rPr>
      <w:rFonts w:ascii="Arial" w:hAnsi="Arial" w:cs="Arial"/>
      <w:color w:val="000080"/>
      <w:sz w:val="20"/>
    </w:rPr>
  </w:style>
  <w:style w:type="character" w:customStyle="1" w:styleId="EmailStyle532">
    <w:name w:val="EmailStyle532"/>
    <w:basedOn w:val="DefaultParagraphFont"/>
    <w:semiHidden/>
    <w:rsid w:val="00442BD0"/>
    <w:rPr>
      <w:rFonts w:ascii="Arial" w:hAnsi="Arial" w:cs="Arial"/>
      <w:color w:val="993366"/>
      <w:sz w:val="20"/>
    </w:rPr>
  </w:style>
  <w:style w:type="character" w:customStyle="1" w:styleId="EmailStyle533">
    <w:name w:val="EmailStyle533"/>
    <w:basedOn w:val="DefaultParagraphFont"/>
    <w:semiHidden/>
    <w:rsid w:val="00442BD0"/>
    <w:rPr>
      <w:rFonts w:ascii="Arial" w:hAnsi="Arial" w:cs="Arial"/>
      <w:color w:val="993366"/>
      <w:sz w:val="20"/>
    </w:rPr>
  </w:style>
  <w:style w:type="character" w:customStyle="1" w:styleId="EmailStyle534">
    <w:name w:val="EmailStyle534"/>
    <w:basedOn w:val="DefaultParagraphFont"/>
    <w:semiHidden/>
    <w:rsid w:val="00442BD0"/>
    <w:rPr>
      <w:rFonts w:ascii="Arial" w:hAnsi="Arial" w:cs="Arial"/>
      <w:color w:val="993366"/>
      <w:sz w:val="20"/>
    </w:rPr>
  </w:style>
  <w:style w:type="character" w:customStyle="1" w:styleId="EmailStyle535">
    <w:name w:val="EmailStyle535"/>
    <w:basedOn w:val="DefaultParagraphFont"/>
    <w:semiHidden/>
    <w:rsid w:val="00442BD0"/>
    <w:rPr>
      <w:rFonts w:ascii="Arial" w:hAnsi="Arial" w:cs="Arial"/>
      <w:color w:val="993366"/>
      <w:sz w:val="20"/>
    </w:rPr>
  </w:style>
  <w:style w:type="character" w:customStyle="1" w:styleId="EmailStyle536">
    <w:name w:val="EmailStyle536"/>
    <w:basedOn w:val="DefaultParagraphFont"/>
    <w:semiHidden/>
    <w:rsid w:val="00442BD0"/>
    <w:rPr>
      <w:rFonts w:ascii="Arial" w:hAnsi="Arial" w:cs="Arial"/>
      <w:color w:val="993366"/>
      <w:sz w:val="20"/>
    </w:rPr>
  </w:style>
  <w:style w:type="character" w:customStyle="1" w:styleId="EmailStyle537">
    <w:name w:val="EmailStyle537"/>
    <w:basedOn w:val="DefaultParagraphFont"/>
    <w:semiHidden/>
    <w:rsid w:val="00442BD0"/>
    <w:rPr>
      <w:rFonts w:ascii="Arial" w:hAnsi="Arial" w:cs="Arial"/>
      <w:color w:val="993366"/>
      <w:sz w:val="20"/>
    </w:rPr>
  </w:style>
  <w:style w:type="character" w:customStyle="1" w:styleId="EmailStyle538">
    <w:name w:val="EmailStyle538"/>
    <w:basedOn w:val="DefaultParagraphFont"/>
    <w:semiHidden/>
    <w:rsid w:val="00442BD0"/>
    <w:rPr>
      <w:rFonts w:ascii="Arial" w:hAnsi="Arial" w:cs="Arial"/>
      <w:color w:val="993366"/>
      <w:sz w:val="20"/>
    </w:rPr>
  </w:style>
  <w:style w:type="character" w:customStyle="1" w:styleId="EmailStyle539">
    <w:name w:val="EmailStyle539"/>
    <w:basedOn w:val="DefaultParagraphFont"/>
    <w:semiHidden/>
    <w:rsid w:val="00442BD0"/>
    <w:rPr>
      <w:rFonts w:ascii="Arial" w:hAnsi="Arial" w:cs="Arial"/>
      <w:color w:val="993366"/>
      <w:sz w:val="20"/>
    </w:rPr>
  </w:style>
  <w:style w:type="character" w:customStyle="1" w:styleId="EmailStyle540">
    <w:name w:val="EmailStyle540"/>
    <w:basedOn w:val="DefaultParagraphFont"/>
    <w:semiHidden/>
    <w:rsid w:val="00442BD0"/>
    <w:rPr>
      <w:rFonts w:ascii="Arial" w:hAnsi="Arial" w:cs="Arial"/>
      <w:color w:val="993366"/>
      <w:sz w:val="20"/>
    </w:rPr>
  </w:style>
  <w:style w:type="character" w:customStyle="1" w:styleId="EmailStyle541">
    <w:name w:val="EmailStyle541"/>
    <w:basedOn w:val="DefaultParagraphFont"/>
    <w:semiHidden/>
    <w:rsid w:val="00442BD0"/>
    <w:rPr>
      <w:rFonts w:ascii="Arial" w:hAnsi="Arial" w:cs="Arial"/>
      <w:color w:val="993366"/>
      <w:sz w:val="20"/>
    </w:rPr>
  </w:style>
  <w:style w:type="character" w:customStyle="1" w:styleId="EmailStyle542">
    <w:name w:val="EmailStyle542"/>
    <w:basedOn w:val="DefaultParagraphFont"/>
    <w:semiHidden/>
    <w:rsid w:val="00442BD0"/>
    <w:rPr>
      <w:rFonts w:ascii="Arial" w:hAnsi="Arial" w:cs="Arial"/>
      <w:color w:val="000080"/>
      <w:sz w:val="20"/>
    </w:rPr>
  </w:style>
  <w:style w:type="character" w:customStyle="1" w:styleId="EmailStyle543">
    <w:name w:val="EmailStyle543"/>
    <w:basedOn w:val="DefaultParagraphFont"/>
    <w:semiHidden/>
    <w:rsid w:val="00442BD0"/>
    <w:rPr>
      <w:rFonts w:ascii="Arial" w:hAnsi="Arial" w:cs="Arial"/>
      <w:color w:val="993366"/>
      <w:sz w:val="20"/>
    </w:rPr>
  </w:style>
  <w:style w:type="character" w:customStyle="1" w:styleId="EmailStyle544">
    <w:name w:val="EmailStyle544"/>
    <w:basedOn w:val="DefaultParagraphFont"/>
    <w:semiHidden/>
    <w:rsid w:val="00442BD0"/>
    <w:rPr>
      <w:rFonts w:ascii="Arial" w:hAnsi="Arial" w:cs="Arial"/>
      <w:color w:val="000080"/>
      <w:sz w:val="20"/>
    </w:rPr>
  </w:style>
  <w:style w:type="character" w:customStyle="1" w:styleId="EmailStyle545">
    <w:name w:val="EmailStyle545"/>
    <w:basedOn w:val="DefaultParagraphFont"/>
    <w:semiHidden/>
    <w:rsid w:val="00442BD0"/>
    <w:rPr>
      <w:rFonts w:ascii="Arial" w:hAnsi="Arial" w:cs="Arial"/>
      <w:color w:val="993366"/>
      <w:sz w:val="20"/>
    </w:rPr>
  </w:style>
  <w:style w:type="character" w:customStyle="1" w:styleId="EmailStyle546">
    <w:name w:val="EmailStyle546"/>
    <w:basedOn w:val="DefaultParagraphFont"/>
    <w:semiHidden/>
    <w:rsid w:val="00442BD0"/>
    <w:rPr>
      <w:rFonts w:ascii="Arial" w:hAnsi="Arial" w:cs="Arial"/>
      <w:color w:val="000080"/>
      <w:sz w:val="20"/>
    </w:rPr>
  </w:style>
  <w:style w:type="character" w:customStyle="1" w:styleId="EmailStyle547">
    <w:name w:val="EmailStyle547"/>
    <w:basedOn w:val="DefaultParagraphFont"/>
    <w:semiHidden/>
    <w:rsid w:val="00442BD0"/>
    <w:rPr>
      <w:rFonts w:ascii="Arial" w:hAnsi="Arial" w:cs="Arial"/>
      <w:color w:val="993366"/>
      <w:sz w:val="20"/>
    </w:rPr>
  </w:style>
  <w:style w:type="character" w:customStyle="1" w:styleId="EmailStyle548">
    <w:name w:val="EmailStyle548"/>
    <w:basedOn w:val="DefaultParagraphFont"/>
    <w:semiHidden/>
    <w:rsid w:val="00442BD0"/>
    <w:rPr>
      <w:rFonts w:ascii="Arial" w:hAnsi="Arial" w:cs="Arial"/>
      <w:color w:val="000080"/>
      <w:sz w:val="20"/>
    </w:rPr>
  </w:style>
  <w:style w:type="character" w:customStyle="1" w:styleId="EmailStyle549">
    <w:name w:val="EmailStyle549"/>
    <w:basedOn w:val="DefaultParagraphFont"/>
    <w:semiHidden/>
    <w:rsid w:val="00442BD0"/>
    <w:rPr>
      <w:rFonts w:ascii="Arial" w:hAnsi="Arial" w:cs="Arial"/>
      <w:color w:val="993366"/>
      <w:sz w:val="20"/>
    </w:rPr>
  </w:style>
  <w:style w:type="character" w:customStyle="1" w:styleId="EmailStyle550">
    <w:name w:val="EmailStyle550"/>
    <w:basedOn w:val="DefaultParagraphFont"/>
    <w:semiHidden/>
    <w:rsid w:val="00442BD0"/>
    <w:rPr>
      <w:rFonts w:ascii="Arial" w:hAnsi="Arial" w:cs="Arial"/>
      <w:color w:val="000080"/>
      <w:sz w:val="20"/>
    </w:rPr>
  </w:style>
  <w:style w:type="character" w:customStyle="1" w:styleId="EmailStyle551">
    <w:name w:val="EmailStyle551"/>
    <w:basedOn w:val="DefaultParagraphFont"/>
    <w:semiHidden/>
    <w:rsid w:val="00442BD0"/>
    <w:rPr>
      <w:rFonts w:ascii="Arial" w:hAnsi="Arial" w:cs="Arial"/>
      <w:color w:val="993366"/>
      <w:sz w:val="20"/>
    </w:rPr>
  </w:style>
  <w:style w:type="character" w:customStyle="1" w:styleId="EmailStyle552">
    <w:name w:val="EmailStyle552"/>
    <w:basedOn w:val="DefaultParagraphFont"/>
    <w:semiHidden/>
    <w:rsid w:val="00442BD0"/>
    <w:rPr>
      <w:rFonts w:ascii="Arial" w:hAnsi="Arial" w:cs="Arial"/>
      <w:color w:val="000080"/>
      <w:sz w:val="20"/>
    </w:rPr>
  </w:style>
  <w:style w:type="character" w:customStyle="1" w:styleId="EmailStyle553">
    <w:name w:val="EmailStyle553"/>
    <w:basedOn w:val="DefaultParagraphFont"/>
    <w:semiHidden/>
    <w:rsid w:val="00442BD0"/>
    <w:rPr>
      <w:rFonts w:ascii="Arial" w:hAnsi="Arial" w:cs="Arial"/>
      <w:color w:val="993366"/>
      <w:sz w:val="20"/>
    </w:rPr>
  </w:style>
  <w:style w:type="character" w:customStyle="1" w:styleId="EmailStyle554">
    <w:name w:val="EmailStyle554"/>
    <w:basedOn w:val="DefaultParagraphFont"/>
    <w:semiHidden/>
    <w:rsid w:val="00442BD0"/>
    <w:rPr>
      <w:rFonts w:ascii="Arial" w:hAnsi="Arial" w:cs="Arial"/>
      <w:color w:val="000080"/>
      <w:sz w:val="20"/>
    </w:rPr>
  </w:style>
  <w:style w:type="character" w:customStyle="1" w:styleId="EmailStyle555">
    <w:name w:val="EmailStyle555"/>
    <w:basedOn w:val="DefaultParagraphFont"/>
    <w:semiHidden/>
    <w:rsid w:val="00442BD0"/>
    <w:rPr>
      <w:rFonts w:ascii="Arial" w:hAnsi="Arial" w:cs="Arial"/>
      <w:color w:val="993366"/>
      <w:sz w:val="20"/>
    </w:rPr>
  </w:style>
  <w:style w:type="character" w:customStyle="1" w:styleId="EmailStyle556">
    <w:name w:val="EmailStyle556"/>
    <w:basedOn w:val="DefaultParagraphFont"/>
    <w:semiHidden/>
    <w:rsid w:val="00442BD0"/>
    <w:rPr>
      <w:rFonts w:ascii="Arial" w:hAnsi="Arial" w:cs="Arial"/>
      <w:color w:val="000080"/>
      <w:sz w:val="20"/>
    </w:rPr>
  </w:style>
  <w:style w:type="character" w:customStyle="1" w:styleId="EmailStyle557">
    <w:name w:val="EmailStyle557"/>
    <w:basedOn w:val="DefaultParagraphFont"/>
    <w:semiHidden/>
    <w:rsid w:val="00442BD0"/>
    <w:rPr>
      <w:rFonts w:ascii="Arial" w:hAnsi="Arial" w:cs="Arial"/>
      <w:color w:val="993366"/>
      <w:sz w:val="20"/>
    </w:rPr>
  </w:style>
  <w:style w:type="character" w:customStyle="1" w:styleId="EmailStyle558">
    <w:name w:val="EmailStyle558"/>
    <w:basedOn w:val="DefaultParagraphFont"/>
    <w:semiHidden/>
    <w:rsid w:val="00442BD0"/>
    <w:rPr>
      <w:rFonts w:ascii="Arial" w:hAnsi="Arial" w:cs="Arial"/>
      <w:color w:val="000080"/>
      <w:sz w:val="20"/>
    </w:rPr>
  </w:style>
  <w:style w:type="character" w:customStyle="1" w:styleId="EmailStyle559">
    <w:name w:val="EmailStyle559"/>
    <w:basedOn w:val="DefaultParagraphFont"/>
    <w:semiHidden/>
    <w:rsid w:val="00442BD0"/>
    <w:rPr>
      <w:rFonts w:ascii="Arial" w:hAnsi="Arial" w:cs="Arial"/>
      <w:color w:val="993366"/>
      <w:sz w:val="20"/>
    </w:rPr>
  </w:style>
  <w:style w:type="character" w:customStyle="1" w:styleId="EmailStyle560">
    <w:name w:val="EmailStyle560"/>
    <w:basedOn w:val="DefaultParagraphFont"/>
    <w:semiHidden/>
    <w:rsid w:val="00442BD0"/>
    <w:rPr>
      <w:rFonts w:ascii="Arial" w:hAnsi="Arial" w:cs="Arial"/>
      <w:color w:val="000080"/>
      <w:sz w:val="20"/>
    </w:rPr>
  </w:style>
  <w:style w:type="character" w:customStyle="1" w:styleId="EmailStyle561">
    <w:name w:val="EmailStyle561"/>
    <w:basedOn w:val="DefaultParagraphFont"/>
    <w:semiHidden/>
    <w:rsid w:val="00442BD0"/>
    <w:rPr>
      <w:rFonts w:ascii="Arial" w:hAnsi="Arial" w:cs="Arial"/>
      <w:color w:val="993366"/>
      <w:sz w:val="20"/>
    </w:rPr>
  </w:style>
  <w:style w:type="character" w:customStyle="1" w:styleId="EmailStyle562">
    <w:name w:val="EmailStyle562"/>
    <w:basedOn w:val="DefaultParagraphFont"/>
    <w:semiHidden/>
    <w:rsid w:val="00442BD0"/>
    <w:rPr>
      <w:rFonts w:ascii="Arial" w:hAnsi="Arial" w:cs="Arial"/>
      <w:color w:val="000080"/>
      <w:sz w:val="20"/>
    </w:rPr>
  </w:style>
  <w:style w:type="character" w:customStyle="1" w:styleId="EmailStyle563">
    <w:name w:val="EmailStyle563"/>
    <w:basedOn w:val="DefaultParagraphFont"/>
    <w:semiHidden/>
    <w:rsid w:val="00442BD0"/>
    <w:rPr>
      <w:rFonts w:ascii="Arial" w:hAnsi="Arial" w:cs="Arial"/>
      <w:color w:val="993366"/>
      <w:sz w:val="20"/>
    </w:rPr>
  </w:style>
  <w:style w:type="character" w:customStyle="1" w:styleId="EmailStyle564">
    <w:name w:val="EmailStyle564"/>
    <w:basedOn w:val="DefaultParagraphFont"/>
    <w:semiHidden/>
    <w:rsid w:val="00442BD0"/>
    <w:rPr>
      <w:rFonts w:ascii="Arial" w:hAnsi="Arial" w:cs="Arial"/>
      <w:color w:val="000080"/>
      <w:sz w:val="20"/>
    </w:rPr>
  </w:style>
  <w:style w:type="character" w:customStyle="1" w:styleId="EmailStyle565">
    <w:name w:val="EmailStyle565"/>
    <w:basedOn w:val="DefaultParagraphFont"/>
    <w:semiHidden/>
    <w:rsid w:val="00442BD0"/>
    <w:rPr>
      <w:rFonts w:ascii="Arial" w:hAnsi="Arial" w:cs="Arial"/>
      <w:color w:val="993366"/>
      <w:sz w:val="20"/>
    </w:rPr>
  </w:style>
  <w:style w:type="character" w:customStyle="1" w:styleId="EmailStyle566">
    <w:name w:val="EmailStyle566"/>
    <w:basedOn w:val="DefaultParagraphFont"/>
    <w:semiHidden/>
    <w:rsid w:val="00442BD0"/>
    <w:rPr>
      <w:rFonts w:ascii="Arial" w:hAnsi="Arial" w:cs="Arial"/>
      <w:color w:val="000080"/>
      <w:sz w:val="20"/>
    </w:rPr>
  </w:style>
  <w:style w:type="character" w:customStyle="1" w:styleId="EmailStyle567">
    <w:name w:val="EmailStyle567"/>
    <w:basedOn w:val="DefaultParagraphFont"/>
    <w:semiHidden/>
    <w:rsid w:val="00442BD0"/>
    <w:rPr>
      <w:rFonts w:ascii="Arial" w:hAnsi="Arial" w:cs="Arial"/>
      <w:color w:val="993366"/>
      <w:sz w:val="20"/>
    </w:rPr>
  </w:style>
  <w:style w:type="character" w:customStyle="1" w:styleId="EmailStyle568">
    <w:name w:val="EmailStyle568"/>
    <w:basedOn w:val="DefaultParagraphFont"/>
    <w:semiHidden/>
    <w:rsid w:val="00442BD0"/>
    <w:rPr>
      <w:rFonts w:ascii="Arial" w:hAnsi="Arial" w:cs="Arial"/>
      <w:color w:val="000080"/>
      <w:sz w:val="20"/>
    </w:rPr>
  </w:style>
  <w:style w:type="character" w:customStyle="1" w:styleId="EmailStyle569">
    <w:name w:val="EmailStyle569"/>
    <w:basedOn w:val="DefaultParagraphFont"/>
    <w:semiHidden/>
    <w:rsid w:val="00442BD0"/>
    <w:rPr>
      <w:rFonts w:ascii="Arial" w:hAnsi="Arial" w:cs="Arial"/>
      <w:color w:val="993366"/>
      <w:sz w:val="20"/>
    </w:rPr>
  </w:style>
  <w:style w:type="character" w:customStyle="1" w:styleId="EmailStyle570">
    <w:name w:val="EmailStyle570"/>
    <w:basedOn w:val="DefaultParagraphFont"/>
    <w:semiHidden/>
    <w:rsid w:val="00442BD0"/>
    <w:rPr>
      <w:rFonts w:ascii="Arial" w:hAnsi="Arial" w:cs="Arial"/>
      <w:color w:val="000080"/>
      <w:sz w:val="20"/>
    </w:rPr>
  </w:style>
  <w:style w:type="character" w:customStyle="1" w:styleId="EmailStyle571">
    <w:name w:val="EmailStyle571"/>
    <w:basedOn w:val="DefaultParagraphFont"/>
    <w:semiHidden/>
    <w:rsid w:val="00442BD0"/>
    <w:rPr>
      <w:rFonts w:ascii="Arial" w:hAnsi="Arial" w:cs="Arial"/>
      <w:color w:val="993366"/>
      <w:sz w:val="20"/>
    </w:rPr>
  </w:style>
  <w:style w:type="character" w:customStyle="1" w:styleId="EmailStyle572">
    <w:name w:val="EmailStyle572"/>
    <w:basedOn w:val="DefaultParagraphFont"/>
    <w:semiHidden/>
    <w:rsid w:val="00442BD0"/>
    <w:rPr>
      <w:rFonts w:ascii="Arial" w:hAnsi="Arial" w:cs="Arial"/>
      <w:color w:val="000080"/>
      <w:sz w:val="20"/>
    </w:rPr>
  </w:style>
  <w:style w:type="character" w:customStyle="1" w:styleId="EmailStyle573">
    <w:name w:val="EmailStyle573"/>
    <w:basedOn w:val="DefaultParagraphFont"/>
    <w:semiHidden/>
    <w:rsid w:val="00442BD0"/>
    <w:rPr>
      <w:rFonts w:ascii="Arial" w:hAnsi="Arial" w:cs="Arial"/>
      <w:color w:val="993366"/>
      <w:sz w:val="20"/>
    </w:rPr>
  </w:style>
  <w:style w:type="character" w:customStyle="1" w:styleId="EmailStyle574">
    <w:name w:val="EmailStyle574"/>
    <w:basedOn w:val="DefaultParagraphFont"/>
    <w:semiHidden/>
    <w:rsid w:val="00442BD0"/>
    <w:rPr>
      <w:rFonts w:ascii="Arial" w:hAnsi="Arial" w:cs="Arial"/>
      <w:color w:val="000080"/>
      <w:sz w:val="20"/>
    </w:rPr>
  </w:style>
  <w:style w:type="character" w:customStyle="1" w:styleId="EmailStyle575">
    <w:name w:val="EmailStyle575"/>
    <w:basedOn w:val="DefaultParagraphFont"/>
    <w:semiHidden/>
    <w:rsid w:val="00442BD0"/>
    <w:rPr>
      <w:rFonts w:ascii="Arial" w:hAnsi="Arial" w:cs="Arial"/>
      <w:color w:val="993366"/>
      <w:sz w:val="20"/>
    </w:rPr>
  </w:style>
  <w:style w:type="character" w:customStyle="1" w:styleId="EmailStyle576">
    <w:name w:val="EmailStyle576"/>
    <w:basedOn w:val="DefaultParagraphFont"/>
    <w:semiHidden/>
    <w:rsid w:val="00442BD0"/>
    <w:rPr>
      <w:rFonts w:ascii="Arial" w:hAnsi="Arial" w:cs="Arial"/>
      <w:color w:val="000080"/>
      <w:sz w:val="20"/>
    </w:rPr>
  </w:style>
  <w:style w:type="character" w:customStyle="1" w:styleId="EmailStyle577">
    <w:name w:val="EmailStyle577"/>
    <w:basedOn w:val="DefaultParagraphFont"/>
    <w:semiHidden/>
    <w:rsid w:val="00442BD0"/>
    <w:rPr>
      <w:rFonts w:ascii="Arial" w:hAnsi="Arial" w:cs="Arial"/>
      <w:color w:val="993366"/>
      <w:sz w:val="20"/>
    </w:rPr>
  </w:style>
  <w:style w:type="character" w:customStyle="1" w:styleId="EmailStyle578">
    <w:name w:val="EmailStyle578"/>
    <w:basedOn w:val="DefaultParagraphFont"/>
    <w:semiHidden/>
    <w:rsid w:val="00442BD0"/>
    <w:rPr>
      <w:rFonts w:ascii="Arial" w:hAnsi="Arial" w:cs="Arial"/>
      <w:color w:val="000080"/>
      <w:sz w:val="20"/>
    </w:rPr>
  </w:style>
  <w:style w:type="character" w:customStyle="1" w:styleId="EmailStyle579">
    <w:name w:val="EmailStyle579"/>
    <w:basedOn w:val="DefaultParagraphFont"/>
    <w:semiHidden/>
    <w:rsid w:val="00442BD0"/>
    <w:rPr>
      <w:rFonts w:ascii="Arial" w:hAnsi="Arial" w:cs="Arial"/>
      <w:color w:val="993366"/>
      <w:sz w:val="20"/>
    </w:rPr>
  </w:style>
  <w:style w:type="character" w:customStyle="1" w:styleId="EmailStyle580">
    <w:name w:val="EmailStyle580"/>
    <w:basedOn w:val="DefaultParagraphFont"/>
    <w:semiHidden/>
    <w:rsid w:val="00442BD0"/>
    <w:rPr>
      <w:rFonts w:ascii="Arial" w:hAnsi="Arial" w:cs="Arial"/>
      <w:color w:val="000080"/>
      <w:sz w:val="20"/>
    </w:rPr>
  </w:style>
  <w:style w:type="character" w:customStyle="1" w:styleId="EmailStyle581">
    <w:name w:val="EmailStyle581"/>
    <w:basedOn w:val="DefaultParagraphFont"/>
    <w:semiHidden/>
    <w:rsid w:val="00442BD0"/>
    <w:rPr>
      <w:rFonts w:ascii="Arial" w:hAnsi="Arial" w:cs="Arial"/>
      <w:color w:val="993366"/>
      <w:sz w:val="20"/>
    </w:rPr>
  </w:style>
  <w:style w:type="character" w:customStyle="1" w:styleId="EmailStyle582">
    <w:name w:val="EmailStyle582"/>
    <w:basedOn w:val="DefaultParagraphFont"/>
    <w:semiHidden/>
    <w:rsid w:val="00442BD0"/>
    <w:rPr>
      <w:rFonts w:ascii="Arial" w:hAnsi="Arial" w:cs="Arial"/>
      <w:color w:val="000080"/>
      <w:sz w:val="20"/>
    </w:rPr>
  </w:style>
  <w:style w:type="character" w:customStyle="1" w:styleId="EmailStyle583">
    <w:name w:val="EmailStyle583"/>
    <w:basedOn w:val="DefaultParagraphFont"/>
    <w:semiHidden/>
    <w:rsid w:val="00442BD0"/>
    <w:rPr>
      <w:rFonts w:ascii="Arial" w:hAnsi="Arial" w:cs="Arial"/>
      <w:color w:val="993366"/>
      <w:sz w:val="20"/>
    </w:rPr>
  </w:style>
  <w:style w:type="character" w:customStyle="1" w:styleId="EmailStyle584">
    <w:name w:val="EmailStyle584"/>
    <w:basedOn w:val="DefaultParagraphFont"/>
    <w:semiHidden/>
    <w:rsid w:val="00442BD0"/>
    <w:rPr>
      <w:rFonts w:ascii="Arial" w:hAnsi="Arial" w:cs="Arial"/>
      <w:color w:val="000080"/>
      <w:sz w:val="20"/>
    </w:rPr>
  </w:style>
  <w:style w:type="character" w:customStyle="1" w:styleId="EmailStyle585">
    <w:name w:val="EmailStyle585"/>
    <w:basedOn w:val="DefaultParagraphFont"/>
    <w:semiHidden/>
    <w:rsid w:val="00442BD0"/>
    <w:rPr>
      <w:rFonts w:ascii="Arial" w:hAnsi="Arial" w:cs="Arial"/>
      <w:color w:val="993366"/>
      <w:sz w:val="20"/>
    </w:rPr>
  </w:style>
  <w:style w:type="character" w:customStyle="1" w:styleId="EmailStyle586">
    <w:name w:val="EmailStyle586"/>
    <w:basedOn w:val="DefaultParagraphFont"/>
    <w:semiHidden/>
    <w:rsid w:val="00442BD0"/>
    <w:rPr>
      <w:rFonts w:ascii="Arial" w:hAnsi="Arial" w:cs="Arial"/>
      <w:color w:val="000080"/>
      <w:sz w:val="20"/>
    </w:rPr>
  </w:style>
  <w:style w:type="character" w:customStyle="1" w:styleId="EmailStyle587">
    <w:name w:val="EmailStyle587"/>
    <w:basedOn w:val="DefaultParagraphFont"/>
    <w:semiHidden/>
    <w:rsid w:val="00442BD0"/>
    <w:rPr>
      <w:rFonts w:ascii="Arial" w:hAnsi="Arial" w:cs="Arial"/>
      <w:color w:val="993366"/>
      <w:sz w:val="20"/>
    </w:rPr>
  </w:style>
  <w:style w:type="character" w:customStyle="1" w:styleId="EmailStyle588">
    <w:name w:val="EmailStyle588"/>
    <w:basedOn w:val="DefaultParagraphFont"/>
    <w:semiHidden/>
    <w:rsid w:val="00442BD0"/>
    <w:rPr>
      <w:rFonts w:ascii="Arial" w:hAnsi="Arial" w:cs="Arial"/>
      <w:color w:val="000080"/>
      <w:sz w:val="20"/>
    </w:rPr>
  </w:style>
  <w:style w:type="character" w:customStyle="1" w:styleId="EmailStyle589">
    <w:name w:val="EmailStyle589"/>
    <w:basedOn w:val="DefaultParagraphFont"/>
    <w:semiHidden/>
    <w:rsid w:val="00442BD0"/>
    <w:rPr>
      <w:rFonts w:ascii="Arial" w:hAnsi="Arial" w:cs="Arial"/>
      <w:color w:val="993366"/>
      <w:sz w:val="20"/>
    </w:rPr>
  </w:style>
  <w:style w:type="character" w:customStyle="1" w:styleId="EmailStyle590">
    <w:name w:val="EmailStyle590"/>
    <w:basedOn w:val="DefaultParagraphFont"/>
    <w:semiHidden/>
    <w:rsid w:val="00442BD0"/>
    <w:rPr>
      <w:rFonts w:ascii="Arial" w:hAnsi="Arial" w:cs="Arial"/>
      <w:color w:val="000080"/>
      <w:sz w:val="20"/>
    </w:rPr>
  </w:style>
  <w:style w:type="character" w:customStyle="1" w:styleId="EmailStyle591">
    <w:name w:val="EmailStyle591"/>
    <w:basedOn w:val="DefaultParagraphFont"/>
    <w:semiHidden/>
    <w:rsid w:val="00442BD0"/>
    <w:rPr>
      <w:rFonts w:ascii="Arial" w:hAnsi="Arial" w:cs="Arial"/>
      <w:color w:val="993366"/>
      <w:sz w:val="20"/>
    </w:rPr>
  </w:style>
  <w:style w:type="character" w:customStyle="1" w:styleId="EmailStyle592">
    <w:name w:val="EmailStyle592"/>
    <w:basedOn w:val="DefaultParagraphFont"/>
    <w:semiHidden/>
    <w:rsid w:val="00442BD0"/>
    <w:rPr>
      <w:rFonts w:ascii="Arial" w:hAnsi="Arial" w:cs="Arial"/>
      <w:color w:val="000080"/>
      <w:sz w:val="20"/>
    </w:rPr>
  </w:style>
  <w:style w:type="character" w:customStyle="1" w:styleId="EmailStyle593">
    <w:name w:val="EmailStyle593"/>
    <w:basedOn w:val="DefaultParagraphFont"/>
    <w:semiHidden/>
    <w:rsid w:val="00442BD0"/>
    <w:rPr>
      <w:rFonts w:ascii="Arial" w:hAnsi="Arial" w:cs="Arial"/>
      <w:color w:val="993366"/>
      <w:sz w:val="20"/>
    </w:rPr>
  </w:style>
  <w:style w:type="character" w:customStyle="1" w:styleId="EmailStyle594">
    <w:name w:val="EmailStyle594"/>
    <w:basedOn w:val="DefaultParagraphFont"/>
    <w:semiHidden/>
    <w:rsid w:val="00442BD0"/>
    <w:rPr>
      <w:rFonts w:ascii="Arial" w:hAnsi="Arial" w:cs="Arial"/>
      <w:color w:val="000080"/>
      <w:sz w:val="20"/>
    </w:rPr>
  </w:style>
  <w:style w:type="character" w:customStyle="1" w:styleId="EmailStyle595">
    <w:name w:val="EmailStyle595"/>
    <w:basedOn w:val="DefaultParagraphFont"/>
    <w:semiHidden/>
    <w:rsid w:val="00442BD0"/>
    <w:rPr>
      <w:rFonts w:ascii="Arial" w:hAnsi="Arial" w:cs="Arial"/>
      <w:color w:val="993366"/>
      <w:sz w:val="20"/>
    </w:rPr>
  </w:style>
  <w:style w:type="character" w:customStyle="1" w:styleId="EmailStyle596">
    <w:name w:val="EmailStyle596"/>
    <w:basedOn w:val="DefaultParagraphFont"/>
    <w:semiHidden/>
    <w:rsid w:val="00442BD0"/>
    <w:rPr>
      <w:rFonts w:ascii="Arial" w:hAnsi="Arial" w:cs="Arial"/>
      <w:color w:val="000080"/>
      <w:sz w:val="20"/>
    </w:rPr>
  </w:style>
  <w:style w:type="character" w:customStyle="1" w:styleId="EmailStyle597">
    <w:name w:val="EmailStyle597"/>
    <w:basedOn w:val="DefaultParagraphFont"/>
    <w:semiHidden/>
    <w:rsid w:val="00442BD0"/>
    <w:rPr>
      <w:rFonts w:ascii="Arial" w:hAnsi="Arial" w:cs="Arial"/>
      <w:color w:val="993366"/>
      <w:sz w:val="20"/>
    </w:rPr>
  </w:style>
  <w:style w:type="character" w:customStyle="1" w:styleId="EmailStyle598">
    <w:name w:val="EmailStyle598"/>
    <w:basedOn w:val="DefaultParagraphFont"/>
    <w:semiHidden/>
    <w:rsid w:val="00442BD0"/>
    <w:rPr>
      <w:rFonts w:ascii="Arial" w:hAnsi="Arial" w:cs="Arial"/>
      <w:color w:val="000080"/>
      <w:sz w:val="20"/>
    </w:rPr>
  </w:style>
  <w:style w:type="character" w:customStyle="1" w:styleId="EmailStyle599">
    <w:name w:val="EmailStyle599"/>
    <w:basedOn w:val="DefaultParagraphFont"/>
    <w:semiHidden/>
    <w:rsid w:val="00442BD0"/>
    <w:rPr>
      <w:rFonts w:ascii="Arial" w:hAnsi="Arial" w:cs="Arial"/>
      <w:color w:val="993366"/>
      <w:sz w:val="20"/>
    </w:rPr>
  </w:style>
  <w:style w:type="character" w:customStyle="1" w:styleId="EmailStyle600">
    <w:name w:val="EmailStyle600"/>
    <w:basedOn w:val="DefaultParagraphFont"/>
    <w:semiHidden/>
    <w:rsid w:val="00442BD0"/>
    <w:rPr>
      <w:rFonts w:ascii="Arial" w:hAnsi="Arial" w:cs="Arial"/>
      <w:color w:val="000080"/>
      <w:sz w:val="20"/>
    </w:rPr>
  </w:style>
  <w:style w:type="character" w:customStyle="1" w:styleId="EmailStyle601">
    <w:name w:val="EmailStyle601"/>
    <w:basedOn w:val="DefaultParagraphFont"/>
    <w:semiHidden/>
    <w:rsid w:val="00442BD0"/>
    <w:rPr>
      <w:rFonts w:ascii="Arial" w:hAnsi="Arial" w:cs="Arial"/>
      <w:color w:val="993366"/>
      <w:sz w:val="20"/>
    </w:rPr>
  </w:style>
  <w:style w:type="character" w:customStyle="1" w:styleId="EmailStyle602">
    <w:name w:val="EmailStyle602"/>
    <w:basedOn w:val="DefaultParagraphFont"/>
    <w:semiHidden/>
    <w:rsid w:val="00442BD0"/>
    <w:rPr>
      <w:rFonts w:ascii="Arial" w:hAnsi="Arial" w:cs="Arial"/>
      <w:color w:val="000080"/>
      <w:sz w:val="20"/>
    </w:rPr>
  </w:style>
  <w:style w:type="character" w:customStyle="1" w:styleId="EmailStyle603">
    <w:name w:val="EmailStyle603"/>
    <w:basedOn w:val="DefaultParagraphFont"/>
    <w:semiHidden/>
    <w:rsid w:val="00442BD0"/>
    <w:rPr>
      <w:rFonts w:ascii="Arial" w:hAnsi="Arial" w:cs="Arial"/>
      <w:color w:val="993366"/>
      <w:sz w:val="20"/>
    </w:rPr>
  </w:style>
  <w:style w:type="character" w:customStyle="1" w:styleId="EmailStyle604">
    <w:name w:val="EmailStyle604"/>
    <w:basedOn w:val="DefaultParagraphFont"/>
    <w:semiHidden/>
    <w:rsid w:val="00442BD0"/>
    <w:rPr>
      <w:rFonts w:ascii="Arial" w:hAnsi="Arial" w:cs="Arial"/>
      <w:color w:val="000080"/>
      <w:sz w:val="20"/>
    </w:rPr>
  </w:style>
  <w:style w:type="character" w:customStyle="1" w:styleId="EmailStyle605">
    <w:name w:val="EmailStyle605"/>
    <w:basedOn w:val="DefaultParagraphFont"/>
    <w:semiHidden/>
    <w:rsid w:val="00442BD0"/>
    <w:rPr>
      <w:rFonts w:ascii="Arial" w:hAnsi="Arial" w:cs="Arial"/>
      <w:color w:val="000080"/>
      <w:sz w:val="20"/>
    </w:rPr>
  </w:style>
  <w:style w:type="character" w:customStyle="1" w:styleId="EmailStyle606">
    <w:name w:val="EmailStyle606"/>
    <w:basedOn w:val="DefaultParagraphFont"/>
    <w:semiHidden/>
    <w:rsid w:val="00442BD0"/>
    <w:rPr>
      <w:rFonts w:ascii="Arial" w:hAnsi="Arial" w:cs="Arial"/>
      <w:color w:val="993366"/>
      <w:sz w:val="20"/>
    </w:rPr>
  </w:style>
  <w:style w:type="character" w:customStyle="1" w:styleId="EmailStyle607">
    <w:name w:val="EmailStyle607"/>
    <w:basedOn w:val="DefaultParagraphFont"/>
    <w:semiHidden/>
    <w:rsid w:val="00442BD0"/>
    <w:rPr>
      <w:rFonts w:ascii="Arial" w:hAnsi="Arial" w:cs="Arial"/>
      <w:color w:val="000080"/>
      <w:sz w:val="20"/>
    </w:rPr>
  </w:style>
  <w:style w:type="character" w:customStyle="1" w:styleId="EmailStyle608">
    <w:name w:val="EmailStyle608"/>
    <w:basedOn w:val="DefaultParagraphFont"/>
    <w:semiHidden/>
    <w:rsid w:val="00442BD0"/>
    <w:rPr>
      <w:rFonts w:ascii="Arial" w:hAnsi="Arial" w:cs="Arial"/>
      <w:color w:val="993366"/>
      <w:sz w:val="20"/>
    </w:rPr>
  </w:style>
  <w:style w:type="character" w:customStyle="1" w:styleId="EmailStyle609">
    <w:name w:val="EmailStyle609"/>
    <w:basedOn w:val="DefaultParagraphFont"/>
    <w:semiHidden/>
    <w:rsid w:val="00442BD0"/>
    <w:rPr>
      <w:rFonts w:ascii="Arial" w:hAnsi="Arial" w:cs="Arial"/>
      <w:color w:val="000080"/>
      <w:sz w:val="20"/>
    </w:rPr>
  </w:style>
  <w:style w:type="character" w:customStyle="1" w:styleId="EmailStyle610">
    <w:name w:val="EmailStyle610"/>
    <w:basedOn w:val="DefaultParagraphFont"/>
    <w:semiHidden/>
    <w:rsid w:val="00442BD0"/>
    <w:rPr>
      <w:rFonts w:ascii="Arial" w:hAnsi="Arial" w:cs="Arial"/>
      <w:color w:val="000080"/>
      <w:sz w:val="20"/>
    </w:rPr>
  </w:style>
  <w:style w:type="character" w:customStyle="1" w:styleId="EmailStyle611">
    <w:name w:val="EmailStyle611"/>
    <w:basedOn w:val="DefaultParagraphFont"/>
    <w:semiHidden/>
    <w:rsid w:val="00442BD0"/>
    <w:rPr>
      <w:rFonts w:ascii="Arial" w:hAnsi="Arial" w:cs="Arial"/>
      <w:color w:val="993366"/>
      <w:sz w:val="20"/>
    </w:rPr>
  </w:style>
  <w:style w:type="character" w:customStyle="1" w:styleId="EmailStyle612">
    <w:name w:val="EmailStyle612"/>
    <w:basedOn w:val="DefaultParagraphFont"/>
    <w:semiHidden/>
    <w:rsid w:val="00442BD0"/>
    <w:rPr>
      <w:rFonts w:ascii="Arial" w:hAnsi="Arial" w:cs="Arial"/>
      <w:color w:val="000080"/>
      <w:sz w:val="20"/>
    </w:rPr>
  </w:style>
  <w:style w:type="character" w:customStyle="1" w:styleId="EmailStyle613">
    <w:name w:val="EmailStyle613"/>
    <w:basedOn w:val="DefaultParagraphFont"/>
    <w:semiHidden/>
    <w:rsid w:val="00442BD0"/>
    <w:rPr>
      <w:rFonts w:ascii="Arial" w:hAnsi="Arial" w:cs="Arial"/>
      <w:color w:val="993366"/>
      <w:sz w:val="20"/>
    </w:rPr>
  </w:style>
  <w:style w:type="character" w:customStyle="1" w:styleId="EmailStyle614">
    <w:name w:val="EmailStyle614"/>
    <w:basedOn w:val="DefaultParagraphFont"/>
    <w:semiHidden/>
    <w:rsid w:val="00442BD0"/>
    <w:rPr>
      <w:rFonts w:ascii="Arial" w:hAnsi="Arial" w:cs="Arial"/>
      <w:color w:val="000080"/>
      <w:sz w:val="20"/>
    </w:rPr>
  </w:style>
  <w:style w:type="character" w:customStyle="1" w:styleId="EmailStyle615">
    <w:name w:val="EmailStyle615"/>
    <w:basedOn w:val="DefaultParagraphFont"/>
    <w:semiHidden/>
    <w:rsid w:val="00442BD0"/>
    <w:rPr>
      <w:rFonts w:ascii="Arial" w:hAnsi="Arial" w:cs="Arial"/>
      <w:color w:val="000080"/>
      <w:sz w:val="20"/>
    </w:rPr>
  </w:style>
  <w:style w:type="character" w:customStyle="1" w:styleId="EmailStyle616">
    <w:name w:val="EmailStyle616"/>
    <w:basedOn w:val="DefaultParagraphFont"/>
    <w:semiHidden/>
    <w:rsid w:val="00442BD0"/>
    <w:rPr>
      <w:rFonts w:ascii="Arial" w:hAnsi="Arial" w:cs="Arial"/>
      <w:color w:val="993366"/>
      <w:sz w:val="20"/>
    </w:rPr>
  </w:style>
  <w:style w:type="character" w:customStyle="1" w:styleId="EmailStyle617">
    <w:name w:val="EmailStyle617"/>
    <w:basedOn w:val="DefaultParagraphFont"/>
    <w:semiHidden/>
    <w:rsid w:val="00442BD0"/>
    <w:rPr>
      <w:rFonts w:ascii="Arial" w:hAnsi="Arial" w:cs="Arial"/>
      <w:color w:val="000080"/>
      <w:sz w:val="20"/>
    </w:rPr>
  </w:style>
  <w:style w:type="character" w:customStyle="1" w:styleId="EmailStyle618">
    <w:name w:val="EmailStyle618"/>
    <w:basedOn w:val="DefaultParagraphFont"/>
    <w:semiHidden/>
    <w:rsid w:val="00442BD0"/>
    <w:rPr>
      <w:rFonts w:ascii="Arial" w:hAnsi="Arial" w:cs="Arial"/>
      <w:color w:val="993366"/>
      <w:sz w:val="20"/>
    </w:rPr>
  </w:style>
  <w:style w:type="character" w:customStyle="1" w:styleId="EmailStyle619">
    <w:name w:val="EmailStyle619"/>
    <w:basedOn w:val="DefaultParagraphFont"/>
    <w:semiHidden/>
    <w:rsid w:val="00442BD0"/>
    <w:rPr>
      <w:rFonts w:ascii="Arial" w:hAnsi="Arial" w:cs="Arial"/>
      <w:color w:val="000080"/>
      <w:sz w:val="20"/>
    </w:rPr>
  </w:style>
  <w:style w:type="character" w:customStyle="1" w:styleId="EmailStyle620">
    <w:name w:val="EmailStyle620"/>
    <w:basedOn w:val="DefaultParagraphFont"/>
    <w:semiHidden/>
    <w:rsid w:val="00442BD0"/>
    <w:rPr>
      <w:rFonts w:ascii="Arial" w:hAnsi="Arial" w:cs="Arial"/>
      <w:color w:val="000080"/>
      <w:sz w:val="20"/>
    </w:rPr>
  </w:style>
  <w:style w:type="character" w:customStyle="1" w:styleId="citation">
    <w:name w:val="citation"/>
    <w:basedOn w:val="DefaultParagraphFont"/>
    <w:rsid w:val="00442BD0"/>
  </w:style>
  <w:style w:type="character" w:customStyle="1" w:styleId="printonly">
    <w:name w:val="printonly"/>
    <w:basedOn w:val="DefaultParagraphFont"/>
    <w:rsid w:val="00442BD0"/>
  </w:style>
  <w:style w:type="character" w:customStyle="1" w:styleId="reference-accessdate">
    <w:name w:val="reference-accessdate"/>
    <w:basedOn w:val="DefaultParagraphFont"/>
    <w:rsid w:val="00442BD0"/>
  </w:style>
  <w:style w:type="character" w:customStyle="1" w:styleId="z3988">
    <w:name w:val="z3988"/>
    <w:basedOn w:val="DefaultParagraphFont"/>
    <w:rsid w:val="00442BD0"/>
  </w:style>
  <w:style w:type="character" w:customStyle="1" w:styleId="reference-text">
    <w:name w:val="reference-text"/>
    <w:basedOn w:val="DefaultParagraphFont"/>
    <w:rsid w:val="00442BD0"/>
  </w:style>
  <w:style w:type="character" w:customStyle="1" w:styleId="Heading1Char1">
    <w:name w:val="Heading 1 Char1"/>
    <w:basedOn w:val="DefaultParagraphFont"/>
    <w:rsid w:val="00EC1DFF"/>
    <w:rPr>
      <w:rFonts w:ascii="Calibri" w:eastAsiaTheme="majorEastAsia" w:hAnsi="Calibri" w:cstheme="majorBidi"/>
      <w:b/>
      <w:bCs/>
      <w:color w:val="0070C0"/>
      <w:sz w:val="36"/>
      <w:szCs w:val="28"/>
    </w:rPr>
  </w:style>
  <w:style w:type="character" w:customStyle="1" w:styleId="Heading3Char1">
    <w:name w:val="Heading 3 Char1"/>
    <w:basedOn w:val="DefaultParagraphFont"/>
    <w:rsid w:val="00B75218"/>
    <w:rPr>
      <w:rFonts w:ascii="Calibri" w:eastAsiaTheme="majorEastAsia" w:hAnsi="Calibri" w:cstheme="majorBidi"/>
      <w:b/>
      <w:bCs/>
    </w:rPr>
  </w:style>
  <w:style w:type="character" w:customStyle="1" w:styleId="Heading4Char1">
    <w:name w:val="Heading 4 Char1"/>
    <w:basedOn w:val="DefaultParagraphFont"/>
    <w:rsid w:val="009C2478"/>
    <w:rPr>
      <w:rFonts w:ascii="Calibri" w:eastAsiaTheme="majorEastAsia" w:hAnsi="Calibri" w:cstheme="majorBidi"/>
      <w:bCs/>
      <w:i/>
      <w:iCs/>
    </w:rPr>
  </w:style>
  <w:style w:type="table" w:customStyle="1" w:styleId="2012Style">
    <w:name w:val="2012 Style"/>
    <w:basedOn w:val="TableNormal"/>
    <w:uiPriority w:val="99"/>
    <w:qFormat/>
    <w:rsid w:val="001733B1"/>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
    <w:name w:val="Light Shading - Accent 12"/>
    <w:basedOn w:val="TableNormal"/>
    <w:uiPriority w:val="60"/>
    <w:rsid w:val="00AD7BEC"/>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character" w:customStyle="1" w:styleId="definition">
    <w:name w:val="definition"/>
    <w:basedOn w:val="DefaultParagraphFont"/>
    <w:rsid w:val="00AD7BEC"/>
  </w:style>
  <w:style w:type="character" w:customStyle="1" w:styleId="truncatemore">
    <w:name w:val="truncate_more"/>
    <w:basedOn w:val="DefaultParagraphFont"/>
    <w:rsid w:val="00AD7BEC"/>
  </w:style>
  <w:style w:type="paragraph" w:styleId="ListParagraph">
    <w:name w:val="List Paragraph"/>
    <w:basedOn w:val="Normal"/>
    <w:uiPriority w:val="34"/>
    <w:qFormat/>
    <w:rsid w:val="00382D40"/>
    <w:pPr>
      <w:spacing w:after="120"/>
      <w:ind w:left="720" w:hanging="360"/>
    </w:pPr>
    <w:rPr>
      <w:rFonts w:eastAsia="Times New Roman"/>
      <w:szCs w:val="24"/>
    </w:rPr>
  </w:style>
  <w:style w:type="paragraph" w:customStyle="1" w:styleId="bodytext10">
    <w:name w:val="bodytext1"/>
    <w:basedOn w:val="Normal"/>
    <w:rsid w:val="00E0597E"/>
    <w:pPr>
      <w:spacing w:after="0" w:line="240" w:lineRule="auto"/>
    </w:pPr>
    <w:rPr>
      <w:rFonts w:ascii="Times New Roman" w:hAnsi="Times New Roman"/>
      <w:sz w:val="24"/>
      <w:szCs w:val="24"/>
    </w:rPr>
  </w:style>
  <w:style w:type="numbering" w:customStyle="1" w:styleId="NoList1">
    <w:name w:val="No List1"/>
    <w:next w:val="NoList"/>
    <w:uiPriority w:val="99"/>
    <w:semiHidden/>
    <w:unhideWhenUsed/>
    <w:rsid w:val="00217BF0"/>
  </w:style>
  <w:style w:type="numbering" w:customStyle="1" w:styleId="CurrentList11">
    <w:name w:val="Current List11"/>
    <w:rsid w:val="00217BF0"/>
  </w:style>
  <w:style w:type="table" w:customStyle="1" w:styleId="TableGrid1">
    <w:name w:val="Table Grid1"/>
    <w:basedOn w:val="TableNormal"/>
    <w:next w:val="TableGrid"/>
    <w:uiPriority w:val="59"/>
    <w:rsid w:val="00217BF0"/>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ulletedList1">
    <w:name w:val="Bulleted List1"/>
    <w:rsid w:val="00217BF0"/>
  </w:style>
  <w:style w:type="table" w:customStyle="1" w:styleId="LightShading11">
    <w:name w:val="Light Shading11"/>
    <w:basedOn w:val="TableNormal"/>
    <w:uiPriority w:val="60"/>
    <w:rsid w:val="00217BF0"/>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1">
    <w:name w:val="Light Grid11"/>
    <w:basedOn w:val="TableNormal"/>
    <w:uiPriority w:val="62"/>
    <w:rsid w:val="00217BF0"/>
    <w:pPr>
      <w:spacing w:after="0" w:line="240" w:lineRule="auto"/>
    </w:pPr>
    <w:rPr>
      <w:rFonts w:ascii="Arial" w:eastAsia="Arial" w:hAnsi="Arial"/>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1">
    <w:name w:val="Medium Shading 1 - Accent 111"/>
    <w:basedOn w:val="TableNormal"/>
    <w:uiPriority w:val="63"/>
    <w:rsid w:val="00217BF0"/>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1">
    <w:name w:val="Medium Grid 1 - Accent 11"/>
    <w:basedOn w:val="TableNormal"/>
    <w:next w:val="MediumGrid1-Accent1"/>
    <w:uiPriority w:val="67"/>
    <w:rsid w:val="00217BF0"/>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1">
    <w:name w:val="Light Shading - Accent 111"/>
    <w:basedOn w:val="TableNormal"/>
    <w:uiPriority w:val="60"/>
    <w:rsid w:val="00217BF0"/>
    <w:pPr>
      <w:spacing w:after="0" w:line="240" w:lineRule="auto"/>
    </w:pPr>
    <w:rPr>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1">
    <w:name w:val="RSP_Style1"/>
    <w:basedOn w:val="TableNormal"/>
    <w:uiPriority w:val="99"/>
    <w:qFormat/>
    <w:rsid w:val="00217BF0"/>
    <w:pPr>
      <w:spacing w:after="0" w:line="240" w:lineRule="auto"/>
    </w:pPr>
    <w:tblPr/>
  </w:style>
  <w:style w:type="table" w:customStyle="1" w:styleId="20122tableformat1">
    <w:name w:val="2012 2 table format1"/>
    <w:basedOn w:val="TableNormal"/>
    <w:uiPriority w:val="63"/>
    <w:rsid w:val="00217BF0"/>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1">
    <w:name w:val="Medium Grid 1 - Accent 61"/>
    <w:basedOn w:val="TableNormal"/>
    <w:next w:val="MediumGrid1-Accent6"/>
    <w:uiPriority w:val="67"/>
    <w:rsid w:val="00217BF0"/>
    <w:pPr>
      <w:spacing w:after="0" w:line="240" w:lineRule="auto"/>
    </w:p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1">
    <w:name w:val="Light List - Accent 61"/>
    <w:basedOn w:val="TableNormal"/>
    <w:next w:val="LightList-Accent6"/>
    <w:uiPriority w:val="61"/>
    <w:rsid w:val="00217BF0"/>
    <w:pPr>
      <w:spacing w:after="0" w:line="240" w:lineRule="auto"/>
    </w:p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1">
    <w:name w:val="Light Grid - Accent 111"/>
    <w:basedOn w:val="TableNormal"/>
    <w:uiPriority w:val="62"/>
    <w:rsid w:val="00217BF0"/>
    <w:pPr>
      <w:spacing w:after="0" w:line="240" w:lineRule="auto"/>
    </w:p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1">
    <w:name w:val="2012 Style1"/>
    <w:basedOn w:val="TableNormal"/>
    <w:uiPriority w:val="99"/>
    <w:qFormat/>
    <w:rsid w:val="00217BF0"/>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1">
    <w:name w:val="Light Shading - Accent 121"/>
    <w:basedOn w:val="TableNormal"/>
    <w:uiPriority w:val="60"/>
    <w:rsid w:val="00217BF0"/>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character" w:customStyle="1" w:styleId="Heading3Char2">
    <w:name w:val="Heading 3 Char2"/>
    <w:basedOn w:val="DefaultParagraphFont"/>
    <w:uiPriority w:val="9"/>
    <w:semiHidden/>
    <w:rsid w:val="00217BF0"/>
    <w:rPr>
      <w:rFonts w:asciiTheme="majorHAnsi" w:eastAsiaTheme="majorEastAsia" w:hAnsiTheme="majorHAnsi" w:cstheme="majorBidi"/>
      <w:b/>
      <w:bCs/>
      <w:color w:val="1795D2" w:themeColor="accent1"/>
    </w:rPr>
  </w:style>
  <w:style w:type="paragraph" w:customStyle="1" w:styleId="bullet-solid0">
    <w:name w:val="bullet-solid"/>
    <w:basedOn w:val="Normal"/>
    <w:uiPriority w:val="99"/>
    <w:rsid w:val="00463D0D"/>
    <w:pPr>
      <w:spacing w:after="0" w:line="240" w:lineRule="auto"/>
    </w:pPr>
    <w:rPr>
      <w:rFonts w:ascii="Times New Roman" w:hAnsi="Times New Roman"/>
      <w:sz w:val="24"/>
      <w:szCs w:val="24"/>
    </w:rPr>
  </w:style>
  <w:style w:type="paragraph" w:customStyle="1" w:styleId="TableParagraph">
    <w:name w:val="Table Paragraph"/>
    <w:basedOn w:val="Normal"/>
    <w:uiPriority w:val="1"/>
    <w:qFormat/>
    <w:rsid w:val="00F80F36"/>
    <w:pPr>
      <w:widowControl w:val="0"/>
      <w:spacing w:after="0" w:line="240" w:lineRule="auto"/>
    </w:pPr>
    <w:rPr>
      <w:rFonts w:asciiTheme="minorHAnsi" w:hAnsiTheme="minorHAnsi" w:cstheme="minorBidi"/>
      <w:szCs w:val="22"/>
    </w:rPr>
  </w:style>
  <w:style w:type="table" w:styleId="MediumShading1-Accent4">
    <w:name w:val="Medium Shading 1 Accent 4"/>
    <w:basedOn w:val="TableNormal"/>
    <w:uiPriority w:val="63"/>
    <w:rsid w:val="00F80F36"/>
    <w:pPr>
      <w:spacing w:after="0" w:line="240" w:lineRule="auto"/>
    </w:pPr>
    <w:tblPr>
      <w:tblStyleRowBandSize w:val="1"/>
      <w:tblStyleColBandSize w:val="1"/>
      <w:tbl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single" w:sz="8" w:space="0" w:color="FCCA63" w:themeColor="accent4" w:themeTint="BF"/>
      </w:tblBorders>
    </w:tblPr>
    <w:tblStylePr w:type="firstRow">
      <w:pPr>
        <w:spacing w:before="0" w:after="0" w:line="240" w:lineRule="auto"/>
      </w:pPr>
      <w:rPr>
        <w:b/>
        <w:bCs/>
        <w:color w:val="FFFFFF" w:themeColor="background1"/>
      </w:rPr>
      <w:tblPr/>
      <w:tcPr>
        <w:tc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shd w:val="clear" w:color="auto" w:fill="FBB92F" w:themeFill="accent4"/>
      </w:tcPr>
    </w:tblStylePr>
    <w:tblStylePr w:type="lastRow">
      <w:pPr>
        <w:spacing w:before="0" w:after="0" w:line="240" w:lineRule="auto"/>
      </w:pPr>
      <w:rPr>
        <w:b/>
        <w:bCs/>
      </w:rPr>
      <w:tblPr/>
      <w:tcPr>
        <w:tcBorders>
          <w:top w:val="double" w:sz="6"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tcPr>
    </w:tblStylePr>
    <w:tblStylePr w:type="firstCol">
      <w:rPr>
        <w:b/>
        <w:bCs/>
      </w:rPr>
    </w:tblStylePr>
    <w:tblStylePr w:type="lastCol">
      <w:rPr>
        <w:b/>
        <w:bCs/>
      </w:rPr>
    </w:tblStylePr>
    <w:tblStylePr w:type="band1Vert">
      <w:tblPr/>
      <w:tcPr>
        <w:shd w:val="clear" w:color="auto" w:fill="FEEDCB" w:themeFill="accent4" w:themeFillTint="3F"/>
      </w:tcPr>
    </w:tblStylePr>
    <w:tblStylePr w:type="band1Horz">
      <w:tblPr/>
      <w:tcPr>
        <w:tcBorders>
          <w:insideH w:val="nil"/>
          <w:insideV w:val="nil"/>
        </w:tcBorders>
        <w:shd w:val="clear" w:color="auto" w:fill="FEEDCB" w:themeFill="accent4" w:themeFillTint="3F"/>
      </w:tcPr>
    </w:tblStylePr>
    <w:tblStylePr w:type="band2Horz">
      <w:tblPr/>
      <w:tcPr>
        <w:tcBorders>
          <w:insideH w:val="nil"/>
          <w:insideV w:val="nil"/>
        </w:tcBorders>
      </w:tcPr>
    </w:tblStylePr>
  </w:style>
  <w:style w:type="paragraph" w:customStyle="1" w:styleId="REOTextforgraphs">
    <w:name w:val="REO Text for graphs"/>
    <w:basedOn w:val="Normal"/>
    <w:qFormat/>
    <w:rsid w:val="00F80F36"/>
    <w:pPr>
      <w:spacing w:after="100" w:line="240" w:lineRule="auto"/>
      <w:ind w:right="1440"/>
    </w:pPr>
    <w:rPr>
      <w:rFonts w:asciiTheme="minorHAnsi" w:hAnsiTheme="minorHAnsi" w:cstheme="minorBidi"/>
    </w:rPr>
  </w:style>
  <w:style w:type="paragraph" w:customStyle="1" w:styleId="REOText">
    <w:name w:val="REO Text"/>
    <w:basedOn w:val="Normal"/>
    <w:qFormat/>
    <w:rsid w:val="00F80F36"/>
    <w:pPr>
      <w:spacing w:after="100" w:line="240" w:lineRule="auto"/>
      <w:ind w:right="1440"/>
    </w:pPr>
    <w:rPr>
      <w:rFonts w:asciiTheme="minorHAnsi" w:hAnsiTheme="minorHAnsi" w:cstheme="minorBidi"/>
      <w:szCs w:val="22"/>
    </w:rPr>
  </w:style>
  <w:style w:type="paragraph" w:customStyle="1" w:styleId="REOHeader4">
    <w:name w:val="REO Header 4"/>
    <w:basedOn w:val="REOText"/>
    <w:qFormat/>
    <w:rsid w:val="00F80F36"/>
    <w:pPr>
      <w:spacing w:after="60"/>
    </w:pPr>
    <w:rPr>
      <w:i/>
      <w:sz w:val="24"/>
      <w:szCs w:val="24"/>
    </w:rPr>
  </w:style>
  <w:style w:type="paragraph" w:customStyle="1" w:styleId="REOBulletedlist">
    <w:name w:val="REO Bulleted list"/>
    <w:basedOn w:val="REOText"/>
    <w:qFormat/>
    <w:rsid w:val="00F80F36"/>
    <w:pPr>
      <w:numPr>
        <w:numId w:val="23"/>
      </w:numPr>
    </w:pPr>
  </w:style>
  <w:style w:type="character" w:customStyle="1" w:styleId="posted-on">
    <w:name w:val="posted-on"/>
    <w:basedOn w:val="DefaultParagraphFont"/>
    <w:rsid w:val="00F80F36"/>
  </w:style>
  <w:style w:type="paragraph" w:customStyle="1" w:styleId="Pa7">
    <w:name w:val="Pa7"/>
    <w:basedOn w:val="Normal"/>
    <w:next w:val="Normal"/>
    <w:uiPriority w:val="99"/>
    <w:rsid w:val="00F80F36"/>
    <w:pPr>
      <w:autoSpaceDE w:val="0"/>
      <w:autoSpaceDN w:val="0"/>
      <w:adjustRightInd w:val="0"/>
      <w:spacing w:after="0" w:line="181" w:lineRule="atLeast"/>
    </w:pPr>
    <w:rPr>
      <w:rFonts w:ascii="NeueHaasGroteskDisp Std Md" w:hAnsi="NeueHaasGroteskDisp Std Md" w:cstheme="minorBidi"/>
      <w:sz w:val="24"/>
      <w:szCs w:val="24"/>
    </w:rPr>
  </w:style>
  <w:style w:type="character" w:customStyle="1" w:styleId="st1">
    <w:name w:val="st1"/>
    <w:basedOn w:val="DefaultParagraphFont"/>
    <w:rsid w:val="00F80F36"/>
  </w:style>
  <w:style w:type="character" w:customStyle="1" w:styleId="spelle">
    <w:name w:val="spelle"/>
    <w:basedOn w:val="DefaultParagraphFont"/>
    <w:rsid w:val="00F80F36"/>
  </w:style>
  <w:style w:type="character" w:customStyle="1" w:styleId="grame">
    <w:name w:val="grame"/>
    <w:basedOn w:val="DefaultParagraphFont"/>
    <w:rsid w:val="00F80F36"/>
  </w:style>
  <w:style w:type="numbering" w:customStyle="1" w:styleId="NoList2">
    <w:name w:val="No List2"/>
    <w:next w:val="NoList"/>
    <w:uiPriority w:val="99"/>
    <w:semiHidden/>
    <w:unhideWhenUsed/>
    <w:rsid w:val="00375BFF"/>
  </w:style>
  <w:style w:type="numbering" w:customStyle="1" w:styleId="CurrentList12">
    <w:name w:val="Current List12"/>
    <w:rsid w:val="00375BFF"/>
  </w:style>
  <w:style w:type="character" w:customStyle="1" w:styleId="Heading3Char4">
    <w:name w:val="Heading 3 Char4"/>
    <w:basedOn w:val="DefaultParagraphFont"/>
    <w:rsid w:val="00375BFF"/>
    <w:rPr>
      <w:rFonts w:asciiTheme="minorHAnsi" w:eastAsiaTheme="majorEastAsia" w:hAnsiTheme="minorHAnsi" w:cstheme="majorBidi"/>
      <w:b/>
      <w:bCs/>
      <w:color w:val="62777F" w:themeColor="text1"/>
    </w:rPr>
  </w:style>
  <w:style w:type="numbering" w:customStyle="1" w:styleId="BulletedList2">
    <w:name w:val="Bulleted List2"/>
    <w:rsid w:val="00375BFF"/>
  </w:style>
  <w:style w:type="numbering" w:customStyle="1" w:styleId="NoList11">
    <w:name w:val="No List11"/>
    <w:next w:val="NoList"/>
    <w:uiPriority w:val="99"/>
    <w:semiHidden/>
    <w:unhideWhenUsed/>
    <w:rsid w:val="00375BFF"/>
  </w:style>
  <w:style w:type="numbering" w:customStyle="1" w:styleId="CurrentList111">
    <w:name w:val="Current List111"/>
    <w:rsid w:val="00375BFF"/>
  </w:style>
  <w:style w:type="numbering" w:customStyle="1" w:styleId="BulletedList11">
    <w:name w:val="Bulleted List11"/>
    <w:rsid w:val="00375BFF"/>
  </w:style>
  <w:style w:type="character" w:customStyle="1" w:styleId="OUTLINE">
    <w:name w:val="OUTLINE"/>
    <w:basedOn w:val="DefaultParagraphFont"/>
    <w:uiPriority w:val="1"/>
    <w:qFormat/>
    <w:rsid w:val="00375BFF"/>
  </w:style>
  <w:style w:type="character" w:customStyle="1" w:styleId="Heading3Char3">
    <w:name w:val="Heading 3 Char3"/>
    <w:basedOn w:val="DefaultParagraphFont"/>
    <w:rsid w:val="00375BFF"/>
    <w:rPr>
      <w:rFonts w:ascii="Calibri" w:eastAsiaTheme="majorEastAsia" w:hAnsi="Calibri" w:cstheme="majorBidi"/>
      <w:b/>
      <w:bCs/>
    </w:rPr>
  </w:style>
  <w:style w:type="character" w:customStyle="1" w:styleId="Heading3Char5">
    <w:name w:val="Heading 3 Char5"/>
    <w:basedOn w:val="DefaultParagraphFont"/>
    <w:semiHidden/>
    <w:rsid w:val="00375BFF"/>
    <w:rPr>
      <w:rFonts w:ascii="Calibri" w:eastAsiaTheme="majorEastAsia" w:hAnsi="Calibri" w:cstheme="majorBidi"/>
      <w:b/>
      <w:bCs/>
      <w:color w:val="62777F" w:themeColor="text1"/>
    </w:rPr>
  </w:style>
  <w:style w:type="character" w:customStyle="1" w:styleId="Heading3Char6">
    <w:name w:val="Heading 3 Char6"/>
    <w:basedOn w:val="DefaultParagraphFont"/>
    <w:semiHidden/>
    <w:rsid w:val="00375BFF"/>
    <w:rPr>
      <w:rFonts w:ascii="Calibri" w:eastAsiaTheme="majorEastAsia" w:hAnsi="Calibri" w:cstheme="majorBidi"/>
      <w:b/>
      <w:bCs/>
    </w:rPr>
  </w:style>
  <w:style w:type="paragraph" w:customStyle="1" w:styleId="Bullet-Solid">
    <w:name w:val="Bullet-Solid"/>
    <w:basedOn w:val="Normal"/>
    <w:link w:val="Bullet-SolidChar"/>
    <w:qFormat/>
    <w:rsid w:val="00850C02"/>
    <w:pPr>
      <w:spacing w:after="120"/>
      <w:ind w:left="720" w:hanging="360"/>
    </w:pPr>
    <w:rPr>
      <w:color w:val="000000"/>
    </w:rPr>
  </w:style>
  <w:style w:type="numbering" w:customStyle="1" w:styleId="NoList3">
    <w:name w:val="No List3"/>
    <w:next w:val="NoList"/>
    <w:uiPriority w:val="99"/>
    <w:semiHidden/>
    <w:unhideWhenUsed/>
    <w:rsid w:val="00C6514E"/>
  </w:style>
  <w:style w:type="table" w:customStyle="1" w:styleId="TableGrid2">
    <w:name w:val="Table Grid2"/>
    <w:basedOn w:val="TableNormal"/>
    <w:next w:val="TableGrid"/>
    <w:uiPriority w:val="59"/>
    <w:rsid w:val="00C6514E"/>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2">
    <w:name w:val="Light Shading12"/>
    <w:basedOn w:val="TableNormal"/>
    <w:uiPriority w:val="60"/>
    <w:rsid w:val="00C6514E"/>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2">
    <w:name w:val="Light Grid12"/>
    <w:basedOn w:val="TableNormal"/>
    <w:uiPriority w:val="62"/>
    <w:rsid w:val="00C6514E"/>
    <w:pPr>
      <w:spacing w:after="0" w:line="240" w:lineRule="auto"/>
    </w:pPr>
    <w:rPr>
      <w:rFonts w:ascii="Arial" w:eastAsia="Arial" w:hAnsi="Arial"/>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2">
    <w:name w:val="Medium Shading 1 - Accent 112"/>
    <w:basedOn w:val="TableNormal"/>
    <w:uiPriority w:val="63"/>
    <w:rsid w:val="00C6514E"/>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2">
    <w:name w:val="Medium Grid 1 - Accent 12"/>
    <w:basedOn w:val="TableNormal"/>
    <w:next w:val="MediumGrid1-Accent1"/>
    <w:uiPriority w:val="67"/>
    <w:rsid w:val="00C6514E"/>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2">
    <w:name w:val="Light Shading - Accent 112"/>
    <w:basedOn w:val="TableNormal"/>
    <w:uiPriority w:val="60"/>
    <w:rsid w:val="00C6514E"/>
    <w:pPr>
      <w:spacing w:after="0" w:line="240" w:lineRule="auto"/>
    </w:pPr>
    <w:rPr>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2">
    <w:name w:val="RSP_Style2"/>
    <w:basedOn w:val="TableNormal"/>
    <w:uiPriority w:val="99"/>
    <w:qFormat/>
    <w:rsid w:val="00C6514E"/>
    <w:pPr>
      <w:spacing w:after="0" w:line="240" w:lineRule="auto"/>
    </w:pPr>
    <w:tblPr/>
  </w:style>
  <w:style w:type="table" w:customStyle="1" w:styleId="20122tableformat2">
    <w:name w:val="2012 2 table format2"/>
    <w:basedOn w:val="TableNormal"/>
    <w:uiPriority w:val="63"/>
    <w:rsid w:val="00C6514E"/>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2">
    <w:name w:val="Medium Grid 1 - Accent 62"/>
    <w:basedOn w:val="TableNormal"/>
    <w:next w:val="MediumGrid1-Accent6"/>
    <w:uiPriority w:val="67"/>
    <w:rsid w:val="00C6514E"/>
    <w:pPr>
      <w:spacing w:after="0" w:line="240" w:lineRule="auto"/>
    </w:p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2">
    <w:name w:val="Light List - Accent 62"/>
    <w:basedOn w:val="TableNormal"/>
    <w:next w:val="LightList-Accent6"/>
    <w:uiPriority w:val="61"/>
    <w:rsid w:val="00C6514E"/>
    <w:pPr>
      <w:spacing w:after="0" w:line="240" w:lineRule="auto"/>
    </w:p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2">
    <w:name w:val="Light Grid - Accent 112"/>
    <w:basedOn w:val="TableNormal"/>
    <w:uiPriority w:val="62"/>
    <w:rsid w:val="00C6514E"/>
    <w:pPr>
      <w:spacing w:after="0" w:line="240" w:lineRule="auto"/>
    </w:p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2">
    <w:name w:val="2012 Style2"/>
    <w:basedOn w:val="TableNormal"/>
    <w:uiPriority w:val="99"/>
    <w:qFormat/>
    <w:rsid w:val="00C6514E"/>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2">
    <w:name w:val="Light Shading - Accent 122"/>
    <w:basedOn w:val="TableNormal"/>
    <w:uiPriority w:val="60"/>
    <w:rsid w:val="00C6514E"/>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numbering" w:customStyle="1" w:styleId="NoList12">
    <w:name w:val="No List12"/>
    <w:next w:val="NoList"/>
    <w:uiPriority w:val="99"/>
    <w:semiHidden/>
    <w:unhideWhenUsed/>
    <w:rsid w:val="00C6514E"/>
  </w:style>
  <w:style w:type="numbering" w:customStyle="1" w:styleId="CurrentList112">
    <w:name w:val="Current List112"/>
    <w:rsid w:val="00C6514E"/>
  </w:style>
  <w:style w:type="table" w:customStyle="1" w:styleId="TableGrid11">
    <w:name w:val="Table Grid11"/>
    <w:basedOn w:val="TableNormal"/>
    <w:next w:val="TableGrid"/>
    <w:uiPriority w:val="59"/>
    <w:rsid w:val="00C6514E"/>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ulletedList12">
    <w:name w:val="Bulleted List12"/>
    <w:rsid w:val="00C6514E"/>
  </w:style>
  <w:style w:type="table" w:customStyle="1" w:styleId="LightShading111">
    <w:name w:val="Light Shading111"/>
    <w:basedOn w:val="TableNormal"/>
    <w:uiPriority w:val="60"/>
    <w:rsid w:val="00C6514E"/>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11">
    <w:name w:val="Light Grid111"/>
    <w:basedOn w:val="TableNormal"/>
    <w:uiPriority w:val="62"/>
    <w:rsid w:val="00C6514E"/>
    <w:pPr>
      <w:spacing w:after="0" w:line="240" w:lineRule="auto"/>
    </w:pPr>
    <w:rPr>
      <w:rFonts w:ascii="Arial" w:eastAsia="Arial" w:hAnsi="Arial"/>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11">
    <w:name w:val="Medium Shading 1 - Accent 1111"/>
    <w:basedOn w:val="TableNormal"/>
    <w:uiPriority w:val="63"/>
    <w:rsid w:val="00C6514E"/>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11">
    <w:name w:val="Medium Grid 1 - Accent 111"/>
    <w:basedOn w:val="TableNormal"/>
    <w:next w:val="MediumGrid1-Accent1"/>
    <w:uiPriority w:val="67"/>
    <w:rsid w:val="00C6514E"/>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11">
    <w:name w:val="Light Shading - Accent 1111"/>
    <w:basedOn w:val="TableNormal"/>
    <w:uiPriority w:val="60"/>
    <w:rsid w:val="00C6514E"/>
    <w:pPr>
      <w:spacing w:after="0" w:line="240" w:lineRule="auto"/>
    </w:pPr>
    <w:rPr>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11">
    <w:name w:val="RSP_Style11"/>
    <w:basedOn w:val="TableNormal"/>
    <w:uiPriority w:val="99"/>
    <w:qFormat/>
    <w:rsid w:val="00C6514E"/>
    <w:pPr>
      <w:spacing w:after="0" w:line="240" w:lineRule="auto"/>
    </w:pPr>
    <w:tblPr/>
  </w:style>
  <w:style w:type="table" w:customStyle="1" w:styleId="20122tableformat11">
    <w:name w:val="2012 2 table format11"/>
    <w:basedOn w:val="TableNormal"/>
    <w:uiPriority w:val="63"/>
    <w:rsid w:val="00C6514E"/>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11">
    <w:name w:val="Medium Grid 1 - Accent 611"/>
    <w:basedOn w:val="TableNormal"/>
    <w:next w:val="MediumGrid1-Accent6"/>
    <w:uiPriority w:val="67"/>
    <w:rsid w:val="00C6514E"/>
    <w:pPr>
      <w:spacing w:after="0" w:line="240" w:lineRule="auto"/>
    </w:p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11">
    <w:name w:val="Light List - Accent 611"/>
    <w:basedOn w:val="TableNormal"/>
    <w:next w:val="LightList-Accent6"/>
    <w:uiPriority w:val="61"/>
    <w:rsid w:val="00C6514E"/>
    <w:pPr>
      <w:spacing w:after="0" w:line="240" w:lineRule="auto"/>
    </w:p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11">
    <w:name w:val="Light Grid - Accent 1111"/>
    <w:basedOn w:val="TableNormal"/>
    <w:uiPriority w:val="62"/>
    <w:rsid w:val="00C6514E"/>
    <w:pPr>
      <w:spacing w:after="0" w:line="240" w:lineRule="auto"/>
    </w:p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11">
    <w:name w:val="2012 Style11"/>
    <w:basedOn w:val="TableNormal"/>
    <w:uiPriority w:val="99"/>
    <w:qFormat/>
    <w:rsid w:val="00C6514E"/>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11">
    <w:name w:val="Light Shading - Accent 1211"/>
    <w:basedOn w:val="TableNormal"/>
    <w:uiPriority w:val="60"/>
    <w:rsid w:val="00C6514E"/>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table" w:customStyle="1" w:styleId="MediumShading1-Accent41">
    <w:name w:val="Medium Shading 1 - Accent 41"/>
    <w:basedOn w:val="TableNormal"/>
    <w:next w:val="MediumShading1-Accent4"/>
    <w:uiPriority w:val="63"/>
    <w:rsid w:val="00C6514E"/>
    <w:pPr>
      <w:spacing w:after="0" w:line="240" w:lineRule="auto"/>
    </w:pPr>
    <w:tblPr>
      <w:tblStyleRowBandSize w:val="1"/>
      <w:tblStyleColBandSize w:val="1"/>
      <w:tbl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single" w:sz="8" w:space="0" w:color="FCCA63" w:themeColor="accent4" w:themeTint="BF"/>
      </w:tblBorders>
    </w:tblPr>
    <w:tblStylePr w:type="firstRow">
      <w:pPr>
        <w:spacing w:before="0" w:after="0" w:line="240" w:lineRule="auto"/>
      </w:pPr>
      <w:rPr>
        <w:b/>
        <w:bCs/>
        <w:color w:val="FFFFFF" w:themeColor="background1"/>
      </w:rPr>
      <w:tblPr/>
      <w:tcPr>
        <w:tc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shd w:val="clear" w:color="auto" w:fill="FBB92F" w:themeFill="accent4"/>
      </w:tcPr>
    </w:tblStylePr>
    <w:tblStylePr w:type="lastRow">
      <w:pPr>
        <w:spacing w:before="0" w:after="0" w:line="240" w:lineRule="auto"/>
      </w:pPr>
      <w:rPr>
        <w:b/>
        <w:bCs/>
      </w:rPr>
      <w:tblPr/>
      <w:tcPr>
        <w:tcBorders>
          <w:top w:val="double" w:sz="6"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tcPr>
    </w:tblStylePr>
    <w:tblStylePr w:type="firstCol">
      <w:rPr>
        <w:b/>
        <w:bCs/>
      </w:rPr>
    </w:tblStylePr>
    <w:tblStylePr w:type="lastCol">
      <w:rPr>
        <w:b/>
        <w:bCs/>
      </w:rPr>
    </w:tblStylePr>
    <w:tblStylePr w:type="band1Vert">
      <w:tblPr/>
      <w:tcPr>
        <w:shd w:val="clear" w:color="auto" w:fill="FEEDCB" w:themeFill="accent4" w:themeFillTint="3F"/>
      </w:tcPr>
    </w:tblStylePr>
    <w:tblStylePr w:type="band1Horz">
      <w:tblPr/>
      <w:tcPr>
        <w:tcBorders>
          <w:insideH w:val="nil"/>
          <w:insideV w:val="nil"/>
        </w:tcBorders>
        <w:shd w:val="clear" w:color="auto" w:fill="FEEDCB" w:themeFill="accent4" w:themeFillTint="3F"/>
      </w:tcPr>
    </w:tblStylePr>
    <w:tblStylePr w:type="band2Horz">
      <w:tblPr/>
      <w:tcPr>
        <w:tcBorders>
          <w:insideH w:val="nil"/>
          <w:insideV w:val="nil"/>
        </w:tcBorders>
      </w:tcPr>
    </w:tblStylePr>
  </w:style>
  <w:style w:type="numbering" w:customStyle="1" w:styleId="NoList4">
    <w:name w:val="No List4"/>
    <w:next w:val="NoList"/>
    <w:uiPriority w:val="99"/>
    <w:semiHidden/>
    <w:unhideWhenUsed/>
    <w:rsid w:val="00265654"/>
  </w:style>
  <w:style w:type="table" w:customStyle="1" w:styleId="TableGrid3">
    <w:name w:val="Table Grid3"/>
    <w:basedOn w:val="TableNormal"/>
    <w:next w:val="TableGrid"/>
    <w:uiPriority w:val="59"/>
    <w:rsid w:val="00265654"/>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3">
    <w:name w:val="Light Shading13"/>
    <w:basedOn w:val="TableNormal"/>
    <w:uiPriority w:val="60"/>
    <w:rsid w:val="00265654"/>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3">
    <w:name w:val="Light Grid13"/>
    <w:basedOn w:val="TableNormal"/>
    <w:uiPriority w:val="62"/>
    <w:rsid w:val="00265654"/>
    <w:pPr>
      <w:spacing w:after="0" w:line="240" w:lineRule="auto"/>
    </w:pPr>
    <w:rPr>
      <w:rFonts w:ascii="Arial" w:eastAsia="Arial" w:hAnsi="Arial"/>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3">
    <w:name w:val="Medium Shading 1 - Accent 113"/>
    <w:basedOn w:val="TableNormal"/>
    <w:uiPriority w:val="63"/>
    <w:rsid w:val="00265654"/>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3">
    <w:name w:val="Medium Grid 1 - Accent 13"/>
    <w:basedOn w:val="TableNormal"/>
    <w:next w:val="MediumGrid1-Accent1"/>
    <w:uiPriority w:val="67"/>
    <w:rsid w:val="00265654"/>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3">
    <w:name w:val="Light Shading - Accent 113"/>
    <w:basedOn w:val="TableNormal"/>
    <w:uiPriority w:val="60"/>
    <w:rsid w:val="00265654"/>
    <w:pPr>
      <w:spacing w:after="0" w:line="240" w:lineRule="auto"/>
    </w:pPr>
    <w:rPr>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3">
    <w:name w:val="RSP_Style3"/>
    <w:basedOn w:val="TableNormal"/>
    <w:uiPriority w:val="99"/>
    <w:qFormat/>
    <w:rsid w:val="00265654"/>
    <w:pPr>
      <w:spacing w:after="0" w:line="240" w:lineRule="auto"/>
    </w:pPr>
    <w:tblPr/>
  </w:style>
  <w:style w:type="table" w:customStyle="1" w:styleId="20122tableformat3">
    <w:name w:val="2012 2 table format3"/>
    <w:basedOn w:val="TableNormal"/>
    <w:uiPriority w:val="63"/>
    <w:rsid w:val="00265654"/>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3">
    <w:name w:val="Medium Grid 1 - Accent 63"/>
    <w:basedOn w:val="TableNormal"/>
    <w:next w:val="MediumGrid1-Accent6"/>
    <w:uiPriority w:val="67"/>
    <w:rsid w:val="00265654"/>
    <w:pPr>
      <w:spacing w:after="0" w:line="240" w:lineRule="auto"/>
    </w:p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3">
    <w:name w:val="Light List - Accent 63"/>
    <w:basedOn w:val="TableNormal"/>
    <w:next w:val="LightList-Accent6"/>
    <w:uiPriority w:val="61"/>
    <w:rsid w:val="00265654"/>
    <w:pPr>
      <w:spacing w:after="0" w:line="240" w:lineRule="auto"/>
    </w:p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3">
    <w:name w:val="Light Grid - Accent 113"/>
    <w:basedOn w:val="TableNormal"/>
    <w:uiPriority w:val="62"/>
    <w:rsid w:val="00265654"/>
    <w:pPr>
      <w:spacing w:after="0" w:line="240" w:lineRule="auto"/>
    </w:p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3">
    <w:name w:val="2012 Style3"/>
    <w:basedOn w:val="TableNormal"/>
    <w:uiPriority w:val="99"/>
    <w:qFormat/>
    <w:rsid w:val="00265654"/>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3">
    <w:name w:val="Light Shading - Accent 123"/>
    <w:basedOn w:val="TableNormal"/>
    <w:uiPriority w:val="60"/>
    <w:rsid w:val="00265654"/>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numbering" w:customStyle="1" w:styleId="NoList13">
    <w:name w:val="No List13"/>
    <w:next w:val="NoList"/>
    <w:uiPriority w:val="99"/>
    <w:semiHidden/>
    <w:unhideWhenUsed/>
    <w:rsid w:val="00265654"/>
  </w:style>
  <w:style w:type="numbering" w:customStyle="1" w:styleId="CurrentList113">
    <w:name w:val="Current List113"/>
    <w:rsid w:val="00265654"/>
  </w:style>
  <w:style w:type="table" w:customStyle="1" w:styleId="TableGrid12">
    <w:name w:val="Table Grid12"/>
    <w:basedOn w:val="TableNormal"/>
    <w:next w:val="TableGrid"/>
    <w:uiPriority w:val="59"/>
    <w:rsid w:val="00265654"/>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ulletedList13">
    <w:name w:val="Bulleted List13"/>
    <w:rsid w:val="00265654"/>
  </w:style>
  <w:style w:type="table" w:customStyle="1" w:styleId="LightShading112">
    <w:name w:val="Light Shading112"/>
    <w:basedOn w:val="TableNormal"/>
    <w:uiPriority w:val="60"/>
    <w:rsid w:val="00265654"/>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12">
    <w:name w:val="Light Grid112"/>
    <w:basedOn w:val="TableNormal"/>
    <w:uiPriority w:val="62"/>
    <w:rsid w:val="00265654"/>
    <w:pPr>
      <w:spacing w:after="0" w:line="240" w:lineRule="auto"/>
    </w:pPr>
    <w:rPr>
      <w:rFonts w:ascii="Arial" w:eastAsia="Arial" w:hAnsi="Arial"/>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12">
    <w:name w:val="Medium Shading 1 - Accent 1112"/>
    <w:basedOn w:val="TableNormal"/>
    <w:uiPriority w:val="63"/>
    <w:rsid w:val="00265654"/>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12">
    <w:name w:val="Medium Grid 1 - Accent 112"/>
    <w:basedOn w:val="TableNormal"/>
    <w:next w:val="MediumGrid1-Accent1"/>
    <w:uiPriority w:val="67"/>
    <w:rsid w:val="00265654"/>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12">
    <w:name w:val="Light Shading - Accent 1112"/>
    <w:basedOn w:val="TableNormal"/>
    <w:uiPriority w:val="60"/>
    <w:rsid w:val="00265654"/>
    <w:pPr>
      <w:spacing w:after="0" w:line="240" w:lineRule="auto"/>
    </w:pPr>
    <w:rPr>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12">
    <w:name w:val="RSP_Style12"/>
    <w:basedOn w:val="TableNormal"/>
    <w:uiPriority w:val="99"/>
    <w:qFormat/>
    <w:rsid w:val="00265654"/>
    <w:pPr>
      <w:spacing w:after="0" w:line="240" w:lineRule="auto"/>
    </w:pPr>
    <w:tblPr/>
  </w:style>
  <w:style w:type="table" w:customStyle="1" w:styleId="20122tableformat12">
    <w:name w:val="2012 2 table format12"/>
    <w:basedOn w:val="TableNormal"/>
    <w:uiPriority w:val="63"/>
    <w:rsid w:val="00265654"/>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12">
    <w:name w:val="Medium Grid 1 - Accent 612"/>
    <w:basedOn w:val="TableNormal"/>
    <w:next w:val="MediumGrid1-Accent6"/>
    <w:uiPriority w:val="67"/>
    <w:rsid w:val="00265654"/>
    <w:pPr>
      <w:spacing w:after="0" w:line="240" w:lineRule="auto"/>
    </w:p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12">
    <w:name w:val="Light List - Accent 612"/>
    <w:basedOn w:val="TableNormal"/>
    <w:next w:val="LightList-Accent6"/>
    <w:uiPriority w:val="61"/>
    <w:rsid w:val="00265654"/>
    <w:pPr>
      <w:spacing w:after="0" w:line="240" w:lineRule="auto"/>
    </w:p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12">
    <w:name w:val="Light Grid - Accent 1112"/>
    <w:basedOn w:val="TableNormal"/>
    <w:uiPriority w:val="62"/>
    <w:rsid w:val="00265654"/>
    <w:pPr>
      <w:spacing w:after="0" w:line="240" w:lineRule="auto"/>
    </w:p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12">
    <w:name w:val="2012 Style12"/>
    <w:basedOn w:val="TableNormal"/>
    <w:uiPriority w:val="99"/>
    <w:qFormat/>
    <w:rsid w:val="00265654"/>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12">
    <w:name w:val="Light Shading - Accent 1212"/>
    <w:basedOn w:val="TableNormal"/>
    <w:uiPriority w:val="60"/>
    <w:rsid w:val="00265654"/>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table" w:customStyle="1" w:styleId="MediumShading1-Accent42">
    <w:name w:val="Medium Shading 1 - Accent 42"/>
    <w:basedOn w:val="TableNormal"/>
    <w:next w:val="MediumShading1-Accent4"/>
    <w:uiPriority w:val="63"/>
    <w:rsid w:val="00265654"/>
    <w:pPr>
      <w:spacing w:after="0" w:line="240" w:lineRule="auto"/>
    </w:pPr>
    <w:tblPr>
      <w:tblStyleRowBandSize w:val="1"/>
      <w:tblStyleColBandSize w:val="1"/>
      <w:tbl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single" w:sz="8" w:space="0" w:color="FCCA63" w:themeColor="accent4" w:themeTint="BF"/>
      </w:tblBorders>
    </w:tblPr>
    <w:tblStylePr w:type="firstRow">
      <w:pPr>
        <w:spacing w:before="0" w:after="0" w:line="240" w:lineRule="auto"/>
      </w:pPr>
      <w:rPr>
        <w:b/>
        <w:bCs/>
        <w:color w:val="FFFFFF" w:themeColor="background1"/>
      </w:rPr>
      <w:tblPr/>
      <w:tcPr>
        <w:tc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shd w:val="clear" w:color="auto" w:fill="FBB92F" w:themeFill="accent4"/>
      </w:tcPr>
    </w:tblStylePr>
    <w:tblStylePr w:type="lastRow">
      <w:pPr>
        <w:spacing w:before="0" w:after="0" w:line="240" w:lineRule="auto"/>
      </w:pPr>
      <w:rPr>
        <w:b/>
        <w:bCs/>
      </w:rPr>
      <w:tblPr/>
      <w:tcPr>
        <w:tcBorders>
          <w:top w:val="double" w:sz="6"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tcPr>
    </w:tblStylePr>
    <w:tblStylePr w:type="firstCol">
      <w:rPr>
        <w:b/>
        <w:bCs/>
      </w:rPr>
    </w:tblStylePr>
    <w:tblStylePr w:type="lastCol">
      <w:rPr>
        <w:b/>
        <w:bCs/>
      </w:rPr>
    </w:tblStylePr>
    <w:tblStylePr w:type="band1Vert">
      <w:tblPr/>
      <w:tcPr>
        <w:shd w:val="clear" w:color="auto" w:fill="FEEDCB" w:themeFill="accent4" w:themeFillTint="3F"/>
      </w:tcPr>
    </w:tblStylePr>
    <w:tblStylePr w:type="band1Horz">
      <w:tblPr/>
      <w:tcPr>
        <w:tcBorders>
          <w:insideH w:val="nil"/>
          <w:insideV w:val="nil"/>
        </w:tcBorders>
        <w:shd w:val="clear" w:color="auto" w:fill="FEEDCB" w:themeFill="accent4" w:themeFillTint="3F"/>
      </w:tcPr>
    </w:tblStylePr>
    <w:tblStylePr w:type="band2Horz">
      <w:tblPr/>
      <w:tcPr>
        <w:tcBorders>
          <w:insideH w:val="nil"/>
          <w:insideV w:val="nil"/>
        </w:tcBorders>
      </w:tcPr>
    </w:tblStylePr>
  </w:style>
  <w:style w:type="numbering" w:customStyle="1" w:styleId="CurrentList13">
    <w:name w:val="Current List13"/>
    <w:rsid w:val="001D4B69"/>
  </w:style>
  <w:style w:type="character" w:customStyle="1" w:styleId="Heading1Char3">
    <w:name w:val="Heading 1 Char3"/>
    <w:basedOn w:val="DefaultParagraphFont"/>
    <w:rsid w:val="009C2478"/>
    <w:rPr>
      <w:rFonts w:ascii="Calibri" w:eastAsiaTheme="majorEastAsia" w:hAnsi="Calibri" w:cstheme="majorBidi"/>
      <w:b/>
      <w:bCs/>
      <w:color w:val="0070C0"/>
      <w:sz w:val="36"/>
      <w:szCs w:val="28"/>
    </w:rPr>
  </w:style>
  <w:style w:type="character" w:customStyle="1" w:styleId="Heading3Char8">
    <w:name w:val="Heading 3 Char8"/>
    <w:basedOn w:val="DefaultParagraphFont"/>
    <w:semiHidden/>
    <w:rsid w:val="009C2478"/>
    <w:rPr>
      <w:rFonts w:ascii="Calibri" w:eastAsiaTheme="majorEastAsia" w:hAnsi="Calibri" w:cstheme="majorBidi"/>
      <w:b/>
      <w:bCs/>
    </w:rPr>
  </w:style>
  <w:style w:type="table" w:customStyle="1" w:styleId="TableGrid31">
    <w:name w:val="Table Grid31"/>
    <w:basedOn w:val="TableNormal"/>
    <w:next w:val="TableGrid"/>
    <w:uiPriority w:val="59"/>
    <w:rsid w:val="00037BCC"/>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4">
    <w:name w:val="Heading 1 Char4"/>
    <w:basedOn w:val="DefaultParagraphFont"/>
    <w:rsid w:val="000B2F48"/>
    <w:rPr>
      <w:rFonts w:ascii="Calibri" w:eastAsiaTheme="majorEastAsia" w:hAnsi="Calibri" w:cstheme="majorBidi"/>
      <w:b/>
      <w:bCs/>
      <w:color w:val="0070C0"/>
      <w:sz w:val="36"/>
      <w:szCs w:val="28"/>
    </w:rPr>
  </w:style>
  <w:style w:type="character" w:customStyle="1" w:styleId="Heading2Char1">
    <w:name w:val="Heading 2 Char1"/>
    <w:basedOn w:val="DefaultParagraphFont"/>
    <w:rsid w:val="000B2F48"/>
    <w:rPr>
      <w:rFonts w:ascii="Calibri" w:eastAsiaTheme="majorEastAsia" w:hAnsi="Calibri" w:cstheme="majorBidi"/>
      <w:b/>
      <w:bCs/>
      <w:sz w:val="24"/>
      <w:szCs w:val="26"/>
    </w:rPr>
  </w:style>
  <w:style w:type="character" w:customStyle="1" w:styleId="Heading3Char9">
    <w:name w:val="Heading 3 Char9"/>
    <w:basedOn w:val="DefaultParagraphFont"/>
    <w:rsid w:val="000B2F48"/>
    <w:rPr>
      <w:rFonts w:ascii="Calibri" w:eastAsiaTheme="majorEastAsia" w:hAnsi="Calibri" w:cstheme="majorBidi"/>
      <w:b/>
      <w:bCs/>
    </w:rPr>
  </w:style>
  <w:style w:type="character" w:customStyle="1" w:styleId="Heading4Char2">
    <w:name w:val="Heading 4 Char2"/>
    <w:basedOn w:val="DefaultParagraphFont"/>
    <w:rsid w:val="000B2F48"/>
    <w:rPr>
      <w:rFonts w:ascii="Calibri" w:eastAsiaTheme="majorEastAsia" w:hAnsi="Calibri" w:cstheme="majorBidi"/>
      <w:bCs/>
      <w:i/>
      <w:iCs/>
    </w:rPr>
  </w:style>
  <w:style w:type="character" w:customStyle="1" w:styleId="Heading1Char5">
    <w:name w:val="Heading 1 Char5"/>
    <w:basedOn w:val="DefaultParagraphFont"/>
    <w:rsid w:val="00AB4FC6"/>
    <w:rPr>
      <w:rFonts w:ascii="Calibri" w:eastAsiaTheme="majorEastAsia" w:hAnsi="Calibri" w:cstheme="majorBidi"/>
      <w:b/>
      <w:bCs/>
      <w:color w:val="0070C0"/>
      <w:sz w:val="36"/>
      <w:szCs w:val="28"/>
    </w:rPr>
  </w:style>
  <w:style w:type="character" w:customStyle="1" w:styleId="Heading2Char2">
    <w:name w:val="Heading 2 Char2"/>
    <w:basedOn w:val="DefaultParagraphFont"/>
    <w:semiHidden/>
    <w:rsid w:val="00AB4FC6"/>
    <w:rPr>
      <w:rFonts w:ascii="Calibri" w:eastAsiaTheme="majorEastAsia" w:hAnsi="Calibri" w:cstheme="majorBidi"/>
      <w:b/>
      <w:bCs/>
      <w:color w:val="62777F" w:themeColor="text1"/>
      <w:sz w:val="24"/>
      <w:szCs w:val="26"/>
    </w:rPr>
  </w:style>
  <w:style w:type="character" w:customStyle="1" w:styleId="Heading3Char10">
    <w:name w:val="Heading 3 Char10"/>
    <w:basedOn w:val="DefaultParagraphFont"/>
    <w:rsid w:val="00E15A89"/>
    <w:rPr>
      <w:rFonts w:ascii="Calibri" w:eastAsiaTheme="majorEastAsia" w:hAnsi="Calibri" w:cstheme="majorBidi"/>
      <w:b/>
      <w:bCs/>
      <w:color w:val="62777F" w:themeColor="text1"/>
    </w:rPr>
  </w:style>
  <w:style w:type="character" w:customStyle="1" w:styleId="Heading4Char3">
    <w:name w:val="Heading 4 Char3"/>
    <w:basedOn w:val="DefaultParagraphFont"/>
    <w:semiHidden/>
    <w:rsid w:val="00E84D8F"/>
    <w:rPr>
      <w:rFonts w:ascii="Calibri" w:eastAsiaTheme="majorEastAsia" w:hAnsi="Calibri" w:cstheme="majorBidi"/>
      <w:bCs/>
      <w:i/>
      <w:iCs/>
    </w:rPr>
  </w:style>
  <w:style w:type="character" w:customStyle="1" w:styleId="Heading1Char6">
    <w:name w:val="Heading 1 Char6"/>
    <w:basedOn w:val="DefaultParagraphFont"/>
    <w:rsid w:val="006704C4"/>
    <w:rPr>
      <w:rFonts w:asciiTheme="minorHAnsi" w:eastAsiaTheme="majorEastAsia" w:hAnsiTheme="minorHAnsi" w:cstheme="majorBidi"/>
      <w:b/>
      <w:bCs/>
      <w:color w:val="0070C0"/>
      <w:sz w:val="36"/>
      <w:szCs w:val="28"/>
    </w:rPr>
  </w:style>
  <w:style w:type="character" w:customStyle="1" w:styleId="Heading2Char3">
    <w:name w:val="Heading 2 Char3"/>
    <w:basedOn w:val="DefaultParagraphFont"/>
    <w:rsid w:val="006704C4"/>
    <w:rPr>
      <w:rFonts w:ascii="Calibri" w:eastAsiaTheme="majorEastAsia" w:hAnsi="Calibri" w:cstheme="majorBidi"/>
      <w:b/>
      <w:bCs/>
      <w:sz w:val="24"/>
      <w:szCs w:val="26"/>
    </w:rPr>
  </w:style>
  <w:style w:type="character" w:customStyle="1" w:styleId="Heading3Char11">
    <w:name w:val="Heading 3 Char11"/>
    <w:basedOn w:val="DefaultParagraphFont"/>
    <w:rsid w:val="006704C4"/>
    <w:rPr>
      <w:rFonts w:ascii="Calibri" w:eastAsiaTheme="majorEastAsia" w:hAnsi="Calibri" w:cstheme="majorBidi"/>
      <w:b/>
      <w:bCs/>
      <w:color w:val="62777F" w:themeColor="text1"/>
    </w:rPr>
  </w:style>
  <w:style w:type="character" w:customStyle="1" w:styleId="Heading4Char4">
    <w:name w:val="Heading 4 Char4"/>
    <w:basedOn w:val="DefaultParagraphFont"/>
    <w:semiHidden/>
    <w:rsid w:val="006704C4"/>
    <w:rPr>
      <w:rFonts w:ascii="Calibri" w:eastAsiaTheme="majorEastAsia" w:hAnsi="Calibri" w:cstheme="majorBidi"/>
      <w:bCs/>
      <w:i/>
      <w:iCs/>
      <w:color w:val="62777F" w:themeColor="text1"/>
    </w:rPr>
  </w:style>
  <w:style w:type="character" w:customStyle="1" w:styleId="Heading2Char4">
    <w:name w:val="Heading 2 Char4"/>
    <w:basedOn w:val="DefaultParagraphFont"/>
    <w:rsid w:val="00851CFB"/>
    <w:rPr>
      <w:rFonts w:ascii="Calibri" w:eastAsiaTheme="majorEastAsia" w:hAnsi="Calibri" w:cstheme="majorBidi"/>
      <w:b/>
      <w:bCs/>
      <w:color w:val="62777F" w:themeColor="text1"/>
      <w:sz w:val="24"/>
      <w:szCs w:val="26"/>
    </w:rPr>
  </w:style>
  <w:style w:type="character" w:customStyle="1" w:styleId="Heading3Char12">
    <w:name w:val="Heading 3 Char12"/>
    <w:basedOn w:val="DefaultParagraphFont"/>
    <w:rsid w:val="002108D7"/>
    <w:rPr>
      <w:rFonts w:ascii="Calibri" w:eastAsiaTheme="majorEastAsia" w:hAnsi="Calibri" w:cstheme="majorBidi"/>
      <w:b/>
      <w:bCs/>
      <w:color w:val="62777F" w:themeColor="text1"/>
    </w:rPr>
  </w:style>
  <w:style w:type="character" w:customStyle="1" w:styleId="Heading4Char5">
    <w:name w:val="Heading 4 Char5"/>
    <w:basedOn w:val="DefaultParagraphFont"/>
    <w:semiHidden/>
    <w:rsid w:val="008872DE"/>
    <w:rPr>
      <w:rFonts w:ascii="Calibri" w:eastAsiaTheme="majorEastAsia" w:hAnsi="Calibri" w:cstheme="majorBidi"/>
      <w:bCs/>
      <w:i/>
      <w:iCs/>
      <w:color w:val="62777F" w:themeColor="text1"/>
    </w:rPr>
  </w:style>
  <w:style w:type="paragraph" w:styleId="Caption">
    <w:name w:val="caption"/>
    <w:basedOn w:val="Normal"/>
    <w:next w:val="Normal"/>
    <w:uiPriority w:val="35"/>
    <w:unhideWhenUsed/>
    <w:qFormat/>
    <w:rsid w:val="00594A02"/>
    <w:pPr>
      <w:spacing w:after="120" w:line="240" w:lineRule="auto"/>
      <w:jc w:val="center"/>
    </w:pPr>
    <w:rPr>
      <w:rFonts w:ascii="Calibri" w:hAnsi="Calibri"/>
      <w:b/>
      <w:bCs/>
      <w:szCs w:val="18"/>
    </w:rPr>
  </w:style>
  <w:style w:type="character" w:customStyle="1" w:styleId="Heading2Char5">
    <w:name w:val="Heading 2 Char5"/>
    <w:basedOn w:val="DefaultParagraphFont"/>
    <w:rsid w:val="00654BAE"/>
    <w:rPr>
      <w:rFonts w:ascii="Calibri" w:eastAsiaTheme="majorEastAsia" w:hAnsi="Calibri" w:cstheme="majorBidi"/>
      <w:b/>
      <w:bCs/>
      <w:color w:val="62777F" w:themeColor="text1"/>
      <w:sz w:val="24"/>
      <w:szCs w:val="26"/>
    </w:rPr>
  </w:style>
  <w:style w:type="character" w:customStyle="1" w:styleId="Heading4Char6">
    <w:name w:val="Heading 4 Char6"/>
    <w:basedOn w:val="DefaultParagraphFont"/>
    <w:semiHidden/>
    <w:rsid w:val="005170CD"/>
    <w:rPr>
      <w:rFonts w:asciiTheme="majorHAnsi" w:eastAsiaTheme="majorEastAsia" w:hAnsiTheme="majorHAnsi" w:cstheme="majorBidi"/>
      <w:bCs/>
      <w:i/>
      <w:iCs/>
      <w:color w:val="62777F" w:themeColor="text1"/>
    </w:rPr>
  </w:style>
  <w:style w:type="character" w:customStyle="1" w:styleId="Heading2Char6">
    <w:name w:val="Heading 2 Char6"/>
    <w:basedOn w:val="DefaultParagraphFont"/>
    <w:rsid w:val="005170CD"/>
    <w:rPr>
      <w:rFonts w:ascii="Calibri" w:eastAsiaTheme="majorEastAsia" w:hAnsi="Calibri" w:cstheme="majorBidi"/>
      <w:b/>
      <w:bCs/>
      <w:color w:val="62777F" w:themeColor="text1"/>
      <w:sz w:val="24"/>
      <w:szCs w:val="26"/>
    </w:rPr>
  </w:style>
  <w:style w:type="character" w:customStyle="1" w:styleId="Heading3Char13">
    <w:name w:val="Heading 3 Char13"/>
    <w:basedOn w:val="DefaultParagraphFont"/>
    <w:rsid w:val="005170CD"/>
    <w:rPr>
      <w:rFonts w:ascii="Calibri" w:eastAsiaTheme="majorEastAsia" w:hAnsi="Calibri" w:cstheme="majorBidi"/>
      <w:b/>
      <w:bCs/>
      <w:color w:val="62777F" w:themeColor="text1"/>
    </w:rPr>
  </w:style>
  <w:style w:type="numbering" w:customStyle="1" w:styleId="ISOReportStyle">
    <w:name w:val="ISO Report Style"/>
    <w:uiPriority w:val="99"/>
    <w:rsid w:val="005170CD"/>
    <w:pPr>
      <w:numPr>
        <w:numId w:val="25"/>
      </w:numPr>
    </w:pPr>
  </w:style>
  <w:style w:type="character" w:customStyle="1" w:styleId="Heading2Char7">
    <w:name w:val="Heading 2 Char7"/>
    <w:basedOn w:val="DefaultParagraphFont"/>
    <w:rsid w:val="00A749C6"/>
    <w:rPr>
      <w:rFonts w:ascii="Calibri" w:eastAsiaTheme="majorEastAsia" w:hAnsi="Calibri" w:cstheme="majorBidi"/>
      <w:b/>
      <w:bCs/>
      <w:color w:val="62777F" w:themeColor="text1"/>
      <w:sz w:val="24"/>
      <w:szCs w:val="26"/>
    </w:rPr>
  </w:style>
  <w:style w:type="character" w:customStyle="1" w:styleId="Heading3Char14">
    <w:name w:val="Heading 3 Char14"/>
    <w:basedOn w:val="DefaultParagraphFont"/>
    <w:rsid w:val="00A749C6"/>
    <w:rPr>
      <w:rFonts w:ascii="Calibri" w:eastAsiaTheme="majorEastAsia" w:hAnsi="Calibri" w:cstheme="majorBidi"/>
      <w:b/>
      <w:bCs/>
      <w:color w:val="62777F" w:themeColor="text1"/>
    </w:rPr>
  </w:style>
  <w:style w:type="character" w:customStyle="1" w:styleId="Heading4Char7">
    <w:name w:val="Heading 4 Char7"/>
    <w:basedOn w:val="DefaultParagraphFont"/>
    <w:semiHidden/>
    <w:rsid w:val="00A749C6"/>
    <w:rPr>
      <w:rFonts w:ascii="Calibri" w:eastAsiaTheme="majorEastAsia" w:hAnsi="Calibri" w:cstheme="majorBidi"/>
      <w:bCs/>
      <w:i/>
      <w:iCs/>
      <w:color w:val="62777F" w:themeColor="text1"/>
    </w:rPr>
  </w:style>
  <w:style w:type="character" w:customStyle="1" w:styleId="Heading2Char8">
    <w:name w:val="Heading 2 Char8"/>
    <w:basedOn w:val="DefaultParagraphFont"/>
    <w:semiHidden/>
    <w:rsid w:val="00A66C3B"/>
    <w:rPr>
      <w:rFonts w:eastAsiaTheme="majorEastAsia" w:cstheme="majorBidi"/>
      <w:b/>
      <w:bCs/>
      <w:sz w:val="24"/>
      <w:szCs w:val="26"/>
    </w:rPr>
  </w:style>
  <w:style w:type="character" w:customStyle="1" w:styleId="Heading3Char15">
    <w:name w:val="Heading 3 Char15"/>
    <w:basedOn w:val="DefaultParagraphFont"/>
    <w:rsid w:val="00947B1C"/>
    <w:rPr>
      <w:rFonts w:eastAsiaTheme="majorEastAsia" w:cstheme="majorBidi"/>
      <w:b/>
      <w:bCs/>
    </w:rPr>
  </w:style>
  <w:style w:type="character" w:customStyle="1" w:styleId="Heading4Char8">
    <w:name w:val="Heading 4 Char8"/>
    <w:basedOn w:val="DefaultParagraphFont"/>
    <w:rsid w:val="00947B1C"/>
    <w:rPr>
      <w:rFonts w:asciiTheme="majorHAnsi" w:eastAsiaTheme="majorEastAsia" w:hAnsiTheme="majorHAnsi" w:cstheme="majorBidi"/>
      <w:bCs/>
      <w:i/>
      <w:iCs/>
    </w:rPr>
  </w:style>
  <w:style w:type="paragraph" w:styleId="FootnoteText">
    <w:name w:val="footnote text"/>
    <w:aliases w:val="ft,Footnote Text Char Char,fn Char Char,Footnote Text Char1 Char1 Char,Footnote Text Char Char Char1 Char,Footnote Text Char1 Char Char Char,Footnote Text Char Char Char Char Char,Footnote Text Char Char1,fn,ft Char1,f"/>
    <w:basedOn w:val="Normal"/>
    <w:link w:val="FootnoteTextChar1"/>
    <w:uiPriority w:val="99"/>
    <w:unhideWhenUsed/>
    <w:qFormat/>
    <w:rsid w:val="00254EF7"/>
    <w:pPr>
      <w:spacing w:after="80" w:line="240" w:lineRule="auto"/>
    </w:pPr>
    <w:rPr>
      <w:sz w:val="18"/>
    </w:rPr>
  </w:style>
  <w:style w:type="character" w:customStyle="1" w:styleId="FootnoteTextChar1">
    <w:name w:val="Footnote Text Char1"/>
    <w:aliases w:val="ft Char3,Footnote Text Char Char Char2,fn Char Char Char2,Footnote Text Char1 Char1 Char Char2,Footnote Text Char Char Char1 Char Char2,Footnote Text Char1 Char Char Char Char2,Footnote Text Char Char Char Char Char Char,fn Char1"/>
    <w:basedOn w:val="DefaultParagraphFont"/>
    <w:link w:val="FootnoteText"/>
    <w:uiPriority w:val="99"/>
    <w:rsid w:val="00254EF7"/>
    <w:rPr>
      <w:rFonts w:ascii="Cambria" w:hAnsi="Cambria"/>
      <w:sz w:val="18"/>
    </w:rPr>
  </w:style>
  <w:style w:type="character" w:customStyle="1" w:styleId="Heading1Char8">
    <w:name w:val="Heading 1 Char8"/>
    <w:basedOn w:val="DefaultParagraphFont"/>
    <w:rsid w:val="00BB71E4"/>
    <w:rPr>
      <w:rFonts w:eastAsiaTheme="majorEastAsia" w:cstheme="majorBidi"/>
      <w:b/>
      <w:bCs/>
      <w:color w:val="0070C0"/>
      <w:sz w:val="36"/>
      <w:szCs w:val="28"/>
    </w:rPr>
  </w:style>
  <w:style w:type="character" w:customStyle="1" w:styleId="Heading2Char9">
    <w:name w:val="Heading 2 Char9"/>
    <w:basedOn w:val="DefaultParagraphFont"/>
    <w:rsid w:val="00BB71E4"/>
    <w:rPr>
      <w:rFonts w:eastAsiaTheme="majorEastAsia" w:cstheme="majorBidi"/>
      <w:b/>
      <w:bCs/>
      <w:sz w:val="24"/>
      <w:szCs w:val="26"/>
    </w:rPr>
  </w:style>
  <w:style w:type="character" w:customStyle="1" w:styleId="Heading3Char16">
    <w:name w:val="Heading 3 Char16"/>
    <w:basedOn w:val="DefaultParagraphFont"/>
    <w:rsid w:val="00D93339"/>
    <w:rPr>
      <w:rFonts w:eastAsiaTheme="majorEastAsia" w:cstheme="majorBidi"/>
      <w:b/>
      <w:bCs/>
    </w:rPr>
  </w:style>
  <w:style w:type="character" w:customStyle="1" w:styleId="Heading4Char9">
    <w:name w:val="Heading 4 Char9"/>
    <w:basedOn w:val="DefaultParagraphFont"/>
    <w:rsid w:val="00D93339"/>
    <w:rPr>
      <w:rFonts w:eastAsiaTheme="majorEastAsia" w:cstheme="majorBidi"/>
      <w:bCs/>
      <w:i/>
      <w:iCs/>
    </w:rPr>
  </w:style>
  <w:style w:type="character" w:customStyle="1" w:styleId="Heading1Char9">
    <w:name w:val="Heading 1 Char9"/>
    <w:basedOn w:val="DefaultParagraphFont"/>
    <w:link w:val="Heading1"/>
    <w:rsid w:val="00D945E2"/>
    <w:rPr>
      <w:rFonts w:eastAsiaTheme="majorEastAsia" w:cstheme="majorBidi"/>
      <w:b/>
      <w:bCs/>
      <w:color w:val="1795D2" w:themeColor="accent1"/>
      <w:sz w:val="36"/>
      <w:szCs w:val="28"/>
    </w:rPr>
  </w:style>
  <w:style w:type="character" w:customStyle="1" w:styleId="Heading2Char10">
    <w:name w:val="Heading 2 Char10"/>
    <w:basedOn w:val="DefaultParagraphFont"/>
    <w:link w:val="Heading2"/>
    <w:rsid w:val="00B62AF0"/>
    <w:rPr>
      <w:rFonts w:eastAsiaTheme="majorEastAsia" w:cstheme="majorBidi"/>
      <w:b/>
      <w:bCs/>
      <w:color w:val="auto"/>
      <w:sz w:val="24"/>
      <w:szCs w:val="26"/>
    </w:rPr>
  </w:style>
  <w:style w:type="character" w:customStyle="1" w:styleId="Heading3Char17">
    <w:name w:val="Heading 3 Char17"/>
    <w:basedOn w:val="DefaultParagraphFont"/>
    <w:link w:val="Heading3"/>
    <w:rsid w:val="00AD30BF"/>
    <w:rPr>
      <w:rFonts w:eastAsiaTheme="majorEastAsia" w:cstheme="majorBidi"/>
      <w:b/>
      <w:bCs/>
      <w:color w:val="auto"/>
    </w:rPr>
  </w:style>
  <w:style w:type="character" w:customStyle="1" w:styleId="Heading4Char10">
    <w:name w:val="Heading 4 Char10"/>
    <w:basedOn w:val="DefaultParagraphFont"/>
    <w:link w:val="Heading4"/>
    <w:rsid w:val="00A72CA4"/>
    <w:rPr>
      <w:rFonts w:eastAsiaTheme="majorEastAsia" w:cstheme="majorBidi"/>
      <w:bCs/>
      <w:i/>
      <w:iCs/>
      <w:color w:val="auto"/>
    </w:rPr>
  </w:style>
  <w:style w:type="numbering" w:customStyle="1" w:styleId="NoList5">
    <w:name w:val="No List5"/>
    <w:next w:val="NoList"/>
    <w:uiPriority w:val="99"/>
    <w:semiHidden/>
    <w:unhideWhenUsed/>
    <w:rsid w:val="00C30FD8"/>
  </w:style>
  <w:style w:type="numbering" w:customStyle="1" w:styleId="CurrentList14">
    <w:name w:val="Current List14"/>
    <w:rsid w:val="00C30FD8"/>
  </w:style>
  <w:style w:type="paragraph" w:styleId="TOC1">
    <w:name w:val="toc 1"/>
    <w:basedOn w:val="Normal"/>
    <w:next w:val="Normal"/>
    <w:autoRedefine/>
    <w:uiPriority w:val="39"/>
    <w:unhideWhenUsed/>
    <w:qFormat/>
    <w:rsid w:val="002422A4"/>
    <w:pPr>
      <w:tabs>
        <w:tab w:val="right" w:leader="dot" w:pos="9360"/>
      </w:tabs>
      <w:spacing w:after="120" w:line="240" w:lineRule="auto"/>
    </w:pPr>
    <w:rPr>
      <w:rFonts w:asciiTheme="majorHAnsi" w:eastAsiaTheme="majorEastAsia" w:hAnsiTheme="majorHAnsi" w:cstheme="majorBidi"/>
      <w:b/>
      <w:noProof/>
      <w14:scene3d>
        <w14:camera w14:prst="orthographicFront"/>
        <w14:lightRig w14:rig="threePt" w14:dir="t">
          <w14:rot w14:lat="0" w14:lon="0" w14:rev="0"/>
        </w14:lightRig>
      </w14:scene3d>
    </w:rPr>
  </w:style>
  <w:style w:type="paragraph" w:customStyle="1" w:styleId="Caption-Figure">
    <w:name w:val="Caption-Figure"/>
    <w:basedOn w:val="Caption"/>
    <w:link w:val="Caption-FigureChar"/>
    <w:qFormat/>
    <w:rsid w:val="00C30FD8"/>
    <w:pPr>
      <w:keepNext/>
      <w:keepLines/>
      <w:spacing w:before="120" w:after="0"/>
      <w:jc w:val="left"/>
    </w:pPr>
    <w:rPr>
      <w:bCs w:val="0"/>
    </w:rPr>
  </w:style>
  <w:style w:type="table" w:customStyle="1" w:styleId="TableGrid4">
    <w:name w:val="Table Grid4"/>
    <w:basedOn w:val="TableNormal"/>
    <w:next w:val="TableGrid"/>
    <w:uiPriority w:val="59"/>
    <w:rsid w:val="00C30FD8"/>
    <w:pPr>
      <w:widowControl w:val="0"/>
      <w:spacing w:after="0"/>
    </w:pPr>
    <w:rPr>
      <w:rFonts w:ascii="Times New Roman" w:eastAsia="Times New Roman" w:hAnsi="Times New Roman"/>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ulletedList3">
    <w:name w:val="Bulleted List3"/>
    <w:rsid w:val="00C30FD8"/>
  </w:style>
  <w:style w:type="table" w:customStyle="1" w:styleId="LightShading14">
    <w:name w:val="Light Shading14"/>
    <w:basedOn w:val="TableNormal"/>
    <w:uiPriority w:val="60"/>
    <w:rsid w:val="00C30FD8"/>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4">
    <w:name w:val="Light Grid14"/>
    <w:basedOn w:val="TableNormal"/>
    <w:uiPriority w:val="62"/>
    <w:rsid w:val="00C30FD8"/>
    <w:pPr>
      <w:spacing w:after="0" w:line="240" w:lineRule="auto"/>
    </w:pPr>
    <w:rPr>
      <w:rFonts w:ascii="Arial" w:eastAsia="Arial" w:hAnsi="Arial"/>
      <w:color w:val="auto"/>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4">
    <w:name w:val="Medium Shading 1 - Accent 114"/>
    <w:basedOn w:val="TableNormal"/>
    <w:uiPriority w:val="63"/>
    <w:rsid w:val="00C30FD8"/>
    <w:pPr>
      <w:spacing w:after="0" w:line="240" w:lineRule="auto"/>
    </w:pPr>
    <w:rPr>
      <w:rFonts w:ascii="Cambria" w:hAnsi="Cambria"/>
      <w:color w:val="auto"/>
    </w:r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4">
    <w:name w:val="Medium Grid 1 - Accent 14"/>
    <w:basedOn w:val="TableNormal"/>
    <w:next w:val="MediumGrid1-Accent1"/>
    <w:uiPriority w:val="67"/>
    <w:rsid w:val="00C30FD8"/>
    <w:pPr>
      <w:spacing w:after="0" w:line="240" w:lineRule="auto"/>
    </w:pPr>
    <w:rPr>
      <w:rFonts w:ascii="Cambria" w:hAnsi="Cambria"/>
      <w:color w:val="auto"/>
    </w:r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4">
    <w:name w:val="Light Shading - Accent 114"/>
    <w:basedOn w:val="TableNormal"/>
    <w:uiPriority w:val="60"/>
    <w:rsid w:val="00C30FD8"/>
    <w:pPr>
      <w:spacing w:after="0" w:line="240" w:lineRule="auto"/>
    </w:pPr>
    <w:rPr>
      <w:rFonts w:ascii="Cambria" w:hAnsi="Cambria"/>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4">
    <w:name w:val="RSP_Style4"/>
    <w:basedOn w:val="TableNormal"/>
    <w:uiPriority w:val="99"/>
    <w:qFormat/>
    <w:rsid w:val="00C30FD8"/>
    <w:pPr>
      <w:spacing w:after="0" w:line="240" w:lineRule="auto"/>
    </w:pPr>
    <w:rPr>
      <w:rFonts w:ascii="Cambria" w:hAnsi="Cambria"/>
      <w:color w:val="auto"/>
    </w:rPr>
    <w:tblPr/>
  </w:style>
  <w:style w:type="table" w:customStyle="1" w:styleId="20122tableformat4">
    <w:name w:val="2012 2 table format4"/>
    <w:basedOn w:val="TableNormal"/>
    <w:uiPriority w:val="63"/>
    <w:rsid w:val="00C30FD8"/>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4">
    <w:name w:val="Medium Grid 1 - Accent 64"/>
    <w:basedOn w:val="TableNormal"/>
    <w:next w:val="MediumGrid1-Accent6"/>
    <w:uiPriority w:val="67"/>
    <w:rsid w:val="00C30FD8"/>
    <w:pPr>
      <w:spacing w:after="0" w:line="240" w:lineRule="auto"/>
    </w:pPr>
    <w:rPr>
      <w:rFonts w:ascii="Cambria" w:hAnsi="Cambria"/>
      <w:color w:val="auto"/>
    </w:r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4">
    <w:name w:val="Light List - Accent 64"/>
    <w:basedOn w:val="TableNormal"/>
    <w:next w:val="LightList-Accent6"/>
    <w:uiPriority w:val="61"/>
    <w:rsid w:val="00C30FD8"/>
    <w:pPr>
      <w:spacing w:after="0" w:line="240" w:lineRule="auto"/>
    </w:pPr>
    <w:rPr>
      <w:color w:val="auto"/>
    </w:r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4">
    <w:name w:val="Light Grid - Accent 114"/>
    <w:basedOn w:val="TableNormal"/>
    <w:uiPriority w:val="62"/>
    <w:rsid w:val="00C30FD8"/>
    <w:pPr>
      <w:spacing w:after="0" w:line="240" w:lineRule="auto"/>
    </w:pPr>
    <w:rPr>
      <w:rFonts w:ascii="Cambria" w:hAnsi="Cambria"/>
      <w:color w:val="auto"/>
    </w:r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4">
    <w:name w:val="2012 Style4"/>
    <w:basedOn w:val="TableNormal"/>
    <w:uiPriority w:val="99"/>
    <w:qFormat/>
    <w:rsid w:val="00C30FD8"/>
    <w:pPr>
      <w:spacing w:after="0" w:line="240" w:lineRule="auto"/>
    </w:pPr>
    <w:rPr>
      <w:color w:val="auto"/>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4">
    <w:name w:val="Light Shading - Accent 124"/>
    <w:basedOn w:val="TableNormal"/>
    <w:uiPriority w:val="60"/>
    <w:rsid w:val="00C30FD8"/>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numbering" w:customStyle="1" w:styleId="NoList14">
    <w:name w:val="No List14"/>
    <w:next w:val="NoList"/>
    <w:uiPriority w:val="99"/>
    <w:semiHidden/>
    <w:unhideWhenUsed/>
    <w:rsid w:val="00C30FD8"/>
  </w:style>
  <w:style w:type="numbering" w:customStyle="1" w:styleId="CurrentList114">
    <w:name w:val="Current List114"/>
    <w:rsid w:val="00C30FD8"/>
  </w:style>
  <w:style w:type="table" w:customStyle="1" w:styleId="TableGrid13">
    <w:name w:val="Table Grid13"/>
    <w:basedOn w:val="TableNormal"/>
    <w:next w:val="TableGrid"/>
    <w:uiPriority w:val="59"/>
    <w:rsid w:val="00C30FD8"/>
    <w:pPr>
      <w:widowControl w:val="0"/>
      <w:spacing w:after="0"/>
    </w:pPr>
    <w:rPr>
      <w:rFonts w:ascii="Times New Roman" w:eastAsia="Times New Roman" w:hAnsi="Times New Roman"/>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ulletedList14">
    <w:name w:val="Bulleted List14"/>
    <w:rsid w:val="00C30FD8"/>
  </w:style>
  <w:style w:type="table" w:customStyle="1" w:styleId="LightShading113">
    <w:name w:val="Light Shading113"/>
    <w:basedOn w:val="TableNormal"/>
    <w:uiPriority w:val="60"/>
    <w:rsid w:val="00C30FD8"/>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13">
    <w:name w:val="Light Grid113"/>
    <w:basedOn w:val="TableNormal"/>
    <w:uiPriority w:val="62"/>
    <w:rsid w:val="00C30FD8"/>
    <w:pPr>
      <w:spacing w:after="0" w:line="240" w:lineRule="auto"/>
    </w:pPr>
    <w:rPr>
      <w:rFonts w:ascii="Arial" w:eastAsia="Arial" w:hAnsi="Arial"/>
      <w:color w:val="auto"/>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13">
    <w:name w:val="Medium Shading 1 - Accent 1113"/>
    <w:basedOn w:val="TableNormal"/>
    <w:uiPriority w:val="63"/>
    <w:rsid w:val="00C30FD8"/>
    <w:pPr>
      <w:spacing w:after="0" w:line="240" w:lineRule="auto"/>
    </w:pPr>
    <w:rPr>
      <w:rFonts w:ascii="Cambria" w:hAnsi="Cambria"/>
      <w:color w:val="auto"/>
    </w:r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13">
    <w:name w:val="Medium Grid 1 - Accent 113"/>
    <w:basedOn w:val="TableNormal"/>
    <w:next w:val="MediumGrid1-Accent1"/>
    <w:uiPriority w:val="67"/>
    <w:rsid w:val="00C30FD8"/>
    <w:pPr>
      <w:spacing w:after="0" w:line="240" w:lineRule="auto"/>
    </w:pPr>
    <w:rPr>
      <w:rFonts w:ascii="Cambria" w:hAnsi="Cambria"/>
      <w:color w:val="auto"/>
    </w:r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13">
    <w:name w:val="Light Shading - Accent 1113"/>
    <w:basedOn w:val="TableNormal"/>
    <w:uiPriority w:val="60"/>
    <w:rsid w:val="00C30FD8"/>
    <w:pPr>
      <w:spacing w:after="0" w:line="240" w:lineRule="auto"/>
    </w:pPr>
    <w:rPr>
      <w:rFonts w:ascii="Cambria" w:hAnsi="Cambria"/>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13">
    <w:name w:val="RSP_Style13"/>
    <w:basedOn w:val="TableNormal"/>
    <w:uiPriority w:val="99"/>
    <w:qFormat/>
    <w:rsid w:val="00C30FD8"/>
    <w:pPr>
      <w:spacing w:after="0" w:line="240" w:lineRule="auto"/>
    </w:pPr>
    <w:rPr>
      <w:rFonts w:ascii="Cambria" w:hAnsi="Cambria"/>
      <w:color w:val="auto"/>
    </w:rPr>
    <w:tblPr/>
  </w:style>
  <w:style w:type="table" w:customStyle="1" w:styleId="20122tableformat13">
    <w:name w:val="2012 2 table format13"/>
    <w:basedOn w:val="TableNormal"/>
    <w:uiPriority w:val="63"/>
    <w:rsid w:val="00C30FD8"/>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13">
    <w:name w:val="Medium Grid 1 - Accent 613"/>
    <w:basedOn w:val="TableNormal"/>
    <w:next w:val="MediumGrid1-Accent6"/>
    <w:uiPriority w:val="67"/>
    <w:rsid w:val="00C30FD8"/>
    <w:pPr>
      <w:spacing w:after="0" w:line="240" w:lineRule="auto"/>
    </w:pPr>
    <w:rPr>
      <w:rFonts w:ascii="Cambria" w:hAnsi="Cambria"/>
      <w:color w:val="auto"/>
    </w:r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13">
    <w:name w:val="Light List - Accent 613"/>
    <w:basedOn w:val="TableNormal"/>
    <w:next w:val="LightList-Accent6"/>
    <w:uiPriority w:val="61"/>
    <w:rsid w:val="00C30FD8"/>
    <w:pPr>
      <w:spacing w:after="0" w:line="240" w:lineRule="auto"/>
    </w:pPr>
    <w:rPr>
      <w:color w:val="auto"/>
    </w:r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13">
    <w:name w:val="Light Grid - Accent 1113"/>
    <w:basedOn w:val="TableNormal"/>
    <w:uiPriority w:val="62"/>
    <w:rsid w:val="00C30FD8"/>
    <w:pPr>
      <w:spacing w:after="0" w:line="240" w:lineRule="auto"/>
    </w:pPr>
    <w:rPr>
      <w:rFonts w:ascii="Cambria" w:hAnsi="Cambria"/>
      <w:color w:val="auto"/>
    </w:r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13">
    <w:name w:val="2012 Style13"/>
    <w:basedOn w:val="TableNormal"/>
    <w:uiPriority w:val="99"/>
    <w:qFormat/>
    <w:rsid w:val="00C30FD8"/>
    <w:pPr>
      <w:spacing w:after="0" w:line="240" w:lineRule="auto"/>
    </w:pPr>
    <w:rPr>
      <w:color w:val="auto"/>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13">
    <w:name w:val="Light Shading - Accent 1213"/>
    <w:basedOn w:val="TableNormal"/>
    <w:uiPriority w:val="60"/>
    <w:rsid w:val="00C30FD8"/>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table" w:customStyle="1" w:styleId="MediumShading1-Accent43">
    <w:name w:val="Medium Shading 1 - Accent 43"/>
    <w:basedOn w:val="TableNormal"/>
    <w:next w:val="MediumShading1-Accent4"/>
    <w:uiPriority w:val="63"/>
    <w:rsid w:val="00C30FD8"/>
    <w:pPr>
      <w:spacing w:after="0" w:line="240" w:lineRule="auto"/>
    </w:pPr>
    <w:rPr>
      <w:rFonts w:ascii="Cambria" w:hAnsi="Cambria"/>
      <w:color w:val="auto"/>
    </w:rPr>
    <w:tblPr>
      <w:tblStyleRowBandSize w:val="1"/>
      <w:tblStyleColBandSize w:val="1"/>
      <w:tbl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single" w:sz="8" w:space="0" w:color="FCCA63" w:themeColor="accent4" w:themeTint="BF"/>
      </w:tblBorders>
    </w:tblPr>
    <w:tblStylePr w:type="firstRow">
      <w:pPr>
        <w:spacing w:before="0" w:after="0" w:line="240" w:lineRule="auto"/>
      </w:pPr>
      <w:rPr>
        <w:b/>
        <w:bCs/>
        <w:color w:val="FFFFFF" w:themeColor="background1"/>
      </w:rPr>
      <w:tblPr/>
      <w:tcPr>
        <w:tc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shd w:val="clear" w:color="auto" w:fill="FBB92F" w:themeFill="accent4"/>
      </w:tcPr>
    </w:tblStylePr>
    <w:tblStylePr w:type="lastRow">
      <w:pPr>
        <w:spacing w:before="0" w:after="0" w:line="240" w:lineRule="auto"/>
      </w:pPr>
      <w:rPr>
        <w:b/>
        <w:bCs/>
      </w:rPr>
      <w:tblPr/>
      <w:tcPr>
        <w:tcBorders>
          <w:top w:val="double" w:sz="6"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tcPr>
    </w:tblStylePr>
    <w:tblStylePr w:type="firstCol">
      <w:rPr>
        <w:b/>
        <w:bCs/>
      </w:rPr>
    </w:tblStylePr>
    <w:tblStylePr w:type="lastCol">
      <w:rPr>
        <w:b/>
        <w:bCs/>
      </w:rPr>
    </w:tblStylePr>
    <w:tblStylePr w:type="band1Vert">
      <w:tblPr/>
      <w:tcPr>
        <w:shd w:val="clear" w:color="auto" w:fill="FEEDCB" w:themeFill="accent4" w:themeFillTint="3F"/>
      </w:tcPr>
    </w:tblStylePr>
    <w:tblStylePr w:type="band1Horz">
      <w:tblPr/>
      <w:tcPr>
        <w:tcBorders>
          <w:insideH w:val="nil"/>
          <w:insideV w:val="nil"/>
        </w:tcBorders>
        <w:shd w:val="clear" w:color="auto" w:fill="FEEDCB" w:themeFill="accent4" w:themeFillTint="3F"/>
      </w:tcPr>
    </w:tblStylePr>
    <w:tblStylePr w:type="band2Horz">
      <w:tblPr/>
      <w:tcPr>
        <w:tcBorders>
          <w:insideH w:val="nil"/>
          <w:insideV w:val="nil"/>
        </w:tcBorders>
      </w:tcPr>
    </w:tblStylePr>
  </w:style>
  <w:style w:type="table" w:customStyle="1" w:styleId="TableGrid5">
    <w:name w:val="Table Grid5"/>
    <w:basedOn w:val="TableNormal"/>
    <w:next w:val="TableGrid"/>
    <w:uiPriority w:val="59"/>
    <w:rsid w:val="002603B2"/>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ableofFigures">
    <w:name w:val="table of figures"/>
    <w:basedOn w:val="Normal"/>
    <w:next w:val="Normal"/>
    <w:uiPriority w:val="99"/>
    <w:unhideWhenUsed/>
    <w:rsid w:val="00D945E2"/>
    <w:pPr>
      <w:spacing w:after="120" w:line="240" w:lineRule="auto"/>
    </w:pPr>
    <w:rPr>
      <w:rFonts w:ascii="Calibri" w:hAnsi="Calibri"/>
    </w:rPr>
  </w:style>
  <w:style w:type="numbering" w:customStyle="1" w:styleId="ISOReportStyle1">
    <w:name w:val="ISO Report Style1"/>
    <w:uiPriority w:val="99"/>
    <w:rsid w:val="00F273F3"/>
  </w:style>
  <w:style w:type="numbering" w:customStyle="1" w:styleId="NoList6">
    <w:name w:val="No List6"/>
    <w:next w:val="NoList"/>
    <w:uiPriority w:val="99"/>
    <w:semiHidden/>
    <w:unhideWhenUsed/>
    <w:rsid w:val="00DB6EC8"/>
  </w:style>
  <w:style w:type="table" w:customStyle="1" w:styleId="TableGrid6">
    <w:name w:val="Table Grid6"/>
    <w:basedOn w:val="TableNormal"/>
    <w:next w:val="TableGrid"/>
    <w:uiPriority w:val="59"/>
    <w:rsid w:val="00DB6EC8"/>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5">
    <w:name w:val="Light Shading15"/>
    <w:basedOn w:val="TableNormal"/>
    <w:uiPriority w:val="60"/>
    <w:rsid w:val="00DB6EC8"/>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5">
    <w:name w:val="Light Grid15"/>
    <w:basedOn w:val="TableNormal"/>
    <w:uiPriority w:val="62"/>
    <w:rsid w:val="00DB6EC8"/>
    <w:pPr>
      <w:spacing w:after="0" w:line="240" w:lineRule="auto"/>
    </w:pPr>
    <w:rPr>
      <w:rFonts w:ascii="Arial" w:eastAsia="Arial" w:hAnsi="Arial"/>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5">
    <w:name w:val="Medium Shading 1 - Accent 115"/>
    <w:basedOn w:val="TableNormal"/>
    <w:uiPriority w:val="63"/>
    <w:rsid w:val="00DB6EC8"/>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5">
    <w:name w:val="Medium Grid 1 - Accent 15"/>
    <w:basedOn w:val="TableNormal"/>
    <w:next w:val="MediumGrid1-Accent1"/>
    <w:uiPriority w:val="67"/>
    <w:rsid w:val="00DB6EC8"/>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5">
    <w:name w:val="Light Shading - Accent 115"/>
    <w:basedOn w:val="TableNormal"/>
    <w:uiPriority w:val="60"/>
    <w:rsid w:val="00DB6EC8"/>
    <w:pPr>
      <w:spacing w:after="0" w:line="240" w:lineRule="auto"/>
    </w:pPr>
    <w:rPr>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5">
    <w:name w:val="RSP_Style5"/>
    <w:basedOn w:val="TableNormal"/>
    <w:uiPriority w:val="99"/>
    <w:qFormat/>
    <w:rsid w:val="00DB6EC8"/>
    <w:pPr>
      <w:spacing w:after="0" w:line="240" w:lineRule="auto"/>
    </w:pPr>
    <w:tblPr/>
  </w:style>
  <w:style w:type="table" w:customStyle="1" w:styleId="20122tableformat5">
    <w:name w:val="2012 2 table format5"/>
    <w:basedOn w:val="TableNormal"/>
    <w:uiPriority w:val="63"/>
    <w:rsid w:val="00DB6EC8"/>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5">
    <w:name w:val="Medium Grid 1 - Accent 65"/>
    <w:basedOn w:val="TableNormal"/>
    <w:next w:val="MediumGrid1-Accent6"/>
    <w:uiPriority w:val="67"/>
    <w:rsid w:val="00DB6EC8"/>
    <w:pPr>
      <w:spacing w:after="0" w:line="240" w:lineRule="auto"/>
    </w:p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5">
    <w:name w:val="Light List - Accent 65"/>
    <w:basedOn w:val="TableNormal"/>
    <w:next w:val="LightList-Accent6"/>
    <w:uiPriority w:val="61"/>
    <w:rsid w:val="00DB6EC8"/>
    <w:pPr>
      <w:spacing w:after="0" w:line="240" w:lineRule="auto"/>
    </w:p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5">
    <w:name w:val="Light Grid - Accent 115"/>
    <w:basedOn w:val="TableNormal"/>
    <w:uiPriority w:val="62"/>
    <w:rsid w:val="00DB6EC8"/>
    <w:pPr>
      <w:spacing w:after="0" w:line="240" w:lineRule="auto"/>
    </w:p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5">
    <w:name w:val="2012 Style5"/>
    <w:basedOn w:val="TableNormal"/>
    <w:uiPriority w:val="99"/>
    <w:qFormat/>
    <w:rsid w:val="00DB6EC8"/>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5">
    <w:name w:val="Light Shading - Accent 125"/>
    <w:basedOn w:val="TableNormal"/>
    <w:uiPriority w:val="60"/>
    <w:rsid w:val="00DB6EC8"/>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numbering" w:customStyle="1" w:styleId="NoList15">
    <w:name w:val="No List15"/>
    <w:next w:val="NoList"/>
    <w:uiPriority w:val="99"/>
    <w:semiHidden/>
    <w:unhideWhenUsed/>
    <w:rsid w:val="00DB6EC8"/>
  </w:style>
  <w:style w:type="numbering" w:customStyle="1" w:styleId="CurrentList115">
    <w:name w:val="Current List115"/>
    <w:rsid w:val="00DB6EC8"/>
  </w:style>
  <w:style w:type="table" w:customStyle="1" w:styleId="TableGrid14">
    <w:name w:val="Table Grid14"/>
    <w:basedOn w:val="TableNormal"/>
    <w:next w:val="TableGrid"/>
    <w:uiPriority w:val="59"/>
    <w:rsid w:val="00DB6EC8"/>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ulletedList15">
    <w:name w:val="Bulleted List15"/>
    <w:rsid w:val="00DB6EC8"/>
  </w:style>
  <w:style w:type="table" w:customStyle="1" w:styleId="LightShading114">
    <w:name w:val="Light Shading114"/>
    <w:basedOn w:val="TableNormal"/>
    <w:uiPriority w:val="60"/>
    <w:rsid w:val="00DB6EC8"/>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14">
    <w:name w:val="Light Grid114"/>
    <w:basedOn w:val="TableNormal"/>
    <w:uiPriority w:val="62"/>
    <w:rsid w:val="00DB6EC8"/>
    <w:pPr>
      <w:spacing w:after="0" w:line="240" w:lineRule="auto"/>
    </w:pPr>
    <w:rPr>
      <w:rFonts w:ascii="Arial" w:eastAsia="Arial" w:hAnsi="Arial"/>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14">
    <w:name w:val="Medium Shading 1 - Accent 1114"/>
    <w:basedOn w:val="TableNormal"/>
    <w:uiPriority w:val="63"/>
    <w:rsid w:val="00DB6EC8"/>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14">
    <w:name w:val="Medium Grid 1 - Accent 114"/>
    <w:basedOn w:val="TableNormal"/>
    <w:next w:val="MediumGrid1-Accent1"/>
    <w:uiPriority w:val="67"/>
    <w:rsid w:val="00DB6EC8"/>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14">
    <w:name w:val="Light Shading - Accent 1114"/>
    <w:basedOn w:val="TableNormal"/>
    <w:uiPriority w:val="60"/>
    <w:rsid w:val="00DB6EC8"/>
    <w:pPr>
      <w:spacing w:after="0" w:line="240" w:lineRule="auto"/>
    </w:pPr>
    <w:rPr>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14">
    <w:name w:val="RSP_Style14"/>
    <w:basedOn w:val="TableNormal"/>
    <w:uiPriority w:val="99"/>
    <w:qFormat/>
    <w:rsid w:val="00DB6EC8"/>
    <w:pPr>
      <w:spacing w:after="0" w:line="240" w:lineRule="auto"/>
    </w:pPr>
    <w:tblPr/>
  </w:style>
  <w:style w:type="table" w:customStyle="1" w:styleId="20122tableformat14">
    <w:name w:val="2012 2 table format14"/>
    <w:basedOn w:val="TableNormal"/>
    <w:uiPriority w:val="63"/>
    <w:rsid w:val="00DB6EC8"/>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14">
    <w:name w:val="Medium Grid 1 - Accent 614"/>
    <w:basedOn w:val="TableNormal"/>
    <w:next w:val="MediumGrid1-Accent6"/>
    <w:uiPriority w:val="67"/>
    <w:rsid w:val="00DB6EC8"/>
    <w:pPr>
      <w:spacing w:after="0" w:line="240" w:lineRule="auto"/>
    </w:p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14">
    <w:name w:val="Light List - Accent 614"/>
    <w:basedOn w:val="TableNormal"/>
    <w:next w:val="LightList-Accent6"/>
    <w:uiPriority w:val="61"/>
    <w:rsid w:val="00DB6EC8"/>
    <w:pPr>
      <w:spacing w:after="0" w:line="240" w:lineRule="auto"/>
    </w:p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14">
    <w:name w:val="Light Grid - Accent 1114"/>
    <w:basedOn w:val="TableNormal"/>
    <w:uiPriority w:val="62"/>
    <w:rsid w:val="00DB6EC8"/>
    <w:pPr>
      <w:spacing w:after="0" w:line="240" w:lineRule="auto"/>
    </w:p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14">
    <w:name w:val="2012 Style14"/>
    <w:basedOn w:val="TableNormal"/>
    <w:uiPriority w:val="99"/>
    <w:qFormat/>
    <w:rsid w:val="00DB6EC8"/>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14">
    <w:name w:val="Light Shading - Accent 1214"/>
    <w:basedOn w:val="TableNormal"/>
    <w:uiPriority w:val="60"/>
    <w:rsid w:val="00DB6EC8"/>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table" w:customStyle="1" w:styleId="MediumShading1-Accent44">
    <w:name w:val="Medium Shading 1 - Accent 44"/>
    <w:basedOn w:val="TableNormal"/>
    <w:next w:val="MediumShading1-Accent4"/>
    <w:uiPriority w:val="63"/>
    <w:rsid w:val="00DB6EC8"/>
    <w:pPr>
      <w:spacing w:after="0" w:line="240" w:lineRule="auto"/>
    </w:pPr>
    <w:tblPr>
      <w:tblStyleRowBandSize w:val="1"/>
      <w:tblStyleColBandSize w:val="1"/>
      <w:tbl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single" w:sz="8" w:space="0" w:color="FCCA63" w:themeColor="accent4" w:themeTint="BF"/>
      </w:tblBorders>
    </w:tblPr>
    <w:tblStylePr w:type="firstRow">
      <w:pPr>
        <w:spacing w:before="0" w:after="0" w:line="240" w:lineRule="auto"/>
      </w:pPr>
      <w:rPr>
        <w:b/>
        <w:bCs/>
        <w:color w:val="FFFFFF" w:themeColor="background1"/>
      </w:rPr>
      <w:tblPr/>
      <w:tcPr>
        <w:tc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shd w:val="clear" w:color="auto" w:fill="FBB92F" w:themeFill="accent4"/>
      </w:tcPr>
    </w:tblStylePr>
    <w:tblStylePr w:type="lastRow">
      <w:pPr>
        <w:spacing w:before="0" w:after="0" w:line="240" w:lineRule="auto"/>
      </w:pPr>
      <w:rPr>
        <w:b/>
        <w:bCs/>
      </w:rPr>
      <w:tblPr/>
      <w:tcPr>
        <w:tcBorders>
          <w:top w:val="double" w:sz="6"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tcPr>
    </w:tblStylePr>
    <w:tblStylePr w:type="firstCol">
      <w:rPr>
        <w:b/>
        <w:bCs/>
      </w:rPr>
    </w:tblStylePr>
    <w:tblStylePr w:type="lastCol">
      <w:rPr>
        <w:b/>
        <w:bCs/>
      </w:rPr>
    </w:tblStylePr>
    <w:tblStylePr w:type="band1Vert">
      <w:tblPr/>
      <w:tcPr>
        <w:shd w:val="clear" w:color="auto" w:fill="FEEDCB" w:themeFill="accent4" w:themeFillTint="3F"/>
      </w:tcPr>
    </w:tblStylePr>
    <w:tblStylePr w:type="band1Horz">
      <w:tblPr/>
      <w:tcPr>
        <w:tcBorders>
          <w:insideH w:val="nil"/>
          <w:insideV w:val="nil"/>
        </w:tcBorders>
        <w:shd w:val="clear" w:color="auto" w:fill="FEEDCB" w:themeFill="accent4" w:themeFillTint="3F"/>
      </w:tcPr>
    </w:tblStylePr>
    <w:tblStylePr w:type="band2Horz">
      <w:tblPr/>
      <w:tcPr>
        <w:tcBorders>
          <w:insideH w:val="nil"/>
          <w:insideV w:val="nil"/>
        </w:tcBorders>
      </w:tcPr>
    </w:tblStylePr>
  </w:style>
  <w:style w:type="numbering" w:customStyle="1" w:styleId="NoList21">
    <w:name w:val="No List21"/>
    <w:next w:val="NoList"/>
    <w:uiPriority w:val="99"/>
    <w:semiHidden/>
    <w:unhideWhenUsed/>
    <w:rsid w:val="00DB6EC8"/>
  </w:style>
  <w:style w:type="numbering" w:customStyle="1" w:styleId="CurrentList121">
    <w:name w:val="Current List121"/>
    <w:rsid w:val="00DB6EC8"/>
  </w:style>
  <w:style w:type="numbering" w:customStyle="1" w:styleId="BulletedList21">
    <w:name w:val="Bulleted List21"/>
    <w:rsid w:val="00DB6EC8"/>
  </w:style>
  <w:style w:type="numbering" w:customStyle="1" w:styleId="NoList111">
    <w:name w:val="No List111"/>
    <w:next w:val="NoList"/>
    <w:uiPriority w:val="99"/>
    <w:semiHidden/>
    <w:unhideWhenUsed/>
    <w:rsid w:val="00DB6EC8"/>
  </w:style>
  <w:style w:type="numbering" w:customStyle="1" w:styleId="CurrentList1111">
    <w:name w:val="Current List1111"/>
    <w:rsid w:val="00DB6EC8"/>
  </w:style>
  <w:style w:type="numbering" w:customStyle="1" w:styleId="BulletedList111">
    <w:name w:val="Bulleted List111"/>
    <w:rsid w:val="00DB6EC8"/>
  </w:style>
  <w:style w:type="numbering" w:customStyle="1" w:styleId="NoList31">
    <w:name w:val="No List31"/>
    <w:next w:val="NoList"/>
    <w:uiPriority w:val="99"/>
    <w:semiHidden/>
    <w:unhideWhenUsed/>
    <w:rsid w:val="00DB6EC8"/>
  </w:style>
  <w:style w:type="table" w:customStyle="1" w:styleId="TableGrid21">
    <w:name w:val="Table Grid21"/>
    <w:basedOn w:val="TableNormal"/>
    <w:next w:val="TableGrid"/>
    <w:uiPriority w:val="59"/>
    <w:rsid w:val="00DB6EC8"/>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21">
    <w:name w:val="Light Shading121"/>
    <w:basedOn w:val="TableNormal"/>
    <w:uiPriority w:val="60"/>
    <w:rsid w:val="00DB6EC8"/>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21">
    <w:name w:val="Light Grid121"/>
    <w:basedOn w:val="TableNormal"/>
    <w:uiPriority w:val="62"/>
    <w:rsid w:val="00DB6EC8"/>
    <w:pPr>
      <w:spacing w:after="0" w:line="240" w:lineRule="auto"/>
    </w:pPr>
    <w:rPr>
      <w:rFonts w:ascii="Arial" w:eastAsia="Arial" w:hAnsi="Arial"/>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21">
    <w:name w:val="Medium Shading 1 - Accent 1121"/>
    <w:basedOn w:val="TableNormal"/>
    <w:uiPriority w:val="63"/>
    <w:rsid w:val="00DB6EC8"/>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21">
    <w:name w:val="Medium Grid 1 - Accent 121"/>
    <w:basedOn w:val="TableNormal"/>
    <w:next w:val="MediumGrid1-Accent1"/>
    <w:uiPriority w:val="67"/>
    <w:rsid w:val="00DB6EC8"/>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21">
    <w:name w:val="Light Shading - Accent 1121"/>
    <w:basedOn w:val="TableNormal"/>
    <w:uiPriority w:val="60"/>
    <w:rsid w:val="00DB6EC8"/>
    <w:pPr>
      <w:spacing w:after="0" w:line="240" w:lineRule="auto"/>
    </w:pPr>
    <w:rPr>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21">
    <w:name w:val="RSP_Style21"/>
    <w:basedOn w:val="TableNormal"/>
    <w:uiPriority w:val="99"/>
    <w:qFormat/>
    <w:rsid w:val="00DB6EC8"/>
    <w:pPr>
      <w:spacing w:after="0" w:line="240" w:lineRule="auto"/>
    </w:pPr>
    <w:tblPr/>
  </w:style>
  <w:style w:type="table" w:customStyle="1" w:styleId="20122tableformat21">
    <w:name w:val="2012 2 table format21"/>
    <w:basedOn w:val="TableNormal"/>
    <w:uiPriority w:val="63"/>
    <w:rsid w:val="00DB6EC8"/>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21">
    <w:name w:val="Medium Grid 1 - Accent 621"/>
    <w:basedOn w:val="TableNormal"/>
    <w:next w:val="MediumGrid1-Accent6"/>
    <w:uiPriority w:val="67"/>
    <w:rsid w:val="00DB6EC8"/>
    <w:pPr>
      <w:spacing w:after="0" w:line="240" w:lineRule="auto"/>
    </w:p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21">
    <w:name w:val="Light List - Accent 621"/>
    <w:basedOn w:val="TableNormal"/>
    <w:next w:val="LightList-Accent6"/>
    <w:uiPriority w:val="61"/>
    <w:rsid w:val="00DB6EC8"/>
    <w:pPr>
      <w:spacing w:after="0" w:line="240" w:lineRule="auto"/>
    </w:p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21">
    <w:name w:val="Light Grid - Accent 1121"/>
    <w:basedOn w:val="TableNormal"/>
    <w:uiPriority w:val="62"/>
    <w:rsid w:val="00DB6EC8"/>
    <w:pPr>
      <w:spacing w:after="0" w:line="240" w:lineRule="auto"/>
    </w:p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21">
    <w:name w:val="2012 Style21"/>
    <w:basedOn w:val="TableNormal"/>
    <w:uiPriority w:val="99"/>
    <w:qFormat/>
    <w:rsid w:val="00DB6EC8"/>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21">
    <w:name w:val="Light Shading - Accent 1221"/>
    <w:basedOn w:val="TableNormal"/>
    <w:uiPriority w:val="60"/>
    <w:rsid w:val="00DB6EC8"/>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numbering" w:customStyle="1" w:styleId="NoList121">
    <w:name w:val="No List121"/>
    <w:next w:val="NoList"/>
    <w:uiPriority w:val="99"/>
    <w:semiHidden/>
    <w:unhideWhenUsed/>
    <w:rsid w:val="00DB6EC8"/>
  </w:style>
  <w:style w:type="numbering" w:customStyle="1" w:styleId="CurrentList1121">
    <w:name w:val="Current List1121"/>
    <w:rsid w:val="00DB6EC8"/>
  </w:style>
  <w:style w:type="table" w:customStyle="1" w:styleId="TableGrid111">
    <w:name w:val="Table Grid111"/>
    <w:basedOn w:val="TableNormal"/>
    <w:next w:val="TableGrid"/>
    <w:uiPriority w:val="59"/>
    <w:rsid w:val="00DB6EC8"/>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ulletedList121">
    <w:name w:val="Bulleted List121"/>
    <w:rsid w:val="00DB6EC8"/>
  </w:style>
  <w:style w:type="table" w:customStyle="1" w:styleId="LightShading1111">
    <w:name w:val="Light Shading1111"/>
    <w:basedOn w:val="TableNormal"/>
    <w:uiPriority w:val="60"/>
    <w:rsid w:val="00DB6EC8"/>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111">
    <w:name w:val="Light Grid1111"/>
    <w:basedOn w:val="TableNormal"/>
    <w:uiPriority w:val="62"/>
    <w:rsid w:val="00DB6EC8"/>
    <w:pPr>
      <w:spacing w:after="0" w:line="240" w:lineRule="auto"/>
    </w:pPr>
    <w:rPr>
      <w:rFonts w:ascii="Arial" w:eastAsia="Arial" w:hAnsi="Arial"/>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111">
    <w:name w:val="Medium Shading 1 - Accent 11111"/>
    <w:basedOn w:val="TableNormal"/>
    <w:uiPriority w:val="63"/>
    <w:rsid w:val="00DB6EC8"/>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111">
    <w:name w:val="Medium Grid 1 - Accent 1111"/>
    <w:basedOn w:val="TableNormal"/>
    <w:next w:val="MediumGrid1-Accent1"/>
    <w:uiPriority w:val="67"/>
    <w:rsid w:val="00DB6EC8"/>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111">
    <w:name w:val="Light Shading - Accent 11111"/>
    <w:basedOn w:val="TableNormal"/>
    <w:uiPriority w:val="60"/>
    <w:rsid w:val="00DB6EC8"/>
    <w:pPr>
      <w:spacing w:after="0" w:line="240" w:lineRule="auto"/>
    </w:pPr>
    <w:rPr>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111">
    <w:name w:val="RSP_Style111"/>
    <w:basedOn w:val="TableNormal"/>
    <w:uiPriority w:val="99"/>
    <w:qFormat/>
    <w:rsid w:val="00DB6EC8"/>
    <w:pPr>
      <w:spacing w:after="0" w:line="240" w:lineRule="auto"/>
    </w:pPr>
    <w:tblPr/>
  </w:style>
  <w:style w:type="table" w:customStyle="1" w:styleId="20122tableformat111">
    <w:name w:val="2012 2 table format111"/>
    <w:basedOn w:val="TableNormal"/>
    <w:uiPriority w:val="63"/>
    <w:rsid w:val="00DB6EC8"/>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111">
    <w:name w:val="Medium Grid 1 - Accent 6111"/>
    <w:basedOn w:val="TableNormal"/>
    <w:next w:val="MediumGrid1-Accent6"/>
    <w:uiPriority w:val="67"/>
    <w:rsid w:val="00DB6EC8"/>
    <w:pPr>
      <w:spacing w:after="0" w:line="240" w:lineRule="auto"/>
    </w:p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111">
    <w:name w:val="Light List - Accent 6111"/>
    <w:basedOn w:val="TableNormal"/>
    <w:next w:val="LightList-Accent6"/>
    <w:uiPriority w:val="61"/>
    <w:rsid w:val="00DB6EC8"/>
    <w:pPr>
      <w:spacing w:after="0" w:line="240" w:lineRule="auto"/>
    </w:p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111">
    <w:name w:val="Light Grid - Accent 11111"/>
    <w:basedOn w:val="TableNormal"/>
    <w:uiPriority w:val="62"/>
    <w:rsid w:val="00DB6EC8"/>
    <w:pPr>
      <w:spacing w:after="0" w:line="240" w:lineRule="auto"/>
    </w:p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111">
    <w:name w:val="2012 Style111"/>
    <w:basedOn w:val="TableNormal"/>
    <w:uiPriority w:val="99"/>
    <w:qFormat/>
    <w:rsid w:val="00DB6EC8"/>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111">
    <w:name w:val="Light Shading - Accent 12111"/>
    <w:basedOn w:val="TableNormal"/>
    <w:uiPriority w:val="60"/>
    <w:rsid w:val="00DB6EC8"/>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table" w:customStyle="1" w:styleId="MediumShading1-Accent411">
    <w:name w:val="Medium Shading 1 - Accent 411"/>
    <w:basedOn w:val="TableNormal"/>
    <w:next w:val="MediumShading1-Accent4"/>
    <w:uiPriority w:val="63"/>
    <w:rsid w:val="00DB6EC8"/>
    <w:pPr>
      <w:spacing w:after="0" w:line="240" w:lineRule="auto"/>
    </w:pPr>
    <w:tblPr>
      <w:tblStyleRowBandSize w:val="1"/>
      <w:tblStyleColBandSize w:val="1"/>
      <w:tbl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single" w:sz="8" w:space="0" w:color="FCCA63" w:themeColor="accent4" w:themeTint="BF"/>
      </w:tblBorders>
    </w:tblPr>
    <w:tblStylePr w:type="firstRow">
      <w:pPr>
        <w:spacing w:before="0" w:after="0" w:line="240" w:lineRule="auto"/>
      </w:pPr>
      <w:rPr>
        <w:b/>
        <w:bCs/>
        <w:color w:val="FFFFFF" w:themeColor="background1"/>
      </w:rPr>
      <w:tblPr/>
      <w:tcPr>
        <w:tc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shd w:val="clear" w:color="auto" w:fill="FBB92F" w:themeFill="accent4"/>
      </w:tcPr>
    </w:tblStylePr>
    <w:tblStylePr w:type="lastRow">
      <w:pPr>
        <w:spacing w:before="0" w:after="0" w:line="240" w:lineRule="auto"/>
      </w:pPr>
      <w:rPr>
        <w:b/>
        <w:bCs/>
      </w:rPr>
      <w:tblPr/>
      <w:tcPr>
        <w:tcBorders>
          <w:top w:val="double" w:sz="6"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tcPr>
    </w:tblStylePr>
    <w:tblStylePr w:type="firstCol">
      <w:rPr>
        <w:b/>
        <w:bCs/>
      </w:rPr>
    </w:tblStylePr>
    <w:tblStylePr w:type="lastCol">
      <w:rPr>
        <w:b/>
        <w:bCs/>
      </w:rPr>
    </w:tblStylePr>
    <w:tblStylePr w:type="band1Vert">
      <w:tblPr/>
      <w:tcPr>
        <w:shd w:val="clear" w:color="auto" w:fill="FEEDCB" w:themeFill="accent4" w:themeFillTint="3F"/>
      </w:tcPr>
    </w:tblStylePr>
    <w:tblStylePr w:type="band1Horz">
      <w:tblPr/>
      <w:tcPr>
        <w:tcBorders>
          <w:insideH w:val="nil"/>
          <w:insideV w:val="nil"/>
        </w:tcBorders>
        <w:shd w:val="clear" w:color="auto" w:fill="FEEDCB" w:themeFill="accent4" w:themeFillTint="3F"/>
      </w:tcPr>
    </w:tblStylePr>
    <w:tblStylePr w:type="band2Horz">
      <w:tblPr/>
      <w:tcPr>
        <w:tcBorders>
          <w:insideH w:val="nil"/>
          <w:insideV w:val="nil"/>
        </w:tcBorders>
      </w:tcPr>
    </w:tblStylePr>
  </w:style>
  <w:style w:type="numbering" w:customStyle="1" w:styleId="NoList41">
    <w:name w:val="No List41"/>
    <w:next w:val="NoList"/>
    <w:uiPriority w:val="99"/>
    <w:semiHidden/>
    <w:unhideWhenUsed/>
    <w:rsid w:val="00DB6EC8"/>
  </w:style>
  <w:style w:type="table" w:customStyle="1" w:styleId="TableGrid32">
    <w:name w:val="Table Grid32"/>
    <w:basedOn w:val="TableNormal"/>
    <w:next w:val="TableGrid"/>
    <w:uiPriority w:val="59"/>
    <w:rsid w:val="00DB6EC8"/>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31">
    <w:name w:val="Light Shading131"/>
    <w:basedOn w:val="TableNormal"/>
    <w:uiPriority w:val="60"/>
    <w:rsid w:val="00DB6EC8"/>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31">
    <w:name w:val="Light Grid131"/>
    <w:basedOn w:val="TableNormal"/>
    <w:uiPriority w:val="62"/>
    <w:rsid w:val="00DB6EC8"/>
    <w:pPr>
      <w:spacing w:after="0" w:line="240" w:lineRule="auto"/>
    </w:pPr>
    <w:rPr>
      <w:rFonts w:ascii="Arial" w:eastAsia="Arial" w:hAnsi="Arial"/>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31">
    <w:name w:val="Medium Shading 1 - Accent 1131"/>
    <w:basedOn w:val="TableNormal"/>
    <w:uiPriority w:val="63"/>
    <w:rsid w:val="00DB6EC8"/>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31">
    <w:name w:val="Medium Grid 1 - Accent 131"/>
    <w:basedOn w:val="TableNormal"/>
    <w:next w:val="MediumGrid1-Accent1"/>
    <w:uiPriority w:val="67"/>
    <w:rsid w:val="00DB6EC8"/>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31">
    <w:name w:val="Light Shading - Accent 1131"/>
    <w:basedOn w:val="TableNormal"/>
    <w:uiPriority w:val="60"/>
    <w:rsid w:val="00DB6EC8"/>
    <w:pPr>
      <w:spacing w:after="0" w:line="240" w:lineRule="auto"/>
    </w:pPr>
    <w:rPr>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31">
    <w:name w:val="RSP_Style31"/>
    <w:basedOn w:val="TableNormal"/>
    <w:uiPriority w:val="99"/>
    <w:qFormat/>
    <w:rsid w:val="00DB6EC8"/>
    <w:pPr>
      <w:spacing w:after="0" w:line="240" w:lineRule="auto"/>
    </w:pPr>
    <w:tblPr/>
  </w:style>
  <w:style w:type="table" w:customStyle="1" w:styleId="20122tableformat31">
    <w:name w:val="2012 2 table format31"/>
    <w:basedOn w:val="TableNormal"/>
    <w:uiPriority w:val="63"/>
    <w:rsid w:val="00DB6EC8"/>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31">
    <w:name w:val="Medium Grid 1 - Accent 631"/>
    <w:basedOn w:val="TableNormal"/>
    <w:next w:val="MediumGrid1-Accent6"/>
    <w:uiPriority w:val="67"/>
    <w:rsid w:val="00DB6EC8"/>
    <w:pPr>
      <w:spacing w:after="0" w:line="240" w:lineRule="auto"/>
    </w:p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31">
    <w:name w:val="Light List - Accent 631"/>
    <w:basedOn w:val="TableNormal"/>
    <w:next w:val="LightList-Accent6"/>
    <w:uiPriority w:val="61"/>
    <w:rsid w:val="00DB6EC8"/>
    <w:pPr>
      <w:spacing w:after="0" w:line="240" w:lineRule="auto"/>
    </w:p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31">
    <w:name w:val="Light Grid - Accent 1131"/>
    <w:basedOn w:val="TableNormal"/>
    <w:uiPriority w:val="62"/>
    <w:rsid w:val="00DB6EC8"/>
    <w:pPr>
      <w:spacing w:after="0" w:line="240" w:lineRule="auto"/>
    </w:p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31">
    <w:name w:val="2012 Style31"/>
    <w:basedOn w:val="TableNormal"/>
    <w:uiPriority w:val="99"/>
    <w:qFormat/>
    <w:rsid w:val="00DB6EC8"/>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31">
    <w:name w:val="Light Shading - Accent 1231"/>
    <w:basedOn w:val="TableNormal"/>
    <w:uiPriority w:val="60"/>
    <w:rsid w:val="00DB6EC8"/>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numbering" w:customStyle="1" w:styleId="NoList131">
    <w:name w:val="No List131"/>
    <w:next w:val="NoList"/>
    <w:uiPriority w:val="99"/>
    <w:semiHidden/>
    <w:unhideWhenUsed/>
    <w:rsid w:val="00DB6EC8"/>
  </w:style>
  <w:style w:type="numbering" w:customStyle="1" w:styleId="CurrentList1131">
    <w:name w:val="Current List1131"/>
    <w:rsid w:val="00DB6EC8"/>
  </w:style>
  <w:style w:type="table" w:customStyle="1" w:styleId="TableGrid121">
    <w:name w:val="Table Grid121"/>
    <w:basedOn w:val="TableNormal"/>
    <w:next w:val="TableGrid"/>
    <w:uiPriority w:val="59"/>
    <w:rsid w:val="00DB6EC8"/>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ulletedList131">
    <w:name w:val="Bulleted List131"/>
    <w:rsid w:val="00DB6EC8"/>
  </w:style>
  <w:style w:type="table" w:customStyle="1" w:styleId="LightShading1121">
    <w:name w:val="Light Shading1121"/>
    <w:basedOn w:val="TableNormal"/>
    <w:uiPriority w:val="60"/>
    <w:rsid w:val="00DB6EC8"/>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121">
    <w:name w:val="Light Grid1121"/>
    <w:basedOn w:val="TableNormal"/>
    <w:uiPriority w:val="62"/>
    <w:rsid w:val="00DB6EC8"/>
    <w:pPr>
      <w:spacing w:after="0" w:line="240" w:lineRule="auto"/>
    </w:pPr>
    <w:rPr>
      <w:rFonts w:ascii="Arial" w:eastAsia="Arial" w:hAnsi="Arial"/>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121">
    <w:name w:val="Medium Shading 1 - Accent 11121"/>
    <w:basedOn w:val="TableNormal"/>
    <w:uiPriority w:val="63"/>
    <w:rsid w:val="00DB6EC8"/>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121">
    <w:name w:val="Medium Grid 1 - Accent 1121"/>
    <w:basedOn w:val="TableNormal"/>
    <w:next w:val="MediumGrid1-Accent1"/>
    <w:uiPriority w:val="67"/>
    <w:rsid w:val="00DB6EC8"/>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121">
    <w:name w:val="Light Shading - Accent 11121"/>
    <w:basedOn w:val="TableNormal"/>
    <w:uiPriority w:val="60"/>
    <w:rsid w:val="00DB6EC8"/>
    <w:pPr>
      <w:spacing w:after="0" w:line="240" w:lineRule="auto"/>
    </w:pPr>
    <w:rPr>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121">
    <w:name w:val="RSP_Style121"/>
    <w:basedOn w:val="TableNormal"/>
    <w:uiPriority w:val="99"/>
    <w:qFormat/>
    <w:rsid w:val="00DB6EC8"/>
    <w:pPr>
      <w:spacing w:after="0" w:line="240" w:lineRule="auto"/>
    </w:pPr>
    <w:tblPr/>
  </w:style>
  <w:style w:type="table" w:customStyle="1" w:styleId="20122tableformat121">
    <w:name w:val="2012 2 table format121"/>
    <w:basedOn w:val="TableNormal"/>
    <w:uiPriority w:val="63"/>
    <w:rsid w:val="00DB6EC8"/>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121">
    <w:name w:val="Medium Grid 1 - Accent 6121"/>
    <w:basedOn w:val="TableNormal"/>
    <w:next w:val="MediumGrid1-Accent6"/>
    <w:uiPriority w:val="67"/>
    <w:rsid w:val="00DB6EC8"/>
    <w:pPr>
      <w:spacing w:after="0" w:line="240" w:lineRule="auto"/>
    </w:p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121">
    <w:name w:val="Light List - Accent 6121"/>
    <w:basedOn w:val="TableNormal"/>
    <w:next w:val="LightList-Accent6"/>
    <w:uiPriority w:val="61"/>
    <w:rsid w:val="00DB6EC8"/>
    <w:pPr>
      <w:spacing w:after="0" w:line="240" w:lineRule="auto"/>
    </w:p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121">
    <w:name w:val="Light Grid - Accent 11121"/>
    <w:basedOn w:val="TableNormal"/>
    <w:uiPriority w:val="62"/>
    <w:rsid w:val="00DB6EC8"/>
    <w:pPr>
      <w:spacing w:after="0" w:line="240" w:lineRule="auto"/>
    </w:p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121">
    <w:name w:val="2012 Style121"/>
    <w:basedOn w:val="TableNormal"/>
    <w:uiPriority w:val="99"/>
    <w:qFormat/>
    <w:rsid w:val="00DB6EC8"/>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121">
    <w:name w:val="Light Shading - Accent 12121"/>
    <w:basedOn w:val="TableNormal"/>
    <w:uiPriority w:val="60"/>
    <w:rsid w:val="00DB6EC8"/>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table" w:customStyle="1" w:styleId="MediumShading1-Accent421">
    <w:name w:val="Medium Shading 1 - Accent 421"/>
    <w:basedOn w:val="TableNormal"/>
    <w:next w:val="MediumShading1-Accent4"/>
    <w:uiPriority w:val="63"/>
    <w:rsid w:val="00DB6EC8"/>
    <w:pPr>
      <w:spacing w:after="0" w:line="240" w:lineRule="auto"/>
    </w:pPr>
    <w:tblPr>
      <w:tblStyleRowBandSize w:val="1"/>
      <w:tblStyleColBandSize w:val="1"/>
      <w:tbl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single" w:sz="8" w:space="0" w:color="FCCA63" w:themeColor="accent4" w:themeTint="BF"/>
      </w:tblBorders>
    </w:tblPr>
    <w:tblStylePr w:type="firstRow">
      <w:pPr>
        <w:spacing w:before="0" w:after="0" w:line="240" w:lineRule="auto"/>
      </w:pPr>
      <w:rPr>
        <w:b/>
        <w:bCs/>
        <w:color w:val="FFFFFF" w:themeColor="background1"/>
      </w:rPr>
      <w:tblPr/>
      <w:tcPr>
        <w:tc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shd w:val="clear" w:color="auto" w:fill="FBB92F" w:themeFill="accent4"/>
      </w:tcPr>
    </w:tblStylePr>
    <w:tblStylePr w:type="lastRow">
      <w:pPr>
        <w:spacing w:before="0" w:after="0" w:line="240" w:lineRule="auto"/>
      </w:pPr>
      <w:rPr>
        <w:b/>
        <w:bCs/>
      </w:rPr>
      <w:tblPr/>
      <w:tcPr>
        <w:tcBorders>
          <w:top w:val="double" w:sz="6"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tcPr>
    </w:tblStylePr>
    <w:tblStylePr w:type="firstCol">
      <w:rPr>
        <w:b/>
        <w:bCs/>
      </w:rPr>
    </w:tblStylePr>
    <w:tblStylePr w:type="lastCol">
      <w:rPr>
        <w:b/>
        <w:bCs/>
      </w:rPr>
    </w:tblStylePr>
    <w:tblStylePr w:type="band1Vert">
      <w:tblPr/>
      <w:tcPr>
        <w:shd w:val="clear" w:color="auto" w:fill="FEEDCB" w:themeFill="accent4" w:themeFillTint="3F"/>
      </w:tcPr>
    </w:tblStylePr>
    <w:tblStylePr w:type="band1Horz">
      <w:tblPr/>
      <w:tcPr>
        <w:tcBorders>
          <w:insideH w:val="nil"/>
          <w:insideV w:val="nil"/>
        </w:tcBorders>
        <w:shd w:val="clear" w:color="auto" w:fill="FEEDCB" w:themeFill="accent4" w:themeFillTint="3F"/>
      </w:tcPr>
    </w:tblStylePr>
    <w:tblStylePr w:type="band2Horz">
      <w:tblPr/>
      <w:tcPr>
        <w:tcBorders>
          <w:insideH w:val="nil"/>
          <w:insideV w:val="nil"/>
        </w:tcBorders>
      </w:tcPr>
    </w:tblStylePr>
  </w:style>
  <w:style w:type="numbering" w:customStyle="1" w:styleId="CurrentList131">
    <w:name w:val="Current List131"/>
    <w:rsid w:val="00DB6EC8"/>
  </w:style>
  <w:style w:type="table" w:customStyle="1" w:styleId="TableGrid311">
    <w:name w:val="Table Grid311"/>
    <w:basedOn w:val="TableNormal"/>
    <w:next w:val="TableGrid"/>
    <w:uiPriority w:val="59"/>
    <w:rsid w:val="00DB6EC8"/>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
    <w:name w:val="No List51"/>
    <w:next w:val="NoList"/>
    <w:uiPriority w:val="99"/>
    <w:semiHidden/>
    <w:unhideWhenUsed/>
    <w:rsid w:val="00DB6EC8"/>
  </w:style>
  <w:style w:type="numbering" w:customStyle="1" w:styleId="CurrentList141">
    <w:name w:val="Current List141"/>
    <w:rsid w:val="00DB6EC8"/>
  </w:style>
  <w:style w:type="table" w:customStyle="1" w:styleId="TableGrid41">
    <w:name w:val="Table Grid41"/>
    <w:basedOn w:val="TableNormal"/>
    <w:next w:val="TableGrid"/>
    <w:uiPriority w:val="59"/>
    <w:rsid w:val="00DB6EC8"/>
    <w:pPr>
      <w:widowControl w:val="0"/>
      <w:spacing w:after="0"/>
    </w:pPr>
    <w:rPr>
      <w:rFonts w:ascii="Times New Roman" w:eastAsia="Times New Roman" w:hAnsi="Times New Roman"/>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ulletedList31">
    <w:name w:val="Bulleted List31"/>
    <w:rsid w:val="00DB6EC8"/>
  </w:style>
  <w:style w:type="table" w:customStyle="1" w:styleId="LightShading141">
    <w:name w:val="Light Shading141"/>
    <w:basedOn w:val="TableNormal"/>
    <w:uiPriority w:val="60"/>
    <w:rsid w:val="00DB6EC8"/>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41">
    <w:name w:val="Light Grid141"/>
    <w:basedOn w:val="TableNormal"/>
    <w:uiPriority w:val="62"/>
    <w:rsid w:val="00DB6EC8"/>
    <w:pPr>
      <w:spacing w:after="0" w:line="240" w:lineRule="auto"/>
    </w:pPr>
    <w:rPr>
      <w:rFonts w:ascii="Arial" w:eastAsia="Arial" w:hAnsi="Arial"/>
      <w:color w:val="auto"/>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41">
    <w:name w:val="Medium Shading 1 - Accent 1141"/>
    <w:basedOn w:val="TableNormal"/>
    <w:uiPriority w:val="63"/>
    <w:rsid w:val="00DB6EC8"/>
    <w:pPr>
      <w:spacing w:after="0" w:line="240" w:lineRule="auto"/>
    </w:pPr>
    <w:rPr>
      <w:rFonts w:ascii="Cambria" w:hAnsi="Cambria"/>
      <w:color w:val="auto"/>
    </w:r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41">
    <w:name w:val="Medium Grid 1 - Accent 141"/>
    <w:basedOn w:val="TableNormal"/>
    <w:next w:val="MediumGrid1-Accent1"/>
    <w:uiPriority w:val="67"/>
    <w:rsid w:val="00DB6EC8"/>
    <w:pPr>
      <w:spacing w:after="0" w:line="240" w:lineRule="auto"/>
    </w:pPr>
    <w:rPr>
      <w:rFonts w:ascii="Cambria" w:hAnsi="Cambria"/>
      <w:color w:val="auto"/>
    </w:r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41">
    <w:name w:val="Light Shading - Accent 1141"/>
    <w:basedOn w:val="TableNormal"/>
    <w:uiPriority w:val="60"/>
    <w:rsid w:val="00DB6EC8"/>
    <w:pPr>
      <w:spacing w:after="0" w:line="240" w:lineRule="auto"/>
    </w:pPr>
    <w:rPr>
      <w:rFonts w:ascii="Cambria" w:hAnsi="Cambria"/>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41">
    <w:name w:val="RSP_Style41"/>
    <w:basedOn w:val="TableNormal"/>
    <w:uiPriority w:val="99"/>
    <w:qFormat/>
    <w:rsid w:val="00DB6EC8"/>
    <w:pPr>
      <w:spacing w:after="0" w:line="240" w:lineRule="auto"/>
    </w:pPr>
    <w:rPr>
      <w:rFonts w:ascii="Cambria" w:hAnsi="Cambria"/>
      <w:color w:val="auto"/>
    </w:rPr>
    <w:tblPr/>
  </w:style>
  <w:style w:type="table" w:customStyle="1" w:styleId="20122tableformat41">
    <w:name w:val="2012 2 table format41"/>
    <w:basedOn w:val="TableNormal"/>
    <w:uiPriority w:val="63"/>
    <w:rsid w:val="00DB6EC8"/>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41">
    <w:name w:val="Medium Grid 1 - Accent 641"/>
    <w:basedOn w:val="TableNormal"/>
    <w:next w:val="MediumGrid1-Accent6"/>
    <w:uiPriority w:val="67"/>
    <w:rsid w:val="00DB6EC8"/>
    <w:pPr>
      <w:spacing w:after="0" w:line="240" w:lineRule="auto"/>
    </w:pPr>
    <w:rPr>
      <w:rFonts w:ascii="Cambria" w:hAnsi="Cambria"/>
      <w:color w:val="auto"/>
    </w:r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41">
    <w:name w:val="Light List - Accent 641"/>
    <w:basedOn w:val="TableNormal"/>
    <w:next w:val="LightList-Accent6"/>
    <w:uiPriority w:val="61"/>
    <w:rsid w:val="00DB6EC8"/>
    <w:pPr>
      <w:spacing w:after="0" w:line="240" w:lineRule="auto"/>
    </w:pPr>
    <w:rPr>
      <w:color w:val="auto"/>
    </w:r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41">
    <w:name w:val="Light Grid - Accent 1141"/>
    <w:basedOn w:val="TableNormal"/>
    <w:uiPriority w:val="62"/>
    <w:rsid w:val="00DB6EC8"/>
    <w:pPr>
      <w:spacing w:after="0" w:line="240" w:lineRule="auto"/>
    </w:pPr>
    <w:rPr>
      <w:rFonts w:ascii="Cambria" w:hAnsi="Cambria"/>
      <w:color w:val="auto"/>
    </w:r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41">
    <w:name w:val="2012 Style41"/>
    <w:basedOn w:val="TableNormal"/>
    <w:uiPriority w:val="99"/>
    <w:qFormat/>
    <w:rsid w:val="00DB6EC8"/>
    <w:pPr>
      <w:spacing w:after="0" w:line="240" w:lineRule="auto"/>
    </w:pPr>
    <w:rPr>
      <w:color w:val="auto"/>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41">
    <w:name w:val="Light Shading - Accent 1241"/>
    <w:basedOn w:val="TableNormal"/>
    <w:uiPriority w:val="60"/>
    <w:rsid w:val="00DB6EC8"/>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numbering" w:customStyle="1" w:styleId="NoList141">
    <w:name w:val="No List141"/>
    <w:next w:val="NoList"/>
    <w:uiPriority w:val="99"/>
    <w:semiHidden/>
    <w:unhideWhenUsed/>
    <w:rsid w:val="00DB6EC8"/>
  </w:style>
  <w:style w:type="numbering" w:customStyle="1" w:styleId="CurrentList1141">
    <w:name w:val="Current List1141"/>
    <w:rsid w:val="00DB6EC8"/>
  </w:style>
  <w:style w:type="table" w:customStyle="1" w:styleId="TableGrid131">
    <w:name w:val="Table Grid131"/>
    <w:basedOn w:val="TableNormal"/>
    <w:next w:val="TableGrid"/>
    <w:uiPriority w:val="59"/>
    <w:rsid w:val="00DB6EC8"/>
    <w:pPr>
      <w:widowControl w:val="0"/>
      <w:spacing w:after="0"/>
    </w:pPr>
    <w:rPr>
      <w:rFonts w:ascii="Times New Roman" w:eastAsia="Times New Roman" w:hAnsi="Times New Roman"/>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ulletedList141">
    <w:name w:val="Bulleted List141"/>
    <w:rsid w:val="00DB6EC8"/>
  </w:style>
  <w:style w:type="table" w:customStyle="1" w:styleId="LightShading1131">
    <w:name w:val="Light Shading1131"/>
    <w:basedOn w:val="TableNormal"/>
    <w:uiPriority w:val="60"/>
    <w:rsid w:val="00DB6EC8"/>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131">
    <w:name w:val="Light Grid1131"/>
    <w:basedOn w:val="TableNormal"/>
    <w:uiPriority w:val="62"/>
    <w:rsid w:val="00DB6EC8"/>
    <w:pPr>
      <w:spacing w:after="0" w:line="240" w:lineRule="auto"/>
    </w:pPr>
    <w:rPr>
      <w:rFonts w:ascii="Arial" w:eastAsia="Arial" w:hAnsi="Arial"/>
      <w:color w:val="auto"/>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131">
    <w:name w:val="Medium Shading 1 - Accent 11131"/>
    <w:basedOn w:val="TableNormal"/>
    <w:uiPriority w:val="63"/>
    <w:rsid w:val="00DB6EC8"/>
    <w:pPr>
      <w:spacing w:after="0" w:line="240" w:lineRule="auto"/>
    </w:pPr>
    <w:rPr>
      <w:rFonts w:ascii="Cambria" w:hAnsi="Cambria"/>
      <w:color w:val="auto"/>
    </w:r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131">
    <w:name w:val="Medium Grid 1 - Accent 1131"/>
    <w:basedOn w:val="TableNormal"/>
    <w:next w:val="MediumGrid1-Accent1"/>
    <w:uiPriority w:val="67"/>
    <w:rsid w:val="00DB6EC8"/>
    <w:pPr>
      <w:spacing w:after="0" w:line="240" w:lineRule="auto"/>
    </w:pPr>
    <w:rPr>
      <w:rFonts w:ascii="Cambria" w:hAnsi="Cambria"/>
      <w:color w:val="auto"/>
    </w:r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131">
    <w:name w:val="Light Shading - Accent 11131"/>
    <w:basedOn w:val="TableNormal"/>
    <w:uiPriority w:val="60"/>
    <w:rsid w:val="00DB6EC8"/>
    <w:pPr>
      <w:spacing w:after="0" w:line="240" w:lineRule="auto"/>
    </w:pPr>
    <w:rPr>
      <w:rFonts w:ascii="Cambria" w:hAnsi="Cambria"/>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131">
    <w:name w:val="RSP_Style131"/>
    <w:basedOn w:val="TableNormal"/>
    <w:uiPriority w:val="99"/>
    <w:qFormat/>
    <w:rsid w:val="00DB6EC8"/>
    <w:pPr>
      <w:spacing w:after="0" w:line="240" w:lineRule="auto"/>
    </w:pPr>
    <w:rPr>
      <w:rFonts w:ascii="Cambria" w:hAnsi="Cambria"/>
      <w:color w:val="auto"/>
    </w:rPr>
    <w:tblPr/>
  </w:style>
  <w:style w:type="table" w:customStyle="1" w:styleId="20122tableformat131">
    <w:name w:val="2012 2 table format131"/>
    <w:basedOn w:val="TableNormal"/>
    <w:uiPriority w:val="63"/>
    <w:rsid w:val="00DB6EC8"/>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131">
    <w:name w:val="Medium Grid 1 - Accent 6131"/>
    <w:basedOn w:val="TableNormal"/>
    <w:next w:val="MediumGrid1-Accent6"/>
    <w:uiPriority w:val="67"/>
    <w:rsid w:val="00DB6EC8"/>
    <w:pPr>
      <w:spacing w:after="0" w:line="240" w:lineRule="auto"/>
    </w:pPr>
    <w:rPr>
      <w:rFonts w:ascii="Cambria" w:hAnsi="Cambria"/>
      <w:color w:val="auto"/>
    </w:r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131">
    <w:name w:val="Light List - Accent 6131"/>
    <w:basedOn w:val="TableNormal"/>
    <w:next w:val="LightList-Accent6"/>
    <w:uiPriority w:val="61"/>
    <w:rsid w:val="00DB6EC8"/>
    <w:pPr>
      <w:spacing w:after="0" w:line="240" w:lineRule="auto"/>
    </w:pPr>
    <w:rPr>
      <w:color w:val="auto"/>
    </w:r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131">
    <w:name w:val="Light Grid - Accent 11131"/>
    <w:basedOn w:val="TableNormal"/>
    <w:uiPriority w:val="62"/>
    <w:rsid w:val="00DB6EC8"/>
    <w:pPr>
      <w:spacing w:after="0" w:line="240" w:lineRule="auto"/>
    </w:pPr>
    <w:rPr>
      <w:rFonts w:ascii="Cambria" w:hAnsi="Cambria"/>
      <w:color w:val="auto"/>
    </w:r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131">
    <w:name w:val="2012 Style131"/>
    <w:basedOn w:val="TableNormal"/>
    <w:uiPriority w:val="99"/>
    <w:qFormat/>
    <w:rsid w:val="00DB6EC8"/>
    <w:pPr>
      <w:spacing w:after="0" w:line="240" w:lineRule="auto"/>
    </w:pPr>
    <w:rPr>
      <w:color w:val="auto"/>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131">
    <w:name w:val="Light Shading - Accent 12131"/>
    <w:basedOn w:val="TableNormal"/>
    <w:uiPriority w:val="60"/>
    <w:rsid w:val="00DB6EC8"/>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table" w:customStyle="1" w:styleId="MediumShading1-Accent431">
    <w:name w:val="Medium Shading 1 - Accent 431"/>
    <w:basedOn w:val="TableNormal"/>
    <w:next w:val="MediumShading1-Accent4"/>
    <w:uiPriority w:val="63"/>
    <w:rsid w:val="00DB6EC8"/>
    <w:pPr>
      <w:spacing w:after="0" w:line="240" w:lineRule="auto"/>
    </w:pPr>
    <w:rPr>
      <w:rFonts w:ascii="Cambria" w:hAnsi="Cambria"/>
      <w:color w:val="auto"/>
    </w:rPr>
    <w:tblPr>
      <w:tblStyleRowBandSize w:val="1"/>
      <w:tblStyleColBandSize w:val="1"/>
      <w:tbl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single" w:sz="8" w:space="0" w:color="FCCA63" w:themeColor="accent4" w:themeTint="BF"/>
      </w:tblBorders>
    </w:tblPr>
    <w:tblStylePr w:type="firstRow">
      <w:pPr>
        <w:spacing w:before="0" w:after="0" w:line="240" w:lineRule="auto"/>
      </w:pPr>
      <w:rPr>
        <w:b/>
        <w:bCs/>
        <w:color w:val="FFFFFF" w:themeColor="background1"/>
      </w:rPr>
      <w:tblPr/>
      <w:tcPr>
        <w:tc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shd w:val="clear" w:color="auto" w:fill="FBB92F" w:themeFill="accent4"/>
      </w:tcPr>
    </w:tblStylePr>
    <w:tblStylePr w:type="lastRow">
      <w:pPr>
        <w:spacing w:before="0" w:after="0" w:line="240" w:lineRule="auto"/>
      </w:pPr>
      <w:rPr>
        <w:b/>
        <w:bCs/>
      </w:rPr>
      <w:tblPr/>
      <w:tcPr>
        <w:tcBorders>
          <w:top w:val="double" w:sz="6"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tcPr>
    </w:tblStylePr>
    <w:tblStylePr w:type="firstCol">
      <w:rPr>
        <w:b/>
        <w:bCs/>
      </w:rPr>
    </w:tblStylePr>
    <w:tblStylePr w:type="lastCol">
      <w:rPr>
        <w:b/>
        <w:bCs/>
      </w:rPr>
    </w:tblStylePr>
    <w:tblStylePr w:type="band1Vert">
      <w:tblPr/>
      <w:tcPr>
        <w:shd w:val="clear" w:color="auto" w:fill="FEEDCB" w:themeFill="accent4" w:themeFillTint="3F"/>
      </w:tcPr>
    </w:tblStylePr>
    <w:tblStylePr w:type="band1Horz">
      <w:tblPr/>
      <w:tcPr>
        <w:tcBorders>
          <w:insideH w:val="nil"/>
          <w:insideV w:val="nil"/>
        </w:tcBorders>
        <w:shd w:val="clear" w:color="auto" w:fill="FEEDCB" w:themeFill="accent4" w:themeFillTint="3F"/>
      </w:tcPr>
    </w:tblStylePr>
    <w:tblStylePr w:type="band2Horz">
      <w:tblPr/>
      <w:tcPr>
        <w:tcBorders>
          <w:insideH w:val="nil"/>
          <w:insideV w:val="nil"/>
        </w:tcBorders>
      </w:tcPr>
    </w:tblStylePr>
  </w:style>
  <w:style w:type="table" w:customStyle="1" w:styleId="TableGrid51">
    <w:name w:val="Table Grid51"/>
    <w:basedOn w:val="TableNormal"/>
    <w:next w:val="TableGrid"/>
    <w:uiPriority w:val="59"/>
    <w:rsid w:val="00DB6EC8"/>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
    <w:name w:val="No List7"/>
    <w:next w:val="NoList"/>
    <w:uiPriority w:val="99"/>
    <w:semiHidden/>
    <w:unhideWhenUsed/>
    <w:rsid w:val="00B47695"/>
  </w:style>
  <w:style w:type="table" w:customStyle="1" w:styleId="TableGrid7">
    <w:name w:val="Table Grid7"/>
    <w:basedOn w:val="TableNormal"/>
    <w:next w:val="TableGrid"/>
    <w:uiPriority w:val="59"/>
    <w:rsid w:val="00B47695"/>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6">
    <w:name w:val="Light Shading16"/>
    <w:basedOn w:val="TableNormal"/>
    <w:uiPriority w:val="60"/>
    <w:rsid w:val="00B47695"/>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6">
    <w:name w:val="Light Grid16"/>
    <w:basedOn w:val="TableNormal"/>
    <w:uiPriority w:val="62"/>
    <w:rsid w:val="00B47695"/>
    <w:pPr>
      <w:spacing w:after="0" w:line="240" w:lineRule="auto"/>
    </w:pPr>
    <w:rPr>
      <w:rFonts w:ascii="Arial" w:eastAsia="Arial" w:hAnsi="Arial"/>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6">
    <w:name w:val="Medium Shading 1 - Accent 116"/>
    <w:basedOn w:val="TableNormal"/>
    <w:uiPriority w:val="63"/>
    <w:rsid w:val="00B47695"/>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6">
    <w:name w:val="Medium Grid 1 - Accent 16"/>
    <w:basedOn w:val="TableNormal"/>
    <w:next w:val="MediumGrid1-Accent1"/>
    <w:uiPriority w:val="67"/>
    <w:rsid w:val="00B47695"/>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6">
    <w:name w:val="Light Shading - Accent 116"/>
    <w:basedOn w:val="TableNormal"/>
    <w:uiPriority w:val="60"/>
    <w:rsid w:val="00B47695"/>
    <w:pPr>
      <w:spacing w:after="0" w:line="240" w:lineRule="auto"/>
    </w:pPr>
    <w:rPr>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6">
    <w:name w:val="RSP_Style6"/>
    <w:basedOn w:val="TableNormal"/>
    <w:uiPriority w:val="99"/>
    <w:qFormat/>
    <w:rsid w:val="00B47695"/>
    <w:pPr>
      <w:spacing w:after="0" w:line="240" w:lineRule="auto"/>
    </w:pPr>
    <w:tblPr/>
  </w:style>
  <w:style w:type="table" w:customStyle="1" w:styleId="20122tableformat6">
    <w:name w:val="2012 2 table format6"/>
    <w:basedOn w:val="TableNormal"/>
    <w:uiPriority w:val="63"/>
    <w:rsid w:val="00B47695"/>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6">
    <w:name w:val="Medium Grid 1 - Accent 66"/>
    <w:basedOn w:val="TableNormal"/>
    <w:next w:val="MediumGrid1-Accent6"/>
    <w:uiPriority w:val="67"/>
    <w:rsid w:val="00B47695"/>
    <w:pPr>
      <w:spacing w:after="0" w:line="240" w:lineRule="auto"/>
    </w:p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6">
    <w:name w:val="Light List - Accent 66"/>
    <w:basedOn w:val="TableNormal"/>
    <w:next w:val="LightList-Accent6"/>
    <w:uiPriority w:val="61"/>
    <w:rsid w:val="00B47695"/>
    <w:pPr>
      <w:spacing w:after="0" w:line="240" w:lineRule="auto"/>
    </w:p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6">
    <w:name w:val="Light Grid - Accent 116"/>
    <w:basedOn w:val="TableNormal"/>
    <w:uiPriority w:val="62"/>
    <w:rsid w:val="00B47695"/>
    <w:pPr>
      <w:spacing w:after="0" w:line="240" w:lineRule="auto"/>
    </w:p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6">
    <w:name w:val="2012 Style6"/>
    <w:basedOn w:val="TableNormal"/>
    <w:uiPriority w:val="99"/>
    <w:qFormat/>
    <w:rsid w:val="00B47695"/>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6">
    <w:name w:val="Light Shading - Accent 126"/>
    <w:basedOn w:val="TableNormal"/>
    <w:uiPriority w:val="60"/>
    <w:rsid w:val="00B47695"/>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numbering" w:customStyle="1" w:styleId="NoList16">
    <w:name w:val="No List16"/>
    <w:next w:val="NoList"/>
    <w:uiPriority w:val="99"/>
    <w:semiHidden/>
    <w:unhideWhenUsed/>
    <w:rsid w:val="00B47695"/>
  </w:style>
  <w:style w:type="numbering" w:customStyle="1" w:styleId="CurrentList116">
    <w:name w:val="Current List116"/>
    <w:rsid w:val="00B47695"/>
  </w:style>
  <w:style w:type="table" w:customStyle="1" w:styleId="TableGrid15">
    <w:name w:val="Table Grid15"/>
    <w:basedOn w:val="TableNormal"/>
    <w:next w:val="TableGrid"/>
    <w:uiPriority w:val="59"/>
    <w:rsid w:val="00B47695"/>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ulletedList16">
    <w:name w:val="Bulleted List16"/>
    <w:rsid w:val="00B47695"/>
  </w:style>
  <w:style w:type="table" w:customStyle="1" w:styleId="LightShading115">
    <w:name w:val="Light Shading115"/>
    <w:basedOn w:val="TableNormal"/>
    <w:uiPriority w:val="60"/>
    <w:rsid w:val="00B47695"/>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15">
    <w:name w:val="Light Grid115"/>
    <w:basedOn w:val="TableNormal"/>
    <w:uiPriority w:val="62"/>
    <w:rsid w:val="00B47695"/>
    <w:pPr>
      <w:spacing w:after="0" w:line="240" w:lineRule="auto"/>
    </w:pPr>
    <w:rPr>
      <w:rFonts w:ascii="Arial" w:eastAsia="Arial" w:hAnsi="Arial"/>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15">
    <w:name w:val="Medium Shading 1 - Accent 1115"/>
    <w:basedOn w:val="TableNormal"/>
    <w:uiPriority w:val="63"/>
    <w:rsid w:val="00B47695"/>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15">
    <w:name w:val="Medium Grid 1 - Accent 115"/>
    <w:basedOn w:val="TableNormal"/>
    <w:next w:val="MediumGrid1-Accent1"/>
    <w:uiPriority w:val="67"/>
    <w:rsid w:val="00B47695"/>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15">
    <w:name w:val="Light Shading - Accent 1115"/>
    <w:basedOn w:val="TableNormal"/>
    <w:uiPriority w:val="60"/>
    <w:rsid w:val="00B47695"/>
    <w:pPr>
      <w:spacing w:after="0" w:line="240" w:lineRule="auto"/>
    </w:pPr>
    <w:rPr>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15">
    <w:name w:val="RSP_Style15"/>
    <w:basedOn w:val="TableNormal"/>
    <w:uiPriority w:val="99"/>
    <w:qFormat/>
    <w:rsid w:val="00B47695"/>
    <w:pPr>
      <w:spacing w:after="0" w:line="240" w:lineRule="auto"/>
    </w:pPr>
    <w:tblPr/>
  </w:style>
  <w:style w:type="table" w:customStyle="1" w:styleId="20122tableformat15">
    <w:name w:val="2012 2 table format15"/>
    <w:basedOn w:val="TableNormal"/>
    <w:uiPriority w:val="63"/>
    <w:rsid w:val="00B47695"/>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15">
    <w:name w:val="Medium Grid 1 - Accent 615"/>
    <w:basedOn w:val="TableNormal"/>
    <w:next w:val="MediumGrid1-Accent6"/>
    <w:uiPriority w:val="67"/>
    <w:rsid w:val="00B47695"/>
    <w:pPr>
      <w:spacing w:after="0" w:line="240" w:lineRule="auto"/>
    </w:p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15">
    <w:name w:val="Light List - Accent 615"/>
    <w:basedOn w:val="TableNormal"/>
    <w:next w:val="LightList-Accent6"/>
    <w:uiPriority w:val="61"/>
    <w:rsid w:val="00B47695"/>
    <w:pPr>
      <w:spacing w:after="0" w:line="240" w:lineRule="auto"/>
    </w:p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15">
    <w:name w:val="Light Grid - Accent 1115"/>
    <w:basedOn w:val="TableNormal"/>
    <w:uiPriority w:val="62"/>
    <w:rsid w:val="00B47695"/>
    <w:pPr>
      <w:spacing w:after="0" w:line="240" w:lineRule="auto"/>
    </w:p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15">
    <w:name w:val="2012 Style15"/>
    <w:basedOn w:val="TableNormal"/>
    <w:uiPriority w:val="99"/>
    <w:qFormat/>
    <w:rsid w:val="00B47695"/>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15">
    <w:name w:val="Light Shading - Accent 1215"/>
    <w:basedOn w:val="TableNormal"/>
    <w:uiPriority w:val="60"/>
    <w:rsid w:val="00B47695"/>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table" w:customStyle="1" w:styleId="MediumShading1-Accent45">
    <w:name w:val="Medium Shading 1 - Accent 45"/>
    <w:basedOn w:val="TableNormal"/>
    <w:next w:val="MediumShading1-Accent4"/>
    <w:uiPriority w:val="63"/>
    <w:rsid w:val="00B47695"/>
    <w:pPr>
      <w:spacing w:after="0" w:line="240" w:lineRule="auto"/>
    </w:pPr>
    <w:tblPr>
      <w:tblStyleRowBandSize w:val="1"/>
      <w:tblStyleColBandSize w:val="1"/>
      <w:tbl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single" w:sz="8" w:space="0" w:color="FCCA63" w:themeColor="accent4" w:themeTint="BF"/>
      </w:tblBorders>
    </w:tblPr>
    <w:tblStylePr w:type="firstRow">
      <w:pPr>
        <w:spacing w:before="0" w:after="0" w:line="240" w:lineRule="auto"/>
      </w:pPr>
      <w:rPr>
        <w:b/>
        <w:bCs/>
        <w:color w:val="FFFFFF" w:themeColor="background1"/>
      </w:rPr>
      <w:tblPr/>
      <w:tcPr>
        <w:tc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shd w:val="clear" w:color="auto" w:fill="FBB92F" w:themeFill="accent4"/>
      </w:tcPr>
    </w:tblStylePr>
    <w:tblStylePr w:type="lastRow">
      <w:pPr>
        <w:spacing w:before="0" w:after="0" w:line="240" w:lineRule="auto"/>
      </w:pPr>
      <w:rPr>
        <w:b/>
        <w:bCs/>
      </w:rPr>
      <w:tblPr/>
      <w:tcPr>
        <w:tcBorders>
          <w:top w:val="double" w:sz="6"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tcPr>
    </w:tblStylePr>
    <w:tblStylePr w:type="firstCol">
      <w:rPr>
        <w:b/>
        <w:bCs/>
      </w:rPr>
    </w:tblStylePr>
    <w:tblStylePr w:type="lastCol">
      <w:rPr>
        <w:b/>
        <w:bCs/>
      </w:rPr>
    </w:tblStylePr>
    <w:tblStylePr w:type="band1Vert">
      <w:tblPr/>
      <w:tcPr>
        <w:shd w:val="clear" w:color="auto" w:fill="FEEDCB" w:themeFill="accent4" w:themeFillTint="3F"/>
      </w:tcPr>
    </w:tblStylePr>
    <w:tblStylePr w:type="band1Horz">
      <w:tblPr/>
      <w:tcPr>
        <w:tcBorders>
          <w:insideH w:val="nil"/>
          <w:insideV w:val="nil"/>
        </w:tcBorders>
        <w:shd w:val="clear" w:color="auto" w:fill="FEEDCB" w:themeFill="accent4" w:themeFillTint="3F"/>
      </w:tcPr>
    </w:tblStylePr>
    <w:tblStylePr w:type="band2Horz">
      <w:tblPr/>
      <w:tcPr>
        <w:tcBorders>
          <w:insideH w:val="nil"/>
          <w:insideV w:val="nil"/>
        </w:tcBorders>
      </w:tcPr>
    </w:tblStylePr>
  </w:style>
  <w:style w:type="numbering" w:customStyle="1" w:styleId="NoList22">
    <w:name w:val="No List22"/>
    <w:next w:val="NoList"/>
    <w:uiPriority w:val="99"/>
    <w:semiHidden/>
    <w:unhideWhenUsed/>
    <w:rsid w:val="00B47695"/>
  </w:style>
  <w:style w:type="numbering" w:customStyle="1" w:styleId="CurrentList122">
    <w:name w:val="Current List122"/>
    <w:rsid w:val="00B47695"/>
  </w:style>
  <w:style w:type="numbering" w:customStyle="1" w:styleId="BulletedList22">
    <w:name w:val="Bulleted List22"/>
    <w:rsid w:val="00B47695"/>
  </w:style>
  <w:style w:type="numbering" w:customStyle="1" w:styleId="NoList112">
    <w:name w:val="No List112"/>
    <w:next w:val="NoList"/>
    <w:uiPriority w:val="99"/>
    <w:semiHidden/>
    <w:unhideWhenUsed/>
    <w:rsid w:val="00B47695"/>
  </w:style>
  <w:style w:type="numbering" w:customStyle="1" w:styleId="CurrentList1112">
    <w:name w:val="Current List1112"/>
    <w:rsid w:val="00B47695"/>
  </w:style>
  <w:style w:type="numbering" w:customStyle="1" w:styleId="BulletedList112">
    <w:name w:val="Bulleted List112"/>
    <w:rsid w:val="00B47695"/>
  </w:style>
  <w:style w:type="numbering" w:customStyle="1" w:styleId="NoList32">
    <w:name w:val="No List32"/>
    <w:next w:val="NoList"/>
    <w:uiPriority w:val="99"/>
    <w:semiHidden/>
    <w:unhideWhenUsed/>
    <w:rsid w:val="00B47695"/>
  </w:style>
  <w:style w:type="table" w:customStyle="1" w:styleId="TableGrid22">
    <w:name w:val="Table Grid22"/>
    <w:basedOn w:val="TableNormal"/>
    <w:next w:val="TableGrid"/>
    <w:uiPriority w:val="59"/>
    <w:rsid w:val="00B47695"/>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22">
    <w:name w:val="Light Shading122"/>
    <w:basedOn w:val="TableNormal"/>
    <w:uiPriority w:val="60"/>
    <w:rsid w:val="00B47695"/>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22">
    <w:name w:val="Light Grid122"/>
    <w:basedOn w:val="TableNormal"/>
    <w:uiPriority w:val="62"/>
    <w:rsid w:val="00B47695"/>
    <w:pPr>
      <w:spacing w:after="0" w:line="240" w:lineRule="auto"/>
    </w:pPr>
    <w:rPr>
      <w:rFonts w:ascii="Arial" w:eastAsia="Arial" w:hAnsi="Arial"/>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22">
    <w:name w:val="Medium Shading 1 - Accent 1122"/>
    <w:basedOn w:val="TableNormal"/>
    <w:uiPriority w:val="63"/>
    <w:rsid w:val="00B47695"/>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22">
    <w:name w:val="Medium Grid 1 - Accent 122"/>
    <w:basedOn w:val="TableNormal"/>
    <w:next w:val="MediumGrid1-Accent1"/>
    <w:uiPriority w:val="67"/>
    <w:rsid w:val="00B47695"/>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22">
    <w:name w:val="Light Shading - Accent 1122"/>
    <w:basedOn w:val="TableNormal"/>
    <w:uiPriority w:val="60"/>
    <w:rsid w:val="00B47695"/>
    <w:pPr>
      <w:spacing w:after="0" w:line="240" w:lineRule="auto"/>
    </w:pPr>
    <w:rPr>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22">
    <w:name w:val="RSP_Style22"/>
    <w:basedOn w:val="TableNormal"/>
    <w:uiPriority w:val="99"/>
    <w:qFormat/>
    <w:rsid w:val="00B47695"/>
    <w:pPr>
      <w:spacing w:after="0" w:line="240" w:lineRule="auto"/>
    </w:pPr>
    <w:tblPr/>
  </w:style>
  <w:style w:type="table" w:customStyle="1" w:styleId="20122tableformat22">
    <w:name w:val="2012 2 table format22"/>
    <w:basedOn w:val="TableNormal"/>
    <w:uiPriority w:val="63"/>
    <w:rsid w:val="00B47695"/>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22">
    <w:name w:val="Medium Grid 1 - Accent 622"/>
    <w:basedOn w:val="TableNormal"/>
    <w:next w:val="MediumGrid1-Accent6"/>
    <w:uiPriority w:val="67"/>
    <w:rsid w:val="00B47695"/>
    <w:pPr>
      <w:spacing w:after="0" w:line="240" w:lineRule="auto"/>
    </w:p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22">
    <w:name w:val="Light List - Accent 622"/>
    <w:basedOn w:val="TableNormal"/>
    <w:next w:val="LightList-Accent6"/>
    <w:uiPriority w:val="61"/>
    <w:rsid w:val="00B47695"/>
    <w:pPr>
      <w:spacing w:after="0" w:line="240" w:lineRule="auto"/>
    </w:p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22">
    <w:name w:val="Light Grid - Accent 1122"/>
    <w:basedOn w:val="TableNormal"/>
    <w:uiPriority w:val="62"/>
    <w:rsid w:val="00B47695"/>
    <w:pPr>
      <w:spacing w:after="0" w:line="240" w:lineRule="auto"/>
    </w:p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22">
    <w:name w:val="2012 Style22"/>
    <w:basedOn w:val="TableNormal"/>
    <w:uiPriority w:val="99"/>
    <w:qFormat/>
    <w:rsid w:val="00B47695"/>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22">
    <w:name w:val="Light Shading - Accent 1222"/>
    <w:basedOn w:val="TableNormal"/>
    <w:uiPriority w:val="60"/>
    <w:rsid w:val="00B47695"/>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numbering" w:customStyle="1" w:styleId="NoList122">
    <w:name w:val="No List122"/>
    <w:next w:val="NoList"/>
    <w:uiPriority w:val="99"/>
    <w:semiHidden/>
    <w:unhideWhenUsed/>
    <w:rsid w:val="00B47695"/>
  </w:style>
  <w:style w:type="numbering" w:customStyle="1" w:styleId="CurrentList1122">
    <w:name w:val="Current List1122"/>
    <w:rsid w:val="00B47695"/>
  </w:style>
  <w:style w:type="table" w:customStyle="1" w:styleId="TableGrid112">
    <w:name w:val="Table Grid112"/>
    <w:basedOn w:val="TableNormal"/>
    <w:next w:val="TableGrid"/>
    <w:uiPriority w:val="59"/>
    <w:rsid w:val="00B47695"/>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ulletedList122">
    <w:name w:val="Bulleted List122"/>
    <w:rsid w:val="00B47695"/>
  </w:style>
  <w:style w:type="table" w:customStyle="1" w:styleId="LightShading1112">
    <w:name w:val="Light Shading1112"/>
    <w:basedOn w:val="TableNormal"/>
    <w:uiPriority w:val="60"/>
    <w:rsid w:val="00B47695"/>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112">
    <w:name w:val="Light Grid1112"/>
    <w:basedOn w:val="TableNormal"/>
    <w:uiPriority w:val="62"/>
    <w:rsid w:val="00B47695"/>
    <w:pPr>
      <w:spacing w:after="0" w:line="240" w:lineRule="auto"/>
    </w:pPr>
    <w:rPr>
      <w:rFonts w:ascii="Arial" w:eastAsia="Arial" w:hAnsi="Arial"/>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112">
    <w:name w:val="Medium Shading 1 - Accent 11112"/>
    <w:basedOn w:val="TableNormal"/>
    <w:uiPriority w:val="63"/>
    <w:rsid w:val="00B47695"/>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112">
    <w:name w:val="Medium Grid 1 - Accent 1112"/>
    <w:basedOn w:val="TableNormal"/>
    <w:next w:val="MediumGrid1-Accent1"/>
    <w:uiPriority w:val="67"/>
    <w:rsid w:val="00B47695"/>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112">
    <w:name w:val="Light Shading - Accent 11112"/>
    <w:basedOn w:val="TableNormal"/>
    <w:uiPriority w:val="60"/>
    <w:rsid w:val="00B47695"/>
    <w:pPr>
      <w:spacing w:after="0" w:line="240" w:lineRule="auto"/>
    </w:pPr>
    <w:rPr>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112">
    <w:name w:val="RSP_Style112"/>
    <w:basedOn w:val="TableNormal"/>
    <w:uiPriority w:val="99"/>
    <w:qFormat/>
    <w:rsid w:val="00B47695"/>
    <w:pPr>
      <w:spacing w:after="0" w:line="240" w:lineRule="auto"/>
    </w:pPr>
    <w:tblPr/>
  </w:style>
  <w:style w:type="table" w:customStyle="1" w:styleId="20122tableformat112">
    <w:name w:val="2012 2 table format112"/>
    <w:basedOn w:val="TableNormal"/>
    <w:uiPriority w:val="63"/>
    <w:rsid w:val="00B47695"/>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112">
    <w:name w:val="Medium Grid 1 - Accent 6112"/>
    <w:basedOn w:val="TableNormal"/>
    <w:next w:val="MediumGrid1-Accent6"/>
    <w:uiPriority w:val="67"/>
    <w:rsid w:val="00B47695"/>
    <w:pPr>
      <w:spacing w:after="0" w:line="240" w:lineRule="auto"/>
    </w:p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112">
    <w:name w:val="Light List - Accent 6112"/>
    <w:basedOn w:val="TableNormal"/>
    <w:next w:val="LightList-Accent6"/>
    <w:uiPriority w:val="61"/>
    <w:rsid w:val="00B47695"/>
    <w:pPr>
      <w:spacing w:after="0" w:line="240" w:lineRule="auto"/>
    </w:p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112">
    <w:name w:val="Light Grid - Accent 11112"/>
    <w:basedOn w:val="TableNormal"/>
    <w:uiPriority w:val="62"/>
    <w:rsid w:val="00B47695"/>
    <w:pPr>
      <w:spacing w:after="0" w:line="240" w:lineRule="auto"/>
    </w:p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112">
    <w:name w:val="2012 Style112"/>
    <w:basedOn w:val="TableNormal"/>
    <w:uiPriority w:val="99"/>
    <w:qFormat/>
    <w:rsid w:val="00B47695"/>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112">
    <w:name w:val="Light Shading - Accent 12112"/>
    <w:basedOn w:val="TableNormal"/>
    <w:uiPriority w:val="60"/>
    <w:rsid w:val="00B47695"/>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table" w:customStyle="1" w:styleId="MediumShading1-Accent412">
    <w:name w:val="Medium Shading 1 - Accent 412"/>
    <w:basedOn w:val="TableNormal"/>
    <w:next w:val="MediumShading1-Accent4"/>
    <w:uiPriority w:val="63"/>
    <w:rsid w:val="00B47695"/>
    <w:pPr>
      <w:spacing w:after="0" w:line="240" w:lineRule="auto"/>
    </w:pPr>
    <w:tblPr>
      <w:tblStyleRowBandSize w:val="1"/>
      <w:tblStyleColBandSize w:val="1"/>
      <w:tbl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single" w:sz="8" w:space="0" w:color="FCCA63" w:themeColor="accent4" w:themeTint="BF"/>
      </w:tblBorders>
    </w:tblPr>
    <w:tblStylePr w:type="firstRow">
      <w:pPr>
        <w:spacing w:before="0" w:after="0" w:line="240" w:lineRule="auto"/>
      </w:pPr>
      <w:rPr>
        <w:b/>
        <w:bCs/>
        <w:color w:val="FFFFFF" w:themeColor="background1"/>
      </w:rPr>
      <w:tblPr/>
      <w:tcPr>
        <w:tc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shd w:val="clear" w:color="auto" w:fill="FBB92F" w:themeFill="accent4"/>
      </w:tcPr>
    </w:tblStylePr>
    <w:tblStylePr w:type="lastRow">
      <w:pPr>
        <w:spacing w:before="0" w:after="0" w:line="240" w:lineRule="auto"/>
      </w:pPr>
      <w:rPr>
        <w:b/>
        <w:bCs/>
      </w:rPr>
      <w:tblPr/>
      <w:tcPr>
        <w:tcBorders>
          <w:top w:val="double" w:sz="6"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tcPr>
    </w:tblStylePr>
    <w:tblStylePr w:type="firstCol">
      <w:rPr>
        <w:b/>
        <w:bCs/>
      </w:rPr>
    </w:tblStylePr>
    <w:tblStylePr w:type="lastCol">
      <w:rPr>
        <w:b/>
        <w:bCs/>
      </w:rPr>
    </w:tblStylePr>
    <w:tblStylePr w:type="band1Vert">
      <w:tblPr/>
      <w:tcPr>
        <w:shd w:val="clear" w:color="auto" w:fill="FEEDCB" w:themeFill="accent4" w:themeFillTint="3F"/>
      </w:tcPr>
    </w:tblStylePr>
    <w:tblStylePr w:type="band1Horz">
      <w:tblPr/>
      <w:tcPr>
        <w:tcBorders>
          <w:insideH w:val="nil"/>
          <w:insideV w:val="nil"/>
        </w:tcBorders>
        <w:shd w:val="clear" w:color="auto" w:fill="FEEDCB" w:themeFill="accent4" w:themeFillTint="3F"/>
      </w:tcPr>
    </w:tblStylePr>
    <w:tblStylePr w:type="band2Horz">
      <w:tblPr/>
      <w:tcPr>
        <w:tcBorders>
          <w:insideH w:val="nil"/>
          <w:insideV w:val="nil"/>
        </w:tcBorders>
      </w:tcPr>
    </w:tblStylePr>
  </w:style>
  <w:style w:type="numbering" w:customStyle="1" w:styleId="NoList42">
    <w:name w:val="No List42"/>
    <w:next w:val="NoList"/>
    <w:uiPriority w:val="99"/>
    <w:semiHidden/>
    <w:unhideWhenUsed/>
    <w:rsid w:val="00B47695"/>
  </w:style>
  <w:style w:type="table" w:customStyle="1" w:styleId="TableGrid33">
    <w:name w:val="Table Grid33"/>
    <w:basedOn w:val="TableNormal"/>
    <w:next w:val="TableGrid"/>
    <w:uiPriority w:val="59"/>
    <w:rsid w:val="00B47695"/>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32">
    <w:name w:val="Light Shading132"/>
    <w:basedOn w:val="TableNormal"/>
    <w:uiPriority w:val="60"/>
    <w:rsid w:val="00B47695"/>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32">
    <w:name w:val="Light Grid132"/>
    <w:basedOn w:val="TableNormal"/>
    <w:uiPriority w:val="62"/>
    <w:rsid w:val="00B47695"/>
    <w:pPr>
      <w:spacing w:after="0" w:line="240" w:lineRule="auto"/>
    </w:pPr>
    <w:rPr>
      <w:rFonts w:ascii="Arial" w:eastAsia="Arial" w:hAnsi="Arial"/>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32">
    <w:name w:val="Medium Shading 1 - Accent 1132"/>
    <w:basedOn w:val="TableNormal"/>
    <w:uiPriority w:val="63"/>
    <w:rsid w:val="00B47695"/>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32">
    <w:name w:val="Medium Grid 1 - Accent 132"/>
    <w:basedOn w:val="TableNormal"/>
    <w:next w:val="MediumGrid1-Accent1"/>
    <w:uiPriority w:val="67"/>
    <w:rsid w:val="00B47695"/>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32">
    <w:name w:val="Light Shading - Accent 1132"/>
    <w:basedOn w:val="TableNormal"/>
    <w:uiPriority w:val="60"/>
    <w:rsid w:val="00B47695"/>
    <w:pPr>
      <w:spacing w:after="0" w:line="240" w:lineRule="auto"/>
    </w:pPr>
    <w:rPr>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32">
    <w:name w:val="RSP_Style32"/>
    <w:basedOn w:val="TableNormal"/>
    <w:uiPriority w:val="99"/>
    <w:qFormat/>
    <w:rsid w:val="00B47695"/>
    <w:pPr>
      <w:spacing w:after="0" w:line="240" w:lineRule="auto"/>
    </w:pPr>
    <w:tblPr/>
  </w:style>
  <w:style w:type="table" w:customStyle="1" w:styleId="20122tableformat32">
    <w:name w:val="2012 2 table format32"/>
    <w:basedOn w:val="TableNormal"/>
    <w:uiPriority w:val="63"/>
    <w:rsid w:val="00B47695"/>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32">
    <w:name w:val="Medium Grid 1 - Accent 632"/>
    <w:basedOn w:val="TableNormal"/>
    <w:next w:val="MediumGrid1-Accent6"/>
    <w:uiPriority w:val="67"/>
    <w:rsid w:val="00B47695"/>
    <w:pPr>
      <w:spacing w:after="0" w:line="240" w:lineRule="auto"/>
    </w:p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32">
    <w:name w:val="Light List - Accent 632"/>
    <w:basedOn w:val="TableNormal"/>
    <w:next w:val="LightList-Accent6"/>
    <w:uiPriority w:val="61"/>
    <w:rsid w:val="00B47695"/>
    <w:pPr>
      <w:spacing w:after="0" w:line="240" w:lineRule="auto"/>
    </w:p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32">
    <w:name w:val="Light Grid - Accent 1132"/>
    <w:basedOn w:val="TableNormal"/>
    <w:uiPriority w:val="62"/>
    <w:rsid w:val="00B47695"/>
    <w:pPr>
      <w:spacing w:after="0" w:line="240" w:lineRule="auto"/>
    </w:p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32">
    <w:name w:val="2012 Style32"/>
    <w:basedOn w:val="TableNormal"/>
    <w:uiPriority w:val="99"/>
    <w:qFormat/>
    <w:rsid w:val="00B47695"/>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32">
    <w:name w:val="Light Shading - Accent 1232"/>
    <w:basedOn w:val="TableNormal"/>
    <w:uiPriority w:val="60"/>
    <w:rsid w:val="00B47695"/>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numbering" w:customStyle="1" w:styleId="NoList132">
    <w:name w:val="No List132"/>
    <w:next w:val="NoList"/>
    <w:uiPriority w:val="99"/>
    <w:semiHidden/>
    <w:unhideWhenUsed/>
    <w:rsid w:val="00B47695"/>
  </w:style>
  <w:style w:type="numbering" w:customStyle="1" w:styleId="CurrentList1132">
    <w:name w:val="Current List1132"/>
    <w:rsid w:val="00B47695"/>
  </w:style>
  <w:style w:type="table" w:customStyle="1" w:styleId="TableGrid122">
    <w:name w:val="Table Grid122"/>
    <w:basedOn w:val="TableNormal"/>
    <w:next w:val="TableGrid"/>
    <w:uiPriority w:val="59"/>
    <w:rsid w:val="00B47695"/>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ulletedList132">
    <w:name w:val="Bulleted List132"/>
    <w:rsid w:val="00B47695"/>
  </w:style>
  <w:style w:type="table" w:customStyle="1" w:styleId="LightShading1122">
    <w:name w:val="Light Shading1122"/>
    <w:basedOn w:val="TableNormal"/>
    <w:uiPriority w:val="60"/>
    <w:rsid w:val="00B47695"/>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122">
    <w:name w:val="Light Grid1122"/>
    <w:basedOn w:val="TableNormal"/>
    <w:uiPriority w:val="62"/>
    <w:rsid w:val="00B47695"/>
    <w:pPr>
      <w:spacing w:after="0" w:line="240" w:lineRule="auto"/>
    </w:pPr>
    <w:rPr>
      <w:rFonts w:ascii="Arial" w:eastAsia="Arial" w:hAnsi="Arial"/>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122">
    <w:name w:val="Medium Shading 1 - Accent 11122"/>
    <w:basedOn w:val="TableNormal"/>
    <w:uiPriority w:val="63"/>
    <w:rsid w:val="00B47695"/>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122">
    <w:name w:val="Medium Grid 1 - Accent 1122"/>
    <w:basedOn w:val="TableNormal"/>
    <w:next w:val="MediumGrid1-Accent1"/>
    <w:uiPriority w:val="67"/>
    <w:rsid w:val="00B47695"/>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122">
    <w:name w:val="Light Shading - Accent 11122"/>
    <w:basedOn w:val="TableNormal"/>
    <w:uiPriority w:val="60"/>
    <w:rsid w:val="00B47695"/>
    <w:pPr>
      <w:spacing w:after="0" w:line="240" w:lineRule="auto"/>
    </w:pPr>
    <w:rPr>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122">
    <w:name w:val="RSP_Style122"/>
    <w:basedOn w:val="TableNormal"/>
    <w:uiPriority w:val="99"/>
    <w:qFormat/>
    <w:rsid w:val="00B47695"/>
    <w:pPr>
      <w:spacing w:after="0" w:line="240" w:lineRule="auto"/>
    </w:pPr>
    <w:tblPr/>
  </w:style>
  <w:style w:type="table" w:customStyle="1" w:styleId="20122tableformat122">
    <w:name w:val="2012 2 table format122"/>
    <w:basedOn w:val="TableNormal"/>
    <w:uiPriority w:val="63"/>
    <w:rsid w:val="00B47695"/>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122">
    <w:name w:val="Medium Grid 1 - Accent 6122"/>
    <w:basedOn w:val="TableNormal"/>
    <w:next w:val="MediumGrid1-Accent6"/>
    <w:uiPriority w:val="67"/>
    <w:rsid w:val="00B47695"/>
    <w:pPr>
      <w:spacing w:after="0" w:line="240" w:lineRule="auto"/>
    </w:p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122">
    <w:name w:val="Light List - Accent 6122"/>
    <w:basedOn w:val="TableNormal"/>
    <w:next w:val="LightList-Accent6"/>
    <w:uiPriority w:val="61"/>
    <w:rsid w:val="00B47695"/>
    <w:pPr>
      <w:spacing w:after="0" w:line="240" w:lineRule="auto"/>
    </w:p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122">
    <w:name w:val="Light Grid - Accent 11122"/>
    <w:basedOn w:val="TableNormal"/>
    <w:uiPriority w:val="62"/>
    <w:rsid w:val="00B47695"/>
    <w:pPr>
      <w:spacing w:after="0" w:line="240" w:lineRule="auto"/>
    </w:p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122">
    <w:name w:val="2012 Style122"/>
    <w:basedOn w:val="TableNormal"/>
    <w:uiPriority w:val="99"/>
    <w:qFormat/>
    <w:rsid w:val="00B47695"/>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122">
    <w:name w:val="Light Shading - Accent 12122"/>
    <w:basedOn w:val="TableNormal"/>
    <w:uiPriority w:val="60"/>
    <w:rsid w:val="00B47695"/>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table" w:customStyle="1" w:styleId="MediumShading1-Accent422">
    <w:name w:val="Medium Shading 1 - Accent 422"/>
    <w:basedOn w:val="TableNormal"/>
    <w:next w:val="MediumShading1-Accent4"/>
    <w:uiPriority w:val="63"/>
    <w:rsid w:val="00B47695"/>
    <w:pPr>
      <w:spacing w:after="0" w:line="240" w:lineRule="auto"/>
    </w:pPr>
    <w:tblPr>
      <w:tblStyleRowBandSize w:val="1"/>
      <w:tblStyleColBandSize w:val="1"/>
      <w:tbl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single" w:sz="8" w:space="0" w:color="FCCA63" w:themeColor="accent4" w:themeTint="BF"/>
      </w:tblBorders>
    </w:tblPr>
    <w:tblStylePr w:type="firstRow">
      <w:pPr>
        <w:spacing w:before="0" w:after="0" w:line="240" w:lineRule="auto"/>
      </w:pPr>
      <w:rPr>
        <w:b/>
        <w:bCs/>
        <w:color w:val="FFFFFF" w:themeColor="background1"/>
      </w:rPr>
      <w:tblPr/>
      <w:tcPr>
        <w:tc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shd w:val="clear" w:color="auto" w:fill="FBB92F" w:themeFill="accent4"/>
      </w:tcPr>
    </w:tblStylePr>
    <w:tblStylePr w:type="lastRow">
      <w:pPr>
        <w:spacing w:before="0" w:after="0" w:line="240" w:lineRule="auto"/>
      </w:pPr>
      <w:rPr>
        <w:b/>
        <w:bCs/>
      </w:rPr>
      <w:tblPr/>
      <w:tcPr>
        <w:tcBorders>
          <w:top w:val="double" w:sz="6"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tcPr>
    </w:tblStylePr>
    <w:tblStylePr w:type="firstCol">
      <w:rPr>
        <w:b/>
        <w:bCs/>
      </w:rPr>
    </w:tblStylePr>
    <w:tblStylePr w:type="lastCol">
      <w:rPr>
        <w:b/>
        <w:bCs/>
      </w:rPr>
    </w:tblStylePr>
    <w:tblStylePr w:type="band1Vert">
      <w:tblPr/>
      <w:tcPr>
        <w:shd w:val="clear" w:color="auto" w:fill="FEEDCB" w:themeFill="accent4" w:themeFillTint="3F"/>
      </w:tcPr>
    </w:tblStylePr>
    <w:tblStylePr w:type="band1Horz">
      <w:tblPr/>
      <w:tcPr>
        <w:tcBorders>
          <w:insideH w:val="nil"/>
          <w:insideV w:val="nil"/>
        </w:tcBorders>
        <w:shd w:val="clear" w:color="auto" w:fill="FEEDCB" w:themeFill="accent4" w:themeFillTint="3F"/>
      </w:tcPr>
    </w:tblStylePr>
    <w:tblStylePr w:type="band2Horz">
      <w:tblPr/>
      <w:tcPr>
        <w:tcBorders>
          <w:insideH w:val="nil"/>
          <w:insideV w:val="nil"/>
        </w:tcBorders>
      </w:tcPr>
    </w:tblStylePr>
  </w:style>
  <w:style w:type="numbering" w:customStyle="1" w:styleId="CurrentList132">
    <w:name w:val="Current List132"/>
    <w:rsid w:val="00B47695"/>
  </w:style>
  <w:style w:type="table" w:customStyle="1" w:styleId="TableGrid312">
    <w:name w:val="Table Grid312"/>
    <w:basedOn w:val="TableNormal"/>
    <w:next w:val="TableGrid"/>
    <w:uiPriority w:val="59"/>
    <w:rsid w:val="00B47695"/>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
    <w:name w:val="No List52"/>
    <w:next w:val="NoList"/>
    <w:uiPriority w:val="99"/>
    <w:semiHidden/>
    <w:unhideWhenUsed/>
    <w:rsid w:val="00B47695"/>
  </w:style>
  <w:style w:type="numbering" w:customStyle="1" w:styleId="CurrentList142">
    <w:name w:val="Current List142"/>
    <w:rsid w:val="00B47695"/>
  </w:style>
  <w:style w:type="table" w:customStyle="1" w:styleId="TableGrid42">
    <w:name w:val="Table Grid42"/>
    <w:basedOn w:val="TableNormal"/>
    <w:next w:val="TableGrid"/>
    <w:uiPriority w:val="59"/>
    <w:rsid w:val="00B47695"/>
    <w:pPr>
      <w:widowControl w:val="0"/>
      <w:spacing w:after="0"/>
    </w:pPr>
    <w:rPr>
      <w:rFonts w:ascii="Times New Roman" w:eastAsia="Times New Roman" w:hAnsi="Times New Roman"/>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ulletedList32">
    <w:name w:val="Bulleted List32"/>
    <w:rsid w:val="00B47695"/>
  </w:style>
  <w:style w:type="table" w:customStyle="1" w:styleId="LightShading142">
    <w:name w:val="Light Shading142"/>
    <w:basedOn w:val="TableNormal"/>
    <w:uiPriority w:val="60"/>
    <w:rsid w:val="00B47695"/>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42">
    <w:name w:val="Light Grid142"/>
    <w:basedOn w:val="TableNormal"/>
    <w:uiPriority w:val="62"/>
    <w:rsid w:val="00B47695"/>
    <w:pPr>
      <w:spacing w:after="0" w:line="240" w:lineRule="auto"/>
    </w:pPr>
    <w:rPr>
      <w:rFonts w:ascii="Arial" w:eastAsia="Arial" w:hAnsi="Arial"/>
      <w:color w:val="auto"/>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42">
    <w:name w:val="Medium Shading 1 - Accent 1142"/>
    <w:basedOn w:val="TableNormal"/>
    <w:uiPriority w:val="63"/>
    <w:rsid w:val="00B47695"/>
    <w:pPr>
      <w:spacing w:after="0" w:line="240" w:lineRule="auto"/>
    </w:pPr>
    <w:rPr>
      <w:rFonts w:ascii="Cambria" w:hAnsi="Cambria"/>
      <w:color w:val="auto"/>
    </w:r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42">
    <w:name w:val="Medium Grid 1 - Accent 142"/>
    <w:basedOn w:val="TableNormal"/>
    <w:next w:val="MediumGrid1-Accent1"/>
    <w:uiPriority w:val="67"/>
    <w:rsid w:val="00B47695"/>
    <w:pPr>
      <w:spacing w:after="0" w:line="240" w:lineRule="auto"/>
    </w:pPr>
    <w:rPr>
      <w:rFonts w:ascii="Cambria" w:hAnsi="Cambria"/>
      <w:color w:val="auto"/>
    </w:r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42">
    <w:name w:val="Light Shading - Accent 1142"/>
    <w:basedOn w:val="TableNormal"/>
    <w:uiPriority w:val="60"/>
    <w:rsid w:val="00B47695"/>
    <w:pPr>
      <w:spacing w:after="0" w:line="240" w:lineRule="auto"/>
    </w:pPr>
    <w:rPr>
      <w:rFonts w:ascii="Cambria" w:hAnsi="Cambria"/>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42">
    <w:name w:val="RSP_Style42"/>
    <w:basedOn w:val="TableNormal"/>
    <w:uiPriority w:val="99"/>
    <w:qFormat/>
    <w:rsid w:val="00B47695"/>
    <w:pPr>
      <w:spacing w:after="0" w:line="240" w:lineRule="auto"/>
    </w:pPr>
    <w:rPr>
      <w:rFonts w:ascii="Cambria" w:hAnsi="Cambria"/>
      <w:color w:val="auto"/>
    </w:rPr>
    <w:tblPr/>
  </w:style>
  <w:style w:type="table" w:customStyle="1" w:styleId="20122tableformat42">
    <w:name w:val="2012 2 table format42"/>
    <w:basedOn w:val="TableNormal"/>
    <w:uiPriority w:val="63"/>
    <w:rsid w:val="00B47695"/>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42">
    <w:name w:val="Medium Grid 1 - Accent 642"/>
    <w:basedOn w:val="TableNormal"/>
    <w:next w:val="MediumGrid1-Accent6"/>
    <w:uiPriority w:val="67"/>
    <w:rsid w:val="00B47695"/>
    <w:pPr>
      <w:spacing w:after="0" w:line="240" w:lineRule="auto"/>
    </w:pPr>
    <w:rPr>
      <w:rFonts w:ascii="Cambria" w:hAnsi="Cambria"/>
      <w:color w:val="auto"/>
    </w:r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42">
    <w:name w:val="Light List - Accent 642"/>
    <w:basedOn w:val="TableNormal"/>
    <w:next w:val="LightList-Accent6"/>
    <w:uiPriority w:val="61"/>
    <w:rsid w:val="00B47695"/>
    <w:pPr>
      <w:spacing w:after="0" w:line="240" w:lineRule="auto"/>
    </w:pPr>
    <w:rPr>
      <w:color w:val="auto"/>
    </w:r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42">
    <w:name w:val="Light Grid - Accent 1142"/>
    <w:basedOn w:val="TableNormal"/>
    <w:uiPriority w:val="62"/>
    <w:rsid w:val="00B47695"/>
    <w:pPr>
      <w:spacing w:after="0" w:line="240" w:lineRule="auto"/>
    </w:pPr>
    <w:rPr>
      <w:rFonts w:ascii="Cambria" w:hAnsi="Cambria"/>
      <w:color w:val="auto"/>
    </w:r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42">
    <w:name w:val="2012 Style42"/>
    <w:basedOn w:val="TableNormal"/>
    <w:uiPriority w:val="99"/>
    <w:qFormat/>
    <w:rsid w:val="00B47695"/>
    <w:pPr>
      <w:spacing w:after="0" w:line="240" w:lineRule="auto"/>
    </w:pPr>
    <w:rPr>
      <w:color w:val="auto"/>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42">
    <w:name w:val="Light Shading - Accent 1242"/>
    <w:basedOn w:val="TableNormal"/>
    <w:uiPriority w:val="60"/>
    <w:rsid w:val="00B47695"/>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numbering" w:customStyle="1" w:styleId="NoList142">
    <w:name w:val="No List142"/>
    <w:next w:val="NoList"/>
    <w:uiPriority w:val="99"/>
    <w:semiHidden/>
    <w:unhideWhenUsed/>
    <w:rsid w:val="00B47695"/>
  </w:style>
  <w:style w:type="numbering" w:customStyle="1" w:styleId="CurrentList1142">
    <w:name w:val="Current List1142"/>
    <w:rsid w:val="00B47695"/>
  </w:style>
  <w:style w:type="table" w:customStyle="1" w:styleId="TableGrid132">
    <w:name w:val="Table Grid132"/>
    <w:basedOn w:val="TableNormal"/>
    <w:next w:val="TableGrid"/>
    <w:uiPriority w:val="59"/>
    <w:rsid w:val="00B47695"/>
    <w:pPr>
      <w:widowControl w:val="0"/>
      <w:spacing w:after="0"/>
    </w:pPr>
    <w:rPr>
      <w:rFonts w:ascii="Times New Roman" w:eastAsia="Times New Roman" w:hAnsi="Times New Roman"/>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ulletedList142">
    <w:name w:val="Bulleted List142"/>
    <w:rsid w:val="00B47695"/>
  </w:style>
  <w:style w:type="table" w:customStyle="1" w:styleId="LightShading1132">
    <w:name w:val="Light Shading1132"/>
    <w:basedOn w:val="TableNormal"/>
    <w:uiPriority w:val="60"/>
    <w:rsid w:val="00B47695"/>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132">
    <w:name w:val="Light Grid1132"/>
    <w:basedOn w:val="TableNormal"/>
    <w:uiPriority w:val="62"/>
    <w:rsid w:val="00B47695"/>
    <w:pPr>
      <w:spacing w:after="0" w:line="240" w:lineRule="auto"/>
    </w:pPr>
    <w:rPr>
      <w:rFonts w:ascii="Arial" w:eastAsia="Arial" w:hAnsi="Arial"/>
      <w:color w:val="auto"/>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132">
    <w:name w:val="Medium Shading 1 - Accent 11132"/>
    <w:basedOn w:val="TableNormal"/>
    <w:uiPriority w:val="63"/>
    <w:rsid w:val="00B47695"/>
    <w:pPr>
      <w:spacing w:after="0" w:line="240" w:lineRule="auto"/>
    </w:pPr>
    <w:rPr>
      <w:rFonts w:ascii="Cambria" w:hAnsi="Cambria"/>
      <w:color w:val="auto"/>
    </w:r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132">
    <w:name w:val="Medium Grid 1 - Accent 1132"/>
    <w:basedOn w:val="TableNormal"/>
    <w:next w:val="MediumGrid1-Accent1"/>
    <w:uiPriority w:val="67"/>
    <w:rsid w:val="00B47695"/>
    <w:pPr>
      <w:spacing w:after="0" w:line="240" w:lineRule="auto"/>
    </w:pPr>
    <w:rPr>
      <w:rFonts w:ascii="Cambria" w:hAnsi="Cambria"/>
      <w:color w:val="auto"/>
    </w:r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132">
    <w:name w:val="Light Shading - Accent 11132"/>
    <w:basedOn w:val="TableNormal"/>
    <w:uiPriority w:val="60"/>
    <w:rsid w:val="00B47695"/>
    <w:pPr>
      <w:spacing w:after="0" w:line="240" w:lineRule="auto"/>
    </w:pPr>
    <w:rPr>
      <w:rFonts w:ascii="Cambria" w:hAnsi="Cambria"/>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132">
    <w:name w:val="RSP_Style132"/>
    <w:basedOn w:val="TableNormal"/>
    <w:uiPriority w:val="99"/>
    <w:qFormat/>
    <w:rsid w:val="00B47695"/>
    <w:pPr>
      <w:spacing w:after="0" w:line="240" w:lineRule="auto"/>
    </w:pPr>
    <w:rPr>
      <w:rFonts w:ascii="Cambria" w:hAnsi="Cambria"/>
      <w:color w:val="auto"/>
    </w:rPr>
    <w:tblPr/>
  </w:style>
  <w:style w:type="table" w:customStyle="1" w:styleId="20122tableformat132">
    <w:name w:val="2012 2 table format132"/>
    <w:basedOn w:val="TableNormal"/>
    <w:uiPriority w:val="63"/>
    <w:rsid w:val="00B47695"/>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132">
    <w:name w:val="Medium Grid 1 - Accent 6132"/>
    <w:basedOn w:val="TableNormal"/>
    <w:next w:val="MediumGrid1-Accent6"/>
    <w:uiPriority w:val="67"/>
    <w:rsid w:val="00B47695"/>
    <w:pPr>
      <w:spacing w:after="0" w:line="240" w:lineRule="auto"/>
    </w:pPr>
    <w:rPr>
      <w:rFonts w:ascii="Cambria" w:hAnsi="Cambria"/>
      <w:color w:val="auto"/>
    </w:r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132">
    <w:name w:val="Light List - Accent 6132"/>
    <w:basedOn w:val="TableNormal"/>
    <w:next w:val="LightList-Accent6"/>
    <w:uiPriority w:val="61"/>
    <w:rsid w:val="00B47695"/>
    <w:pPr>
      <w:spacing w:after="0" w:line="240" w:lineRule="auto"/>
    </w:pPr>
    <w:rPr>
      <w:color w:val="auto"/>
    </w:r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132">
    <w:name w:val="Light Grid - Accent 11132"/>
    <w:basedOn w:val="TableNormal"/>
    <w:uiPriority w:val="62"/>
    <w:rsid w:val="00B47695"/>
    <w:pPr>
      <w:spacing w:after="0" w:line="240" w:lineRule="auto"/>
    </w:pPr>
    <w:rPr>
      <w:rFonts w:ascii="Cambria" w:hAnsi="Cambria"/>
      <w:color w:val="auto"/>
    </w:r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132">
    <w:name w:val="2012 Style132"/>
    <w:basedOn w:val="TableNormal"/>
    <w:uiPriority w:val="99"/>
    <w:qFormat/>
    <w:rsid w:val="00B47695"/>
    <w:pPr>
      <w:spacing w:after="0" w:line="240" w:lineRule="auto"/>
    </w:pPr>
    <w:rPr>
      <w:color w:val="auto"/>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132">
    <w:name w:val="Light Shading - Accent 12132"/>
    <w:basedOn w:val="TableNormal"/>
    <w:uiPriority w:val="60"/>
    <w:rsid w:val="00B47695"/>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table" w:customStyle="1" w:styleId="MediumShading1-Accent432">
    <w:name w:val="Medium Shading 1 - Accent 432"/>
    <w:basedOn w:val="TableNormal"/>
    <w:next w:val="MediumShading1-Accent4"/>
    <w:uiPriority w:val="63"/>
    <w:rsid w:val="00B47695"/>
    <w:pPr>
      <w:spacing w:after="0" w:line="240" w:lineRule="auto"/>
    </w:pPr>
    <w:rPr>
      <w:rFonts w:ascii="Cambria" w:hAnsi="Cambria"/>
      <w:color w:val="auto"/>
    </w:rPr>
    <w:tblPr>
      <w:tblStyleRowBandSize w:val="1"/>
      <w:tblStyleColBandSize w:val="1"/>
      <w:tbl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single" w:sz="8" w:space="0" w:color="FCCA63" w:themeColor="accent4" w:themeTint="BF"/>
      </w:tblBorders>
    </w:tblPr>
    <w:tblStylePr w:type="firstRow">
      <w:pPr>
        <w:spacing w:before="0" w:after="0" w:line="240" w:lineRule="auto"/>
      </w:pPr>
      <w:rPr>
        <w:b/>
        <w:bCs/>
        <w:color w:val="FFFFFF" w:themeColor="background1"/>
      </w:rPr>
      <w:tblPr/>
      <w:tcPr>
        <w:tc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shd w:val="clear" w:color="auto" w:fill="FBB92F" w:themeFill="accent4"/>
      </w:tcPr>
    </w:tblStylePr>
    <w:tblStylePr w:type="lastRow">
      <w:pPr>
        <w:spacing w:before="0" w:after="0" w:line="240" w:lineRule="auto"/>
      </w:pPr>
      <w:rPr>
        <w:b/>
        <w:bCs/>
      </w:rPr>
      <w:tblPr/>
      <w:tcPr>
        <w:tcBorders>
          <w:top w:val="double" w:sz="6"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tcPr>
    </w:tblStylePr>
    <w:tblStylePr w:type="firstCol">
      <w:rPr>
        <w:b/>
        <w:bCs/>
      </w:rPr>
    </w:tblStylePr>
    <w:tblStylePr w:type="lastCol">
      <w:rPr>
        <w:b/>
        <w:bCs/>
      </w:rPr>
    </w:tblStylePr>
    <w:tblStylePr w:type="band1Vert">
      <w:tblPr/>
      <w:tcPr>
        <w:shd w:val="clear" w:color="auto" w:fill="FEEDCB" w:themeFill="accent4" w:themeFillTint="3F"/>
      </w:tcPr>
    </w:tblStylePr>
    <w:tblStylePr w:type="band1Horz">
      <w:tblPr/>
      <w:tcPr>
        <w:tcBorders>
          <w:insideH w:val="nil"/>
          <w:insideV w:val="nil"/>
        </w:tcBorders>
        <w:shd w:val="clear" w:color="auto" w:fill="FEEDCB" w:themeFill="accent4" w:themeFillTint="3F"/>
      </w:tcPr>
    </w:tblStylePr>
    <w:tblStylePr w:type="band2Horz">
      <w:tblPr/>
      <w:tcPr>
        <w:tcBorders>
          <w:insideH w:val="nil"/>
          <w:insideV w:val="nil"/>
        </w:tcBorders>
      </w:tcPr>
    </w:tblStylePr>
  </w:style>
  <w:style w:type="table" w:customStyle="1" w:styleId="TableGrid52">
    <w:name w:val="Table Grid52"/>
    <w:basedOn w:val="TableNormal"/>
    <w:next w:val="TableGrid"/>
    <w:uiPriority w:val="59"/>
    <w:rsid w:val="00B47695"/>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CurrentList15">
    <w:name w:val="Current List15"/>
    <w:rsid w:val="00F645C1"/>
    <w:pPr>
      <w:numPr>
        <w:numId w:val="1"/>
      </w:numPr>
    </w:pPr>
  </w:style>
  <w:style w:type="character" w:customStyle="1" w:styleId="footnote">
    <w:name w:val="footnote"/>
    <w:basedOn w:val="DefaultParagraphFont"/>
    <w:rsid w:val="00A75620"/>
  </w:style>
  <w:style w:type="character" w:customStyle="1" w:styleId="slug-metadata-note">
    <w:name w:val="slug-metadata-note"/>
    <w:basedOn w:val="DefaultParagraphFont"/>
    <w:rsid w:val="00A75620"/>
  </w:style>
  <w:style w:type="character" w:customStyle="1" w:styleId="slug-doi">
    <w:name w:val="slug-doi"/>
    <w:basedOn w:val="DefaultParagraphFont"/>
    <w:rsid w:val="00A75620"/>
  </w:style>
  <w:style w:type="character" w:customStyle="1" w:styleId="slug-pub-date">
    <w:name w:val="slug-pub-date"/>
    <w:basedOn w:val="DefaultParagraphFont"/>
    <w:rsid w:val="00A75620"/>
  </w:style>
  <w:style w:type="character" w:customStyle="1" w:styleId="slug-vol">
    <w:name w:val="slug-vol"/>
    <w:basedOn w:val="DefaultParagraphFont"/>
    <w:rsid w:val="00A75620"/>
  </w:style>
  <w:style w:type="character" w:customStyle="1" w:styleId="slug-issue">
    <w:name w:val="slug-issue"/>
    <w:basedOn w:val="DefaultParagraphFont"/>
    <w:rsid w:val="00A75620"/>
  </w:style>
  <w:style w:type="character" w:customStyle="1" w:styleId="slug-pages">
    <w:name w:val="slug-pages"/>
    <w:basedOn w:val="DefaultParagraphFont"/>
    <w:rsid w:val="00A75620"/>
  </w:style>
  <w:style w:type="numbering" w:customStyle="1" w:styleId="NoList8">
    <w:name w:val="No List8"/>
    <w:next w:val="NoList"/>
    <w:uiPriority w:val="99"/>
    <w:semiHidden/>
    <w:unhideWhenUsed/>
    <w:rsid w:val="000C4646"/>
  </w:style>
  <w:style w:type="numbering" w:customStyle="1" w:styleId="CurrentList16">
    <w:name w:val="Current List16"/>
    <w:rsid w:val="000C4646"/>
  </w:style>
  <w:style w:type="table" w:customStyle="1" w:styleId="TableGrid8">
    <w:name w:val="Table Grid8"/>
    <w:basedOn w:val="TableNormal"/>
    <w:next w:val="TableGrid"/>
    <w:uiPriority w:val="59"/>
    <w:rsid w:val="000C4646"/>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7">
    <w:name w:val="Light Shading17"/>
    <w:basedOn w:val="TableNormal"/>
    <w:uiPriority w:val="60"/>
    <w:rsid w:val="000C4646"/>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7">
    <w:name w:val="Light Grid17"/>
    <w:basedOn w:val="TableNormal"/>
    <w:uiPriority w:val="62"/>
    <w:rsid w:val="000C4646"/>
    <w:pPr>
      <w:spacing w:after="0" w:line="240" w:lineRule="auto"/>
    </w:pPr>
    <w:rPr>
      <w:rFonts w:ascii="Arial" w:eastAsia="Arial" w:hAnsi="Arial"/>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7">
    <w:name w:val="Medium Shading 1 - Accent 117"/>
    <w:basedOn w:val="TableNormal"/>
    <w:uiPriority w:val="63"/>
    <w:rsid w:val="000C4646"/>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7">
    <w:name w:val="Medium Grid 1 - Accent 17"/>
    <w:basedOn w:val="TableNormal"/>
    <w:next w:val="MediumGrid1-Accent1"/>
    <w:uiPriority w:val="67"/>
    <w:rsid w:val="000C4646"/>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7">
    <w:name w:val="Light Shading - Accent 117"/>
    <w:basedOn w:val="TableNormal"/>
    <w:uiPriority w:val="60"/>
    <w:rsid w:val="000C4646"/>
    <w:pPr>
      <w:spacing w:after="0" w:line="240" w:lineRule="auto"/>
    </w:pPr>
    <w:rPr>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7">
    <w:name w:val="RSP_Style7"/>
    <w:basedOn w:val="TableNormal"/>
    <w:uiPriority w:val="99"/>
    <w:qFormat/>
    <w:rsid w:val="000C4646"/>
    <w:pPr>
      <w:spacing w:after="0" w:line="240" w:lineRule="auto"/>
    </w:pPr>
    <w:tblPr/>
  </w:style>
  <w:style w:type="table" w:customStyle="1" w:styleId="20122tableformat7">
    <w:name w:val="2012 2 table format7"/>
    <w:basedOn w:val="TableNormal"/>
    <w:uiPriority w:val="63"/>
    <w:rsid w:val="000C4646"/>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7">
    <w:name w:val="Medium Grid 1 - Accent 67"/>
    <w:basedOn w:val="TableNormal"/>
    <w:next w:val="MediumGrid1-Accent6"/>
    <w:uiPriority w:val="67"/>
    <w:rsid w:val="000C4646"/>
    <w:pPr>
      <w:spacing w:after="0" w:line="240" w:lineRule="auto"/>
    </w:p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7">
    <w:name w:val="Light List - Accent 67"/>
    <w:basedOn w:val="TableNormal"/>
    <w:next w:val="LightList-Accent6"/>
    <w:uiPriority w:val="61"/>
    <w:rsid w:val="000C4646"/>
    <w:pPr>
      <w:spacing w:after="0" w:line="240" w:lineRule="auto"/>
    </w:p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7">
    <w:name w:val="Light Grid - Accent 117"/>
    <w:basedOn w:val="TableNormal"/>
    <w:uiPriority w:val="62"/>
    <w:rsid w:val="000C4646"/>
    <w:pPr>
      <w:spacing w:after="0" w:line="240" w:lineRule="auto"/>
    </w:p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7">
    <w:name w:val="2012 Style7"/>
    <w:basedOn w:val="TableNormal"/>
    <w:uiPriority w:val="99"/>
    <w:qFormat/>
    <w:rsid w:val="000C4646"/>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7">
    <w:name w:val="Light Shading - Accent 127"/>
    <w:basedOn w:val="TableNormal"/>
    <w:uiPriority w:val="60"/>
    <w:rsid w:val="000C4646"/>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numbering" w:customStyle="1" w:styleId="NoList17">
    <w:name w:val="No List17"/>
    <w:next w:val="NoList"/>
    <w:uiPriority w:val="99"/>
    <w:semiHidden/>
    <w:unhideWhenUsed/>
    <w:rsid w:val="000C4646"/>
  </w:style>
  <w:style w:type="numbering" w:customStyle="1" w:styleId="CurrentList117">
    <w:name w:val="Current List117"/>
    <w:rsid w:val="000C4646"/>
  </w:style>
  <w:style w:type="table" w:customStyle="1" w:styleId="TableGrid16">
    <w:name w:val="Table Grid16"/>
    <w:basedOn w:val="TableNormal"/>
    <w:next w:val="TableGrid"/>
    <w:uiPriority w:val="59"/>
    <w:rsid w:val="000C4646"/>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ulletedList17">
    <w:name w:val="Bulleted List17"/>
    <w:rsid w:val="000C4646"/>
  </w:style>
  <w:style w:type="table" w:customStyle="1" w:styleId="LightShading116">
    <w:name w:val="Light Shading116"/>
    <w:basedOn w:val="TableNormal"/>
    <w:uiPriority w:val="60"/>
    <w:rsid w:val="000C4646"/>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16">
    <w:name w:val="Light Grid116"/>
    <w:basedOn w:val="TableNormal"/>
    <w:uiPriority w:val="62"/>
    <w:rsid w:val="000C4646"/>
    <w:pPr>
      <w:spacing w:after="0" w:line="240" w:lineRule="auto"/>
    </w:pPr>
    <w:rPr>
      <w:rFonts w:ascii="Arial" w:eastAsia="Arial" w:hAnsi="Arial"/>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16">
    <w:name w:val="Medium Shading 1 - Accent 1116"/>
    <w:basedOn w:val="TableNormal"/>
    <w:uiPriority w:val="63"/>
    <w:rsid w:val="000C4646"/>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16">
    <w:name w:val="Medium Grid 1 - Accent 116"/>
    <w:basedOn w:val="TableNormal"/>
    <w:next w:val="MediumGrid1-Accent1"/>
    <w:uiPriority w:val="67"/>
    <w:rsid w:val="000C4646"/>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16">
    <w:name w:val="Light Shading - Accent 1116"/>
    <w:basedOn w:val="TableNormal"/>
    <w:uiPriority w:val="60"/>
    <w:rsid w:val="000C4646"/>
    <w:pPr>
      <w:spacing w:after="0" w:line="240" w:lineRule="auto"/>
    </w:pPr>
    <w:rPr>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16">
    <w:name w:val="RSP_Style16"/>
    <w:basedOn w:val="TableNormal"/>
    <w:uiPriority w:val="99"/>
    <w:qFormat/>
    <w:rsid w:val="000C4646"/>
    <w:pPr>
      <w:spacing w:after="0" w:line="240" w:lineRule="auto"/>
    </w:pPr>
    <w:tblPr/>
  </w:style>
  <w:style w:type="table" w:customStyle="1" w:styleId="20122tableformat16">
    <w:name w:val="2012 2 table format16"/>
    <w:basedOn w:val="TableNormal"/>
    <w:uiPriority w:val="63"/>
    <w:rsid w:val="000C4646"/>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16">
    <w:name w:val="Medium Grid 1 - Accent 616"/>
    <w:basedOn w:val="TableNormal"/>
    <w:next w:val="MediumGrid1-Accent6"/>
    <w:uiPriority w:val="67"/>
    <w:rsid w:val="000C4646"/>
    <w:pPr>
      <w:spacing w:after="0" w:line="240" w:lineRule="auto"/>
    </w:p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16">
    <w:name w:val="Light List - Accent 616"/>
    <w:basedOn w:val="TableNormal"/>
    <w:next w:val="LightList-Accent6"/>
    <w:uiPriority w:val="61"/>
    <w:rsid w:val="000C4646"/>
    <w:pPr>
      <w:spacing w:after="0" w:line="240" w:lineRule="auto"/>
    </w:p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16">
    <w:name w:val="Light Grid - Accent 1116"/>
    <w:basedOn w:val="TableNormal"/>
    <w:uiPriority w:val="62"/>
    <w:rsid w:val="000C4646"/>
    <w:pPr>
      <w:spacing w:after="0" w:line="240" w:lineRule="auto"/>
    </w:p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16">
    <w:name w:val="2012 Style16"/>
    <w:basedOn w:val="TableNormal"/>
    <w:uiPriority w:val="99"/>
    <w:qFormat/>
    <w:rsid w:val="000C4646"/>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16">
    <w:name w:val="Light Shading - Accent 1216"/>
    <w:basedOn w:val="TableNormal"/>
    <w:uiPriority w:val="60"/>
    <w:rsid w:val="000C4646"/>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table" w:customStyle="1" w:styleId="MediumShading1-Accent46">
    <w:name w:val="Medium Shading 1 - Accent 46"/>
    <w:basedOn w:val="TableNormal"/>
    <w:next w:val="MediumShading1-Accent4"/>
    <w:uiPriority w:val="63"/>
    <w:rsid w:val="000C4646"/>
    <w:pPr>
      <w:spacing w:after="0" w:line="240" w:lineRule="auto"/>
    </w:pPr>
    <w:tblPr>
      <w:tblStyleRowBandSize w:val="1"/>
      <w:tblStyleColBandSize w:val="1"/>
      <w:tbl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single" w:sz="8" w:space="0" w:color="FCCA63" w:themeColor="accent4" w:themeTint="BF"/>
      </w:tblBorders>
    </w:tblPr>
    <w:tblStylePr w:type="firstRow">
      <w:pPr>
        <w:spacing w:before="0" w:after="0" w:line="240" w:lineRule="auto"/>
      </w:pPr>
      <w:rPr>
        <w:b/>
        <w:bCs/>
        <w:color w:val="FFFFFF" w:themeColor="background1"/>
      </w:rPr>
      <w:tblPr/>
      <w:tcPr>
        <w:tc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shd w:val="clear" w:color="auto" w:fill="FBB92F" w:themeFill="accent4"/>
      </w:tcPr>
    </w:tblStylePr>
    <w:tblStylePr w:type="lastRow">
      <w:pPr>
        <w:spacing w:before="0" w:after="0" w:line="240" w:lineRule="auto"/>
      </w:pPr>
      <w:rPr>
        <w:b/>
        <w:bCs/>
      </w:rPr>
      <w:tblPr/>
      <w:tcPr>
        <w:tcBorders>
          <w:top w:val="double" w:sz="6"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tcPr>
    </w:tblStylePr>
    <w:tblStylePr w:type="firstCol">
      <w:rPr>
        <w:b/>
        <w:bCs/>
      </w:rPr>
    </w:tblStylePr>
    <w:tblStylePr w:type="lastCol">
      <w:rPr>
        <w:b/>
        <w:bCs/>
      </w:rPr>
    </w:tblStylePr>
    <w:tblStylePr w:type="band1Vert">
      <w:tblPr/>
      <w:tcPr>
        <w:shd w:val="clear" w:color="auto" w:fill="FEEDCB" w:themeFill="accent4" w:themeFillTint="3F"/>
      </w:tcPr>
    </w:tblStylePr>
    <w:tblStylePr w:type="band1Horz">
      <w:tblPr/>
      <w:tcPr>
        <w:tcBorders>
          <w:insideH w:val="nil"/>
          <w:insideV w:val="nil"/>
        </w:tcBorders>
        <w:shd w:val="clear" w:color="auto" w:fill="FEEDCB" w:themeFill="accent4" w:themeFillTint="3F"/>
      </w:tcPr>
    </w:tblStylePr>
    <w:tblStylePr w:type="band2Horz">
      <w:tblPr/>
      <w:tcPr>
        <w:tcBorders>
          <w:insideH w:val="nil"/>
          <w:insideV w:val="nil"/>
        </w:tcBorders>
      </w:tcPr>
    </w:tblStylePr>
  </w:style>
  <w:style w:type="numbering" w:customStyle="1" w:styleId="NoList23">
    <w:name w:val="No List23"/>
    <w:next w:val="NoList"/>
    <w:uiPriority w:val="99"/>
    <w:semiHidden/>
    <w:unhideWhenUsed/>
    <w:rsid w:val="000C4646"/>
  </w:style>
  <w:style w:type="numbering" w:customStyle="1" w:styleId="CurrentList123">
    <w:name w:val="Current List123"/>
    <w:rsid w:val="000C4646"/>
  </w:style>
  <w:style w:type="numbering" w:customStyle="1" w:styleId="BulletedList23">
    <w:name w:val="Bulleted List23"/>
    <w:rsid w:val="000C4646"/>
  </w:style>
  <w:style w:type="numbering" w:customStyle="1" w:styleId="NoList113">
    <w:name w:val="No List113"/>
    <w:next w:val="NoList"/>
    <w:uiPriority w:val="99"/>
    <w:semiHidden/>
    <w:unhideWhenUsed/>
    <w:rsid w:val="000C4646"/>
  </w:style>
  <w:style w:type="numbering" w:customStyle="1" w:styleId="CurrentList1113">
    <w:name w:val="Current List1113"/>
    <w:rsid w:val="000C4646"/>
  </w:style>
  <w:style w:type="numbering" w:customStyle="1" w:styleId="BulletedList113">
    <w:name w:val="Bulleted List113"/>
    <w:rsid w:val="000C4646"/>
  </w:style>
  <w:style w:type="numbering" w:customStyle="1" w:styleId="NoList33">
    <w:name w:val="No List33"/>
    <w:next w:val="NoList"/>
    <w:uiPriority w:val="99"/>
    <w:semiHidden/>
    <w:unhideWhenUsed/>
    <w:rsid w:val="000C4646"/>
  </w:style>
  <w:style w:type="table" w:customStyle="1" w:styleId="TableGrid23">
    <w:name w:val="Table Grid23"/>
    <w:basedOn w:val="TableNormal"/>
    <w:next w:val="TableGrid"/>
    <w:uiPriority w:val="59"/>
    <w:rsid w:val="000C4646"/>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23">
    <w:name w:val="Light Shading123"/>
    <w:basedOn w:val="TableNormal"/>
    <w:uiPriority w:val="60"/>
    <w:rsid w:val="000C4646"/>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23">
    <w:name w:val="Light Grid123"/>
    <w:basedOn w:val="TableNormal"/>
    <w:uiPriority w:val="62"/>
    <w:rsid w:val="000C4646"/>
    <w:pPr>
      <w:spacing w:after="0" w:line="240" w:lineRule="auto"/>
    </w:pPr>
    <w:rPr>
      <w:rFonts w:ascii="Arial" w:eastAsia="Arial" w:hAnsi="Arial"/>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23">
    <w:name w:val="Medium Shading 1 - Accent 1123"/>
    <w:basedOn w:val="TableNormal"/>
    <w:uiPriority w:val="63"/>
    <w:rsid w:val="000C4646"/>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23">
    <w:name w:val="Medium Grid 1 - Accent 123"/>
    <w:basedOn w:val="TableNormal"/>
    <w:next w:val="MediumGrid1-Accent1"/>
    <w:uiPriority w:val="67"/>
    <w:rsid w:val="000C4646"/>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23">
    <w:name w:val="Light Shading - Accent 1123"/>
    <w:basedOn w:val="TableNormal"/>
    <w:uiPriority w:val="60"/>
    <w:rsid w:val="000C4646"/>
    <w:pPr>
      <w:spacing w:after="0" w:line="240" w:lineRule="auto"/>
    </w:pPr>
    <w:rPr>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23">
    <w:name w:val="RSP_Style23"/>
    <w:basedOn w:val="TableNormal"/>
    <w:uiPriority w:val="99"/>
    <w:qFormat/>
    <w:rsid w:val="000C4646"/>
    <w:pPr>
      <w:spacing w:after="0" w:line="240" w:lineRule="auto"/>
    </w:pPr>
    <w:tblPr/>
  </w:style>
  <w:style w:type="table" w:customStyle="1" w:styleId="20122tableformat23">
    <w:name w:val="2012 2 table format23"/>
    <w:basedOn w:val="TableNormal"/>
    <w:uiPriority w:val="63"/>
    <w:rsid w:val="000C4646"/>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23">
    <w:name w:val="Medium Grid 1 - Accent 623"/>
    <w:basedOn w:val="TableNormal"/>
    <w:next w:val="MediumGrid1-Accent6"/>
    <w:uiPriority w:val="67"/>
    <w:rsid w:val="000C4646"/>
    <w:pPr>
      <w:spacing w:after="0" w:line="240" w:lineRule="auto"/>
    </w:p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23">
    <w:name w:val="Light List - Accent 623"/>
    <w:basedOn w:val="TableNormal"/>
    <w:next w:val="LightList-Accent6"/>
    <w:uiPriority w:val="61"/>
    <w:rsid w:val="000C4646"/>
    <w:pPr>
      <w:spacing w:after="0" w:line="240" w:lineRule="auto"/>
    </w:p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23">
    <w:name w:val="Light Grid - Accent 1123"/>
    <w:basedOn w:val="TableNormal"/>
    <w:uiPriority w:val="62"/>
    <w:rsid w:val="000C4646"/>
    <w:pPr>
      <w:spacing w:after="0" w:line="240" w:lineRule="auto"/>
    </w:p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23">
    <w:name w:val="2012 Style23"/>
    <w:basedOn w:val="TableNormal"/>
    <w:uiPriority w:val="99"/>
    <w:qFormat/>
    <w:rsid w:val="000C4646"/>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23">
    <w:name w:val="Light Shading - Accent 1223"/>
    <w:basedOn w:val="TableNormal"/>
    <w:uiPriority w:val="60"/>
    <w:rsid w:val="000C4646"/>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numbering" w:customStyle="1" w:styleId="NoList123">
    <w:name w:val="No List123"/>
    <w:next w:val="NoList"/>
    <w:uiPriority w:val="99"/>
    <w:semiHidden/>
    <w:unhideWhenUsed/>
    <w:rsid w:val="000C4646"/>
  </w:style>
  <w:style w:type="numbering" w:customStyle="1" w:styleId="CurrentList1123">
    <w:name w:val="Current List1123"/>
    <w:rsid w:val="000C4646"/>
  </w:style>
  <w:style w:type="table" w:customStyle="1" w:styleId="TableGrid113">
    <w:name w:val="Table Grid113"/>
    <w:basedOn w:val="TableNormal"/>
    <w:next w:val="TableGrid"/>
    <w:uiPriority w:val="59"/>
    <w:rsid w:val="000C4646"/>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ulletedList123">
    <w:name w:val="Bulleted List123"/>
    <w:rsid w:val="000C4646"/>
  </w:style>
  <w:style w:type="table" w:customStyle="1" w:styleId="LightShading1113">
    <w:name w:val="Light Shading1113"/>
    <w:basedOn w:val="TableNormal"/>
    <w:uiPriority w:val="60"/>
    <w:rsid w:val="000C4646"/>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113">
    <w:name w:val="Light Grid1113"/>
    <w:basedOn w:val="TableNormal"/>
    <w:uiPriority w:val="62"/>
    <w:rsid w:val="000C4646"/>
    <w:pPr>
      <w:spacing w:after="0" w:line="240" w:lineRule="auto"/>
    </w:pPr>
    <w:rPr>
      <w:rFonts w:ascii="Arial" w:eastAsia="Arial" w:hAnsi="Arial"/>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113">
    <w:name w:val="Medium Shading 1 - Accent 11113"/>
    <w:basedOn w:val="TableNormal"/>
    <w:uiPriority w:val="63"/>
    <w:rsid w:val="000C4646"/>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113">
    <w:name w:val="Medium Grid 1 - Accent 1113"/>
    <w:basedOn w:val="TableNormal"/>
    <w:next w:val="MediumGrid1-Accent1"/>
    <w:uiPriority w:val="67"/>
    <w:rsid w:val="000C4646"/>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113">
    <w:name w:val="Light Shading - Accent 11113"/>
    <w:basedOn w:val="TableNormal"/>
    <w:uiPriority w:val="60"/>
    <w:rsid w:val="000C4646"/>
    <w:pPr>
      <w:spacing w:after="0" w:line="240" w:lineRule="auto"/>
    </w:pPr>
    <w:rPr>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113">
    <w:name w:val="RSP_Style113"/>
    <w:basedOn w:val="TableNormal"/>
    <w:uiPriority w:val="99"/>
    <w:qFormat/>
    <w:rsid w:val="000C4646"/>
    <w:pPr>
      <w:spacing w:after="0" w:line="240" w:lineRule="auto"/>
    </w:pPr>
    <w:tblPr/>
  </w:style>
  <w:style w:type="table" w:customStyle="1" w:styleId="20122tableformat113">
    <w:name w:val="2012 2 table format113"/>
    <w:basedOn w:val="TableNormal"/>
    <w:uiPriority w:val="63"/>
    <w:rsid w:val="000C4646"/>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113">
    <w:name w:val="Medium Grid 1 - Accent 6113"/>
    <w:basedOn w:val="TableNormal"/>
    <w:next w:val="MediumGrid1-Accent6"/>
    <w:uiPriority w:val="67"/>
    <w:rsid w:val="000C4646"/>
    <w:pPr>
      <w:spacing w:after="0" w:line="240" w:lineRule="auto"/>
    </w:p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113">
    <w:name w:val="Light List - Accent 6113"/>
    <w:basedOn w:val="TableNormal"/>
    <w:next w:val="LightList-Accent6"/>
    <w:uiPriority w:val="61"/>
    <w:rsid w:val="000C4646"/>
    <w:pPr>
      <w:spacing w:after="0" w:line="240" w:lineRule="auto"/>
    </w:p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113">
    <w:name w:val="Light Grid - Accent 11113"/>
    <w:basedOn w:val="TableNormal"/>
    <w:uiPriority w:val="62"/>
    <w:rsid w:val="000C4646"/>
    <w:pPr>
      <w:spacing w:after="0" w:line="240" w:lineRule="auto"/>
    </w:p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113">
    <w:name w:val="2012 Style113"/>
    <w:basedOn w:val="TableNormal"/>
    <w:uiPriority w:val="99"/>
    <w:qFormat/>
    <w:rsid w:val="000C4646"/>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113">
    <w:name w:val="Light Shading - Accent 12113"/>
    <w:basedOn w:val="TableNormal"/>
    <w:uiPriority w:val="60"/>
    <w:rsid w:val="000C4646"/>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table" w:customStyle="1" w:styleId="MediumShading1-Accent413">
    <w:name w:val="Medium Shading 1 - Accent 413"/>
    <w:basedOn w:val="TableNormal"/>
    <w:next w:val="MediumShading1-Accent4"/>
    <w:uiPriority w:val="63"/>
    <w:rsid w:val="000C4646"/>
    <w:pPr>
      <w:spacing w:after="0" w:line="240" w:lineRule="auto"/>
    </w:pPr>
    <w:tblPr>
      <w:tblStyleRowBandSize w:val="1"/>
      <w:tblStyleColBandSize w:val="1"/>
      <w:tbl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single" w:sz="8" w:space="0" w:color="FCCA63" w:themeColor="accent4" w:themeTint="BF"/>
      </w:tblBorders>
    </w:tblPr>
    <w:tblStylePr w:type="firstRow">
      <w:pPr>
        <w:spacing w:before="0" w:after="0" w:line="240" w:lineRule="auto"/>
      </w:pPr>
      <w:rPr>
        <w:b/>
        <w:bCs/>
        <w:color w:val="FFFFFF" w:themeColor="background1"/>
      </w:rPr>
      <w:tblPr/>
      <w:tcPr>
        <w:tc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shd w:val="clear" w:color="auto" w:fill="FBB92F" w:themeFill="accent4"/>
      </w:tcPr>
    </w:tblStylePr>
    <w:tblStylePr w:type="lastRow">
      <w:pPr>
        <w:spacing w:before="0" w:after="0" w:line="240" w:lineRule="auto"/>
      </w:pPr>
      <w:rPr>
        <w:b/>
        <w:bCs/>
      </w:rPr>
      <w:tblPr/>
      <w:tcPr>
        <w:tcBorders>
          <w:top w:val="double" w:sz="6"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tcPr>
    </w:tblStylePr>
    <w:tblStylePr w:type="firstCol">
      <w:rPr>
        <w:b/>
        <w:bCs/>
      </w:rPr>
    </w:tblStylePr>
    <w:tblStylePr w:type="lastCol">
      <w:rPr>
        <w:b/>
        <w:bCs/>
      </w:rPr>
    </w:tblStylePr>
    <w:tblStylePr w:type="band1Vert">
      <w:tblPr/>
      <w:tcPr>
        <w:shd w:val="clear" w:color="auto" w:fill="FEEDCB" w:themeFill="accent4" w:themeFillTint="3F"/>
      </w:tcPr>
    </w:tblStylePr>
    <w:tblStylePr w:type="band1Horz">
      <w:tblPr/>
      <w:tcPr>
        <w:tcBorders>
          <w:insideH w:val="nil"/>
          <w:insideV w:val="nil"/>
        </w:tcBorders>
        <w:shd w:val="clear" w:color="auto" w:fill="FEEDCB" w:themeFill="accent4" w:themeFillTint="3F"/>
      </w:tcPr>
    </w:tblStylePr>
    <w:tblStylePr w:type="band2Horz">
      <w:tblPr/>
      <w:tcPr>
        <w:tcBorders>
          <w:insideH w:val="nil"/>
          <w:insideV w:val="nil"/>
        </w:tcBorders>
      </w:tcPr>
    </w:tblStylePr>
  </w:style>
  <w:style w:type="numbering" w:customStyle="1" w:styleId="NoList43">
    <w:name w:val="No List43"/>
    <w:next w:val="NoList"/>
    <w:uiPriority w:val="99"/>
    <w:semiHidden/>
    <w:unhideWhenUsed/>
    <w:rsid w:val="000C4646"/>
  </w:style>
  <w:style w:type="table" w:customStyle="1" w:styleId="TableGrid34">
    <w:name w:val="Table Grid34"/>
    <w:basedOn w:val="TableNormal"/>
    <w:next w:val="TableGrid"/>
    <w:uiPriority w:val="59"/>
    <w:rsid w:val="000C4646"/>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33">
    <w:name w:val="Light Shading133"/>
    <w:basedOn w:val="TableNormal"/>
    <w:uiPriority w:val="60"/>
    <w:rsid w:val="000C4646"/>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33">
    <w:name w:val="Light Grid133"/>
    <w:basedOn w:val="TableNormal"/>
    <w:uiPriority w:val="62"/>
    <w:rsid w:val="000C4646"/>
    <w:pPr>
      <w:spacing w:after="0" w:line="240" w:lineRule="auto"/>
    </w:pPr>
    <w:rPr>
      <w:rFonts w:ascii="Arial" w:eastAsia="Arial" w:hAnsi="Arial"/>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33">
    <w:name w:val="Medium Shading 1 - Accent 1133"/>
    <w:basedOn w:val="TableNormal"/>
    <w:uiPriority w:val="63"/>
    <w:rsid w:val="000C4646"/>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33">
    <w:name w:val="Medium Grid 1 - Accent 133"/>
    <w:basedOn w:val="TableNormal"/>
    <w:next w:val="MediumGrid1-Accent1"/>
    <w:uiPriority w:val="67"/>
    <w:rsid w:val="000C4646"/>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33">
    <w:name w:val="Light Shading - Accent 1133"/>
    <w:basedOn w:val="TableNormal"/>
    <w:uiPriority w:val="60"/>
    <w:rsid w:val="000C4646"/>
    <w:pPr>
      <w:spacing w:after="0" w:line="240" w:lineRule="auto"/>
    </w:pPr>
    <w:rPr>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33">
    <w:name w:val="RSP_Style33"/>
    <w:basedOn w:val="TableNormal"/>
    <w:uiPriority w:val="99"/>
    <w:qFormat/>
    <w:rsid w:val="000C4646"/>
    <w:pPr>
      <w:spacing w:after="0" w:line="240" w:lineRule="auto"/>
    </w:pPr>
    <w:tblPr/>
  </w:style>
  <w:style w:type="table" w:customStyle="1" w:styleId="20122tableformat33">
    <w:name w:val="2012 2 table format33"/>
    <w:basedOn w:val="TableNormal"/>
    <w:uiPriority w:val="63"/>
    <w:rsid w:val="000C4646"/>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33">
    <w:name w:val="Medium Grid 1 - Accent 633"/>
    <w:basedOn w:val="TableNormal"/>
    <w:next w:val="MediumGrid1-Accent6"/>
    <w:uiPriority w:val="67"/>
    <w:rsid w:val="000C4646"/>
    <w:pPr>
      <w:spacing w:after="0" w:line="240" w:lineRule="auto"/>
    </w:p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33">
    <w:name w:val="Light List - Accent 633"/>
    <w:basedOn w:val="TableNormal"/>
    <w:next w:val="LightList-Accent6"/>
    <w:uiPriority w:val="61"/>
    <w:rsid w:val="000C4646"/>
    <w:pPr>
      <w:spacing w:after="0" w:line="240" w:lineRule="auto"/>
    </w:p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33">
    <w:name w:val="Light Grid - Accent 1133"/>
    <w:basedOn w:val="TableNormal"/>
    <w:uiPriority w:val="62"/>
    <w:rsid w:val="000C4646"/>
    <w:pPr>
      <w:spacing w:after="0" w:line="240" w:lineRule="auto"/>
    </w:p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33">
    <w:name w:val="2012 Style33"/>
    <w:basedOn w:val="TableNormal"/>
    <w:uiPriority w:val="99"/>
    <w:qFormat/>
    <w:rsid w:val="000C4646"/>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33">
    <w:name w:val="Light Shading - Accent 1233"/>
    <w:basedOn w:val="TableNormal"/>
    <w:uiPriority w:val="60"/>
    <w:rsid w:val="000C4646"/>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numbering" w:customStyle="1" w:styleId="NoList133">
    <w:name w:val="No List133"/>
    <w:next w:val="NoList"/>
    <w:uiPriority w:val="99"/>
    <w:semiHidden/>
    <w:unhideWhenUsed/>
    <w:rsid w:val="000C4646"/>
  </w:style>
  <w:style w:type="numbering" w:customStyle="1" w:styleId="CurrentList1133">
    <w:name w:val="Current List1133"/>
    <w:rsid w:val="000C4646"/>
  </w:style>
  <w:style w:type="table" w:customStyle="1" w:styleId="TableGrid123">
    <w:name w:val="Table Grid123"/>
    <w:basedOn w:val="TableNormal"/>
    <w:next w:val="TableGrid"/>
    <w:uiPriority w:val="59"/>
    <w:rsid w:val="000C4646"/>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ulletedList133">
    <w:name w:val="Bulleted List133"/>
    <w:rsid w:val="000C4646"/>
  </w:style>
  <w:style w:type="table" w:customStyle="1" w:styleId="LightShading1123">
    <w:name w:val="Light Shading1123"/>
    <w:basedOn w:val="TableNormal"/>
    <w:uiPriority w:val="60"/>
    <w:rsid w:val="000C4646"/>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123">
    <w:name w:val="Light Grid1123"/>
    <w:basedOn w:val="TableNormal"/>
    <w:uiPriority w:val="62"/>
    <w:rsid w:val="000C4646"/>
    <w:pPr>
      <w:spacing w:after="0" w:line="240" w:lineRule="auto"/>
    </w:pPr>
    <w:rPr>
      <w:rFonts w:ascii="Arial" w:eastAsia="Arial" w:hAnsi="Arial"/>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123">
    <w:name w:val="Medium Shading 1 - Accent 11123"/>
    <w:basedOn w:val="TableNormal"/>
    <w:uiPriority w:val="63"/>
    <w:rsid w:val="000C4646"/>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123">
    <w:name w:val="Medium Grid 1 - Accent 1123"/>
    <w:basedOn w:val="TableNormal"/>
    <w:next w:val="MediumGrid1-Accent1"/>
    <w:uiPriority w:val="67"/>
    <w:rsid w:val="000C4646"/>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123">
    <w:name w:val="Light Shading - Accent 11123"/>
    <w:basedOn w:val="TableNormal"/>
    <w:uiPriority w:val="60"/>
    <w:rsid w:val="000C4646"/>
    <w:pPr>
      <w:spacing w:after="0" w:line="240" w:lineRule="auto"/>
    </w:pPr>
    <w:rPr>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123">
    <w:name w:val="RSP_Style123"/>
    <w:basedOn w:val="TableNormal"/>
    <w:uiPriority w:val="99"/>
    <w:qFormat/>
    <w:rsid w:val="000C4646"/>
    <w:pPr>
      <w:spacing w:after="0" w:line="240" w:lineRule="auto"/>
    </w:pPr>
    <w:tblPr/>
  </w:style>
  <w:style w:type="table" w:customStyle="1" w:styleId="20122tableformat123">
    <w:name w:val="2012 2 table format123"/>
    <w:basedOn w:val="TableNormal"/>
    <w:uiPriority w:val="63"/>
    <w:rsid w:val="000C4646"/>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123">
    <w:name w:val="Medium Grid 1 - Accent 6123"/>
    <w:basedOn w:val="TableNormal"/>
    <w:next w:val="MediumGrid1-Accent6"/>
    <w:uiPriority w:val="67"/>
    <w:rsid w:val="000C4646"/>
    <w:pPr>
      <w:spacing w:after="0" w:line="240" w:lineRule="auto"/>
    </w:p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123">
    <w:name w:val="Light List - Accent 6123"/>
    <w:basedOn w:val="TableNormal"/>
    <w:next w:val="LightList-Accent6"/>
    <w:uiPriority w:val="61"/>
    <w:rsid w:val="000C4646"/>
    <w:pPr>
      <w:spacing w:after="0" w:line="240" w:lineRule="auto"/>
    </w:p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123">
    <w:name w:val="Light Grid - Accent 11123"/>
    <w:basedOn w:val="TableNormal"/>
    <w:uiPriority w:val="62"/>
    <w:rsid w:val="000C4646"/>
    <w:pPr>
      <w:spacing w:after="0" w:line="240" w:lineRule="auto"/>
    </w:p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123">
    <w:name w:val="2012 Style123"/>
    <w:basedOn w:val="TableNormal"/>
    <w:uiPriority w:val="99"/>
    <w:qFormat/>
    <w:rsid w:val="000C4646"/>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123">
    <w:name w:val="Light Shading - Accent 12123"/>
    <w:basedOn w:val="TableNormal"/>
    <w:uiPriority w:val="60"/>
    <w:rsid w:val="000C4646"/>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table" w:customStyle="1" w:styleId="MediumShading1-Accent423">
    <w:name w:val="Medium Shading 1 - Accent 423"/>
    <w:basedOn w:val="TableNormal"/>
    <w:next w:val="MediumShading1-Accent4"/>
    <w:uiPriority w:val="63"/>
    <w:rsid w:val="000C4646"/>
    <w:pPr>
      <w:spacing w:after="0" w:line="240" w:lineRule="auto"/>
    </w:pPr>
    <w:tblPr>
      <w:tblStyleRowBandSize w:val="1"/>
      <w:tblStyleColBandSize w:val="1"/>
      <w:tbl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single" w:sz="8" w:space="0" w:color="FCCA63" w:themeColor="accent4" w:themeTint="BF"/>
      </w:tblBorders>
    </w:tblPr>
    <w:tblStylePr w:type="firstRow">
      <w:pPr>
        <w:spacing w:before="0" w:after="0" w:line="240" w:lineRule="auto"/>
      </w:pPr>
      <w:rPr>
        <w:b/>
        <w:bCs/>
        <w:color w:val="FFFFFF" w:themeColor="background1"/>
      </w:rPr>
      <w:tblPr/>
      <w:tcPr>
        <w:tc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shd w:val="clear" w:color="auto" w:fill="FBB92F" w:themeFill="accent4"/>
      </w:tcPr>
    </w:tblStylePr>
    <w:tblStylePr w:type="lastRow">
      <w:pPr>
        <w:spacing w:before="0" w:after="0" w:line="240" w:lineRule="auto"/>
      </w:pPr>
      <w:rPr>
        <w:b/>
        <w:bCs/>
      </w:rPr>
      <w:tblPr/>
      <w:tcPr>
        <w:tcBorders>
          <w:top w:val="double" w:sz="6"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tcPr>
    </w:tblStylePr>
    <w:tblStylePr w:type="firstCol">
      <w:rPr>
        <w:b/>
        <w:bCs/>
      </w:rPr>
    </w:tblStylePr>
    <w:tblStylePr w:type="lastCol">
      <w:rPr>
        <w:b/>
        <w:bCs/>
      </w:rPr>
    </w:tblStylePr>
    <w:tblStylePr w:type="band1Vert">
      <w:tblPr/>
      <w:tcPr>
        <w:shd w:val="clear" w:color="auto" w:fill="FEEDCB" w:themeFill="accent4" w:themeFillTint="3F"/>
      </w:tcPr>
    </w:tblStylePr>
    <w:tblStylePr w:type="band1Horz">
      <w:tblPr/>
      <w:tcPr>
        <w:tcBorders>
          <w:insideH w:val="nil"/>
          <w:insideV w:val="nil"/>
        </w:tcBorders>
        <w:shd w:val="clear" w:color="auto" w:fill="FEEDCB" w:themeFill="accent4" w:themeFillTint="3F"/>
      </w:tcPr>
    </w:tblStylePr>
    <w:tblStylePr w:type="band2Horz">
      <w:tblPr/>
      <w:tcPr>
        <w:tcBorders>
          <w:insideH w:val="nil"/>
          <w:insideV w:val="nil"/>
        </w:tcBorders>
      </w:tcPr>
    </w:tblStylePr>
  </w:style>
  <w:style w:type="numbering" w:customStyle="1" w:styleId="CurrentList133">
    <w:name w:val="Current List133"/>
    <w:rsid w:val="000C4646"/>
  </w:style>
  <w:style w:type="table" w:customStyle="1" w:styleId="TableGrid313">
    <w:name w:val="Table Grid313"/>
    <w:basedOn w:val="TableNormal"/>
    <w:next w:val="TableGrid"/>
    <w:uiPriority w:val="59"/>
    <w:rsid w:val="000C4646"/>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ISOReportStyle2">
    <w:name w:val="ISO Report Style2"/>
    <w:uiPriority w:val="99"/>
    <w:rsid w:val="000C4646"/>
  </w:style>
  <w:style w:type="numbering" w:customStyle="1" w:styleId="NoList53">
    <w:name w:val="No List53"/>
    <w:next w:val="NoList"/>
    <w:uiPriority w:val="99"/>
    <w:semiHidden/>
    <w:unhideWhenUsed/>
    <w:rsid w:val="000C4646"/>
  </w:style>
  <w:style w:type="numbering" w:customStyle="1" w:styleId="CurrentList143">
    <w:name w:val="Current List143"/>
    <w:rsid w:val="000C4646"/>
  </w:style>
  <w:style w:type="table" w:customStyle="1" w:styleId="TableGrid43">
    <w:name w:val="Table Grid43"/>
    <w:basedOn w:val="TableNormal"/>
    <w:next w:val="TableGrid"/>
    <w:uiPriority w:val="59"/>
    <w:rsid w:val="000C4646"/>
    <w:pPr>
      <w:widowControl w:val="0"/>
      <w:spacing w:after="0"/>
    </w:pPr>
    <w:rPr>
      <w:rFonts w:ascii="Times New Roman" w:eastAsia="Times New Roman" w:hAnsi="Times New Roman"/>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ulletedList33">
    <w:name w:val="Bulleted List33"/>
    <w:rsid w:val="000C4646"/>
  </w:style>
  <w:style w:type="table" w:customStyle="1" w:styleId="LightShading143">
    <w:name w:val="Light Shading143"/>
    <w:basedOn w:val="TableNormal"/>
    <w:uiPriority w:val="60"/>
    <w:rsid w:val="000C4646"/>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43">
    <w:name w:val="Light Grid143"/>
    <w:basedOn w:val="TableNormal"/>
    <w:uiPriority w:val="62"/>
    <w:rsid w:val="000C4646"/>
    <w:pPr>
      <w:spacing w:after="0" w:line="240" w:lineRule="auto"/>
    </w:pPr>
    <w:rPr>
      <w:rFonts w:ascii="Arial" w:eastAsia="Arial" w:hAnsi="Arial"/>
      <w:color w:val="auto"/>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43">
    <w:name w:val="Medium Shading 1 - Accent 1143"/>
    <w:basedOn w:val="TableNormal"/>
    <w:uiPriority w:val="63"/>
    <w:rsid w:val="000C4646"/>
    <w:pPr>
      <w:spacing w:after="0" w:line="240" w:lineRule="auto"/>
    </w:pPr>
    <w:rPr>
      <w:rFonts w:ascii="Cambria" w:hAnsi="Cambria"/>
      <w:color w:val="auto"/>
    </w:r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43">
    <w:name w:val="Medium Grid 1 - Accent 143"/>
    <w:basedOn w:val="TableNormal"/>
    <w:next w:val="MediumGrid1-Accent1"/>
    <w:uiPriority w:val="67"/>
    <w:rsid w:val="000C4646"/>
    <w:pPr>
      <w:spacing w:after="0" w:line="240" w:lineRule="auto"/>
    </w:pPr>
    <w:rPr>
      <w:rFonts w:ascii="Cambria" w:hAnsi="Cambria"/>
      <w:color w:val="auto"/>
    </w:r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43">
    <w:name w:val="Light Shading - Accent 1143"/>
    <w:basedOn w:val="TableNormal"/>
    <w:uiPriority w:val="60"/>
    <w:rsid w:val="000C4646"/>
    <w:pPr>
      <w:spacing w:after="0" w:line="240" w:lineRule="auto"/>
    </w:pPr>
    <w:rPr>
      <w:rFonts w:ascii="Cambria" w:hAnsi="Cambria"/>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43">
    <w:name w:val="RSP_Style43"/>
    <w:basedOn w:val="TableNormal"/>
    <w:uiPriority w:val="99"/>
    <w:qFormat/>
    <w:rsid w:val="000C4646"/>
    <w:pPr>
      <w:spacing w:after="0" w:line="240" w:lineRule="auto"/>
    </w:pPr>
    <w:rPr>
      <w:rFonts w:ascii="Cambria" w:hAnsi="Cambria"/>
      <w:color w:val="auto"/>
    </w:rPr>
    <w:tblPr/>
  </w:style>
  <w:style w:type="table" w:customStyle="1" w:styleId="20122tableformat43">
    <w:name w:val="2012 2 table format43"/>
    <w:basedOn w:val="TableNormal"/>
    <w:uiPriority w:val="63"/>
    <w:rsid w:val="000C4646"/>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43">
    <w:name w:val="Medium Grid 1 - Accent 643"/>
    <w:basedOn w:val="TableNormal"/>
    <w:next w:val="MediumGrid1-Accent6"/>
    <w:uiPriority w:val="67"/>
    <w:rsid w:val="000C4646"/>
    <w:pPr>
      <w:spacing w:after="0" w:line="240" w:lineRule="auto"/>
    </w:pPr>
    <w:rPr>
      <w:rFonts w:ascii="Cambria" w:hAnsi="Cambria"/>
      <w:color w:val="auto"/>
    </w:r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43">
    <w:name w:val="Light List - Accent 643"/>
    <w:basedOn w:val="TableNormal"/>
    <w:next w:val="LightList-Accent6"/>
    <w:uiPriority w:val="61"/>
    <w:rsid w:val="000C4646"/>
    <w:pPr>
      <w:spacing w:after="0" w:line="240" w:lineRule="auto"/>
    </w:pPr>
    <w:rPr>
      <w:color w:val="auto"/>
    </w:r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43">
    <w:name w:val="Light Grid - Accent 1143"/>
    <w:basedOn w:val="TableNormal"/>
    <w:uiPriority w:val="62"/>
    <w:rsid w:val="000C4646"/>
    <w:pPr>
      <w:spacing w:after="0" w:line="240" w:lineRule="auto"/>
    </w:pPr>
    <w:rPr>
      <w:rFonts w:ascii="Cambria" w:hAnsi="Cambria"/>
      <w:color w:val="auto"/>
    </w:r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43">
    <w:name w:val="2012 Style43"/>
    <w:basedOn w:val="TableNormal"/>
    <w:uiPriority w:val="99"/>
    <w:qFormat/>
    <w:rsid w:val="000C4646"/>
    <w:pPr>
      <w:spacing w:after="0" w:line="240" w:lineRule="auto"/>
    </w:pPr>
    <w:rPr>
      <w:color w:val="auto"/>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43">
    <w:name w:val="Light Shading - Accent 1243"/>
    <w:basedOn w:val="TableNormal"/>
    <w:uiPriority w:val="60"/>
    <w:rsid w:val="000C4646"/>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numbering" w:customStyle="1" w:styleId="NoList143">
    <w:name w:val="No List143"/>
    <w:next w:val="NoList"/>
    <w:uiPriority w:val="99"/>
    <w:semiHidden/>
    <w:unhideWhenUsed/>
    <w:rsid w:val="000C4646"/>
  </w:style>
  <w:style w:type="numbering" w:customStyle="1" w:styleId="CurrentList1143">
    <w:name w:val="Current List1143"/>
    <w:rsid w:val="000C4646"/>
  </w:style>
  <w:style w:type="table" w:customStyle="1" w:styleId="TableGrid133">
    <w:name w:val="Table Grid133"/>
    <w:basedOn w:val="TableNormal"/>
    <w:next w:val="TableGrid"/>
    <w:uiPriority w:val="59"/>
    <w:rsid w:val="000C4646"/>
    <w:pPr>
      <w:widowControl w:val="0"/>
      <w:spacing w:after="0"/>
    </w:pPr>
    <w:rPr>
      <w:rFonts w:ascii="Times New Roman" w:eastAsia="Times New Roman" w:hAnsi="Times New Roman"/>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ulletedList143">
    <w:name w:val="Bulleted List143"/>
    <w:rsid w:val="000C4646"/>
  </w:style>
  <w:style w:type="table" w:customStyle="1" w:styleId="LightShading1133">
    <w:name w:val="Light Shading1133"/>
    <w:basedOn w:val="TableNormal"/>
    <w:uiPriority w:val="60"/>
    <w:rsid w:val="000C4646"/>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133">
    <w:name w:val="Light Grid1133"/>
    <w:basedOn w:val="TableNormal"/>
    <w:uiPriority w:val="62"/>
    <w:rsid w:val="000C4646"/>
    <w:pPr>
      <w:spacing w:after="0" w:line="240" w:lineRule="auto"/>
    </w:pPr>
    <w:rPr>
      <w:rFonts w:ascii="Arial" w:eastAsia="Arial" w:hAnsi="Arial"/>
      <w:color w:val="auto"/>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133">
    <w:name w:val="Medium Shading 1 - Accent 11133"/>
    <w:basedOn w:val="TableNormal"/>
    <w:uiPriority w:val="63"/>
    <w:rsid w:val="000C4646"/>
    <w:pPr>
      <w:spacing w:after="0" w:line="240" w:lineRule="auto"/>
    </w:pPr>
    <w:rPr>
      <w:rFonts w:ascii="Cambria" w:hAnsi="Cambria"/>
      <w:color w:val="auto"/>
    </w:r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133">
    <w:name w:val="Medium Grid 1 - Accent 1133"/>
    <w:basedOn w:val="TableNormal"/>
    <w:next w:val="MediumGrid1-Accent1"/>
    <w:uiPriority w:val="67"/>
    <w:rsid w:val="000C4646"/>
    <w:pPr>
      <w:spacing w:after="0" w:line="240" w:lineRule="auto"/>
    </w:pPr>
    <w:rPr>
      <w:rFonts w:ascii="Cambria" w:hAnsi="Cambria"/>
      <w:color w:val="auto"/>
    </w:r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133">
    <w:name w:val="Light Shading - Accent 11133"/>
    <w:basedOn w:val="TableNormal"/>
    <w:uiPriority w:val="60"/>
    <w:rsid w:val="000C4646"/>
    <w:pPr>
      <w:spacing w:after="0" w:line="240" w:lineRule="auto"/>
    </w:pPr>
    <w:rPr>
      <w:rFonts w:ascii="Cambria" w:hAnsi="Cambria"/>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133">
    <w:name w:val="RSP_Style133"/>
    <w:basedOn w:val="TableNormal"/>
    <w:uiPriority w:val="99"/>
    <w:qFormat/>
    <w:rsid w:val="000C4646"/>
    <w:pPr>
      <w:spacing w:after="0" w:line="240" w:lineRule="auto"/>
    </w:pPr>
    <w:rPr>
      <w:rFonts w:ascii="Cambria" w:hAnsi="Cambria"/>
      <w:color w:val="auto"/>
    </w:rPr>
    <w:tblPr/>
  </w:style>
  <w:style w:type="table" w:customStyle="1" w:styleId="20122tableformat133">
    <w:name w:val="2012 2 table format133"/>
    <w:basedOn w:val="TableNormal"/>
    <w:uiPriority w:val="63"/>
    <w:rsid w:val="000C4646"/>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133">
    <w:name w:val="Medium Grid 1 - Accent 6133"/>
    <w:basedOn w:val="TableNormal"/>
    <w:next w:val="MediumGrid1-Accent6"/>
    <w:uiPriority w:val="67"/>
    <w:rsid w:val="000C4646"/>
    <w:pPr>
      <w:spacing w:after="0" w:line="240" w:lineRule="auto"/>
    </w:pPr>
    <w:rPr>
      <w:rFonts w:ascii="Cambria" w:hAnsi="Cambria"/>
      <w:color w:val="auto"/>
    </w:r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133">
    <w:name w:val="Light List - Accent 6133"/>
    <w:basedOn w:val="TableNormal"/>
    <w:next w:val="LightList-Accent6"/>
    <w:uiPriority w:val="61"/>
    <w:rsid w:val="000C4646"/>
    <w:pPr>
      <w:spacing w:after="0" w:line="240" w:lineRule="auto"/>
    </w:pPr>
    <w:rPr>
      <w:color w:val="auto"/>
    </w:r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133">
    <w:name w:val="Light Grid - Accent 11133"/>
    <w:basedOn w:val="TableNormal"/>
    <w:uiPriority w:val="62"/>
    <w:rsid w:val="000C4646"/>
    <w:pPr>
      <w:spacing w:after="0" w:line="240" w:lineRule="auto"/>
    </w:pPr>
    <w:rPr>
      <w:rFonts w:ascii="Cambria" w:hAnsi="Cambria"/>
      <w:color w:val="auto"/>
    </w:r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133">
    <w:name w:val="2012 Style133"/>
    <w:basedOn w:val="TableNormal"/>
    <w:uiPriority w:val="99"/>
    <w:qFormat/>
    <w:rsid w:val="000C4646"/>
    <w:pPr>
      <w:spacing w:after="0" w:line="240" w:lineRule="auto"/>
    </w:pPr>
    <w:rPr>
      <w:color w:val="auto"/>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133">
    <w:name w:val="Light Shading - Accent 12133"/>
    <w:basedOn w:val="TableNormal"/>
    <w:uiPriority w:val="60"/>
    <w:rsid w:val="000C4646"/>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table" w:customStyle="1" w:styleId="MediumShading1-Accent433">
    <w:name w:val="Medium Shading 1 - Accent 433"/>
    <w:basedOn w:val="TableNormal"/>
    <w:next w:val="MediumShading1-Accent4"/>
    <w:uiPriority w:val="63"/>
    <w:rsid w:val="000C4646"/>
    <w:pPr>
      <w:spacing w:after="0" w:line="240" w:lineRule="auto"/>
    </w:pPr>
    <w:rPr>
      <w:rFonts w:ascii="Cambria" w:hAnsi="Cambria"/>
      <w:color w:val="auto"/>
    </w:rPr>
    <w:tblPr>
      <w:tblStyleRowBandSize w:val="1"/>
      <w:tblStyleColBandSize w:val="1"/>
      <w:tbl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single" w:sz="8" w:space="0" w:color="FCCA63" w:themeColor="accent4" w:themeTint="BF"/>
      </w:tblBorders>
    </w:tblPr>
    <w:tblStylePr w:type="firstRow">
      <w:pPr>
        <w:spacing w:before="0" w:after="0" w:line="240" w:lineRule="auto"/>
      </w:pPr>
      <w:rPr>
        <w:b/>
        <w:bCs/>
        <w:color w:val="FFFFFF" w:themeColor="background1"/>
      </w:rPr>
      <w:tblPr/>
      <w:tcPr>
        <w:tc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shd w:val="clear" w:color="auto" w:fill="FBB92F" w:themeFill="accent4"/>
      </w:tcPr>
    </w:tblStylePr>
    <w:tblStylePr w:type="lastRow">
      <w:pPr>
        <w:spacing w:before="0" w:after="0" w:line="240" w:lineRule="auto"/>
      </w:pPr>
      <w:rPr>
        <w:b/>
        <w:bCs/>
      </w:rPr>
      <w:tblPr/>
      <w:tcPr>
        <w:tcBorders>
          <w:top w:val="double" w:sz="6"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tcPr>
    </w:tblStylePr>
    <w:tblStylePr w:type="firstCol">
      <w:rPr>
        <w:b/>
        <w:bCs/>
      </w:rPr>
    </w:tblStylePr>
    <w:tblStylePr w:type="lastCol">
      <w:rPr>
        <w:b/>
        <w:bCs/>
      </w:rPr>
    </w:tblStylePr>
    <w:tblStylePr w:type="band1Vert">
      <w:tblPr/>
      <w:tcPr>
        <w:shd w:val="clear" w:color="auto" w:fill="FEEDCB" w:themeFill="accent4" w:themeFillTint="3F"/>
      </w:tcPr>
    </w:tblStylePr>
    <w:tblStylePr w:type="band1Horz">
      <w:tblPr/>
      <w:tcPr>
        <w:tcBorders>
          <w:insideH w:val="nil"/>
          <w:insideV w:val="nil"/>
        </w:tcBorders>
        <w:shd w:val="clear" w:color="auto" w:fill="FEEDCB" w:themeFill="accent4" w:themeFillTint="3F"/>
      </w:tcPr>
    </w:tblStylePr>
    <w:tblStylePr w:type="band2Horz">
      <w:tblPr/>
      <w:tcPr>
        <w:tcBorders>
          <w:insideH w:val="nil"/>
          <w:insideV w:val="nil"/>
        </w:tcBorders>
      </w:tcPr>
    </w:tblStylePr>
  </w:style>
  <w:style w:type="table" w:customStyle="1" w:styleId="TableGrid53">
    <w:name w:val="Table Grid53"/>
    <w:basedOn w:val="TableNormal"/>
    <w:next w:val="TableGrid"/>
    <w:uiPriority w:val="59"/>
    <w:rsid w:val="000C4646"/>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
    <w:name w:val="No List9"/>
    <w:next w:val="NoList"/>
    <w:uiPriority w:val="99"/>
    <w:semiHidden/>
    <w:unhideWhenUsed/>
    <w:rsid w:val="009243F5"/>
  </w:style>
  <w:style w:type="numbering" w:customStyle="1" w:styleId="CurrentList17">
    <w:name w:val="Current List17"/>
    <w:rsid w:val="009243F5"/>
  </w:style>
  <w:style w:type="table" w:customStyle="1" w:styleId="TableGrid9">
    <w:name w:val="Table Grid9"/>
    <w:basedOn w:val="TableNormal"/>
    <w:next w:val="TableGrid"/>
    <w:uiPriority w:val="59"/>
    <w:rsid w:val="009243F5"/>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8">
    <w:name w:val="Light Shading18"/>
    <w:basedOn w:val="TableNormal"/>
    <w:uiPriority w:val="60"/>
    <w:rsid w:val="009243F5"/>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8">
    <w:name w:val="Light Grid18"/>
    <w:basedOn w:val="TableNormal"/>
    <w:uiPriority w:val="62"/>
    <w:rsid w:val="009243F5"/>
    <w:pPr>
      <w:spacing w:after="0" w:line="240" w:lineRule="auto"/>
    </w:pPr>
    <w:rPr>
      <w:rFonts w:ascii="Arial" w:eastAsia="Arial" w:hAnsi="Arial"/>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8">
    <w:name w:val="Medium Shading 1 - Accent 118"/>
    <w:basedOn w:val="TableNormal"/>
    <w:uiPriority w:val="63"/>
    <w:rsid w:val="009243F5"/>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8">
    <w:name w:val="Medium Grid 1 - Accent 18"/>
    <w:basedOn w:val="TableNormal"/>
    <w:next w:val="MediumGrid1-Accent1"/>
    <w:uiPriority w:val="67"/>
    <w:rsid w:val="009243F5"/>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8">
    <w:name w:val="Light Shading - Accent 118"/>
    <w:basedOn w:val="TableNormal"/>
    <w:uiPriority w:val="60"/>
    <w:rsid w:val="009243F5"/>
    <w:pPr>
      <w:spacing w:after="0" w:line="240" w:lineRule="auto"/>
    </w:pPr>
    <w:rPr>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8">
    <w:name w:val="RSP_Style8"/>
    <w:basedOn w:val="TableNormal"/>
    <w:uiPriority w:val="99"/>
    <w:qFormat/>
    <w:rsid w:val="009243F5"/>
    <w:pPr>
      <w:spacing w:after="0" w:line="240" w:lineRule="auto"/>
    </w:pPr>
    <w:tblPr/>
  </w:style>
  <w:style w:type="table" w:customStyle="1" w:styleId="20122tableformat8">
    <w:name w:val="2012 2 table format8"/>
    <w:basedOn w:val="TableNormal"/>
    <w:uiPriority w:val="63"/>
    <w:rsid w:val="009243F5"/>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8">
    <w:name w:val="Medium Grid 1 - Accent 68"/>
    <w:basedOn w:val="TableNormal"/>
    <w:next w:val="MediumGrid1-Accent6"/>
    <w:uiPriority w:val="67"/>
    <w:rsid w:val="009243F5"/>
    <w:pPr>
      <w:spacing w:after="0" w:line="240" w:lineRule="auto"/>
    </w:p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8">
    <w:name w:val="Light List - Accent 68"/>
    <w:basedOn w:val="TableNormal"/>
    <w:next w:val="LightList-Accent6"/>
    <w:uiPriority w:val="61"/>
    <w:rsid w:val="009243F5"/>
    <w:pPr>
      <w:spacing w:after="0" w:line="240" w:lineRule="auto"/>
    </w:p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8">
    <w:name w:val="Light Grid - Accent 118"/>
    <w:basedOn w:val="TableNormal"/>
    <w:uiPriority w:val="62"/>
    <w:rsid w:val="009243F5"/>
    <w:pPr>
      <w:spacing w:after="0" w:line="240" w:lineRule="auto"/>
    </w:p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8">
    <w:name w:val="2012 Style8"/>
    <w:basedOn w:val="TableNormal"/>
    <w:uiPriority w:val="99"/>
    <w:qFormat/>
    <w:rsid w:val="009243F5"/>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8">
    <w:name w:val="Light Shading - Accent 128"/>
    <w:basedOn w:val="TableNormal"/>
    <w:uiPriority w:val="60"/>
    <w:rsid w:val="009243F5"/>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numbering" w:customStyle="1" w:styleId="NoList18">
    <w:name w:val="No List18"/>
    <w:next w:val="NoList"/>
    <w:uiPriority w:val="99"/>
    <w:semiHidden/>
    <w:unhideWhenUsed/>
    <w:rsid w:val="009243F5"/>
  </w:style>
  <w:style w:type="numbering" w:customStyle="1" w:styleId="CurrentList118">
    <w:name w:val="Current List118"/>
    <w:rsid w:val="009243F5"/>
  </w:style>
  <w:style w:type="table" w:customStyle="1" w:styleId="TableGrid17">
    <w:name w:val="Table Grid17"/>
    <w:basedOn w:val="TableNormal"/>
    <w:next w:val="TableGrid"/>
    <w:uiPriority w:val="59"/>
    <w:rsid w:val="009243F5"/>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ulletedList18">
    <w:name w:val="Bulleted List18"/>
    <w:rsid w:val="009243F5"/>
  </w:style>
  <w:style w:type="table" w:customStyle="1" w:styleId="LightShading117">
    <w:name w:val="Light Shading117"/>
    <w:basedOn w:val="TableNormal"/>
    <w:uiPriority w:val="60"/>
    <w:rsid w:val="009243F5"/>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17">
    <w:name w:val="Light Grid117"/>
    <w:basedOn w:val="TableNormal"/>
    <w:uiPriority w:val="62"/>
    <w:rsid w:val="009243F5"/>
    <w:pPr>
      <w:spacing w:after="0" w:line="240" w:lineRule="auto"/>
    </w:pPr>
    <w:rPr>
      <w:rFonts w:ascii="Arial" w:eastAsia="Arial" w:hAnsi="Arial"/>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17">
    <w:name w:val="Medium Shading 1 - Accent 1117"/>
    <w:basedOn w:val="TableNormal"/>
    <w:uiPriority w:val="63"/>
    <w:rsid w:val="009243F5"/>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17">
    <w:name w:val="Medium Grid 1 - Accent 117"/>
    <w:basedOn w:val="TableNormal"/>
    <w:next w:val="MediumGrid1-Accent1"/>
    <w:uiPriority w:val="67"/>
    <w:rsid w:val="009243F5"/>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17">
    <w:name w:val="Light Shading - Accent 1117"/>
    <w:basedOn w:val="TableNormal"/>
    <w:uiPriority w:val="60"/>
    <w:rsid w:val="009243F5"/>
    <w:pPr>
      <w:spacing w:after="0" w:line="240" w:lineRule="auto"/>
    </w:pPr>
    <w:rPr>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17">
    <w:name w:val="RSP_Style17"/>
    <w:basedOn w:val="TableNormal"/>
    <w:uiPriority w:val="99"/>
    <w:qFormat/>
    <w:rsid w:val="009243F5"/>
    <w:pPr>
      <w:spacing w:after="0" w:line="240" w:lineRule="auto"/>
    </w:pPr>
    <w:tblPr/>
  </w:style>
  <w:style w:type="table" w:customStyle="1" w:styleId="20122tableformat17">
    <w:name w:val="2012 2 table format17"/>
    <w:basedOn w:val="TableNormal"/>
    <w:uiPriority w:val="63"/>
    <w:rsid w:val="009243F5"/>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17">
    <w:name w:val="Medium Grid 1 - Accent 617"/>
    <w:basedOn w:val="TableNormal"/>
    <w:next w:val="MediumGrid1-Accent6"/>
    <w:uiPriority w:val="67"/>
    <w:rsid w:val="009243F5"/>
    <w:pPr>
      <w:spacing w:after="0" w:line="240" w:lineRule="auto"/>
    </w:p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17">
    <w:name w:val="Light List - Accent 617"/>
    <w:basedOn w:val="TableNormal"/>
    <w:next w:val="LightList-Accent6"/>
    <w:uiPriority w:val="61"/>
    <w:rsid w:val="009243F5"/>
    <w:pPr>
      <w:spacing w:after="0" w:line="240" w:lineRule="auto"/>
    </w:p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17">
    <w:name w:val="Light Grid - Accent 1117"/>
    <w:basedOn w:val="TableNormal"/>
    <w:uiPriority w:val="62"/>
    <w:rsid w:val="009243F5"/>
    <w:pPr>
      <w:spacing w:after="0" w:line="240" w:lineRule="auto"/>
    </w:p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17">
    <w:name w:val="2012 Style17"/>
    <w:basedOn w:val="TableNormal"/>
    <w:uiPriority w:val="99"/>
    <w:qFormat/>
    <w:rsid w:val="009243F5"/>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17">
    <w:name w:val="Light Shading - Accent 1217"/>
    <w:basedOn w:val="TableNormal"/>
    <w:uiPriority w:val="60"/>
    <w:rsid w:val="009243F5"/>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table" w:customStyle="1" w:styleId="MediumShading1-Accent47">
    <w:name w:val="Medium Shading 1 - Accent 47"/>
    <w:basedOn w:val="TableNormal"/>
    <w:next w:val="MediumShading1-Accent4"/>
    <w:uiPriority w:val="63"/>
    <w:rsid w:val="009243F5"/>
    <w:pPr>
      <w:spacing w:after="0" w:line="240" w:lineRule="auto"/>
    </w:pPr>
    <w:tblPr>
      <w:tblStyleRowBandSize w:val="1"/>
      <w:tblStyleColBandSize w:val="1"/>
      <w:tbl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single" w:sz="8" w:space="0" w:color="FCCA63" w:themeColor="accent4" w:themeTint="BF"/>
      </w:tblBorders>
    </w:tblPr>
    <w:tblStylePr w:type="firstRow">
      <w:pPr>
        <w:spacing w:before="0" w:after="0" w:line="240" w:lineRule="auto"/>
      </w:pPr>
      <w:rPr>
        <w:b/>
        <w:bCs/>
        <w:color w:val="FFFFFF" w:themeColor="background1"/>
      </w:rPr>
      <w:tblPr/>
      <w:tcPr>
        <w:tc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shd w:val="clear" w:color="auto" w:fill="FBB92F" w:themeFill="accent4"/>
      </w:tcPr>
    </w:tblStylePr>
    <w:tblStylePr w:type="lastRow">
      <w:pPr>
        <w:spacing w:before="0" w:after="0" w:line="240" w:lineRule="auto"/>
      </w:pPr>
      <w:rPr>
        <w:b/>
        <w:bCs/>
      </w:rPr>
      <w:tblPr/>
      <w:tcPr>
        <w:tcBorders>
          <w:top w:val="double" w:sz="6"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tcPr>
    </w:tblStylePr>
    <w:tblStylePr w:type="firstCol">
      <w:rPr>
        <w:b/>
        <w:bCs/>
      </w:rPr>
    </w:tblStylePr>
    <w:tblStylePr w:type="lastCol">
      <w:rPr>
        <w:b/>
        <w:bCs/>
      </w:rPr>
    </w:tblStylePr>
    <w:tblStylePr w:type="band1Vert">
      <w:tblPr/>
      <w:tcPr>
        <w:shd w:val="clear" w:color="auto" w:fill="FEEDCB" w:themeFill="accent4" w:themeFillTint="3F"/>
      </w:tcPr>
    </w:tblStylePr>
    <w:tblStylePr w:type="band1Horz">
      <w:tblPr/>
      <w:tcPr>
        <w:tcBorders>
          <w:insideH w:val="nil"/>
          <w:insideV w:val="nil"/>
        </w:tcBorders>
        <w:shd w:val="clear" w:color="auto" w:fill="FEEDCB" w:themeFill="accent4" w:themeFillTint="3F"/>
      </w:tcPr>
    </w:tblStylePr>
    <w:tblStylePr w:type="band2Horz">
      <w:tblPr/>
      <w:tcPr>
        <w:tcBorders>
          <w:insideH w:val="nil"/>
          <w:insideV w:val="nil"/>
        </w:tcBorders>
      </w:tcPr>
    </w:tblStylePr>
  </w:style>
  <w:style w:type="numbering" w:customStyle="1" w:styleId="NoList24">
    <w:name w:val="No List24"/>
    <w:next w:val="NoList"/>
    <w:uiPriority w:val="99"/>
    <w:semiHidden/>
    <w:unhideWhenUsed/>
    <w:rsid w:val="009243F5"/>
  </w:style>
  <w:style w:type="numbering" w:customStyle="1" w:styleId="CurrentList124">
    <w:name w:val="Current List124"/>
    <w:rsid w:val="009243F5"/>
  </w:style>
  <w:style w:type="numbering" w:customStyle="1" w:styleId="BulletedList24">
    <w:name w:val="Bulleted List24"/>
    <w:rsid w:val="009243F5"/>
  </w:style>
  <w:style w:type="numbering" w:customStyle="1" w:styleId="NoList114">
    <w:name w:val="No List114"/>
    <w:next w:val="NoList"/>
    <w:uiPriority w:val="99"/>
    <w:semiHidden/>
    <w:unhideWhenUsed/>
    <w:rsid w:val="009243F5"/>
  </w:style>
  <w:style w:type="numbering" w:customStyle="1" w:styleId="CurrentList1114">
    <w:name w:val="Current List1114"/>
    <w:rsid w:val="009243F5"/>
  </w:style>
  <w:style w:type="numbering" w:customStyle="1" w:styleId="BulletedList114">
    <w:name w:val="Bulleted List114"/>
    <w:rsid w:val="009243F5"/>
  </w:style>
  <w:style w:type="numbering" w:customStyle="1" w:styleId="NoList34">
    <w:name w:val="No List34"/>
    <w:next w:val="NoList"/>
    <w:uiPriority w:val="99"/>
    <w:semiHidden/>
    <w:unhideWhenUsed/>
    <w:rsid w:val="009243F5"/>
  </w:style>
  <w:style w:type="table" w:customStyle="1" w:styleId="TableGrid24">
    <w:name w:val="Table Grid24"/>
    <w:basedOn w:val="TableNormal"/>
    <w:next w:val="TableGrid"/>
    <w:uiPriority w:val="59"/>
    <w:rsid w:val="009243F5"/>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24">
    <w:name w:val="Light Shading124"/>
    <w:basedOn w:val="TableNormal"/>
    <w:uiPriority w:val="60"/>
    <w:rsid w:val="009243F5"/>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24">
    <w:name w:val="Light Grid124"/>
    <w:basedOn w:val="TableNormal"/>
    <w:uiPriority w:val="62"/>
    <w:rsid w:val="009243F5"/>
    <w:pPr>
      <w:spacing w:after="0" w:line="240" w:lineRule="auto"/>
    </w:pPr>
    <w:rPr>
      <w:rFonts w:ascii="Arial" w:eastAsia="Arial" w:hAnsi="Arial"/>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24">
    <w:name w:val="Medium Shading 1 - Accent 1124"/>
    <w:basedOn w:val="TableNormal"/>
    <w:uiPriority w:val="63"/>
    <w:rsid w:val="009243F5"/>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24">
    <w:name w:val="Medium Grid 1 - Accent 124"/>
    <w:basedOn w:val="TableNormal"/>
    <w:next w:val="MediumGrid1-Accent1"/>
    <w:uiPriority w:val="67"/>
    <w:rsid w:val="009243F5"/>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24">
    <w:name w:val="Light Shading - Accent 1124"/>
    <w:basedOn w:val="TableNormal"/>
    <w:uiPriority w:val="60"/>
    <w:rsid w:val="009243F5"/>
    <w:pPr>
      <w:spacing w:after="0" w:line="240" w:lineRule="auto"/>
    </w:pPr>
    <w:rPr>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24">
    <w:name w:val="RSP_Style24"/>
    <w:basedOn w:val="TableNormal"/>
    <w:uiPriority w:val="99"/>
    <w:qFormat/>
    <w:rsid w:val="009243F5"/>
    <w:pPr>
      <w:spacing w:after="0" w:line="240" w:lineRule="auto"/>
    </w:pPr>
    <w:tblPr/>
  </w:style>
  <w:style w:type="table" w:customStyle="1" w:styleId="20122tableformat24">
    <w:name w:val="2012 2 table format24"/>
    <w:basedOn w:val="TableNormal"/>
    <w:uiPriority w:val="63"/>
    <w:rsid w:val="009243F5"/>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24">
    <w:name w:val="Medium Grid 1 - Accent 624"/>
    <w:basedOn w:val="TableNormal"/>
    <w:next w:val="MediumGrid1-Accent6"/>
    <w:uiPriority w:val="67"/>
    <w:rsid w:val="009243F5"/>
    <w:pPr>
      <w:spacing w:after="0" w:line="240" w:lineRule="auto"/>
    </w:p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24">
    <w:name w:val="Light List - Accent 624"/>
    <w:basedOn w:val="TableNormal"/>
    <w:next w:val="LightList-Accent6"/>
    <w:uiPriority w:val="61"/>
    <w:rsid w:val="009243F5"/>
    <w:pPr>
      <w:spacing w:after="0" w:line="240" w:lineRule="auto"/>
    </w:p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24">
    <w:name w:val="Light Grid - Accent 1124"/>
    <w:basedOn w:val="TableNormal"/>
    <w:uiPriority w:val="62"/>
    <w:rsid w:val="009243F5"/>
    <w:pPr>
      <w:spacing w:after="0" w:line="240" w:lineRule="auto"/>
    </w:p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24">
    <w:name w:val="2012 Style24"/>
    <w:basedOn w:val="TableNormal"/>
    <w:uiPriority w:val="99"/>
    <w:qFormat/>
    <w:rsid w:val="009243F5"/>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24">
    <w:name w:val="Light Shading - Accent 1224"/>
    <w:basedOn w:val="TableNormal"/>
    <w:uiPriority w:val="60"/>
    <w:rsid w:val="009243F5"/>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numbering" w:customStyle="1" w:styleId="NoList124">
    <w:name w:val="No List124"/>
    <w:next w:val="NoList"/>
    <w:uiPriority w:val="99"/>
    <w:semiHidden/>
    <w:unhideWhenUsed/>
    <w:rsid w:val="009243F5"/>
  </w:style>
  <w:style w:type="numbering" w:customStyle="1" w:styleId="CurrentList1124">
    <w:name w:val="Current List1124"/>
    <w:rsid w:val="009243F5"/>
  </w:style>
  <w:style w:type="table" w:customStyle="1" w:styleId="TableGrid114">
    <w:name w:val="Table Grid114"/>
    <w:basedOn w:val="TableNormal"/>
    <w:next w:val="TableGrid"/>
    <w:uiPriority w:val="59"/>
    <w:rsid w:val="009243F5"/>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ulletedList124">
    <w:name w:val="Bulleted List124"/>
    <w:rsid w:val="009243F5"/>
  </w:style>
  <w:style w:type="table" w:customStyle="1" w:styleId="LightShading1114">
    <w:name w:val="Light Shading1114"/>
    <w:basedOn w:val="TableNormal"/>
    <w:uiPriority w:val="60"/>
    <w:rsid w:val="009243F5"/>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114">
    <w:name w:val="Light Grid1114"/>
    <w:basedOn w:val="TableNormal"/>
    <w:uiPriority w:val="62"/>
    <w:rsid w:val="009243F5"/>
    <w:pPr>
      <w:spacing w:after="0" w:line="240" w:lineRule="auto"/>
    </w:pPr>
    <w:rPr>
      <w:rFonts w:ascii="Arial" w:eastAsia="Arial" w:hAnsi="Arial"/>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114">
    <w:name w:val="Medium Shading 1 - Accent 11114"/>
    <w:basedOn w:val="TableNormal"/>
    <w:uiPriority w:val="63"/>
    <w:rsid w:val="009243F5"/>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114">
    <w:name w:val="Medium Grid 1 - Accent 1114"/>
    <w:basedOn w:val="TableNormal"/>
    <w:next w:val="MediumGrid1-Accent1"/>
    <w:uiPriority w:val="67"/>
    <w:rsid w:val="009243F5"/>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114">
    <w:name w:val="Light Shading - Accent 11114"/>
    <w:basedOn w:val="TableNormal"/>
    <w:uiPriority w:val="60"/>
    <w:rsid w:val="009243F5"/>
    <w:pPr>
      <w:spacing w:after="0" w:line="240" w:lineRule="auto"/>
    </w:pPr>
    <w:rPr>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114">
    <w:name w:val="RSP_Style114"/>
    <w:basedOn w:val="TableNormal"/>
    <w:uiPriority w:val="99"/>
    <w:qFormat/>
    <w:rsid w:val="009243F5"/>
    <w:pPr>
      <w:spacing w:after="0" w:line="240" w:lineRule="auto"/>
    </w:pPr>
    <w:tblPr/>
  </w:style>
  <w:style w:type="table" w:customStyle="1" w:styleId="20122tableformat114">
    <w:name w:val="2012 2 table format114"/>
    <w:basedOn w:val="TableNormal"/>
    <w:uiPriority w:val="63"/>
    <w:rsid w:val="009243F5"/>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114">
    <w:name w:val="Medium Grid 1 - Accent 6114"/>
    <w:basedOn w:val="TableNormal"/>
    <w:next w:val="MediumGrid1-Accent6"/>
    <w:uiPriority w:val="67"/>
    <w:rsid w:val="009243F5"/>
    <w:pPr>
      <w:spacing w:after="0" w:line="240" w:lineRule="auto"/>
    </w:p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114">
    <w:name w:val="Light List - Accent 6114"/>
    <w:basedOn w:val="TableNormal"/>
    <w:next w:val="LightList-Accent6"/>
    <w:uiPriority w:val="61"/>
    <w:rsid w:val="009243F5"/>
    <w:pPr>
      <w:spacing w:after="0" w:line="240" w:lineRule="auto"/>
    </w:p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114">
    <w:name w:val="Light Grid - Accent 11114"/>
    <w:basedOn w:val="TableNormal"/>
    <w:uiPriority w:val="62"/>
    <w:rsid w:val="009243F5"/>
    <w:pPr>
      <w:spacing w:after="0" w:line="240" w:lineRule="auto"/>
    </w:p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114">
    <w:name w:val="2012 Style114"/>
    <w:basedOn w:val="TableNormal"/>
    <w:uiPriority w:val="99"/>
    <w:qFormat/>
    <w:rsid w:val="009243F5"/>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114">
    <w:name w:val="Light Shading - Accent 12114"/>
    <w:basedOn w:val="TableNormal"/>
    <w:uiPriority w:val="60"/>
    <w:rsid w:val="009243F5"/>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table" w:customStyle="1" w:styleId="MediumShading1-Accent414">
    <w:name w:val="Medium Shading 1 - Accent 414"/>
    <w:basedOn w:val="TableNormal"/>
    <w:next w:val="MediumShading1-Accent4"/>
    <w:uiPriority w:val="63"/>
    <w:rsid w:val="009243F5"/>
    <w:pPr>
      <w:spacing w:after="0" w:line="240" w:lineRule="auto"/>
    </w:pPr>
    <w:tblPr>
      <w:tblStyleRowBandSize w:val="1"/>
      <w:tblStyleColBandSize w:val="1"/>
      <w:tbl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single" w:sz="8" w:space="0" w:color="FCCA63" w:themeColor="accent4" w:themeTint="BF"/>
      </w:tblBorders>
    </w:tblPr>
    <w:tblStylePr w:type="firstRow">
      <w:pPr>
        <w:spacing w:before="0" w:after="0" w:line="240" w:lineRule="auto"/>
      </w:pPr>
      <w:rPr>
        <w:b/>
        <w:bCs/>
        <w:color w:val="FFFFFF" w:themeColor="background1"/>
      </w:rPr>
      <w:tblPr/>
      <w:tcPr>
        <w:tc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shd w:val="clear" w:color="auto" w:fill="FBB92F" w:themeFill="accent4"/>
      </w:tcPr>
    </w:tblStylePr>
    <w:tblStylePr w:type="lastRow">
      <w:pPr>
        <w:spacing w:before="0" w:after="0" w:line="240" w:lineRule="auto"/>
      </w:pPr>
      <w:rPr>
        <w:b/>
        <w:bCs/>
      </w:rPr>
      <w:tblPr/>
      <w:tcPr>
        <w:tcBorders>
          <w:top w:val="double" w:sz="6"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tcPr>
    </w:tblStylePr>
    <w:tblStylePr w:type="firstCol">
      <w:rPr>
        <w:b/>
        <w:bCs/>
      </w:rPr>
    </w:tblStylePr>
    <w:tblStylePr w:type="lastCol">
      <w:rPr>
        <w:b/>
        <w:bCs/>
      </w:rPr>
    </w:tblStylePr>
    <w:tblStylePr w:type="band1Vert">
      <w:tblPr/>
      <w:tcPr>
        <w:shd w:val="clear" w:color="auto" w:fill="FEEDCB" w:themeFill="accent4" w:themeFillTint="3F"/>
      </w:tcPr>
    </w:tblStylePr>
    <w:tblStylePr w:type="band1Horz">
      <w:tblPr/>
      <w:tcPr>
        <w:tcBorders>
          <w:insideH w:val="nil"/>
          <w:insideV w:val="nil"/>
        </w:tcBorders>
        <w:shd w:val="clear" w:color="auto" w:fill="FEEDCB" w:themeFill="accent4" w:themeFillTint="3F"/>
      </w:tcPr>
    </w:tblStylePr>
    <w:tblStylePr w:type="band2Horz">
      <w:tblPr/>
      <w:tcPr>
        <w:tcBorders>
          <w:insideH w:val="nil"/>
          <w:insideV w:val="nil"/>
        </w:tcBorders>
      </w:tcPr>
    </w:tblStylePr>
  </w:style>
  <w:style w:type="numbering" w:customStyle="1" w:styleId="NoList44">
    <w:name w:val="No List44"/>
    <w:next w:val="NoList"/>
    <w:uiPriority w:val="99"/>
    <w:semiHidden/>
    <w:unhideWhenUsed/>
    <w:rsid w:val="009243F5"/>
  </w:style>
  <w:style w:type="table" w:customStyle="1" w:styleId="TableGrid35">
    <w:name w:val="Table Grid35"/>
    <w:basedOn w:val="TableNormal"/>
    <w:next w:val="TableGrid"/>
    <w:uiPriority w:val="59"/>
    <w:rsid w:val="009243F5"/>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34">
    <w:name w:val="Light Shading134"/>
    <w:basedOn w:val="TableNormal"/>
    <w:uiPriority w:val="60"/>
    <w:rsid w:val="009243F5"/>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34">
    <w:name w:val="Light Grid134"/>
    <w:basedOn w:val="TableNormal"/>
    <w:uiPriority w:val="62"/>
    <w:rsid w:val="009243F5"/>
    <w:pPr>
      <w:spacing w:after="0" w:line="240" w:lineRule="auto"/>
    </w:pPr>
    <w:rPr>
      <w:rFonts w:ascii="Arial" w:eastAsia="Arial" w:hAnsi="Arial"/>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34">
    <w:name w:val="Medium Shading 1 - Accent 1134"/>
    <w:basedOn w:val="TableNormal"/>
    <w:uiPriority w:val="63"/>
    <w:rsid w:val="009243F5"/>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34">
    <w:name w:val="Medium Grid 1 - Accent 134"/>
    <w:basedOn w:val="TableNormal"/>
    <w:next w:val="MediumGrid1-Accent1"/>
    <w:uiPriority w:val="67"/>
    <w:rsid w:val="009243F5"/>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34">
    <w:name w:val="Light Shading - Accent 1134"/>
    <w:basedOn w:val="TableNormal"/>
    <w:uiPriority w:val="60"/>
    <w:rsid w:val="009243F5"/>
    <w:pPr>
      <w:spacing w:after="0" w:line="240" w:lineRule="auto"/>
    </w:pPr>
    <w:rPr>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34">
    <w:name w:val="RSP_Style34"/>
    <w:basedOn w:val="TableNormal"/>
    <w:uiPriority w:val="99"/>
    <w:qFormat/>
    <w:rsid w:val="009243F5"/>
    <w:pPr>
      <w:spacing w:after="0" w:line="240" w:lineRule="auto"/>
    </w:pPr>
    <w:tblPr/>
  </w:style>
  <w:style w:type="table" w:customStyle="1" w:styleId="20122tableformat34">
    <w:name w:val="2012 2 table format34"/>
    <w:basedOn w:val="TableNormal"/>
    <w:uiPriority w:val="63"/>
    <w:rsid w:val="009243F5"/>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34">
    <w:name w:val="Medium Grid 1 - Accent 634"/>
    <w:basedOn w:val="TableNormal"/>
    <w:next w:val="MediumGrid1-Accent6"/>
    <w:uiPriority w:val="67"/>
    <w:rsid w:val="009243F5"/>
    <w:pPr>
      <w:spacing w:after="0" w:line="240" w:lineRule="auto"/>
    </w:p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34">
    <w:name w:val="Light List - Accent 634"/>
    <w:basedOn w:val="TableNormal"/>
    <w:next w:val="LightList-Accent6"/>
    <w:uiPriority w:val="61"/>
    <w:rsid w:val="009243F5"/>
    <w:pPr>
      <w:spacing w:after="0" w:line="240" w:lineRule="auto"/>
    </w:p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34">
    <w:name w:val="Light Grid - Accent 1134"/>
    <w:basedOn w:val="TableNormal"/>
    <w:uiPriority w:val="62"/>
    <w:rsid w:val="009243F5"/>
    <w:pPr>
      <w:spacing w:after="0" w:line="240" w:lineRule="auto"/>
    </w:p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34">
    <w:name w:val="2012 Style34"/>
    <w:basedOn w:val="TableNormal"/>
    <w:uiPriority w:val="99"/>
    <w:qFormat/>
    <w:rsid w:val="009243F5"/>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34">
    <w:name w:val="Light Shading - Accent 1234"/>
    <w:basedOn w:val="TableNormal"/>
    <w:uiPriority w:val="60"/>
    <w:rsid w:val="009243F5"/>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numbering" w:customStyle="1" w:styleId="NoList134">
    <w:name w:val="No List134"/>
    <w:next w:val="NoList"/>
    <w:uiPriority w:val="99"/>
    <w:semiHidden/>
    <w:unhideWhenUsed/>
    <w:rsid w:val="009243F5"/>
  </w:style>
  <w:style w:type="numbering" w:customStyle="1" w:styleId="CurrentList1134">
    <w:name w:val="Current List1134"/>
    <w:rsid w:val="009243F5"/>
  </w:style>
  <w:style w:type="table" w:customStyle="1" w:styleId="TableGrid124">
    <w:name w:val="Table Grid124"/>
    <w:basedOn w:val="TableNormal"/>
    <w:next w:val="TableGrid"/>
    <w:uiPriority w:val="59"/>
    <w:rsid w:val="009243F5"/>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ulletedList134">
    <w:name w:val="Bulleted List134"/>
    <w:rsid w:val="009243F5"/>
  </w:style>
  <w:style w:type="table" w:customStyle="1" w:styleId="LightShading1124">
    <w:name w:val="Light Shading1124"/>
    <w:basedOn w:val="TableNormal"/>
    <w:uiPriority w:val="60"/>
    <w:rsid w:val="009243F5"/>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124">
    <w:name w:val="Light Grid1124"/>
    <w:basedOn w:val="TableNormal"/>
    <w:uiPriority w:val="62"/>
    <w:rsid w:val="009243F5"/>
    <w:pPr>
      <w:spacing w:after="0" w:line="240" w:lineRule="auto"/>
    </w:pPr>
    <w:rPr>
      <w:rFonts w:ascii="Arial" w:eastAsia="Arial" w:hAnsi="Arial"/>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124">
    <w:name w:val="Medium Shading 1 - Accent 11124"/>
    <w:basedOn w:val="TableNormal"/>
    <w:uiPriority w:val="63"/>
    <w:rsid w:val="009243F5"/>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124">
    <w:name w:val="Medium Grid 1 - Accent 1124"/>
    <w:basedOn w:val="TableNormal"/>
    <w:next w:val="MediumGrid1-Accent1"/>
    <w:uiPriority w:val="67"/>
    <w:rsid w:val="009243F5"/>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124">
    <w:name w:val="Light Shading - Accent 11124"/>
    <w:basedOn w:val="TableNormal"/>
    <w:uiPriority w:val="60"/>
    <w:rsid w:val="009243F5"/>
    <w:pPr>
      <w:spacing w:after="0" w:line="240" w:lineRule="auto"/>
    </w:pPr>
    <w:rPr>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124">
    <w:name w:val="RSP_Style124"/>
    <w:basedOn w:val="TableNormal"/>
    <w:uiPriority w:val="99"/>
    <w:qFormat/>
    <w:rsid w:val="009243F5"/>
    <w:pPr>
      <w:spacing w:after="0" w:line="240" w:lineRule="auto"/>
    </w:pPr>
    <w:tblPr/>
  </w:style>
  <w:style w:type="table" w:customStyle="1" w:styleId="20122tableformat124">
    <w:name w:val="2012 2 table format124"/>
    <w:basedOn w:val="TableNormal"/>
    <w:uiPriority w:val="63"/>
    <w:rsid w:val="009243F5"/>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124">
    <w:name w:val="Medium Grid 1 - Accent 6124"/>
    <w:basedOn w:val="TableNormal"/>
    <w:next w:val="MediumGrid1-Accent6"/>
    <w:uiPriority w:val="67"/>
    <w:rsid w:val="009243F5"/>
    <w:pPr>
      <w:spacing w:after="0" w:line="240" w:lineRule="auto"/>
    </w:p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124">
    <w:name w:val="Light List - Accent 6124"/>
    <w:basedOn w:val="TableNormal"/>
    <w:next w:val="LightList-Accent6"/>
    <w:uiPriority w:val="61"/>
    <w:rsid w:val="009243F5"/>
    <w:pPr>
      <w:spacing w:after="0" w:line="240" w:lineRule="auto"/>
    </w:p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124">
    <w:name w:val="Light Grid - Accent 11124"/>
    <w:basedOn w:val="TableNormal"/>
    <w:uiPriority w:val="62"/>
    <w:rsid w:val="009243F5"/>
    <w:pPr>
      <w:spacing w:after="0" w:line="240" w:lineRule="auto"/>
    </w:p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124">
    <w:name w:val="2012 Style124"/>
    <w:basedOn w:val="TableNormal"/>
    <w:uiPriority w:val="99"/>
    <w:qFormat/>
    <w:rsid w:val="009243F5"/>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124">
    <w:name w:val="Light Shading - Accent 12124"/>
    <w:basedOn w:val="TableNormal"/>
    <w:uiPriority w:val="60"/>
    <w:rsid w:val="009243F5"/>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table" w:customStyle="1" w:styleId="MediumShading1-Accent424">
    <w:name w:val="Medium Shading 1 - Accent 424"/>
    <w:basedOn w:val="TableNormal"/>
    <w:next w:val="MediumShading1-Accent4"/>
    <w:uiPriority w:val="63"/>
    <w:rsid w:val="009243F5"/>
    <w:pPr>
      <w:spacing w:after="0" w:line="240" w:lineRule="auto"/>
    </w:pPr>
    <w:tblPr>
      <w:tblStyleRowBandSize w:val="1"/>
      <w:tblStyleColBandSize w:val="1"/>
      <w:tbl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single" w:sz="8" w:space="0" w:color="FCCA63" w:themeColor="accent4" w:themeTint="BF"/>
      </w:tblBorders>
    </w:tblPr>
    <w:tblStylePr w:type="firstRow">
      <w:pPr>
        <w:spacing w:before="0" w:after="0" w:line="240" w:lineRule="auto"/>
      </w:pPr>
      <w:rPr>
        <w:b/>
        <w:bCs/>
        <w:color w:val="FFFFFF" w:themeColor="background1"/>
      </w:rPr>
      <w:tblPr/>
      <w:tcPr>
        <w:tc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shd w:val="clear" w:color="auto" w:fill="FBB92F" w:themeFill="accent4"/>
      </w:tcPr>
    </w:tblStylePr>
    <w:tblStylePr w:type="lastRow">
      <w:pPr>
        <w:spacing w:before="0" w:after="0" w:line="240" w:lineRule="auto"/>
      </w:pPr>
      <w:rPr>
        <w:b/>
        <w:bCs/>
      </w:rPr>
      <w:tblPr/>
      <w:tcPr>
        <w:tcBorders>
          <w:top w:val="double" w:sz="6"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tcPr>
    </w:tblStylePr>
    <w:tblStylePr w:type="firstCol">
      <w:rPr>
        <w:b/>
        <w:bCs/>
      </w:rPr>
    </w:tblStylePr>
    <w:tblStylePr w:type="lastCol">
      <w:rPr>
        <w:b/>
        <w:bCs/>
      </w:rPr>
    </w:tblStylePr>
    <w:tblStylePr w:type="band1Vert">
      <w:tblPr/>
      <w:tcPr>
        <w:shd w:val="clear" w:color="auto" w:fill="FEEDCB" w:themeFill="accent4" w:themeFillTint="3F"/>
      </w:tcPr>
    </w:tblStylePr>
    <w:tblStylePr w:type="band1Horz">
      <w:tblPr/>
      <w:tcPr>
        <w:tcBorders>
          <w:insideH w:val="nil"/>
          <w:insideV w:val="nil"/>
        </w:tcBorders>
        <w:shd w:val="clear" w:color="auto" w:fill="FEEDCB" w:themeFill="accent4" w:themeFillTint="3F"/>
      </w:tcPr>
    </w:tblStylePr>
    <w:tblStylePr w:type="band2Horz">
      <w:tblPr/>
      <w:tcPr>
        <w:tcBorders>
          <w:insideH w:val="nil"/>
          <w:insideV w:val="nil"/>
        </w:tcBorders>
      </w:tcPr>
    </w:tblStylePr>
  </w:style>
  <w:style w:type="numbering" w:customStyle="1" w:styleId="CurrentList134">
    <w:name w:val="Current List134"/>
    <w:rsid w:val="009243F5"/>
  </w:style>
  <w:style w:type="table" w:customStyle="1" w:styleId="TableGrid314">
    <w:name w:val="Table Grid314"/>
    <w:basedOn w:val="TableNormal"/>
    <w:next w:val="TableGrid"/>
    <w:uiPriority w:val="59"/>
    <w:rsid w:val="009243F5"/>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4">
    <w:name w:val="No List54"/>
    <w:next w:val="NoList"/>
    <w:uiPriority w:val="99"/>
    <w:semiHidden/>
    <w:unhideWhenUsed/>
    <w:rsid w:val="009243F5"/>
  </w:style>
  <w:style w:type="numbering" w:customStyle="1" w:styleId="CurrentList144">
    <w:name w:val="Current List144"/>
    <w:rsid w:val="009243F5"/>
  </w:style>
  <w:style w:type="table" w:customStyle="1" w:styleId="TableGrid44">
    <w:name w:val="Table Grid44"/>
    <w:basedOn w:val="TableNormal"/>
    <w:next w:val="TableGrid"/>
    <w:uiPriority w:val="59"/>
    <w:rsid w:val="009243F5"/>
    <w:pPr>
      <w:widowControl w:val="0"/>
      <w:spacing w:after="0"/>
    </w:pPr>
    <w:rPr>
      <w:rFonts w:ascii="Times New Roman" w:eastAsia="Times New Roman" w:hAnsi="Times New Roman"/>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ulletedList34">
    <w:name w:val="Bulleted List34"/>
    <w:rsid w:val="009243F5"/>
  </w:style>
  <w:style w:type="table" w:customStyle="1" w:styleId="LightShading144">
    <w:name w:val="Light Shading144"/>
    <w:basedOn w:val="TableNormal"/>
    <w:uiPriority w:val="60"/>
    <w:rsid w:val="009243F5"/>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44">
    <w:name w:val="Light Grid144"/>
    <w:basedOn w:val="TableNormal"/>
    <w:uiPriority w:val="62"/>
    <w:rsid w:val="009243F5"/>
    <w:pPr>
      <w:spacing w:after="0" w:line="240" w:lineRule="auto"/>
    </w:pPr>
    <w:rPr>
      <w:rFonts w:ascii="Arial" w:eastAsia="Arial" w:hAnsi="Arial"/>
      <w:color w:val="auto"/>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44">
    <w:name w:val="Medium Shading 1 - Accent 1144"/>
    <w:basedOn w:val="TableNormal"/>
    <w:uiPriority w:val="63"/>
    <w:rsid w:val="009243F5"/>
    <w:pPr>
      <w:spacing w:after="0" w:line="240" w:lineRule="auto"/>
    </w:pPr>
    <w:rPr>
      <w:rFonts w:ascii="Cambria" w:hAnsi="Cambria"/>
      <w:color w:val="auto"/>
    </w:r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44">
    <w:name w:val="Medium Grid 1 - Accent 144"/>
    <w:basedOn w:val="TableNormal"/>
    <w:next w:val="MediumGrid1-Accent1"/>
    <w:uiPriority w:val="67"/>
    <w:rsid w:val="009243F5"/>
    <w:pPr>
      <w:spacing w:after="0" w:line="240" w:lineRule="auto"/>
    </w:pPr>
    <w:rPr>
      <w:rFonts w:ascii="Cambria" w:hAnsi="Cambria"/>
      <w:color w:val="auto"/>
    </w:r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44">
    <w:name w:val="Light Shading - Accent 1144"/>
    <w:basedOn w:val="TableNormal"/>
    <w:uiPriority w:val="60"/>
    <w:rsid w:val="009243F5"/>
    <w:pPr>
      <w:spacing w:after="0" w:line="240" w:lineRule="auto"/>
    </w:pPr>
    <w:rPr>
      <w:rFonts w:ascii="Cambria" w:hAnsi="Cambria"/>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44">
    <w:name w:val="RSP_Style44"/>
    <w:basedOn w:val="TableNormal"/>
    <w:uiPriority w:val="99"/>
    <w:qFormat/>
    <w:rsid w:val="009243F5"/>
    <w:pPr>
      <w:spacing w:after="0" w:line="240" w:lineRule="auto"/>
    </w:pPr>
    <w:rPr>
      <w:rFonts w:ascii="Cambria" w:hAnsi="Cambria"/>
      <w:color w:val="auto"/>
    </w:rPr>
    <w:tblPr/>
  </w:style>
  <w:style w:type="table" w:customStyle="1" w:styleId="20122tableformat44">
    <w:name w:val="2012 2 table format44"/>
    <w:basedOn w:val="TableNormal"/>
    <w:uiPriority w:val="63"/>
    <w:rsid w:val="009243F5"/>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44">
    <w:name w:val="Medium Grid 1 - Accent 644"/>
    <w:basedOn w:val="TableNormal"/>
    <w:next w:val="MediumGrid1-Accent6"/>
    <w:uiPriority w:val="67"/>
    <w:rsid w:val="009243F5"/>
    <w:pPr>
      <w:spacing w:after="0" w:line="240" w:lineRule="auto"/>
    </w:pPr>
    <w:rPr>
      <w:rFonts w:ascii="Cambria" w:hAnsi="Cambria"/>
      <w:color w:val="auto"/>
    </w:r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44">
    <w:name w:val="Light List - Accent 644"/>
    <w:basedOn w:val="TableNormal"/>
    <w:next w:val="LightList-Accent6"/>
    <w:uiPriority w:val="61"/>
    <w:rsid w:val="009243F5"/>
    <w:pPr>
      <w:spacing w:after="0" w:line="240" w:lineRule="auto"/>
    </w:pPr>
    <w:rPr>
      <w:color w:val="auto"/>
    </w:r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44">
    <w:name w:val="Light Grid - Accent 1144"/>
    <w:basedOn w:val="TableNormal"/>
    <w:uiPriority w:val="62"/>
    <w:rsid w:val="009243F5"/>
    <w:pPr>
      <w:spacing w:after="0" w:line="240" w:lineRule="auto"/>
    </w:pPr>
    <w:rPr>
      <w:rFonts w:ascii="Cambria" w:hAnsi="Cambria"/>
      <w:color w:val="auto"/>
    </w:r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44">
    <w:name w:val="2012 Style44"/>
    <w:basedOn w:val="TableNormal"/>
    <w:uiPriority w:val="99"/>
    <w:qFormat/>
    <w:rsid w:val="009243F5"/>
    <w:pPr>
      <w:spacing w:after="0" w:line="240" w:lineRule="auto"/>
    </w:pPr>
    <w:rPr>
      <w:color w:val="auto"/>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44">
    <w:name w:val="Light Shading - Accent 1244"/>
    <w:basedOn w:val="TableNormal"/>
    <w:uiPriority w:val="60"/>
    <w:rsid w:val="009243F5"/>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numbering" w:customStyle="1" w:styleId="NoList144">
    <w:name w:val="No List144"/>
    <w:next w:val="NoList"/>
    <w:uiPriority w:val="99"/>
    <w:semiHidden/>
    <w:unhideWhenUsed/>
    <w:rsid w:val="009243F5"/>
  </w:style>
  <w:style w:type="numbering" w:customStyle="1" w:styleId="CurrentList1144">
    <w:name w:val="Current List1144"/>
    <w:rsid w:val="009243F5"/>
  </w:style>
  <w:style w:type="table" w:customStyle="1" w:styleId="TableGrid134">
    <w:name w:val="Table Grid134"/>
    <w:basedOn w:val="TableNormal"/>
    <w:next w:val="TableGrid"/>
    <w:uiPriority w:val="59"/>
    <w:rsid w:val="009243F5"/>
    <w:pPr>
      <w:widowControl w:val="0"/>
      <w:spacing w:after="0"/>
    </w:pPr>
    <w:rPr>
      <w:rFonts w:ascii="Times New Roman" w:eastAsia="Times New Roman" w:hAnsi="Times New Roman"/>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ulletedList144">
    <w:name w:val="Bulleted List144"/>
    <w:rsid w:val="009243F5"/>
  </w:style>
  <w:style w:type="table" w:customStyle="1" w:styleId="LightShading1134">
    <w:name w:val="Light Shading1134"/>
    <w:basedOn w:val="TableNormal"/>
    <w:uiPriority w:val="60"/>
    <w:rsid w:val="009243F5"/>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134">
    <w:name w:val="Light Grid1134"/>
    <w:basedOn w:val="TableNormal"/>
    <w:uiPriority w:val="62"/>
    <w:rsid w:val="009243F5"/>
    <w:pPr>
      <w:spacing w:after="0" w:line="240" w:lineRule="auto"/>
    </w:pPr>
    <w:rPr>
      <w:rFonts w:ascii="Arial" w:eastAsia="Arial" w:hAnsi="Arial"/>
      <w:color w:val="auto"/>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134">
    <w:name w:val="Medium Shading 1 - Accent 11134"/>
    <w:basedOn w:val="TableNormal"/>
    <w:uiPriority w:val="63"/>
    <w:rsid w:val="009243F5"/>
    <w:pPr>
      <w:spacing w:after="0" w:line="240" w:lineRule="auto"/>
    </w:pPr>
    <w:rPr>
      <w:rFonts w:ascii="Cambria" w:hAnsi="Cambria"/>
      <w:color w:val="auto"/>
    </w:r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134">
    <w:name w:val="Medium Grid 1 - Accent 1134"/>
    <w:basedOn w:val="TableNormal"/>
    <w:next w:val="MediumGrid1-Accent1"/>
    <w:uiPriority w:val="67"/>
    <w:rsid w:val="009243F5"/>
    <w:pPr>
      <w:spacing w:after="0" w:line="240" w:lineRule="auto"/>
    </w:pPr>
    <w:rPr>
      <w:rFonts w:ascii="Cambria" w:hAnsi="Cambria"/>
      <w:color w:val="auto"/>
    </w:r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134">
    <w:name w:val="Light Shading - Accent 11134"/>
    <w:basedOn w:val="TableNormal"/>
    <w:uiPriority w:val="60"/>
    <w:rsid w:val="009243F5"/>
    <w:pPr>
      <w:spacing w:after="0" w:line="240" w:lineRule="auto"/>
    </w:pPr>
    <w:rPr>
      <w:rFonts w:ascii="Cambria" w:hAnsi="Cambria"/>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134">
    <w:name w:val="RSP_Style134"/>
    <w:basedOn w:val="TableNormal"/>
    <w:uiPriority w:val="99"/>
    <w:qFormat/>
    <w:rsid w:val="009243F5"/>
    <w:pPr>
      <w:spacing w:after="0" w:line="240" w:lineRule="auto"/>
    </w:pPr>
    <w:rPr>
      <w:rFonts w:ascii="Cambria" w:hAnsi="Cambria"/>
      <w:color w:val="auto"/>
    </w:rPr>
    <w:tblPr/>
  </w:style>
  <w:style w:type="table" w:customStyle="1" w:styleId="20122tableformat134">
    <w:name w:val="2012 2 table format134"/>
    <w:basedOn w:val="TableNormal"/>
    <w:uiPriority w:val="63"/>
    <w:rsid w:val="009243F5"/>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134">
    <w:name w:val="Medium Grid 1 - Accent 6134"/>
    <w:basedOn w:val="TableNormal"/>
    <w:next w:val="MediumGrid1-Accent6"/>
    <w:uiPriority w:val="67"/>
    <w:rsid w:val="009243F5"/>
    <w:pPr>
      <w:spacing w:after="0" w:line="240" w:lineRule="auto"/>
    </w:pPr>
    <w:rPr>
      <w:rFonts w:ascii="Cambria" w:hAnsi="Cambria"/>
      <w:color w:val="auto"/>
    </w:r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134">
    <w:name w:val="Light List - Accent 6134"/>
    <w:basedOn w:val="TableNormal"/>
    <w:next w:val="LightList-Accent6"/>
    <w:uiPriority w:val="61"/>
    <w:rsid w:val="009243F5"/>
    <w:pPr>
      <w:spacing w:after="0" w:line="240" w:lineRule="auto"/>
    </w:pPr>
    <w:rPr>
      <w:color w:val="auto"/>
    </w:r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134">
    <w:name w:val="Light Grid - Accent 11134"/>
    <w:basedOn w:val="TableNormal"/>
    <w:uiPriority w:val="62"/>
    <w:rsid w:val="009243F5"/>
    <w:pPr>
      <w:spacing w:after="0" w:line="240" w:lineRule="auto"/>
    </w:pPr>
    <w:rPr>
      <w:rFonts w:ascii="Cambria" w:hAnsi="Cambria"/>
      <w:color w:val="auto"/>
    </w:r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134">
    <w:name w:val="2012 Style134"/>
    <w:basedOn w:val="TableNormal"/>
    <w:uiPriority w:val="99"/>
    <w:qFormat/>
    <w:rsid w:val="009243F5"/>
    <w:pPr>
      <w:spacing w:after="0" w:line="240" w:lineRule="auto"/>
    </w:pPr>
    <w:rPr>
      <w:color w:val="auto"/>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134">
    <w:name w:val="Light Shading - Accent 12134"/>
    <w:basedOn w:val="TableNormal"/>
    <w:uiPriority w:val="60"/>
    <w:rsid w:val="009243F5"/>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table" w:customStyle="1" w:styleId="MediumShading1-Accent434">
    <w:name w:val="Medium Shading 1 - Accent 434"/>
    <w:basedOn w:val="TableNormal"/>
    <w:next w:val="MediumShading1-Accent4"/>
    <w:uiPriority w:val="63"/>
    <w:rsid w:val="009243F5"/>
    <w:pPr>
      <w:spacing w:after="0" w:line="240" w:lineRule="auto"/>
    </w:pPr>
    <w:rPr>
      <w:rFonts w:ascii="Cambria" w:hAnsi="Cambria"/>
      <w:color w:val="auto"/>
    </w:rPr>
    <w:tblPr>
      <w:tblStyleRowBandSize w:val="1"/>
      <w:tblStyleColBandSize w:val="1"/>
      <w:tbl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single" w:sz="8" w:space="0" w:color="FCCA63" w:themeColor="accent4" w:themeTint="BF"/>
      </w:tblBorders>
    </w:tblPr>
    <w:tblStylePr w:type="firstRow">
      <w:pPr>
        <w:spacing w:before="0" w:after="0" w:line="240" w:lineRule="auto"/>
      </w:pPr>
      <w:rPr>
        <w:b/>
        <w:bCs/>
        <w:color w:val="FFFFFF" w:themeColor="background1"/>
      </w:rPr>
      <w:tblPr/>
      <w:tcPr>
        <w:tc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shd w:val="clear" w:color="auto" w:fill="FBB92F" w:themeFill="accent4"/>
      </w:tcPr>
    </w:tblStylePr>
    <w:tblStylePr w:type="lastRow">
      <w:pPr>
        <w:spacing w:before="0" w:after="0" w:line="240" w:lineRule="auto"/>
      </w:pPr>
      <w:rPr>
        <w:b/>
        <w:bCs/>
      </w:rPr>
      <w:tblPr/>
      <w:tcPr>
        <w:tcBorders>
          <w:top w:val="double" w:sz="6"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tcPr>
    </w:tblStylePr>
    <w:tblStylePr w:type="firstCol">
      <w:rPr>
        <w:b/>
        <w:bCs/>
      </w:rPr>
    </w:tblStylePr>
    <w:tblStylePr w:type="lastCol">
      <w:rPr>
        <w:b/>
        <w:bCs/>
      </w:rPr>
    </w:tblStylePr>
    <w:tblStylePr w:type="band1Vert">
      <w:tblPr/>
      <w:tcPr>
        <w:shd w:val="clear" w:color="auto" w:fill="FEEDCB" w:themeFill="accent4" w:themeFillTint="3F"/>
      </w:tcPr>
    </w:tblStylePr>
    <w:tblStylePr w:type="band1Horz">
      <w:tblPr/>
      <w:tcPr>
        <w:tcBorders>
          <w:insideH w:val="nil"/>
          <w:insideV w:val="nil"/>
        </w:tcBorders>
        <w:shd w:val="clear" w:color="auto" w:fill="FEEDCB" w:themeFill="accent4" w:themeFillTint="3F"/>
      </w:tcPr>
    </w:tblStylePr>
    <w:tblStylePr w:type="band2Horz">
      <w:tblPr/>
      <w:tcPr>
        <w:tcBorders>
          <w:insideH w:val="nil"/>
          <w:insideV w:val="nil"/>
        </w:tcBorders>
      </w:tcPr>
    </w:tblStylePr>
  </w:style>
  <w:style w:type="table" w:customStyle="1" w:styleId="TableGrid54">
    <w:name w:val="Table Grid54"/>
    <w:basedOn w:val="TableNormal"/>
    <w:next w:val="TableGrid"/>
    <w:uiPriority w:val="59"/>
    <w:rsid w:val="009243F5"/>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
    <w:name w:val="No List10"/>
    <w:next w:val="NoList"/>
    <w:uiPriority w:val="99"/>
    <w:semiHidden/>
    <w:unhideWhenUsed/>
    <w:rsid w:val="003C3269"/>
  </w:style>
  <w:style w:type="numbering" w:customStyle="1" w:styleId="CurrentList18">
    <w:name w:val="Current List18"/>
    <w:rsid w:val="003C3269"/>
  </w:style>
  <w:style w:type="table" w:customStyle="1" w:styleId="TableGrid10">
    <w:name w:val="Table Grid10"/>
    <w:basedOn w:val="TableNormal"/>
    <w:next w:val="TableGrid"/>
    <w:uiPriority w:val="59"/>
    <w:rsid w:val="003C3269"/>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9">
    <w:name w:val="Light Shading19"/>
    <w:basedOn w:val="TableNormal"/>
    <w:uiPriority w:val="60"/>
    <w:rsid w:val="003C3269"/>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9">
    <w:name w:val="Light Grid19"/>
    <w:basedOn w:val="TableNormal"/>
    <w:uiPriority w:val="62"/>
    <w:rsid w:val="003C3269"/>
    <w:pPr>
      <w:spacing w:after="0" w:line="240" w:lineRule="auto"/>
    </w:pPr>
    <w:rPr>
      <w:rFonts w:ascii="Arial" w:eastAsia="Arial" w:hAnsi="Arial"/>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9">
    <w:name w:val="Medium Shading 1 - Accent 119"/>
    <w:basedOn w:val="TableNormal"/>
    <w:uiPriority w:val="63"/>
    <w:rsid w:val="003C3269"/>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9">
    <w:name w:val="Medium Grid 1 - Accent 19"/>
    <w:basedOn w:val="TableNormal"/>
    <w:next w:val="MediumGrid1-Accent1"/>
    <w:uiPriority w:val="67"/>
    <w:rsid w:val="003C3269"/>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9">
    <w:name w:val="Light Shading - Accent 119"/>
    <w:basedOn w:val="TableNormal"/>
    <w:uiPriority w:val="60"/>
    <w:rsid w:val="003C3269"/>
    <w:pPr>
      <w:spacing w:after="0" w:line="240" w:lineRule="auto"/>
    </w:pPr>
    <w:rPr>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9">
    <w:name w:val="RSP_Style9"/>
    <w:basedOn w:val="TableNormal"/>
    <w:uiPriority w:val="99"/>
    <w:qFormat/>
    <w:rsid w:val="003C3269"/>
    <w:pPr>
      <w:spacing w:after="0" w:line="240" w:lineRule="auto"/>
    </w:pPr>
    <w:tblPr/>
  </w:style>
  <w:style w:type="table" w:customStyle="1" w:styleId="20122tableformat9">
    <w:name w:val="2012 2 table format9"/>
    <w:basedOn w:val="TableNormal"/>
    <w:uiPriority w:val="63"/>
    <w:rsid w:val="003C3269"/>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9">
    <w:name w:val="Medium Grid 1 - Accent 69"/>
    <w:basedOn w:val="TableNormal"/>
    <w:next w:val="MediumGrid1-Accent6"/>
    <w:uiPriority w:val="67"/>
    <w:rsid w:val="003C3269"/>
    <w:pPr>
      <w:spacing w:after="0" w:line="240" w:lineRule="auto"/>
    </w:p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9">
    <w:name w:val="Light List - Accent 69"/>
    <w:basedOn w:val="TableNormal"/>
    <w:next w:val="LightList-Accent6"/>
    <w:uiPriority w:val="61"/>
    <w:rsid w:val="003C3269"/>
    <w:pPr>
      <w:spacing w:after="0" w:line="240" w:lineRule="auto"/>
    </w:p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9">
    <w:name w:val="Light Grid - Accent 119"/>
    <w:basedOn w:val="TableNormal"/>
    <w:uiPriority w:val="62"/>
    <w:rsid w:val="003C3269"/>
    <w:pPr>
      <w:spacing w:after="0" w:line="240" w:lineRule="auto"/>
    </w:p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9">
    <w:name w:val="2012 Style9"/>
    <w:basedOn w:val="TableNormal"/>
    <w:uiPriority w:val="99"/>
    <w:qFormat/>
    <w:rsid w:val="003C3269"/>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9">
    <w:name w:val="Light Shading - Accent 129"/>
    <w:basedOn w:val="TableNormal"/>
    <w:uiPriority w:val="60"/>
    <w:rsid w:val="003C3269"/>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numbering" w:customStyle="1" w:styleId="NoList19">
    <w:name w:val="No List19"/>
    <w:next w:val="NoList"/>
    <w:uiPriority w:val="99"/>
    <w:semiHidden/>
    <w:unhideWhenUsed/>
    <w:rsid w:val="003C3269"/>
  </w:style>
  <w:style w:type="numbering" w:customStyle="1" w:styleId="CurrentList119">
    <w:name w:val="Current List119"/>
    <w:rsid w:val="003C3269"/>
  </w:style>
  <w:style w:type="table" w:customStyle="1" w:styleId="TableGrid18">
    <w:name w:val="Table Grid18"/>
    <w:basedOn w:val="TableNormal"/>
    <w:next w:val="TableGrid"/>
    <w:uiPriority w:val="59"/>
    <w:rsid w:val="003C3269"/>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ulletedList19">
    <w:name w:val="Bulleted List19"/>
    <w:rsid w:val="003C3269"/>
  </w:style>
  <w:style w:type="table" w:customStyle="1" w:styleId="LightShading118">
    <w:name w:val="Light Shading118"/>
    <w:basedOn w:val="TableNormal"/>
    <w:uiPriority w:val="60"/>
    <w:rsid w:val="003C3269"/>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18">
    <w:name w:val="Light Grid118"/>
    <w:basedOn w:val="TableNormal"/>
    <w:uiPriority w:val="62"/>
    <w:rsid w:val="003C3269"/>
    <w:pPr>
      <w:spacing w:after="0" w:line="240" w:lineRule="auto"/>
    </w:pPr>
    <w:rPr>
      <w:rFonts w:ascii="Arial" w:eastAsia="Arial" w:hAnsi="Arial"/>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18">
    <w:name w:val="Medium Shading 1 - Accent 1118"/>
    <w:basedOn w:val="TableNormal"/>
    <w:uiPriority w:val="63"/>
    <w:rsid w:val="003C3269"/>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18">
    <w:name w:val="Medium Grid 1 - Accent 118"/>
    <w:basedOn w:val="TableNormal"/>
    <w:next w:val="MediumGrid1-Accent1"/>
    <w:uiPriority w:val="67"/>
    <w:rsid w:val="003C3269"/>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18">
    <w:name w:val="Light Shading - Accent 1118"/>
    <w:basedOn w:val="TableNormal"/>
    <w:uiPriority w:val="60"/>
    <w:rsid w:val="003C3269"/>
    <w:pPr>
      <w:spacing w:after="0" w:line="240" w:lineRule="auto"/>
    </w:pPr>
    <w:rPr>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18">
    <w:name w:val="RSP_Style18"/>
    <w:basedOn w:val="TableNormal"/>
    <w:uiPriority w:val="99"/>
    <w:qFormat/>
    <w:rsid w:val="003C3269"/>
    <w:pPr>
      <w:spacing w:after="0" w:line="240" w:lineRule="auto"/>
    </w:pPr>
    <w:tblPr/>
  </w:style>
  <w:style w:type="table" w:customStyle="1" w:styleId="20122tableformat18">
    <w:name w:val="2012 2 table format18"/>
    <w:basedOn w:val="TableNormal"/>
    <w:uiPriority w:val="63"/>
    <w:rsid w:val="003C3269"/>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18">
    <w:name w:val="Medium Grid 1 - Accent 618"/>
    <w:basedOn w:val="TableNormal"/>
    <w:next w:val="MediumGrid1-Accent6"/>
    <w:uiPriority w:val="67"/>
    <w:rsid w:val="003C3269"/>
    <w:pPr>
      <w:spacing w:after="0" w:line="240" w:lineRule="auto"/>
    </w:p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18">
    <w:name w:val="Light List - Accent 618"/>
    <w:basedOn w:val="TableNormal"/>
    <w:next w:val="LightList-Accent6"/>
    <w:uiPriority w:val="61"/>
    <w:rsid w:val="003C3269"/>
    <w:pPr>
      <w:spacing w:after="0" w:line="240" w:lineRule="auto"/>
    </w:p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18">
    <w:name w:val="Light Grid - Accent 1118"/>
    <w:basedOn w:val="TableNormal"/>
    <w:uiPriority w:val="62"/>
    <w:rsid w:val="003C3269"/>
    <w:pPr>
      <w:spacing w:after="0" w:line="240" w:lineRule="auto"/>
    </w:p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18">
    <w:name w:val="2012 Style18"/>
    <w:basedOn w:val="TableNormal"/>
    <w:uiPriority w:val="99"/>
    <w:qFormat/>
    <w:rsid w:val="003C3269"/>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18">
    <w:name w:val="Light Shading - Accent 1218"/>
    <w:basedOn w:val="TableNormal"/>
    <w:uiPriority w:val="60"/>
    <w:rsid w:val="003C3269"/>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table" w:customStyle="1" w:styleId="MediumShading1-Accent48">
    <w:name w:val="Medium Shading 1 - Accent 48"/>
    <w:basedOn w:val="TableNormal"/>
    <w:next w:val="MediumShading1-Accent4"/>
    <w:uiPriority w:val="63"/>
    <w:rsid w:val="003C3269"/>
    <w:pPr>
      <w:spacing w:after="0" w:line="240" w:lineRule="auto"/>
    </w:pPr>
    <w:tblPr>
      <w:tblStyleRowBandSize w:val="1"/>
      <w:tblStyleColBandSize w:val="1"/>
      <w:tbl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single" w:sz="8" w:space="0" w:color="FCCA63" w:themeColor="accent4" w:themeTint="BF"/>
      </w:tblBorders>
    </w:tblPr>
    <w:tblStylePr w:type="firstRow">
      <w:pPr>
        <w:spacing w:before="0" w:after="0" w:line="240" w:lineRule="auto"/>
      </w:pPr>
      <w:rPr>
        <w:b/>
        <w:bCs/>
        <w:color w:val="FFFFFF" w:themeColor="background1"/>
      </w:rPr>
      <w:tblPr/>
      <w:tcPr>
        <w:tc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shd w:val="clear" w:color="auto" w:fill="FBB92F" w:themeFill="accent4"/>
      </w:tcPr>
    </w:tblStylePr>
    <w:tblStylePr w:type="lastRow">
      <w:pPr>
        <w:spacing w:before="0" w:after="0" w:line="240" w:lineRule="auto"/>
      </w:pPr>
      <w:rPr>
        <w:b/>
        <w:bCs/>
      </w:rPr>
      <w:tblPr/>
      <w:tcPr>
        <w:tcBorders>
          <w:top w:val="double" w:sz="6"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tcPr>
    </w:tblStylePr>
    <w:tblStylePr w:type="firstCol">
      <w:rPr>
        <w:b/>
        <w:bCs/>
      </w:rPr>
    </w:tblStylePr>
    <w:tblStylePr w:type="lastCol">
      <w:rPr>
        <w:b/>
        <w:bCs/>
      </w:rPr>
    </w:tblStylePr>
    <w:tblStylePr w:type="band1Vert">
      <w:tblPr/>
      <w:tcPr>
        <w:shd w:val="clear" w:color="auto" w:fill="FEEDCB" w:themeFill="accent4" w:themeFillTint="3F"/>
      </w:tcPr>
    </w:tblStylePr>
    <w:tblStylePr w:type="band1Horz">
      <w:tblPr/>
      <w:tcPr>
        <w:tcBorders>
          <w:insideH w:val="nil"/>
          <w:insideV w:val="nil"/>
        </w:tcBorders>
        <w:shd w:val="clear" w:color="auto" w:fill="FEEDCB" w:themeFill="accent4" w:themeFillTint="3F"/>
      </w:tcPr>
    </w:tblStylePr>
    <w:tblStylePr w:type="band2Horz">
      <w:tblPr/>
      <w:tcPr>
        <w:tcBorders>
          <w:insideH w:val="nil"/>
          <w:insideV w:val="nil"/>
        </w:tcBorders>
      </w:tcPr>
    </w:tblStylePr>
  </w:style>
  <w:style w:type="numbering" w:customStyle="1" w:styleId="NoList25">
    <w:name w:val="No List25"/>
    <w:next w:val="NoList"/>
    <w:uiPriority w:val="99"/>
    <w:semiHidden/>
    <w:unhideWhenUsed/>
    <w:rsid w:val="003C3269"/>
  </w:style>
  <w:style w:type="numbering" w:customStyle="1" w:styleId="CurrentList125">
    <w:name w:val="Current List125"/>
    <w:rsid w:val="003C3269"/>
  </w:style>
  <w:style w:type="numbering" w:customStyle="1" w:styleId="BulletedList25">
    <w:name w:val="Bulleted List25"/>
    <w:rsid w:val="003C3269"/>
  </w:style>
  <w:style w:type="numbering" w:customStyle="1" w:styleId="NoList115">
    <w:name w:val="No List115"/>
    <w:next w:val="NoList"/>
    <w:uiPriority w:val="99"/>
    <w:semiHidden/>
    <w:unhideWhenUsed/>
    <w:rsid w:val="003C3269"/>
  </w:style>
  <w:style w:type="numbering" w:customStyle="1" w:styleId="CurrentList1115">
    <w:name w:val="Current List1115"/>
    <w:rsid w:val="003C3269"/>
  </w:style>
  <w:style w:type="numbering" w:customStyle="1" w:styleId="BulletedList115">
    <w:name w:val="Bulleted List115"/>
    <w:rsid w:val="003C3269"/>
  </w:style>
  <w:style w:type="numbering" w:customStyle="1" w:styleId="NoList35">
    <w:name w:val="No List35"/>
    <w:next w:val="NoList"/>
    <w:uiPriority w:val="99"/>
    <w:semiHidden/>
    <w:unhideWhenUsed/>
    <w:rsid w:val="003C3269"/>
  </w:style>
  <w:style w:type="table" w:customStyle="1" w:styleId="TableGrid25">
    <w:name w:val="Table Grid25"/>
    <w:basedOn w:val="TableNormal"/>
    <w:next w:val="TableGrid"/>
    <w:uiPriority w:val="59"/>
    <w:rsid w:val="003C3269"/>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25">
    <w:name w:val="Light Shading125"/>
    <w:basedOn w:val="TableNormal"/>
    <w:uiPriority w:val="60"/>
    <w:rsid w:val="003C3269"/>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25">
    <w:name w:val="Light Grid125"/>
    <w:basedOn w:val="TableNormal"/>
    <w:uiPriority w:val="62"/>
    <w:rsid w:val="003C3269"/>
    <w:pPr>
      <w:spacing w:after="0" w:line="240" w:lineRule="auto"/>
    </w:pPr>
    <w:rPr>
      <w:rFonts w:ascii="Arial" w:eastAsia="Arial" w:hAnsi="Arial"/>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25">
    <w:name w:val="Medium Shading 1 - Accent 1125"/>
    <w:basedOn w:val="TableNormal"/>
    <w:uiPriority w:val="63"/>
    <w:rsid w:val="003C3269"/>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25">
    <w:name w:val="Medium Grid 1 - Accent 125"/>
    <w:basedOn w:val="TableNormal"/>
    <w:next w:val="MediumGrid1-Accent1"/>
    <w:uiPriority w:val="67"/>
    <w:rsid w:val="003C3269"/>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25">
    <w:name w:val="Light Shading - Accent 1125"/>
    <w:basedOn w:val="TableNormal"/>
    <w:uiPriority w:val="60"/>
    <w:rsid w:val="003C3269"/>
    <w:pPr>
      <w:spacing w:after="0" w:line="240" w:lineRule="auto"/>
    </w:pPr>
    <w:rPr>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25">
    <w:name w:val="RSP_Style25"/>
    <w:basedOn w:val="TableNormal"/>
    <w:uiPriority w:val="99"/>
    <w:qFormat/>
    <w:rsid w:val="003C3269"/>
    <w:pPr>
      <w:spacing w:after="0" w:line="240" w:lineRule="auto"/>
    </w:pPr>
    <w:tblPr/>
  </w:style>
  <w:style w:type="table" w:customStyle="1" w:styleId="20122tableformat25">
    <w:name w:val="2012 2 table format25"/>
    <w:basedOn w:val="TableNormal"/>
    <w:uiPriority w:val="63"/>
    <w:rsid w:val="003C3269"/>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25">
    <w:name w:val="Medium Grid 1 - Accent 625"/>
    <w:basedOn w:val="TableNormal"/>
    <w:next w:val="MediumGrid1-Accent6"/>
    <w:uiPriority w:val="67"/>
    <w:rsid w:val="003C3269"/>
    <w:pPr>
      <w:spacing w:after="0" w:line="240" w:lineRule="auto"/>
    </w:p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25">
    <w:name w:val="Light List - Accent 625"/>
    <w:basedOn w:val="TableNormal"/>
    <w:next w:val="LightList-Accent6"/>
    <w:uiPriority w:val="61"/>
    <w:rsid w:val="003C3269"/>
    <w:pPr>
      <w:spacing w:after="0" w:line="240" w:lineRule="auto"/>
    </w:p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25">
    <w:name w:val="Light Grid - Accent 1125"/>
    <w:basedOn w:val="TableNormal"/>
    <w:uiPriority w:val="62"/>
    <w:rsid w:val="003C3269"/>
    <w:pPr>
      <w:spacing w:after="0" w:line="240" w:lineRule="auto"/>
    </w:p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25">
    <w:name w:val="2012 Style25"/>
    <w:basedOn w:val="TableNormal"/>
    <w:uiPriority w:val="99"/>
    <w:qFormat/>
    <w:rsid w:val="003C3269"/>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25">
    <w:name w:val="Light Shading - Accent 1225"/>
    <w:basedOn w:val="TableNormal"/>
    <w:uiPriority w:val="60"/>
    <w:rsid w:val="003C3269"/>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numbering" w:customStyle="1" w:styleId="NoList125">
    <w:name w:val="No List125"/>
    <w:next w:val="NoList"/>
    <w:uiPriority w:val="99"/>
    <w:semiHidden/>
    <w:unhideWhenUsed/>
    <w:rsid w:val="003C3269"/>
  </w:style>
  <w:style w:type="numbering" w:customStyle="1" w:styleId="CurrentList1125">
    <w:name w:val="Current List1125"/>
    <w:rsid w:val="003C3269"/>
  </w:style>
  <w:style w:type="table" w:customStyle="1" w:styleId="TableGrid115">
    <w:name w:val="Table Grid115"/>
    <w:basedOn w:val="TableNormal"/>
    <w:next w:val="TableGrid"/>
    <w:uiPriority w:val="59"/>
    <w:rsid w:val="003C3269"/>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ulletedList125">
    <w:name w:val="Bulleted List125"/>
    <w:rsid w:val="003C3269"/>
  </w:style>
  <w:style w:type="table" w:customStyle="1" w:styleId="LightShading1115">
    <w:name w:val="Light Shading1115"/>
    <w:basedOn w:val="TableNormal"/>
    <w:uiPriority w:val="60"/>
    <w:rsid w:val="003C3269"/>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115">
    <w:name w:val="Light Grid1115"/>
    <w:basedOn w:val="TableNormal"/>
    <w:uiPriority w:val="62"/>
    <w:rsid w:val="003C3269"/>
    <w:pPr>
      <w:spacing w:after="0" w:line="240" w:lineRule="auto"/>
    </w:pPr>
    <w:rPr>
      <w:rFonts w:ascii="Arial" w:eastAsia="Arial" w:hAnsi="Arial"/>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115">
    <w:name w:val="Medium Shading 1 - Accent 11115"/>
    <w:basedOn w:val="TableNormal"/>
    <w:uiPriority w:val="63"/>
    <w:rsid w:val="003C3269"/>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115">
    <w:name w:val="Medium Grid 1 - Accent 1115"/>
    <w:basedOn w:val="TableNormal"/>
    <w:next w:val="MediumGrid1-Accent1"/>
    <w:uiPriority w:val="67"/>
    <w:rsid w:val="003C3269"/>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115">
    <w:name w:val="Light Shading - Accent 11115"/>
    <w:basedOn w:val="TableNormal"/>
    <w:uiPriority w:val="60"/>
    <w:rsid w:val="003C3269"/>
    <w:pPr>
      <w:spacing w:after="0" w:line="240" w:lineRule="auto"/>
    </w:pPr>
    <w:rPr>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115">
    <w:name w:val="RSP_Style115"/>
    <w:basedOn w:val="TableNormal"/>
    <w:uiPriority w:val="99"/>
    <w:qFormat/>
    <w:rsid w:val="003C3269"/>
    <w:pPr>
      <w:spacing w:after="0" w:line="240" w:lineRule="auto"/>
    </w:pPr>
    <w:tblPr/>
  </w:style>
  <w:style w:type="table" w:customStyle="1" w:styleId="20122tableformat115">
    <w:name w:val="2012 2 table format115"/>
    <w:basedOn w:val="TableNormal"/>
    <w:uiPriority w:val="63"/>
    <w:rsid w:val="003C3269"/>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115">
    <w:name w:val="Medium Grid 1 - Accent 6115"/>
    <w:basedOn w:val="TableNormal"/>
    <w:next w:val="MediumGrid1-Accent6"/>
    <w:uiPriority w:val="67"/>
    <w:rsid w:val="003C3269"/>
    <w:pPr>
      <w:spacing w:after="0" w:line="240" w:lineRule="auto"/>
    </w:p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115">
    <w:name w:val="Light List - Accent 6115"/>
    <w:basedOn w:val="TableNormal"/>
    <w:next w:val="LightList-Accent6"/>
    <w:uiPriority w:val="61"/>
    <w:rsid w:val="003C3269"/>
    <w:pPr>
      <w:spacing w:after="0" w:line="240" w:lineRule="auto"/>
    </w:p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115">
    <w:name w:val="Light Grid - Accent 11115"/>
    <w:basedOn w:val="TableNormal"/>
    <w:uiPriority w:val="62"/>
    <w:rsid w:val="003C3269"/>
    <w:pPr>
      <w:spacing w:after="0" w:line="240" w:lineRule="auto"/>
    </w:p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115">
    <w:name w:val="2012 Style115"/>
    <w:basedOn w:val="TableNormal"/>
    <w:uiPriority w:val="99"/>
    <w:qFormat/>
    <w:rsid w:val="003C3269"/>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115">
    <w:name w:val="Light Shading - Accent 12115"/>
    <w:basedOn w:val="TableNormal"/>
    <w:uiPriority w:val="60"/>
    <w:rsid w:val="003C3269"/>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table" w:customStyle="1" w:styleId="MediumShading1-Accent415">
    <w:name w:val="Medium Shading 1 - Accent 415"/>
    <w:basedOn w:val="TableNormal"/>
    <w:next w:val="MediumShading1-Accent4"/>
    <w:uiPriority w:val="63"/>
    <w:rsid w:val="003C3269"/>
    <w:pPr>
      <w:spacing w:after="0" w:line="240" w:lineRule="auto"/>
    </w:pPr>
    <w:tblPr>
      <w:tblStyleRowBandSize w:val="1"/>
      <w:tblStyleColBandSize w:val="1"/>
      <w:tbl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single" w:sz="8" w:space="0" w:color="FCCA63" w:themeColor="accent4" w:themeTint="BF"/>
      </w:tblBorders>
    </w:tblPr>
    <w:tblStylePr w:type="firstRow">
      <w:pPr>
        <w:spacing w:before="0" w:after="0" w:line="240" w:lineRule="auto"/>
      </w:pPr>
      <w:rPr>
        <w:b/>
        <w:bCs/>
        <w:color w:val="FFFFFF" w:themeColor="background1"/>
      </w:rPr>
      <w:tblPr/>
      <w:tcPr>
        <w:tc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shd w:val="clear" w:color="auto" w:fill="FBB92F" w:themeFill="accent4"/>
      </w:tcPr>
    </w:tblStylePr>
    <w:tblStylePr w:type="lastRow">
      <w:pPr>
        <w:spacing w:before="0" w:after="0" w:line="240" w:lineRule="auto"/>
      </w:pPr>
      <w:rPr>
        <w:b/>
        <w:bCs/>
      </w:rPr>
      <w:tblPr/>
      <w:tcPr>
        <w:tcBorders>
          <w:top w:val="double" w:sz="6"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tcPr>
    </w:tblStylePr>
    <w:tblStylePr w:type="firstCol">
      <w:rPr>
        <w:b/>
        <w:bCs/>
      </w:rPr>
    </w:tblStylePr>
    <w:tblStylePr w:type="lastCol">
      <w:rPr>
        <w:b/>
        <w:bCs/>
      </w:rPr>
    </w:tblStylePr>
    <w:tblStylePr w:type="band1Vert">
      <w:tblPr/>
      <w:tcPr>
        <w:shd w:val="clear" w:color="auto" w:fill="FEEDCB" w:themeFill="accent4" w:themeFillTint="3F"/>
      </w:tcPr>
    </w:tblStylePr>
    <w:tblStylePr w:type="band1Horz">
      <w:tblPr/>
      <w:tcPr>
        <w:tcBorders>
          <w:insideH w:val="nil"/>
          <w:insideV w:val="nil"/>
        </w:tcBorders>
        <w:shd w:val="clear" w:color="auto" w:fill="FEEDCB" w:themeFill="accent4" w:themeFillTint="3F"/>
      </w:tcPr>
    </w:tblStylePr>
    <w:tblStylePr w:type="band2Horz">
      <w:tblPr/>
      <w:tcPr>
        <w:tcBorders>
          <w:insideH w:val="nil"/>
          <w:insideV w:val="nil"/>
        </w:tcBorders>
      </w:tcPr>
    </w:tblStylePr>
  </w:style>
  <w:style w:type="numbering" w:customStyle="1" w:styleId="NoList45">
    <w:name w:val="No List45"/>
    <w:next w:val="NoList"/>
    <w:uiPriority w:val="99"/>
    <w:semiHidden/>
    <w:unhideWhenUsed/>
    <w:rsid w:val="003C3269"/>
  </w:style>
  <w:style w:type="table" w:customStyle="1" w:styleId="TableGrid36">
    <w:name w:val="Table Grid36"/>
    <w:basedOn w:val="TableNormal"/>
    <w:next w:val="TableGrid"/>
    <w:uiPriority w:val="59"/>
    <w:rsid w:val="003C3269"/>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35">
    <w:name w:val="Light Shading135"/>
    <w:basedOn w:val="TableNormal"/>
    <w:uiPriority w:val="60"/>
    <w:rsid w:val="003C3269"/>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35">
    <w:name w:val="Light Grid135"/>
    <w:basedOn w:val="TableNormal"/>
    <w:uiPriority w:val="62"/>
    <w:rsid w:val="003C3269"/>
    <w:pPr>
      <w:spacing w:after="0" w:line="240" w:lineRule="auto"/>
    </w:pPr>
    <w:rPr>
      <w:rFonts w:ascii="Arial" w:eastAsia="Arial" w:hAnsi="Arial"/>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35">
    <w:name w:val="Medium Shading 1 - Accent 1135"/>
    <w:basedOn w:val="TableNormal"/>
    <w:uiPriority w:val="63"/>
    <w:rsid w:val="003C3269"/>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35">
    <w:name w:val="Medium Grid 1 - Accent 135"/>
    <w:basedOn w:val="TableNormal"/>
    <w:next w:val="MediumGrid1-Accent1"/>
    <w:uiPriority w:val="67"/>
    <w:rsid w:val="003C3269"/>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35">
    <w:name w:val="Light Shading - Accent 1135"/>
    <w:basedOn w:val="TableNormal"/>
    <w:uiPriority w:val="60"/>
    <w:rsid w:val="003C3269"/>
    <w:pPr>
      <w:spacing w:after="0" w:line="240" w:lineRule="auto"/>
    </w:pPr>
    <w:rPr>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35">
    <w:name w:val="RSP_Style35"/>
    <w:basedOn w:val="TableNormal"/>
    <w:uiPriority w:val="99"/>
    <w:qFormat/>
    <w:rsid w:val="003C3269"/>
    <w:pPr>
      <w:spacing w:after="0" w:line="240" w:lineRule="auto"/>
    </w:pPr>
    <w:tblPr/>
  </w:style>
  <w:style w:type="table" w:customStyle="1" w:styleId="20122tableformat35">
    <w:name w:val="2012 2 table format35"/>
    <w:basedOn w:val="TableNormal"/>
    <w:uiPriority w:val="63"/>
    <w:rsid w:val="003C3269"/>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35">
    <w:name w:val="Medium Grid 1 - Accent 635"/>
    <w:basedOn w:val="TableNormal"/>
    <w:next w:val="MediumGrid1-Accent6"/>
    <w:uiPriority w:val="67"/>
    <w:rsid w:val="003C3269"/>
    <w:pPr>
      <w:spacing w:after="0" w:line="240" w:lineRule="auto"/>
    </w:p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35">
    <w:name w:val="Light List - Accent 635"/>
    <w:basedOn w:val="TableNormal"/>
    <w:next w:val="LightList-Accent6"/>
    <w:uiPriority w:val="61"/>
    <w:rsid w:val="003C3269"/>
    <w:pPr>
      <w:spacing w:after="0" w:line="240" w:lineRule="auto"/>
    </w:p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35">
    <w:name w:val="Light Grid - Accent 1135"/>
    <w:basedOn w:val="TableNormal"/>
    <w:uiPriority w:val="62"/>
    <w:rsid w:val="003C3269"/>
    <w:pPr>
      <w:spacing w:after="0" w:line="240" w:lineRule="auto"/>
    </w:p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35">
    <w:name w:val="2012 Style35"/>
    <w:basedOn w:val="TableNormal"/>
    <w:uiPriority w:val="99"/>
    <w:qFormat/>
    <w:rsid w:val="003C3269"/>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35">
    <w:name w:val="Light Shading - Accent 1235"/>
    <w:basedOn w:val="TableNormal"/>
    <w:uiPriority w:val="60"/>
    <w:rsid w:val="003C3269"/>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numbering" w:customStyle="1" w:styleId="NoList135">
    <w:name w:val="No List135"/>
    <w:next w:val="NoList"/>
    <w:uiPriority w:val="99"/>
    <w:semiHidden/>
    <w:unhideWhenUsed/>
    <w:rsid w:val="003C3269"/>
  </w:style>
  <w:style w:type="numbering" w:customStyle="1" w:styleId="CurrentList1135">
    <w:name w:val="Current List1135"/>
    <w:rsid w:val="003C3269"/>
  </w:style>
  <w:style w:type="table" w:customStyle="1" w:styleId="TableGrid125">
    <w:name w:val="Table Grid125"/>
    <w:basedOn w:val="TableNormal"/>
    <w:next w:val="TableGrid"/>
    <w:uiPriority w:val="59"/>
    <w:rsid w:val="003C3269"/>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ulletedList135">
    <w:name w:val="Bulleted List135"/>
    <w:rsid w:val="003C3269"/>
  </w:style>
  <w:style w:type="table" w:customStyle="1" w:styleId="LightShading1125">
    <w:name w:val="Light Shading1125"/>
    <w:basedOn w:val="TableNormal"/>
    <w:uiPriority w:val="60"/>
    <w:rsid w:val="003C3269"/>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125">
    <w:name w:val="Light Grid1125"/>
    <w:basedOn w:val="TableNormal"/>
    <w:uiPriority w:val="62"/>
    <w:rsid w:val="003C3269"/>
    <w:pPr>
      <w:spacing w:after="0" w:line="240" w:lineRule="auto"/>
    </w:pPr>
    <w:rPr>
      <w:rFonts w:ascii="Arial" w:eastAsia="Arial" w:hAnsi="Arial"/>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125">
    <w:name w:val="Medium Shading 1 - Accent 11125"/>
    <w:basedOn w:val="TableNormal"/>
    <w:uiPriority w:val="63"/>
    <w:rsid w:val="003C3269"/>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125">
    <w:name w:val="Medium Grid 1 - Accent 1125"/>
    <w:basedOn w:val="TableNormal"/>
    <w:next w:val="MediumGrid1-Accent1"/>
    <w:uiPriority w:val="67"/>
    <w:rsid w:val="003C3269"/>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125">
    <w:name w:val="Light Shading - Accent 11125"/>
    <w:basedOn w:val="TableNormal"/>
    <w:uiPriority w:val="60"/>
    <w:rsid w:val="003C3269"/>
    <w:pPr>
      <w:spacing w:after="0" w:line="240" w:lineRule="auto"/>
    </w:pPr>
    <w:rPr>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125">
    <w:name w:val="RSP_Style125"/>
    <w:basedOn w:val="TableNormal"/>
    <w:uiPriority w:val="99"/>
    <w:qFormat/>
    <w:rsid w:val="003C3269"/>
    <w:pPr>
      <w:spacing w:after="0" w:line="240" w:lineRule="auto"/>
    </w:pPr>
    <w:tblPr/>
  </w:style>
  <w:style w:type="table" w:customStyle="1" w:styleId="20122tableformat125">
    <w:name w:val="2012 2 table format125"/>
    <w:basedOn w:val="TableNormal"/>
    <w:uiPriority w:val="63"/>
    <w:rsid w:val="003C3269"/>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125">
    <w:name w:val="Medium Grid 1 - Accent 6125"/>
    <w:basedOn w:val="TableNormal"/>
    <w:next w:val="MediumGrid1-Accent6"/>
    <w:uiPriority w:val="67"/>
    <w:rsid w:val="003C3269"/>
    <w:pPr>
      <w:spacing w:after="0" w:line="240" w:lineRule="auto"/>
    </w:p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125">
    <w:name w:val="Light List - Accent 6125"/>
    <w:basedOn w:val="TableNormal"/>
    <w:next w:val="LightList-Accent6"/>
    <w:uiPriority w:val="61"/>
    <w:rsid w:val="003C3269"/>
    <w:pPr>
      <w:spacing w:after="0" w:line="240" w:lineRule="auto"/>
    </w:p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125">
    <w:name w:val="Light Grid - Accent 11125"/>
    <w:basedOn w:val="TableNormal"/>
    <w:uiPriority w:val="62"/>
    <w:rsid w:val="003C3269"/>
    <w:pPr>
      <w:spacing w:after="0" w:line="240" w:lineRule="auto"/>
    </w:p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125">
    <w:name w:val="2012 Style125"/>
    <w:basedOn w:val="TableNormal"/>
    <w:uiPriority w:val="99"/>
    <w:qFormat/>
    <w:rsid w:val="003C3269"/>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125">
    <w:name w:val="Light Shading - Accent 12125"/>
    <w:basedOn w:val="TableNormal"/>
    <w:uiPriority w:val="60"/>
    <w:rsid w:val="003C3269"/>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table" w:customStyle="1" w:styleId="MediumShading1-Accent425">
    <w:name w:val="Medium Shading 1 - Accent 425"/>
    <w:basedOn w:val="TableNormal"/>
    <w:next w:val="MediumShading1-Accent4"/>
    <w:uiPriority w:val="63"/>
    <w:rsid w:val="003C3269"/>
    <w:pPr>
      <w:spacing w:after="0" w:line="240" w:lineRule="auto"/>
    </w:pPr>
    <w:tblPr>
      <w:tblStyleRowBandSize w:val="1"/>
      <w:tblStyleColBandSize w:val="1"/>
      <w:tbl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single" w:sz="8" w:space="0" w:color="FCCA63" w:themeColor="accent4" w:themeTint="BF"/>
      </w:tblBorders>
    </w:tblPr>
    <w:tblStylePr w:type="firstRow">
      <w:pPr>
        <w:spacing w:before="0" w:after="0" w:line="240" w:lineRule="auto"/>
      </w:pPr>
      <w:rPr>
        <w:b/>
        <w:bCs/>
        <w:color w:val="FFFFFF" w:themeColor="background1"/>
      </w:rPr>
      <w:tblPr/>
      <w:tcPr>
        <w:tc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shd w:val="clear" w:color="auto" w:fill="FBB92F" w:themeFill="accent4"/>
      </w:tcPr>
    </w:tblStylePr>
    <w:tblStylePr w:type="lastRow">
      <w:pPr>
        <w:spacing w:before="0" w:after="0" w:line="240" w:lineRule="auto"/>
      </w:pPr>
      <w:rPr>
        <w:b/>
        <w:bCs/>
      </w:rPr>
      <w:tblPr/>
      <w:tcPr>
        <w:tcBorders>
          <w:top w:val="double" w:sz="6"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tcPr>
    </w:tblStylePr>
    <w:tblStylePr w:type="firstCol">
      <w:rPr>
        <w:b/>
        <w:bCs/>
      </w:rPr>
    </w:tblStylePr>
    <w:tblStylePr w:type="lastCol">
      <w:rPr>
        <w:b/>
        <w:bCs/>
      </w:rPr>
    </w:tblStylePr>
    <w:tblStylePr w:type="band1Vert">
      <w:tblPr/>
      <w:tcPr>
        <w:shd w:val="clear" w:color="auto" w:fill="FEEDCB" w:themeFill="accent4" w:themeFillTint="3F"/>
      </w:tcPr>
    </w:tblStylePr>
    <w:tblStylePr w:type="band1Horz">
      <w:tblPr/>
      <w:tcPr>
        <w:tcBorders>
          <w:insideH w:val="nil"/>
          <w:insideV w:val="nil"/>
        </w:tcBorders>
        <w:shd w:val="clear" w:color="auto" w:fill="FEEDCB" w:themeFill="accent4" w:themeFillTint="3F"/>
      </w:tcPr>
    </w:tblStylePr>
    <w:tblStylePr w:type="band2Horz">
      <w:tblPr/>
      <w:tcPr>
        <w:tcBorders>
          <w:insideH w:val="nil"/>
          <w:insideV w:val="nil"/>
        </w:tcBorders>
      </w:tcPr>
    </w:tblStylePr>
  </w:style>
  <w:style w:type="numbering" w:customStyle="1" w:styleId="CurrentList135">
    <w:name w:val="Current List135"/>
    <w:rsid w:val="003C3269"/>
  </w:style>
  <w:style w:type="table" w:customStyle="1" w:styleId="TableGrid315">
    <w:name w:val="Table Grid315"/>
    <w:basedOn w:val="TableNormal"/>
    <w:next w:val="TableGrid"/>
    <w:uiPriority w:val="59"/>
    <w:rsid w:val="003C3269"/>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5">
    <w:name w:val="No List55"/>
    <w:next w:val="NoList"/>
    <w:uiPriority w:val="99"/>
    <w:semiHidden/>
    <w:unhideWhenUsed/>
    <w:rsid w:val="003C3269"/>
  </w:style>
  <w:style w:type="numbering" w:customStyle="1" w:styleId="CurrentList145">
    <w:name w:val="Current List145"/>
    <w:rsid w:val="003C3269"/>
  </w:style>
  <w:style w:type="table" w:customStyle="1" w:styleId="TableGrid45">
    <w:name w:val="Table Grid45"/>
    <w:basedOn w:val="TableNormal"/>
    <w:next w:val="TableGrid"/>
    <w:uiPriority w:val="59"/>
    <w:rsid w:val="003C3269"/>
    <w:pPr>
      <w:widowControl w:val="0"/>
      <w:spacing w:after="0"/>
    </w:pPr>
    <w:rPr>
      <w:rFonts w:ascii="Times New Roman" w:eastAsia="Times New Roman" w:hAnsi="Times New Roman"/>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ulletedList35">
    <w:name w:val="Bulleted List35"/>
    <w:rsid w:val="003C3269"/>
  </w:style>
  <w:style w:type="table" w:customStyle="1" w:styleId="LightShading145">
    <w:name w:val="Light Shading145"/>
    <w:basedOn w:val="TableNormal"/>
    <w:uiPriority w:val="60"/>
    <w:rsid w:val="003C3269"/>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45">
    <w:name w:val="Light Grid145"/>
    <w:basedOn w:val="TableNormal"/>
    <w:uiPriority w:val="62"/>
    <w:rsid w:val="003C3269"/>
    <w:pPr>
      <w:spacing w:after="0" w:line="240" w:lineRule="auto"/>
    </w:pPr>
    <w:rPr>
      <w:rFonts w:ascii="Arial" w:eastAsia="Arial" w:hAnsi="Arial"/>
      <w:color w:val="auto"/>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45">
    <w:name w:val="Medium Shading 1 - Accent 1145"/>
    <w:basedOn w:val="TableNormal"/>
    <w:uiPriority w:val="63"/>
    <w:rsid w:val="003C3269"/>
    <w:pPr>
      <w:spacing w:after="0" w:line="240" w:lineRule="auto"/>
    </w:pPr>
    <w:rPr>
      <w:rFonts w:ascii="Cambria" w:hAnsi="Cambria"/>
      <w:color w:val="auto"/>
    </w:r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45">
    <w:name w:val="Medium Grid 1 - Accent 145"/>
    <w:basedOn w:val="TableNormal"/>
    <w:next w:val="MediumGrid1-Accent1"/>
    <w:uiPriority w:val="67"/>
    <w:rsid w:val="003C3269"/>
    <w:pPr>
      <w:spacing w:after="0" w:line="240" w:lineRule="auto"/>
    </w:pPr>
    <w:rPr>
      <w:rFonts w:ascii="Cambria" w:hAnsi="Cambria"/>
      <w:color w:val="auto"/>
    </w:r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45">
    <w:name w:val="Light Shading - Accent 1145"/>
    <w:basedOn w:val="TableNormal"/>
    <w:uiPriority w:val="60"/>
    <w:rsid w:val="003C3269"/>
    <w:pPr>
      <w:spacing w:after="0" w:line="240" w:lineRule="auto"/>
    </w:pPr>
    <w:rPr>
      <w:rFonts w:ascii="Cambria" w:hAnsi="Cambria"/>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45">
    <w:name w:val="RSP_Style45"/>
    <w:basedOn w:val="TableNormal"/>
    <w:uiPriority w:val="99"/>
    <w:qFormat/>
    <w:rsid w:val="003C3269"/>
    <w:pPr>
      <w:spacing w:after="0" w:line="240" w:lineRule="auto"/>
    </w:pPr>
    <w:rPr>
      <w:rFonts w:ascii="Cambria" w:hAnsi="Cambria"/>
      <w:color w:val="auto"/>
    </w:rPr>
    <w:tblPr/>
  </w:style>
  <w:style w:type="table" w:customStyle="1" w:styleId="20122tableformat45">
    <w:name w:val="2012 2 table format45"/>
    <w:basedOn w:val="TableNormal"/>
    <w:uiPriority w:val="63"/>
    <w:rsid w:val="003C3269"/>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45">
    <w:name w:val="Medium Grid 1 - Accent 645"/>
    <w:basedOn w:val="TableNormal"/>
    <w:next w:val="MediumGrid1-Accent6"/>
    <w:uiPriority w:val="67"/>
    <w:rsid w:val="003C3269"/>
    <w:pPr>
      <w:spacing w:after="0" w:line="240" w:lineRule="auto"/>
    </w:pPr>
    <w:rPr>
      <w:rFonts w:ascii="Cambria" w:hAnsi="Cambria"/>
      <w:color w:val="auto"/>
    </w:r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45">
    <w:name w:val="Light List - Accent 645"/>
    <w:basedOn w:val="TableNormal"/>
    <w:next w:val="LightList-Accent6"/>
    <w:uiPriority w:val="61"/>
    <w:rsid w:val="003C3269"/>
    <w:pPr>
      <w:spacing w:after="0" w:line="240" w:lineRule="auto"/>
    </w:pPr>
    <w:rPr>
      <w:color w:val="auto"/>
    </w:r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45">
    <w:name w:val="Light Grid - Accent 1145"/>
    <w:basedOn w:val="TableNormal"/>
    <w:uiPriority w:val="62"/>
    <w:rsid w:val="003C3269"/>
    <w:pPr>
      <w:spacing w:after="0" w:line="240" w:lineRule="auto"/>
    </w:pPr>
    <w:rPr>
      <w:rFonts w:ascii="Cambria" w:hAnsi="Cambria"/>
      <w:color w:val="auto"/>
    </w:r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45">
    <w:name w:val="2012 Style45"/>
    <w:basedOn w:val="TableNormal"/>
    <w:uiPriority w:val="99"/>
    <w:qFormat/>
    <w:rsid w:val="003C3269"/>
    <w:pPr>
      <w:spacing w:after="0" w:line="240" w:lineRule="auto"/>
    </w:pPr>
    <w:rPr>
      <w:color w:val="auto"/>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45">
    <w:name w:val="Light Shading - Accent 1245"/>
    <w:basedOn w:val="TableNormal"/>
    <w:uiPriority w:val="60"/>
    <w:rsid w:val="003C3269"/>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numbering" w:customStyle="1" w:styleId="NoList145">
    <w:name w:val="No List145"/>
    <w:next w:val="NoList"/>
    <w:uiPriority w:val="99"/>
    <w:semiHidden/>
    <w:unhideWhenUsed/>
    <w:rsid w:val="003C3269"/>
  </w:style>
  <w:style w:type="numbering" w:customStyle="1" w:styleId="CurrentList1145">
    <w:name w:val="Current List1145"/>
    <w:rsid w:val="003C3269"/>
  </w:style>
  <w:style w:type="table" w:customStyle="1" w:styleId="TableGrid135">
    <w:name w:val="Table Grid135"/>
    <w:basedOn w:val="TableNormal"/>
    <w:next w:val="TableGrid"/>
    <w:uiPriority w:val="59"/>
    <w:rsid w:val="003C3269"/>
    <w:pPr>
      <w:widowControl w:val="0"/>
      <w:spacing w:after="0"/>
    </w:pPr>
    <w:rPr>
      <w:rFonts w:ascii="Times New Roman" w:eastAsia="Times New Roman" w:hAnsi="Times New Roman"/>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ulletedList145">
    <w:name w:val="Bulleted List145"/>
    <w:rsid w:val="003C3269"/>
  </w:style>
  <w:style w:type="table" w:customStyle="1" w:styleId="LightShading1135">
    <w:name w:val="Light Shading1135"/>
    <w:basedOn w:val="TableNormal"/>
    <w:uiPriority w:val="60"/>
    <w:rsid w:val="003C3269"/>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135">
    <w:name w:val="Light Grid1135"/>
    <w:basedOn w:val="TableNormal"/>
    <w:uiPriority w:val="62"/>
    <w:rsid w:val="003C3269"/>
    <w:pPr>
      <w:spacing w:after="0" w:line="240" w:lineRule="auto"/>
    </w:pPr>
    <w:rPr>
      <w:rFonts w:ascii="Arial" w:eastAsia="Arial" w:hAnsi="Arial"/>
      <w:color w:val="auto"/>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135">
    <w:name w:val="Medium Shading 1 - Accent 11135"/>
    <w:basedOn w:val="TableNormal"/>
    <w:uiPriority w:val="63"/>
    <w:rsid w:val="003C3269"/>
    <w:pPr>
      <w:spacing w:after="0" w:line="240" w:lineRule="auto"/>
    </w:pPr>
    <w:rPr>
      <w:rFonts w:ascii="Cambria" w:hAnsi="Cambria"/>
      <w:color w:val="auto"/>
    </w:r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135">
    <w:name w:val="Medium Grid 1 - Accent 1135"/>
    <w:basedOn w:val="TableNormal"/>
    <w:next w:val="MediumGrid1-Accent1"/>
    <w:uiPriority w:val="67"/>
    <w:rsid w:val="003C3269"/>
    <w:pPr>
      <w:spacing w:after="0" w:line="240" w:lineRule="auto"/>
    </w:pPr>
    <w:rPr>
      <w:rFonts w:ascii="Cambria" w:hAnsi="Cambria"/>
      <w:color w:val="auto"/>
    </w:r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135">
    <w:name w:val="Light Shading - Accent 11135"/>
    <w:basedOn w:val="TableNormal"/>
    <w:uiPriority w:val="60"/>
    <w:rsid w:val="003C3269"/>
    <w:pPr>
      <w:spacing w:after="0" w:line="240" w:lineRule="auto"/>
    </w:pPr>
    <w:rPr>
      <w:rFonts w:ascii="Cambria" w:hAnsi="Cambria"/>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135">
    <w:name w:val="RSP_Style135"/>
    <w:basedOn w:val="TableNormal"/>
    <w:uiPriority w:val="99"/>
    <w:qFormat/>
    <w:rsid w:val="003C3269"/>
    <w:pPr>
      <w:spacing w:after="0" w:line="240" w:lineRule="auto"/>
    </w:pPr>
    <w:rPr>
      <w:rFonts w:ascii="Cambria" w:hAnsi="Cambria"/>
      <w:color w:val="auto"/>
    </w:rPr>
    <w:tblPr/>
  </w:style>
  <w:style w:type="table" w:customStyle="1" w:styleId="20122tableformat135">
    <w:name w:val="2012 2 table format135"/>
    <w:basedOn w:val="TableNormal"/>
    <w:uiPriority w:val="63"/>
    <w:rsid w:val="003C3269"/>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135">
    <w:name w:val="Medium Grid 1 - Accent 6135"/>
    <w:basedOn w:val="TableNormal"/>
    <w:next w:val="MediumGrid1-Accent6"/>
    <w:uiPriority w:val="67"/>
    <w:rsid w:val="003C3269"/>
    <w:pPr>
      <w:spacing w:after="0" w:line="240" w:lineRule="auto"/>
    </w:pPr>
    <w:rPr>
      <w:rFonts w:ascii="Cambria" w:hAnsi="Cambria"/>
      <w:color w:val="auto"/>
    </w:r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135">
    <w:name w:val="Light List - Accent 6135"/>
    <w:basedOn w:val="TableNormal"/>
    <w:next w:val="LightList-Accent6"/>
    <w:uiPriority w:val="61"/>
    <w:rsid w:val="003C3269"/>
    <w:pPr>
      <w:spacing w:after="0" w:line="240" w:lineRule="auto"/>
    </w:pPr>
    <w:rPr>
      <w:color w:val="auto"/>
    </w:r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135">
    <w:name w:val="Light Grid - Accent 11135"/>
    <w:basedOn w:val="TableNormal"/>
    <w:uiPriority w:val="62"/>
    <w:rsid w:val="003C3269"/>
    <w:pPr>
      <w:spacing w:after="0" w:line="240" w:lineRule="auto"/>
    </w:pPr>
    <w:rPr>
      <w:rFonts w:ascii="Cambria" w:hAnsi="Cambria"/>
      <w:color w:val="auto"/>
    </w:r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135">
    <w:name w:val="2012 Style135"/>
    <w:basedOn w:val="TableNormal"/>
    <w:uiPriority w:val="99"/>
    <w:qFormat/>
    <w:rsid w:val="003C3269"/>
    <w:pPr>
      <w:spacing w:after="0" w:line="240" w:lineRule="auto"/>
    </w:pPr>
    <w:rPr>
      <w:color w:val="auto"/>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135">
    <w:name w:val="Light Shading - Accent 12135"/>
    <w:basedOn w:val="TableNormal"/>
    <w:uiPriority w:val="60"/>
    <w:rsid w:val="003C3269"/>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table" w:customStyle="1" w:styleId="MediumShading1-Accent435">
    <w:name w:val="Medium Shading 1 - Accent 435"/>
    <w:basedOn w:val="TableNormal"/>
    <w:next w:val="MediumShading1-Accent4"/>
    <w:uiPriority w:val="63"/>
    <w:rsid w:val="003C3269"/>
    <w:pPr>
      <w:spacing w:after="0" w:line="240" w:lineRule="auto"/>
    </w:pPr>
    <w:rPr>
      <w:rFonts w:ascii="Cambria" w:hAnsi="Cambria"/>
      <w:color w:val="auto"/>
    </w:rPr>
    <w:tblPr>
      <w:tblStyleRowBandSize w:val="1"/>
      <w:tblStyleColBandSize w:val="1"/>
      <w:tbl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single" w:sz="8" w:space="0" w:color="FCCA63" w:themeColor="accent4" w:themeTint="BF"/>
      </w:tblBorders>
    </w:tblPr>
    <w:tblStylePr w:type="firstRow">
      <w:pPr>
        <w:spacing w:before="0" w:after="0" w:line="240" w:lineRule="auto"/>
      </w:pPr>
      <w:rPr>
        <w:b/>
        <w:bCs/>
        <w:color w:val="FFFFFF" w:themeColor="background1"/>
      </w:rPr>
      <w:tblPr/>
      <w:tcPr>
        <w:tc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shd w:val="clear" w:color="auto" w:fill="FBB92F" w:themeFill="accent4"/>
      </w:tcPr>
    </w:tblStylePr>
    <w:tblStylePr w:type="lastRow">
      <w:pPr>
        <w:spacing w:before="0" w:after="0" w:line="240" w:lineRule="auto"/>
      </w:pPr>
      <w:rPr>
        <w:b/>
        <w:bCs/>
      </w:rPr>
      <w:tblPr/>
      <w:tcPr>
        <w:tcBorders>
          <w:top w:val="double" w:sz="6"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tcPr>
    </w:tblStylePr>
    <w:tblStylePr w:type="firstCol">
      <w:rPr>
        <w:b/>
        <w:bCs/>
      </w:rPr>
    </w:tblStylePr>
    <w:tblStylePr w:type="lastCol">
      <w:rPr>
        <w:b/>
        <w:bCs/>
      </w:rPr>
    </w:tblStylePr>
    <w:tblStylePr w:type="band1Vert">
      <w:tblPr/>
      <w:tcPr>
        <w:shd w:val="clear" w:color="auto" w:fill="FEEDCB" w:themeFill="accent4" w:themeFillTint="3F"/>
      </w:tcPr>
    </w:tblStylePr>
    <w:tblStylePr w:type="band1Horz">
      <w:tblPr/>
      <w:tcPr>
        <w:tcBorders>
          <w:insideH w:val="nil"/>
          <w:insideV w:val="nil"/>
        </w:tcBorders>
        <w:shd w:val="clear" w:color="auto" w:fill="FEEDCB" w:themeFill="accent4" w:themeFillTint="3F"/>
      </w:tcPr>
    </w:tblStylePr>
    <w:tblStylePr w:type="band2Horz">
      <w:tblPr/>
      <w:tcPr>
        <w:tcBorders>
          <w:insideH w:val="nil"/>
          <w:insideV w:val="nil"/>
        </w:tcBorders>
      </w:tcPr>
    </w:tblStylePr>
  </w:style>
  <w:style w:type="table" w:customStyle="1" w:styleId="TableGrid55">
    <w:name w:val="Table Grid55"/>
    <w:basedOn w:val="TableNormal"/>
    <w:next w:val="TableGrid"/>
    <w:uiPriority w:val="59"/>
    <w:rsid w:val="003C3269"/>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
    <w:name w:val="Table Grid56"/>
    <w:basedOn w:val="TableNormal"/>
    <w:next w:val="TableGrid"/>
    <w:uiPriority w:val="59"/>
    <w:rsid w:val="00DB20B1"/>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847972">
      <w:bodyDiv w:val="1"/>
      <w:marLeft w:val="0"/>
      <w:marRight w:val="0"/>
      <w:marTop w:val="0"/>
      <w:marBottom w:val="0"/>
      <w:divBdr>
        <w:top w:val="none" w:sz="0" w:space="0" w:color="auto"/>
        <w:left w:val="none" w:sz="0" w:space="0" w:color="auto"/>
        <w:bottom w:val="none" w:sz="0" w:space="0" w:color="auto"/>
        <w:right w:val="none" w:sz="0" w:space="0" w:color="auto"/>
      </w:divBdr>
    </w:div>
    <w:div w:id="23290790">
      <w:bodyDiv w:val="1"/>
      <w:marLeft w:val="0"/>
      <w:marRight w:val="0"/>
      <w:marTop w:val="0"/>
      <w:marBottom w:val="0"/>
      <w:divBdr>
        <w:top w:val="none" w:sz="0" w:space="0" w:color="auto"/>
        <w:left w:val="none" w:sz="0" w:space="0" w:color="auto"/>
        <w:bottom w:val="none" w:sz="0" w:space="0" w:color="auto"/>
        <w:right w:val="none" w:sz="0" w:space="0" w:color="auto"/>
      </w:divBdr>
    </w:div>
    <w:div w:id="33236388">
      <w:bodyDiv w:val="1"/>
      <w:marLeft w:val="0"/>
      <w:marRight w:val="0"/>
      <w:marTop w:val="0"/>
      <w:marBottom w:val="0"/>
      <w:divBdr>
        <w:top w:val="none" w:sz="0" w:space="0" w:color="auto"/>
        <w:left w:val="none" w:sz="0" w:space="0" w:color="auto"/>
        <w:bottom w:val="none" w:sz="0" w:space="0" w:color="auto"/>
        <w:right w:val="none" w:sz="0" w:space="0" w:color="auto"/>
      </w:divBdr>
    </w:div>
    <w:div w:id="43258204">
      <w:bodyDiv w:val="1"/>
      <w:marLeft w:val="0"/>
      <w:marRight w:val="0"/>
      <w:marTop w:val="0"/>
      <w:marBottom w:val="0"/>
      <w:divBdr>
        <w:top w:val="none" w:sz="0" w:space="0" w:color="auto"/>
        <w:left w:val="none" w:sz="0" w:space="0" w:color="auto"/>
        <w:bottom w:val="none" w:sz="0" w:space="0" w:color="auto"/>
        <w:right w:val="none" w:sz="0" w:space="0" w:color="auto"/>
      </w:divBdr>
    </w:div>
    <w:div w:id="67310038">
      <w:bodyDiv w:val="1"/>
      <w:marLeft w:val="0"/>
      <w:marRight w:val="0"/>
      <w:marTop w:val="0"/>
      <w:marBottom w:val="0"/>
      <w:divBdr>
        <w:top w:val="none" w:sz="0" w:space="0" w:color="auto"/>
        <w:left w:val="none" w:sz="0" w:space="0" w:color="auto"/>
        <w:bottom w:val="none" w:sz="0" w:space="0" w:color="auto"/>
        <w:right w:val="none" w:sz="0" w:space="0" w:color="auto"/>
      </w:divBdr>
    </w:div>
    <w:div w:id="95371306">
      <w:bodyDiv w:val="1"/>
      <w:marLeft w:val="0"/>
      <w:marRight w:val="0"/>
      <w:marTop w:val="0"/>
      <w:marBottom w:val="0"/>
      <w:divBdr>
        <w:top w:val="none" w:sz="0" w:space="0" w:color="auto"/>
        <w:left w:val="none" w:sz="0" w:space="0" w:color="auto"/>
        <w:bottom w:val="none" w:sz="0" w:space="0" w:color="auto"/>
        <w:right w:val="none" w:sz="0" w:space="0" w:color="auto"/>
      </w:divBdr>
    </w:div>
    <w:div w:id="96560596">
      <w:bodyDiv w:val="1"/>
      <w:marLeft w:val="0"/>
      <w:marRight w:val="0"/>
      <w:marTop w:val="0"/>
      <w:marBottom w:val="0"/>
      <w:divBdr>
        <w:top w:val="none" w:sz="0" w:space="0" w:color="auto"/>
        <w:left w:val="none" w:sz="0" w:space="0" w:color="auto"/>
        <w:bottom w:val="none" w:sz="0" w:space="0" w:color="auto"/>
        <w:right w:val="none" w:sz="0" w:space="0" w:color="auto"/>
      </w:divBdr>
    </w:div>
    <w:div w:id="107508212">
      <w:bodyDiv w:val="1"/>
      <w:marLeft w:val="0"/>
      <w:marRight w:val="0"/>
      <w:marTop w:val="0"/>
      <w:marBottom w:val="0"/>
      <w:divBdr>
        <w:top w:val="none" w:sz="0" w:space="0" w:color="auto"/>
        <w:left w:val="none" w:sz="0" w:space="0" w:color="auto"/>
        <w:bottom w:val="none" w:sz="0" w:space="0" w:color="auto"/>
        <w:right w:val="none" w:sz="0" w:space="0" w:color="auto"/>
      </w:divBdr>
      <w:divsChild>
        <w:div w:id="1624774377">
          <w:marLeft w:val="1166"/>
          <w:marRight w:val="0"/>
          <w:marTop w:val="120"/>
          <w:marBottom w:val="120"/>
          <w:divBdr>
            <w:top w:val="none" w:sz="0" w:space="0" w:color="auto"/>
            <w:left w:val="none" w:sz="0" w:space="0" w:color="auto"/>
            <w:bottom w:val="none" w:sz="0" w:space="0" w:color="auto"/>
            <w:right w:val="none" w:sz="0" w:space="0" w:color="auto"/>
          </w:divBdr>
        </w:div>
      </w:divsChild>
    </w:div>
    <w:div w:id="114830041">
      <w:bodyDiv w:val="1"/>
      <w:marLeft w:val="0"/>
      <w:marRight w:val="0"/>
      <w:marTop w:val="0"/>
      <w:marBottom w:val="0"/>
      <w:divBdr>
        <w:top w:val="none" w:sz="0" w:space="0" w:color="auto"/>
        <w:left w:val="none" w:sz="0" w:space="0" w:color="auto"/>
        <w:bottom w:val="none" w:sz="0" w:space="0" w:color="auto"/>
        <w:right w:val="none" w:sz="0" w:space="0" w:color="auto"/>
      </w:divBdr>
    </w:div>
    <w:div w:id="130245702">
      <w:bodyDiv w:val="1"/>
      <w:marLeft w:val="0"/>
      <w:marRight w:val="0"/>
      <w:marTop w:val="0"/>
      <w:marBottom w:val="0"/>
      <w:divBdr>
        <w:top w:val="none" w:sz="0" w:space="0" w:color="auto"/>
        <w:left w:val="none" w:sz="0" w:space="0" w:color="auto"/>
        <w:bottom w:val="none" w:sz="0" w:space="0" w:color="auto"/>
        <w:right w:val="none" w:sz="0" w:space="0" w:color="auto"/>
      </w:divBdr>
    </w:div>
    <w:div w:id="150218312">
      <w:bodyDiv w:val="1"/>
      <w:marLeft w:val="0"/>
      <w:marRight w:val="0"/>
      <w:marTop w:val="0"/>
      <w:marBottom w:val="0"/>
      <w:divBdr>
        <w:top w:val="none" w:sz="0" w:space="0" w:color="auto"/>
        <w:left w:val="none" w:sz="0" w:space="0" w:color="auto"/>
        <w:bottom w:val="none" w:sz="0" w:space="0" w:color="auto"/>
        <w:right w:val="none" w:sz="0" w:space="0" w:color="auto"/>
      </w:divBdr>
    </w:div>
    <w:div w:id="182596772">
      <w:bodyDiv w:val="1"/>
      <w:marLeft w:val="0"/>
      <w:marRight w:val="0"/>
      <w:marTop w:val="0"/>
      <w:marBottom w:val="0"/>
      <w:divBdr>
        <w:top w:val="none" w:sz="0" w:space="0" w:color="auto"/>
        <w:left w:val="none" w:sz="0" w:space="0" w:color="auto"/>
        <w:bottom w:val="none" w:sz="0" w:space="0" w:color="auto"/>
        <w:right w:val="none" w:sz="0" w:space="0" w:color="auto"/>
      </w:divBdr>
    </w:div>
    <w:div w:id="198856794">
      <w:bodyDiv w:val="1"/>
      <w:marLeft w:val="0"/>
      <w:marRight w:val="0"/>
      <w:marTop w:val="0"/>
      <w:marBottom w:val="0"/>
      <w:divBdr>
        <w:top w:val="none" w:sz="0" w:space="0" w:color="auto"/>
        <w:left w:val="none" w:sz="0" w:space="0" w:color="auto"/>
        <w:bottom w:val="none" w:sz="0" w:space="0" w:color="auto"/>
        <w:right w:val="none" w:sz="0" w:space="0" w:color="auto"/>
      </w:divBdr>
    </w:div>
    <w:div w:id="204561380">
      <w:bodyDiv w:val="1"/>
      <w:marLeft w:val="0"/>
      <w:marRight w:val="0"/>
      <w:marTop w:val="0"/>
      <w:marBottom w:val="0"/>
      <w:divBdr>
        <w:top w:val="none" w:sz="0" w:space="0" w:color="auto"/>
        <w:left w:val="none" w:sz="0" w:space="0" w:color="auto"/>
        <w:bottom w:val="none" w:sz="0" w:space="0" w:color="auto"/>
        <w:right w:val="none" w:sz="0" w:space="0" w:color="auto"/>
      </w:divBdr>
    </w:div>
    <w:div w:id="229080736">
      <w:bodyDiv w:val="1"/>
      <w:marLeft w:val="0"/>
      <w:marRight w:val="0"/>
      <w:marTop w:val="0"/>
      <w:marBottom w:val="0"/>
      <w:divBdr>
        <w:top w:val="none" w:sz="0" w:space="0" w:color="auto"/>
        <w:left w:val="none" w:sz="0" w:space="0" w:color="auto"/>
        <w:bottom w:val="none" w:sz="0" w:space="0" w:color="auto"/>
        <w:right w:val="none" w:sz="0" w:space="0" w:color="auto"/>
      </w:divBdr>
    </w:div>
    <w:div w:id="250819900">
      <w:bodyDiv w:val="1"/>
      <w:marLeft w:val="0"/>
      <w:marRight w:val="0"/>
      <w:marTop w:val="0"/>
      <w:marBottom w:val="0"/>
      <w:divBdr>
        <w:top w:val="none" w:sz="0" w:space="0" w:color="auto"/>
        <w:left w:val="none" w:sz="0" w:space="0" w:color="auto"/>
        <w:bottom w:val="none" w:sz="0" w:space="0" w:color="auto"/>
        <w:right w:val="none" w:sz="0" w:space="0" w:color="auto"/>
      </w:divBdr>
    </w:div>
    <w:div w:id="257831495">
      <w:bodyDiv w:val="1"/>
      <w:marLeft w:val="0"/>
      <w:marRight w:val="0"/>
      <w:marTop w:val="0"/>
      <w:marBottom w:val="0"/>
      <w:divBdr>
        <w:top w:val="none" w:sz="0" w:space="0" w:color="auto"/>
        <w:left w:val="none" w:sz="0" w:space="0" w:color="auto"/>
        <w:bottom w:val="none" w:sz="0" w:space="0" w:color="auto"/>
        <w:right w:val="none" w:sz="0" w:space="0" w:color="auto"/>
      </w:divBdr>
    </w:div>
    <w:div w:id="264313287">
      <w:bodyDiv w:val="1"/>
      <w:marLeft w:val="0"/>
      <w:marRight w:val="0"/>
      <w:marTop w:val="0"/>
      <w:marBottom w:val="0"/>
      <w:divBdr>
        <w:top w:val="none" w:sz="0" w:space="0" w:color="auto"/>
        <w:left w:val="none" w:sz="0" w:space="0" w:color="auto"/>
        <w:bottom w:val="none" w:sz="0" w:space="0" w:color="auto"/>
        <w:right w:val="none" w:sz="0" w:space="0" w:color="auto"/>
      </w:divBdr>
    </w:div>
    <w:div w:id="279343153">
      <w:bodyDiv w:val="1"/>
      <w:marLeft w:val="0"/>
      <w:marRight w:val="0"/>
      <w:marTop w:val="0"/>
      <w:marBottom w:val="0"/>
      <w:divBdr>
        <w:top w:val="none" w:sz="0" w:space="0" w:color="auto"/>
        <w:left w:val="none" w:sz="0" w:space="0" w:color="auto"/>
        <w:bottom w:val="none" w:sz="0" w:space="0" w:color="auto"/>
        <w:right w:val="none" w:sz="0" w:space="0" w:color="auto"/>
      </w:divBdr>
    </w:div>
    <w:div w:id="294414918">
      <w:bodyDiv w:val="1"/>
      <w:marLeft w:val="0"/>
      <w:marRight w:val="0"/>
      <w:marTop w:val="0"/>
      <w:marBottom w:val="0"/>
      <w:divBdr>
        <w:top w:val="none" w:sz="0" w:space="0" w:color="auto"/>
        <w:left w:val="none" w:sz="0" w:space="0" w:color="auto"/>
        <w:bottom w:val="none" w:sz="0" w:space="0" w:color="auto"/>
        <w:right w:val="none" w:sz="0" w:space="0" w:color="auto"/>
      </w:divBdr>
    </w:div>
    <w:div w:id="321854375">
      <w:bodyDiv w:val="1"/>
      <w:marLeft w:val="0"/>
      <w:marRight w:val="0"/>
      <w:marTop w:val="0"/>
      <w:marBottom w:val="0"/>
      <w:divBdr>
        <w:top w:val="none" w:sz="0" w:space="0" w:color="auto"/>
        <w:left w:val="none" w:sz="0" w:space="0" w:color="auto"/>
        <w:bottom w:val="none" w:sz="0" w:space="0" w:color="auto"/>
        <w:right w:val="none" w:sz="0" w:space="0" w:color="auto"/>
      </w:divBdr>
    </w:div>
    <w:div w:id="323171483">
      <w:bodyDiv w:val="1"/>
      <w:marLeft w:val="0"/>
      <w:marRight w:val="0"/>
      <w:marTop w:val="0"/>
      <w:marBottom w:val="0"/>
      <w:divBdr>
        <w:top w:val="none" w:sz="0" w:space="0" w:color="auto"/>
        <w:left w:val="none" w:sz="0" w:space="0" w:color="auto"/>
        <w:bottom w:val="none" w:sz="0" w:space="0" w:color="auto"/>
        <w:right w:val="none" w:sz="0" w:space="0" w:color="auto"/>
      </w:divBdr>
    </w:div>
    <w:div w:id="323826841">
      <w:bodyDiv w:val="1"/>
      <w:marLeft w:val="0"/>
      <w:marRight w:val="0"/>
      <w:marTop w:val="0"/>
      <w:marBottom w:val="0"/>
      <w:divBdr>
        <w:top w:val="none" w:sz="0" w:space="0" w:color="auto"/>
        <w:left w:val="none" w:sz="0" w:space="0" w:color="auto"/>
        <w:bottom w:val="none" w:sz="0" w:space="0" w:color="auto"/>
        <w:right w:val="none" w:sz="0" w:space="0" w:color="auto"/>
      </w:divBdr>
    </w:div>
    <w:div w:id="326977247">
      <w:bodyDiv w:val="1"/>
      <w:marLeft w:val="0"/>
      <w:marRight w:val="0"/>
      <w:marTop w:val="0"/>
      <w:marBottom w:val="0"/>
      <w:divBdr>
        <w:top w:val="none" w:sz="0" w:space="0" w:color="auto"/>
        <w:left w:val="none" w:sz="0" w:space="0" w:color="auto"/>
        <w:bottom w:val="none" w:sz="0" w:space="0" w:color="auto"/>
        <w:right w:val="none" w:sz="0" w:space="0" w:color="auto"/>
      </w:divBdr>
      <w:divsChild>
        <w:div w:id="310643361">
          <w:marLeft w:val="1800"/>
          <w:marRight w:val="0"/>
          <w:marTop w:val="60"/>
          <w:marBottom w:val="60"/>
          <w:divBdr>
            <w:top w:val="none" w:sz="0" w:space="0" w:color="auto"/>
            <w:left w:val="none" w:sz="0" w:space="0" w:color="auto"/>
            <w:bottom w:val="none" w:sz="0" w:space="0" w:color="auto"/>
            <w:right w:val="none" w:sz="0" w:space="0" w:color="auto"/>
          </w:divBdr>
        </w:div>
        <w:div w:id="572665244">
          <w:marLeft w:val="1166"/>
          <w:marRight w:val="0"/>
          <w:marTop w:val="60"/>
          <w:marBottom w:val="60"/>
          <w:divBdr>
            <w:top w:val="none" w:sz="0" w:space="0" w:color="auto"/>
            <w:left w:val="none" w:sz="0" w:space="0" w:color="auto"/>
            <w:bottom w:val="none" w:sz="0" w:space="0" w:color="auto"/>
            <w:right w:val="none" w:sz="0" w:space="0" w:color="auto"/>
          </w:divBdr>
        </w:div>
        <w:div w:id="735322548">
          <w:marLeft w:val="1800"/>
          <w:marRight w:val="0"/>
          <w:marTop w:val="60"/>
          <w:marBottom w:val="60"/>
          <w:divBdr>
            <w:top w:val="none" w:sz="0" w:space="0" w:color="auto"/>
            <w:left w:val="none" w:sz="0" w:space="0" w:color="auto"/>
            <w:bottom w:val="none" w:sz="0" w:space="0" w:color="auto"/>
            <w:right w:val="none" w:sz="0" w:space="0" w:color="auto"/>
          </w:divBdr>
        </w:div>
        <w:div w:id="854660415">
          <w:marLeft w:val="1166"/>
          <w:marRight w:val="0"/>
          <w:marTop w:val="60"/>
          <w:marBottom w:val="60"/>
          <w:divBdr>
            <w:top w:val="none" w:sz="0" w:space="0" w:color="auto"/>
            <w:left w:val="none" w:sz="0" w:space="0" w:color="auto"/>
            <w:bottom w:val="none" w:sz="0" w:space="0" w:color="auto"/>
            <w:right w:val="none" w:sz="0" w:space="0" w:color="auto"/>
          </w:divBdr>
        </w:div>
        <w:div w:id="1036657622">
          <w:marLeft w:val="1800"/>
          <w:marRight w:val="0"/>
          <w:marTop w:val="60"/>
          <w:marBottom w:val="60"/>
          <w:divBdr>
            <w:top w:val="none" w:sz="0" w:space="0" w:color="auto"/>
            <w:left w:val="none" w:sz="0" w:space="0" w:color="auto"/>
            <w:bottom w:val="none" w:sz="0" w:space="0" w:color="auto"/>
            <w:right w:val="none" w:sz="0" w:space="0" w:color="auto"/>
          </w:divBdr>
        </w:div>
        <w:div w:id="1509104309">
          <w:marLeft w:val="1800"/>
          <w:marRight w:val="0"/>
          <w:marTop w:val="60"/>
          <w:marBottom w:val="60"/>
          <w:divBdr>
            <w:top w:val="none" w:sz="0" w:space="0" w:color="auto"/>
            <w:left w:val="none" w:sz="0" w:space="0" w:color="auto"/>
            <w:bottom w:val="none" w:sz="0" w:space="0" w:color="auto"/>
            <w:right w:val="none" w:sz="0" w:space="0" w:color="auto"/>
          </w:divBdr>
        </w:div>
        <w:div w:id="1593314241">
          <w:marLeft w:val="1800"/>
          <w:marRight w:val="0"/>
          <w:marTop w:val="60"/>
          <w:marBottom w:val="60"/>
          <w:divBdr>
            <w:top w:val="none" w:sz="0" w:space="0" w:color="auto"/>
            <w:left w:val="none" w:sz="0" w:space="0" w:color="auto"/>
            <w:bottom w:val="none" w:sz="0" w:space="0" w:color="auto"/>
            <w:right w:val="none" w:sz="0" w:space="0" w:color="auto"/>
          </w:divBdr>
        </w:div>
        <w:div w:id="1804539409">
          <w:marLeft w:val="1800"/>
          <w:marRight w:val="0"/>
          <w:marTop w:val="60"/>
          <w:marBottom w:val="60"/>
          <w:divBdr>
            <w:top w:val="none" w:sz="0" w:space="0" w:color="auto"/>
            <w:left w:val="none" w:sz="0" w:space="0" w:color="auto"/>
            <w:bottom w:val="none" w:sz="0" w:space="0" w:color="auto"/>
            <w:right w:val="none" w:sz="0" w:space="0" w:color="auto"/>
          </w:divBdr>
        </w:div>
      </w:divsChild>
    </w:div>
    <w:div w:id="347951498">
      <w:bodyDiv w:val="1"/>
      <w:marLeft w:val="0"/>
      <w:marRight w:val="0"/>
      <w:marTop w:val="0"/>
      <w:marBottom w:val="0"/>
      <w:divBdr>
        <w:top w:val="none" w:sz="0" w:space="0" w:color="auto"/>
        <w:left w:val="none" w:sz="0" w:space="0" w:color="auto"/>
        <w:bottom w:val="none" w:sz="0" w:space="0" w:color="auto"/>
        <w:right w:val="none" w:sz="0" w:space="0" w:color="auto"/>
      </w:divBdr>
    </w:div>
    <w:div w:id="349260337">
      <w:bodyDiv w:val="1"/>
      <w:marLeft w:val="0"/>
      <w:marRight w:val="0"/>
      <w:marTop w:val="0"/>
      <w:marBottom w:val="0"/>
      <w:divBdr>
        <w:top w:val="none" w:sz="0" w:space="0" w:color="auto"/>
        <w:left w:val="none" w:sz="0" w:space="0" w:color="auto"/>
        <w:bottom w:val="none" w:sz="0" w:space="0" w:color="auto"/>
        <w:right w:val="none" w:sz="0" w:space="0" w:color="auto"/>
      </w:divBdr>
    </w:div>
    <w:div w:id="373970620">
      <w:bodyDiv w:val="1"/>
      <w:marLeft w:val="0"/>
      <w:marRight w:val="0"/>
      <w:marTop w:val="0"/>
      <w:marBottom w:val="0"/>
      <w:divBdr>
        <w:top w:val="none" w:sz="0" w:space="0" w:color="auto"/>
        <w:left w:val="none" w:sz="0" w:space="0" w:color="auto"/>
        <w:bottom w:val="none" w:sz="0" w:space="0" w:color="auto"/>
        <w:right w:val="none" w:sz="0" w:space="0" w:color="auto"/>
      </w:divBdr>
    </w:div>
    <w:div w:id="390663686">
      <w:bodyDiv w:val="1"/>
      <w:marLeft w:val="0"/>
      <w:marRight w:val="0"/>
      <w:marTop w:val="0"/>
      <w:marBottom w:val="0"/>
      <w:divBdr>
        <w:top w:val="none" w:sz="0" w:space="0" w:color="auto"/>
        <w:left w:val="none" w:sz="0" w:space="0" w:color="auto"/>
        <w:bottom w:val="none" w:sz="0" w:space="0" w:color="auto"/>
        <w:right w:val="none" w:sz="0" w:space="0" w:color="auto"/>
      </w:divBdr>
    </w:div>
    <w:div w:id="390815342">
      <w:bodyDiv w:val="1"/>
      <w:marLeft w:val="0"/>
      <w:marRight w:val="0"/>
      <w:marTop w:val="0"/>
      <w:marBottom w:val="0"/>
      <w:divBdr>
        <w:top w:val="none" w:sz="0" w:space="0" w:color="auto"/>
        <w:left w:val="none" w:sz="0" w:space="0" w:color="auto"/>
        <w:bottom w:val="none" w:sz="0" w:space="0" w:color="auto"/>
        <w:right w:val="none" w:sz="0" w:space="0" w:color="auto"/>
      </w:divBdr>
    </w:div>
    <w:div w:id="395055522">
      <w:bodyDiv w:val="1"/>
      <w:marLeft w:val="0"/>
      <w:marRight w:val="0"/>
      <w:marTop w:val="0"/>
      <w:marBottom w:val="0"/>
      <w:divBdr>
        <w:top w:val="none" w:sz="0" w:space="0" w:color="auto"/>
        <w:left w:val="none" w:sz="0" w:space="0" w:color="auto"/>
        <w:bottom w:val="none" w:sz="0" w:space="0" w:color="auto"/>
        <w:right w:val="none" w:sz="0" w:space="0" w:color="auto"/>
      </w:divBdr>
    </w:div>
    <w:div w:id="399402379">
      <w:bodyDiv w:val="1"/>
      <w:marLeft w:val="0"/>
      <w:marRight w:val="0"/>
      <w:marTop w:val="0"/>
      <w:marBottom w:val="0"/>
      <w:divBdr>
        <w:top w:val="none" w:sz="0" w:space="0" w:color="auto"/>
        <w:left w:val="none" w:sz="0" w:space="0" w:color="auto"/>
        <w:bottom w:val="none" w:sz="0" w:space="0" w:color="auto"/>
        <w:right w:val="none" w:sz="0" w:space="0" w:color="auto"/>
      </w:divBdr>
    </w:div>
    <w:div w:id="406810522">
      <w:bodyDiv w:val="1"/>
      <w:marLeft w:val="0"/>
      <w:marRight w:val="0"/>
      <w:marTop w:val="0"/>
      <w:marBottom w:val="0"/>
      <w:divBdr>
        <w:top w:val="none" w:sz="0" w:space="0" w:color="auto"/>
        <w:left w:val="none" w:sz="0" w:space="0" w:color="auto"/>
        <w:bottom w:val="none" w:sz="0" w:space="0" w:color="auto"/>
        <w:right w:val="none" w:sz="0" w:space="0" w:color="auto"/>
      </w:divBdr>
    </w:div>
    <w:div w:id="435829429">
      <w:bodyDiv w:val="1"/>
      <w:marLeft w:val="0"/>
      <w:marRight w:val="0"/>
      <w:marTop w:val="0"/>
      <w:marBottom w:val="0"/>
      <w:divBdr>
        <w:top w:val="none" w:sz="0" w:space="0" w:color="auto"/>
        <w:left w:val="none" w:sz="0" w:space="0" w:color="auto"/>
        <w:bottom w:val="none" w:sz="0" w:space="0" w:color="auto"/>
        <w:right w:val="none" w:sz="0" w:space="0" w:color="auto"/>
      </w:divBdr>
    </w:div>
    <w:div w:id="443960165">
      <w:bodyDiv w:val="1"/>
      <w:marLeft w:val="0"/>
      <w:marRight w:val="0"/>
      <w:marTop w:val="0"/>
      <w:marBottom w:val="0"/>
      <w:divBdr>
        <w:top w:val="none" w:sz="0" w:space="0" w:color="auto"/>
        <w:left w:val="none" w:sz="0" w:space="0" w:color="auto"/>
        <w:bottom w:val="none" w:sz="0" w:space="0" w:color="auto"/>
        <w:right w:val="none" w:sz="0" w:space="0" w:color="auto"/>
      </w:divBdr>
    </w:div>
    <w:div w:id="446244214">
      <w:bodyDiv w:val="1"/>
      <w:marLeft w:val="0"/>
      <w:marRight w:val="0"/>
      <w:marTop w:val="0"/>
      <w:marBottom w:val="0"/>
      <w:divBdr>
        <w:top w:val="none" w:sz="0" w:space="0" w:color="auto"/>
        <w:left w:val="none" w:sz="0" w:space="0" w:color="auto"/>
        <w:bottom w:val="none" w:sz="0" w:space="0" w:color="auto"/>
        <w:right w:val="none" w:sz="0" w:space="0" w:color="auto"/>
      </w:divBdr>
    </w:div>
    <w:div w:id="452597501">
      <w:bodyDiv w:val="1"/>
      <w:marLeft w:val="0"/>
      <w:marRight w:val="0"/>
      <w:marTop w:val="0"/>
      <w:marBottom w:val="0"/>
      <w:divBdr>
        <w:top w:val="none" w:sz="0" w:space="0" w:color="auto"/>
        <w:left w:val="none" w:sz="0" w:space="0" w:color="auto"/>
        <w:bottom w:val="none" w:sz="0" w:space="0" w:color="auto"/>
        <w:right w:val="none" w:sz="0" w:space="0" w:color="auto"/>
      </w:divBdr>
    </w:div>
    <w:div w:id="452600645">
      <w:bodyDiv w:val="1"/>
      <w:marLeft w:val="0"/>
      <w:marRight w:val="0"/>
      <w:marTop w:val="0"/>
      <w:marBottom w:val="0"/>
      <w:divBdr>
        <w:top w:val="none" w:sz="0" w:space="0" w:color="auto"/>
        <w:left w:val="none" w:sz="0" w:space="0" w:color="auto"/>
        <w:bottom w:val="none" w:sz="0" w:space="0" w:color="auto"/>
        <w:right w:val="none" w:sz="0" w:space="0" w:color="auto"/>
      </w:divBdr>
    </w:div>
    <w:div w:id="469638510">
      <w:bodyDiv w:val="1"/>
      <w:marLeft w:val="0"/>
      <w:marRight w:val="0"/>
      <w:marTop w:val="0"/>
      <w:marBottom w:val="0"/>
      <w:divBdr>
        <w:top w:val="none" w:sz="0" w:space="0" w:color="auto"/>
        <w:left w:val="none" w:sz="0" w:space="0" w:color="auto"/>
        <w:bottom w:val="none" w:sz="0" w:space="0" w:color="auto"/>
        <w:right w:val="none" w:sz="0" w:space="0" w:color="auto"/>
      </w:divBdr>
    </w:div>
    <w:div w:id="491415820">
      <w:bodyDiv w:val="1"/>
      <w:marLeft w:val="0"/>
      <w:marRight w:val="0"/>
      <w:marTop w:val="0"/>
      <w:marBottom w:val="0"/>
      <w:divBdr>
        <w:top w:val="none" w:sz="0" w:space="0" w:color="auto"/>
        <w:left w:val="none" w:sz="0" w:space="0" w:color="auto"/>
        <w:bottom w:val="none" w:sz="0" w:space="0" w:color="auto"/>
        <w:right w:val="none" w:sz="0" w:space="0" w:color="auto"/>
      </w:divBdr>
    </w:div>
    <w:div w:id="514880778">
      <w:bodyDiv w:val="1"/>
      <w:marLeft w:val="0"/>
      <w:marRight w:val="0"/>
      <w:marTop w:val="0"/>
      <w:marBottom w:val="0"/>
      <w:divBdr>
        <w:top w:val="none" w:sz="0" w:space="0" w:color="auto"/>
        <w:left w:val="none" w:sz="0" w:space="0" w:color="auto"/>
        <w:bottom w:val="none" w:sz="0" w:space="0" w:color="auto"/>
        <w:right w:val="none" w:sz="0" w:space="0" w:color="auto"/>
      </w:divBdr>
    </w:div>
    <w:div w:id="525140939">
      <w:bodyDiv w:val="1"/>
      <w:marLeft w:val="0"/>
      <w:marRight w:val="0"/>
      <w:marTop w:val="0"/>
      <w:marBottom w:val="0"/>
      <w:divBdr>
        <w:top w:val="none" w:sz="0" w:space="0" w:color="auto"/>
        <w:left w:val="none" w:sz="0" w:space="0" w:color="auto"/>
        <w:bottom w:val="none" w:sz="0" w:space="0" w:color="auto"/>
        <w:right w:val="none" w:sz="0" w:space="0" w:color="auto"/>
      </w:divBdr>
    </w:div>
    <w:div w:id="529686674">
      <w:bodyDiv w:val="1"/>
      <w:marLeft w:val="0"/>
      <w:marRight w:val="0"/>
      <w:marTop w:val="0"/>
      <w:marBottom w:val="0"/>
      <w:divBdr>
        <w:top w:val="none" w:sz="0" w:space="0" w:color="auto"/>
        <w:left w:val="none" w:sz="0" w:space="0" w:color="auto"/>
        <w:bottom w:val="none" w:sz="0" w:space="0" w:color="auto"/>
        <w:right w:val="none" w:sz="0" w:space="0" w:color="auto"/>
      </w:divBdr>
    </w:div>
    <w:div w:id="570895634">
      <w:bodyDiv w:val="1"/>
      <w:marLeft w:val="0"/>
      <w:marRight w:val="0"/>
      <w:marTop w:val="0"/>
      <w:marBottom w:val="0"/>
      <w:divBdr>
        <w:top w:val="none" w:sz="0" w:space="0" w:color="auto"/>
        <w:left w:val="none" w:sz="0" w:space="0" w:color="auto"/>
        <w:bottom w:val="none" w:sz="0" w:space="0" w:color="auto"/>
        <w:right w:val="none" w:sz="0" w:space="0" w:color="auto"/>
      </w:divBdr>
    </w:div>
    <w:div w:id="595016708">
      <w:bodyDiv w:val="1"/>
      <w:marLeft w:val="0"/>
      <w:marRight w:val="0"/>
      <w:marTop w:val="0"/>
      <w:marBottom w:val="0"/>
      <w:divBdr>
        <w:top w:val="none" w:sz="0" w:space="0" w:color="auto"/>
        <w:left w:val="none" w:sz="0" w:space="0" w:color="auto"/>
        <w:bottom w:val="none" w:sz="0" w:space="0" w:color="auto"/>
        <w:right w:val="none" w:sz="0" w:space="0" w:color="auto"/>
      </w:divBdr>
    </w:div>
    <w:div w:id="614942945">
      <w:bodyDiv w:val="1"/>
      <w:marLeft w:val="0"/>
      <w:marRight w:val="0"/>
      <w:marTop w:val="0"/>
      <w:marBottom w:val="0"/>
      <w:divBdr>
        <w:top w:val="none" w:sz="0" w:space="0" w:color="auto"/>
        <w:left w:val="none" w:sz="0" w:space="0" w:color="auto"/>
        <w:bottom w:val="none" w:sz="0" w:space="0" w:color="auto"/>
        <w:right w:val="none" w:sz="0" w:space="0" w:color="auto"/>
      </w:divBdr>
    </w:div>
    <w:div w:id="634411241">
      <w:bodyDiv w:val="1"/>
      <w:marLeft w:val="0"/>
      <w:marRight w:val="0"/>
      <w:marTop w:val="0"/>
      <w:marBottom w:val="0"/>
      <w:divBdr>
        <w:top w:val="none" w:sz="0" w:space="0" w:color="auto"/>
        <w:left w:val="none" w:sz="0" w:space="0" w:color="auto"/>
        <w:bottom w:val="none" w:sz="0" w:space="0" w:color="auto"/>
        <w:right w:val="none" w:sz="0" w:space="0" w:color="auto"/>
      </w:divBdr>
    </w:div>
    <w:div w:id="639261686">
      <w:bodyDiv w:val="1"/>
      <w:marLeft w:val="0"/>
      <w:marRight w:val="0"/>
      <w:marTop w:val="0"/>
      <w:marBottom w:val="0"/>
      <w:divBdr>
        <w:top w:val="none" w:sz="0" w:space="0" w:color="auto"/>
        <w:left w:val="none" w:sz="0" w:space="0" w:color="auto"/>
        <w:bottom w:val="none" w:sz="0" w:space="0" w:color="auto"/>
        <w:right w:val="none" w:sz="0" w:space="0" w:color="auto"/>
      </w:divBdr>
    </w:div>
    <w:div w:id="641427987">
      <w:bodyDiv w:val="1"/>
      <w:marLeft w:val="0"/>
      <w:marRight w:val="0"/>
      <w:marTop w:val="0"/>
      <w:marBottom w:val="0"/>
      <w:divBdr>
        <w:top w:val="none" w:sz="0" w:space="0" w:color="auto"/>
        <w:left w:val="none" w:sz="0" w:space="0" w:color="auto"/>
        <w:bottom w:val="none" w:sz="0" w:space="0" w:color="auto"/>
        <w:right w:val="none" w:sz="0" w:space="0" w:color="auto"/>
      </w:divBdr>
    </w:div>
    <w:div w:id="660281156">
      <w:bodyDiv w:val="1"/>
      <w:marLeft w:val="0"/>
      <w:marRight w:val="0"/>
      <w:marTop w:val="0"/>
      <w:marBottom w:val="0"/>
      <w:divBdr>
        <w:top w:val="none" w:sz="0" w:space="0" w:color="auto"/>
        <w:left w:val="none" w:sz="0" w:space="0" w:color="auto"/>
        <w:bottom w:val="none" w:sz="0" w:space="0" w:color="auto"/>
        <w:right w:val="none" w:sz="0" w:space="0" w:color="auto"/>
      </w:divBdr>
    </w:div>
    <w:div w:id="667295115">
      <w:bodyDiv w:val="1"/>
      <w:marLeft w:val="0"/>
      <w:marRight w:val="0"/>
      <w:marTop w:val="0"/>
      <w:marBottom w:val="0"/>
      <w:divBdr>
        <w:top w:val="none" w:sz="0" w:space="0" w:color="auto"/>
        <w:left w:val="none" w:sz="0" w:space="0" w:color="auto"/>
        <w:bottom w:val="none" w:sz="0" w:space="0" w:color="auto"/>
        <w:right w:val="none" w:sz="0" w:space="0" w:color="auto"/>
      </w:divBdr>
    </w:div>
    <w:div w:id="674844845">
      <w:bodyDiv w:val="1"/>
      <w:marLeft w:val="0"/>
      <w:marRight w:val="0"/>
      <w:marTop w:val="0"/>
      <w:marBottom w:val="0"/>
      <w:divBdr>
        <w:top w:val="none" w:sz="0" w:space="0" w:color="auto"/>
        <w:left w:val="none" w:sz="0" w:space="0" w:color="auto"/>
        <w:bottom w:val="none" w:sz="0" w:space="0" w:color="auto"/>
        <w:right w:val="none" w:sz="0" w:space="0" w:color="auto"/>
      </w:divBdr>
    </w:div>
    <w:div w:id="677578742">
      <w:bodyDiv w:val="1"/>
      <w:marLeft w:val="0"/>
      <w:marRight w:val="0"/>
      <w:marTop w:val="0"/>
      <w:marBottom w:val="0"/>
      <w:divBdr>
        <w:top w:val="none" w:sz="0" w:space="0" w:color="auto"/>
        <w:left w:val="none" w:sz="0" w:space="0" w:color="auto"/>
        <w:bottom w:val="none" w:sz="0" w:space="0" w:color="auto"/>
        <w:right w:val="none" w:sz="0" w:space="0" w:color="auto"/>
      </w:divBdr>
    </w:div>
    <w:div w:id="686442779">
      <w:bodyDiv w:val="1"/>
      <w:marLeft w:val="0"/>
      <w:marRight w:val="0"/>
      <w:marTop w:val="0"/>
      <w:marBottom w:val="0"/>
      <w:divBdr>
        <w:top w:val="none" w:sz="0" w:space="0" w:color="auto"/>
        <w:left w:val="none" w:sz="0" w:space="0" w:color="auto"/>
        <w:bottom w:val="none" w:sz="0" w:space="0" w:color="auto"/>
        <w:right w:val="none" w:sz="0" w:space="0" w:color="auto"/>
      </w:divBdr>
    </w:div>
    <w:div w:id="707216891">
      <w:bodyDiv w:val="1"/>
      <w:marLeft w:val="0"/>
      <w:marRight w:val="0"/>
      <w:marTop w:val="0"/>
      <w:marBottom w:val="0"/>
      <w:divBdr>
        <w:top w:val="none" w:sz="0" w:space="0" w:color="auto"/>
        <w:left w:val="none" w:sz="0" w:space="0" w:color="auto"/>
        <w:bottom w:val="none" w:sz="0" w:space="0" w:color="auto"/>
        <w:right w:val="none" w:sz="0" w:space="0" w:color="auto"/>
      </w:divBdr>
    </w:div>
    <w:div w:id="719748111">
      <w:bodyDiv w:val="1"/>
      <w:marLeft w:val="0"/>
      <w:marRight w:val="0"/>
      <w:marTop w:val="0"/>
      <w:marBottom w:val="0"/>
      <w:divBdr>
        <w:top w:val="none" w:sz="0" w:space="0" w:color="auto"/>
        <w:left w:val="none" w:sz="0" w:space="0" w:color="auto"/>
        <w:bottom w:val="none" w:sz="0" w:space="0" w:color="auto"/>
        <w:right w:val="none" w:sz="0" w:space="0" w:color="auto"/>
      </w:divBdr>
    </w:div>
    <w:div w:id="768890718">
      <w:bodyDiv w:val="1"/>
      <w:marLeft w:val="0"/>
      <w:marRight w:val="0"/>
      <w:marTop w:val="0"/>
      <w:marBottom w:val="0"/>
      <w:divBdr>
        <w:top w:val="none" w:sz="0" w:space="0" w:color="auto"/>
        <w:left w:val="none" w:sz="0" w:space="0" w:color="auto"/>
        <w:bottom w:val="none" w:sz="0" w:space="0" w:color="auto"/>
        <w:right w:val="none" w:sz="0" w:space="0" w:color="auto"/>
      </w:divBdr>
    </w:div>
    <w:div w:id="771701214">
      <w:bodyDiv w:val="1"/>
      <w:marLeft w:val="0"/>
      <w:marRight w:val="0"/>
      <w:marTop w:val="0"/>
      <w:marBottom w:val="0"/>
      <w:divBdr>
        <w:top w:val="none" w:sz="0" w:space="0" w:color="auto"/>
        <w:left w:val="none" w:sz="0" w:space="0" w:color="auto"/>
        <w:bottom w:val="none" w:sz="0" w:space="0" w:color="auto"/>
        <w:right w:val="none" w:sz="0" w:space="0" w:color="auto"/>
      </w:divBdr>
      <w:divsChild>
        <w:div w:id="1443308">
          <w:marLeft w:val="0"/>
          <w:marRight w:val="0"/>
          <w:marTop w:val="0"/>
          <w:marBottom w:val="0"/>
          <w:divBdr>
            <w:top w:val="none" w:sz="0" w:space="0" w:color="auto"/>
            <w:left w:val="none" w:sz="0" w:space="0" w:color="auto"/>
            <w:bottom w:val="none" w:sz="0" w:space="0" w:color="auto"/>
            <w:right w:val="none" w:sz="0" w:space="0" w:color="auto"/>
          </w:divBdr>
        </w:div>
        <w:div w:id="1103692147">
          <w:marLeft w:val="0"/>
          <w:marRight w:val="0"/>
          <w:marTop w:val="0"/>
          <w:marBottom w:val="0"/>
          <w:divBdr>
            <w:top w:val="none" w:sz="0" w:space="0" w:color="auto"/>
            <w:left w:val="none" w:sz="0" w:space="0" w:color="auto"/>
            <w:bottom w:val="none" w:sz="0" w:space="0" w:color="auto"/>
            <w:right w:val="none" w:sz="0" w:space="0" w:color="auto"/>
          </w:divBdr>
        </w:div>
      </w:divsChild>
    </w:div>
    <w:div w:id="778642368">
      <w:bodyDiv w:val="1"/>
      <w:marLeft w:val="0"/>
      <w:marRight w:val="0"/>
      <w:marTop w:val="0"/>
      <w:marBottom w:val="0"/>
      <w:divBdr>
        <w:top w:val="none" w:sz="0" w:space="0" w:color="auto"/>
        <w:left w:val="none" w:sz="0" w:space="0" w:color="auto"/>
        <w:bottom w:val="none" w:sz="0" w:space="0" w:color="auto"/>
        <w:right w:val="none" w:sz="0" w:space="0" w:color="auto"/>
      </w:divBdr>
    </w:div>
    <w:div w:id="793982891">
      <w:bodyDiv w:val="1"/>
      <w:marLeft w:val="0"/>
      <w:marRight w:val="0"/>
      <w:marTop w:val="0"/>
      <w:marBottom w:val="0"/>
      <w:divBdr>
        <w:top w:val="none" w:sz="0" w:space="0" w:color="auto"/>
        <w:left w:val="none" w:sz="0" w:space="0" w:color="auto"/>
        <w:bottom w:val="none" w:sz="0" w:space="0" w:color="auto"/>
        <w:right w:val="none" w:sz="0" w:space="0" w:color="auto"/>
      </w:divBdr>
    </w:div>
    <w:div w:id="808202642">
      <w:bodyDiv w:val="1"/>
      <w:marLeft w:val="0"/>
      <w:marRight w:val="0"/>
      <w:marTop w:val="0"/>
      <w:marBottom w:val="0"/>
      <w:divBdr>
        <w:top w:val="none" w:sz="0" w:space="0" w:color="auto"/>
        <w:left w:val="none" w:sz="0" w:space="0" w:color="auto"/>
        <w:bottom w:val="none" w:sz="0" w:space="0" w:color="auto"/>
        <w:right w:val="none" w:sz="0" w:space="0" w:color="auto"/>
      </w:divBdr>
    </w:div>
    <w:div w:id="810830690">
      <w:bodyDiv w:val="1"/>
      <w:marLeft w:val="0"/>
      <w:marRight w:val="0"/>
      <w:marTop w:val="0"/>
      <w:marBottom w:val="0"/>
      <w:divBdr>
        <w:top w:val="none" w:sz="0" w:space="0" w:color="auto"/>
        <w:left w:val="none" w:sz="0" w:space="0" w:color="auto"/>
        <w:bottom w:val="none" w:sz="0" w:space="0" w:color="auto"/>
        <w:right w:val="none" w:sz="0" w:space="0" w:color="auto"/>
      </w:divBdr>
    </w:div>
    <w:div w:id="830412652">
      <w:bodyDiv w:val="1"/>
      <w:marLeft w:val="0"/>
      <w:marRight w:val="0"/>
      <w:marTop w:val="0"/>
      <w:marBottom w:val="0"/>
      <w:divBdr>
        <w:top w:val="none" w:sz="0" w:space="0" w:color="auto"/>
        <w:left w:val="none" w:sz="0" w:space="0" w:color="auto"/>
        <w:bottom w:val="none" w:sz="0" w:space="0" w:color="auto"/>
        <w:right w:val="none" w:sz="0" w:space="0" w:color="auto"/>
      </w:divBdr>
    </w:div>
    <w:div w:id="830683646">
      <w:bodyDiv w:val="1"/>
      <w:marLeft w:val="0"/>
      <w:marRight w:val="0"/>
      <w:marTop w:val="0"/>
      <w:marBottom w:val="0"/>
      <w:divBdr>
        <w:top w:val="none" w:sz="0" w:space="0" w:color="auto"/>
        <w:left w:val="none" w:sz="0" w:space="0" w:color="auto"/>
        <w:bottom w:val="none" w:sz="0" w:space="0" w:color="auto"/>
        <w:right w:val="none" w:sz="0" w:space="0" w:color="auto"/>
      </w:divBdr>
    </w:div>
    <w:div w:id="835150188">
      <w:bodyDiv w:val="1"/>
      <w:marLeft w:val="0"/>
      <w:marRight w:val="0"/>
      <w:marTop w:val="0"/>
      <w:marBottom w:val="0"/>
      <w:divBdr>
        <w:top w:val="none" w:sz="0" w:space="0" w:color="auto"/>
        <w:left w:val="none" w:sz="0" w:space="0" w:color="auto"/>
        <w:bottom w:val="none" w:sz="0" w:space="0" w:color="auto"/>
        <w:right w:val="none" w:sz="0" w:space="0" w:color="auto"/>
      </w:divBdr>
    </w:div>
    <w:div w:id="836114401">
      <w:bodyDiv w:val="1"/>
      <w:marLeft w:val="0"/>
      <w:marRight w:val="0"/>
      <w:marTop w:val="0"/>
      <w:marBottom w:val="0"/>
      <w:divBdr>
        <w:top w:val="none" w:sz="0" w:space="0" w:color="auto"/>
        <w:left w:val="none" w:sz="0" w:space="0" w:color="auto"/>
        <w:bottom w:val="none" w:sz="0" w:space="0" w:color="auto"/>
        <w:right w:val="none" w:sz="0" w:space="0" w:color="auto"/>
      </w:divBdr>
    </w:div>
    <w:div w:id="846217632">
      <w:bodyDiv w:val="1"/>
      <w:marLeft w:val="0"/>
      <w:marRight w:val="0"/>
      <w:marTop w:val="0"/>
      <w:marBottom w:val="0"/>
      <w:divBdr>
        <w:top w:val="none" w:sz="0" w:space="0" w:color="auto"/>
        <w:left w:val="none" w:sz="0" w:space="0" w:color="auto"/>
        <w:bottom w:val="none" w:sz="0" w:space="0" w:color="auto"/>
        <w:right w:val="none" w:sz="0" w:space="0" w:color="auto"/>
      </w:divBdr>
    </w:div>
    <w:div w:id="864057855">
      <w:bodyDiv w:val="1"/>
      <w:marLeft w:val="0"/>
      <w:marRight w:val="0"/>
      <w:marTop w:val="0"/>
      <w:marBottom w:val="0"/>
      <w:divBdr>
        <w:top w:val="none" w:sz="0" w:space="0" w:color="auto"/>
        <w:left w:val="none" w:sz="0" w:space="0" w:color="auto"/>
        <w:bottom w:val="none" w:sz="0" w:space="0" w:color="auto"/>
        <w:right w:val="none" w:sz="0" w:space="0" w:color="auto"/>
      </w:divBdr>
    </w:div>
    <w:div w:id="886991953">
      <w:bodyDiv w:val="1"/>
      <w:marLeft w:val="0"/>
      <w:marRight w:val="0"/>
      <w:marTop w:val="0"/>
      <w:marBottom w:val="0"/>
      <w:divBdr>
        <w:top w:val="none" w:sz="0" w:space="0" w:color="auto"/>
        <w:left w:val="none" w:sz="0" w:space="0" w:color="auto"/>
        <w:bottom w:val="none" w:sz="0" w:space="0" w:color="auto"/>
        <w:right w:val="none" w:sz="0" w:space="0" w:color="auto"/>
      </w:divBdr>
    </w:div>
    <w:div w:id="896474735">
      <w:bodyDiv w:val="1"/>
      <w:marLeft w:val="0"/>
      <w:marRight w:val="0"/>
      <w:marTop w:val="0"/>
      <w:marBottom w:val="0"/>
      <w:divBdr>
        <w:top w:val="none" w:sz="0" w:space="0" w:color="auto"/>
        <w:left w:val="none" w:sz="0" w:space="0" w:color="auto"/>
        <w:bottom w:val="none" w:sz="0" w:space="0" w:color="auto"/>
        <w:right w:val="none" w:sz="0" w:space="0" w:color="auto"/>
      </w:divBdr>
      <w:divsChild>
        <w:div w:id="1266574951">
          <w:marLeft w:val="0"/>
          <w:marRight w:val="0"/>
          <w:marTop w:val="0"/>
          <w:marBottom w:val="0"/>
          <w:divBdr>
            <w:top w:val="none" w:sz="0" w:space="0" w:color="auto"/>
            <w:left w:val="none" w:sz="0" w:space="0" w:color="auto"/>
            <w:bottom w:val="none" w:sz="0" w:space="0" w:color="auto"/>
            <w:right w:val="none" w:sz="0" w:space="0" w:color="auto"/>
          </w:divBdr>
        </w:div>
      </w:divsChild>
    </w:div>
    <w:div w:id="897479298">
      <w:bodyDiv w:val="1"/>
      <w:marLeft w:val="0"/>
      <w:marRight w:val="0"/>
      <w:marTop w:val="0"/>
      <w:marBottom w:val="0"/>
      <w:divBdr>
        <w:top w:val="none" w:sz="0" w:space="0" w:color="auto"/>
        <w:left w:val="none" w:sz="0" w:space="0" w:color="auto"/>
        <w:bottom w:val="none" w:sz="0" w:space="0" w:color="auto"/>
        <w:right w:val="none" w:sz="0" w:space="0" w:color="auto"/>
      </w:divBdr>
    </w:div>
    <w:div w:id="903833234">
      <w:bodyDiv w:val="1"/>
      <w:marLeft w:val="0"/>
      <w:marRight w:val="0"/>
      <w:marTop w:val="0"/>
      <w:marBottom w:val="0"/>
      <w:divBdr>
        <w:top w:val="none" w:sz="0" w:space="0" w:color="auto"/>
        <w:left w:val="none" w:sz="0" w:space="0" w:color="auto"/>
        <w:bottom w:val="none" w:sz="0" w:space="0" w:color="auto"/>
        <w:right w:val="none" w:sz="0" w:space="0" w:color="auto"/>
      </w:divBdr>
    </w:div>
    <w:div w:id="912086391">
      <w:bodyDiv w:val="1"/>
      <w:marLeft w:val="0"/>
      <w:marRight w:val="0"/>
      <w:marTop w:val="0"/>
      <w:marBottom w:val="0"/>
      <w:divBdr>
        <w:top w:val="none" w:sz="0" w:space="0" w:color="auto"/>
        <w:left w:val="none" w:sz="0" w:space="0" w:color="auto"/>
        <w:bottom w:val="none" w:sz="0" w:space="0" w:color="auto"/>
        <w:right w:val="none" w:sz="0" w:space="0" w:color="auto"/>
      </w:divBdr>
    </w:div>
    <w:div w:id="940064777">
      <w:bodyDiv w:val="1"/>
      <w:marLeft w:val="0"/>
      <w:marRight w:val="0"/>
      <w:marTop w:val="0"/>
      <w:marBottom w:val="0"/>
      <w:divBdr>
        <w:top w:val="none" w:sz="0" w:space="0" w:color="auto"/>
        <w:left w:val="none" w:sz="0" w:space="0" w:color="auto"/>
        <w:bottom w:val="none" w:sz="0" w:space="0" w:color="auto"/>
        <w:right w:val="none" w:sz="0" w:space="0" w:color="auto"/>
      </w:divBdr>
    </w:div>
    <w:div w:id="946962214">
      <w:bodyDiv w:val="1"/>
      <w:marLeft w:val="0"/>
      <w:marRight w:val="0"/>
      <w:marTop w:val="0"/>
      <w:marBottom w:val="0"/>
      <w:divBdr>
        <w:top w:val="none" w:sz="0" w:space="0" w:color="auto"/>
        <w:left w:val="none" w:sz="0" w:space="0" w:color="auto"/>
        <w:bottom w:val="none" w:sz="0" w:space="0" w:color="auto"/>
        <w:right w:val="none" w:sz="0" w:space="0" w:color="auto"/>
      </w:divBdr>
    </w:div>
    <w:div w:id="952631303">
      <w:bodyDiv w:val="1"/>
      <w:marLeft w:val="0"/>
      <w:marRight w:val="0"/>
      <w:marTop w:val="0"/>
      <w:marBottom w:val="0"/>
      <w:divBdr>
        <w:top w:val="none" w:sz="0" w:space="0" w:color="auto"/>
        <w:left w:val="none" w:sz="0" w:space="0" w:color="auto"/>
        <w:bottom w:val="none" w:sz="0" w:space="0" w:color="auto"/>
        <w:right w:val="none" w:sz="0" w:space="0" w:color="auto"/>
      </w:divBdr>
    </w:div>
    <w:div w:id="986058030">
      <w:bodyDiv w:val="1"/>
      <w:marLeft w:val="0"/>
      <w:marRight w:val="0"/>
      <w:marTop w:val="0"/>
      <w:marBottom w:val="0"/>
      <w:divBdr>
        <w:top w:val="none" w:sz="0" w:space="0" w:color="auto"/>
        <w:left w:val="none" w:sz="0" w:space="0" w:color="auto"/>
        <w:bottom w:val="none" w:sz="0" w:space="0" w:color="auto"/>
        <w:right w:val="none" w:sz="0" w:space="0" w:color="auto"/>
      </w:divBdr>
    </w:div>
    <w:div w:id="989022990">
      <w:bodyDiv w:val="1"/>
      <w:marLeft w:val="0"/>
      <w:marRight w:val="0"/>
      <w:marTop w:val="0"/>
      <w:marBottom w:val="0"/>
      <w:divBdr>
        <w:top w:val="none" w:sz="0" w:space="0" w:color="auto"/>
        <w:left w:val="none" w:sz="0" w:space="0" w:color="auto"/>
        <w:bottom w:val="none" w:sz="0" w:space="0" w:color="auto"/>
        <w:right w:val="none" w:sz="0" w:space="0" w:color="auto"/>
      </w:divBdr>
    </w:div>
    <w:div w:id="1000886904">
      <w:bodyDiv w:val="1"/>
      <w:marLeft w:val="0"/>
      <w:marRight w:val="0"/>
      <w:marTop w:val="0"/>
      <w:marBottom w:val="0"/>
      <w:divBdr>
        <w:top w:val="none" w:sz="0" w:space="0" w:color="auto"/>
        <w:left w:val="none" w:sz="0" w:space="0" w:color="auto"/>
        <w:bottom w:val="none" w:sz="0" w:space="0" w:color="auto"/>
        <w:right w:val="none" w:sz="0" w:space="0" w:color="auto"/>
      </w:divBdr>
    </w:div>
    <w:div w:id="1009527545">
      <w:bodyDiv w:val="1"/>
      <w:marLeft w:val="0"/>
      <w:marRight w:val="0"/>
      <w:marTop w:val="0"/>
      <w:marBottom w:val="0"/>
      <w:divBdr>
        <w:top w:val="none" w:sz="0" w:space="0" w:color="auto"/>
        <w:left w:val="none" w:sz="0" w:space="0" w:color="auto"/>
        <w:bottom w:val="none" w:sz="0" w:space="0" w:color="auto"/>
        <w:right w:val="none" w:sz="0" w:space="0" w:color="auto"/>
      </w:divBdr>
    </w:div>
    <w:div w:id="1026323300">
      <w:bodyDiv w:val="1"/>
      <w:marLeft w:val="10"/>
      <w:marRight w:val="10"/>
      <w:marTop w:val="10"/>
      <w:marBottom w:val="10"/>
      <w:divBdr>
        <w:top w:val="none" w:sz="0" w:space="0" w:color="auto"/>
        <w:left w:val="none" w:sz="0" w:space="0" w:color="auto"/>
        <w:bottom w:val="none" w:sz="0" w:space="0" w:color="auto"/>
        <w:right w:val="none" w:sz="0" w:space="0" w:color="auto"/>
      </w:divBdr>
      <w:divsChild>
        <w:div w:id="625741560">
          <w:marLeft w:val="0"/>
          <w:marRight w:val="0"/>
          <w:marTop w:val="0"/>
          <w:marBottom w:val="0"/>
          <w:divBdr>
            <w:top w:val="none" w:sz="0" w:space="0" w:color="auto"/>
            <w:left w:val="none" w:sz="0" w:space="0" w:color="auto"/>
            <w:bottom w:val="none" w:sz="0" w:space="0" w:color="auto"/>
            <w:right w:val="none" w:sz="0" w:space="0" w:color="auto"/>
          </w:divBdr>
        </w:div>
      </w:divsChild>
    </w:div>
    <w:div w:id="1037505865">
      <w:bodyDiv w:val="1"/>
      <w:marLeft w:val="0"/>
      <w:marRight w:val="0"/>
      <w:marTop w:val="0"/>
      <w:marBottom w:val="0"/>
      <w:divBdr>
        <w:top w:val="none" w:sz="0" w:space="0" w:color="auto"/>
        <w:left w:val="none" w:sz="0" w:space="0" w:color="auto"/>
        <w:bottom w:val="none" w:sz="0" w:space="0" w:color="auto"/>
        <w:right w:val="none" w:sz="0" w:space="0" w:color="auto"/>
      </w:divBdr>
    </w:div>
    <w:div w:id="1041049408">
      <w:bodyDiv w:val="1"/>
      <w:marLeft w:val="0"/>
      <w:marRight w:val="0"/>
      <w:marTop w:val="0"/>
      <w:marBottom w:val="0"/>
      <w:divBdr>
        <w:top w:val="none" w:sz="0" w:space="0" w:color="auto"/>
        <w:left w:val="none" w:sz="0" w:space="0" w:color="auto"/>
        <w:bottom w:val="none" w:sz="0" w:space="0" w:color="auto"/>
        <w:right w:val="none" w:sz="0" w:space="0" w:color="auto"/>
      </w:divBdr>
    </w:div>
    <w:div w:id="1058210474">
      <w:bodyDiv w:val="1"/>
      <w:marLeft w:val="0"/>
      <w:marRight w:val="0"/>
      <w:marTop w:val="0"/>
      <w:marBottom w:val="0"/>
      <w:divBdr>
        <w:top w:val="none" w:sz="0" w:space="0" w:color="auto"/>
        <w:left w:val="none" w:sz="0" w:space="0" w:color="auto"/>
        <w:bottom w:val="none" w:sz="0" w:space="0" w:color="auto"/>
        <w:right w:val="none" w:sz="0" w:space="0" w:color="auto"/>
      </w:divBdr>
    </w:div>
    <w:div w:id="1061712417">
      <w:bodyDiv w:val="1"/>
      <w:marLeft w:val="0"/>
      <w:marRight w:val="0"/>
      <w:marTop w:val="0"/>
      <w:marBottom w:val="0"/>
      <w:divBdr>
        <w:top w:val="none" w:sz="0" w:space="0" w:color="auto"/>
        <w:left w:val="none" w:sz="0" w:space="0" w:color="auto"/>
        <w:bottom w:val="none" w:sz="0" w:space="0" w:color="auto"/>
        <w:right w:val="none" w:sz="0" w:space="0" w:color="auto"/>
      </w:divBdr>
    </w:div>
    <w:div w:id="1062362047">
      <w:bodyDiv w:val="1"/>
      <w:marLeft w:val="0"/>
      <w:marRight w:val="0"/>
      <w:marTop w:val="0"/>
      <w:marBottom w:val="0"/>
      <w:divBdr>
        <w:top w:val="none" w:sz="0" w:space="0" w:color="auto"/>
        <w:left w:val="none" w:sz="0" w:space="0" w:color="auto"/>
        <w:bottom w:val="none" w:sz="0" w:space="0" w:color="auto"/>
        <w:right w:val="none" w:sz="0" w:space="0" w:color="auto"/>
      </w:divBdr>
    </w:div>
    <w:div w:id="1078593896">
      <w:bodyDiv w:val="1"/>
      <w:marLeft w:val="0"/>
      <w:marRight w:val="0"/>
      <w:marTop w:val="0"/>
      <w:marBottom w:val="0"/>
      <w:divBdr>
        <w:top w:val="none" w:sz="0" w:space="0" w:color="auto"/>
        <w:left w:val="none" w:sz="0" w:space="0" w:color="auto"/>
        <w:bottom w:val="none" w:sz="0" w:space="0" w:color="auto"/>
        <w:right w:val="none" w:sz="0" w:space="0" w:color="auto"/>
      </w:divBdr>
    </w:div>
    <w:div w:id="1085566276">
      <w:bodyDiv w:val="1"/>
      <w:marLeft w:val="0"/>
      <w:marRight w:val="0"/>
      <w:marTop w:val="0"/>
      <w:marBottom w:val="0"/>
      <w:divBdr>
        <w:top w:val="none" w:sz="0" w:space="0" w:color="auto"/>
        <w:left w:val="none" w:sz="0" w:space="0" w:color="auto"/>
        <w:bottom w:val="none" w:sz="0" w:space="0" w:color="auto"/>
        <w:right w:val="none" w:sz="0" w:space="0" w:color="auto"/>
      </w:divBdr>
      <w:divsChild>
        <w:div w:id="420369597">
          <w:marLeft w:val="1800"/>
          <w:marRight w:val="0"/>
          <w:marTop w:val="120"/>
          <w:marBottom w:val="120"/>
          <w:divBdr>
            <w:top w:val="none" w:sz="0" w:space="0" w:color="auto"/>
            <w:left w:val="none" w:sz="0" w:space="0" w:color="auto"/>
            <w:bottom w:val="none" w:sz="0" w:space="0" w:color="auto"/>
            <w:right w:val="none" w:sz="0" w:space="0" w:color="auto"/>
          </w:divBdr>
        </w:div>
        <w:div w:id="930939595">
          <w:marLeft w:val="1800"/>
          <w:marRight w:val="0"/>
          <w:marTop w:val="120"/>
          <w:marBottom w:val="120"/>
          <w:divBdr>
            <w:top w:val="none" w:sz="0" w:space="0" w:color="auto"/>
            <w:left w:val="none" w:sz="0" w:space="0" w:color="auto"/>
            <w:bottom w:val="none" w:sz="0" w:space="0" w:color="auto"/>
            <w:right w:val="none" w:sz="0" w:space="0" w:color="auto"/>
          </w:divBdr>
        </w:div>
        <w:div w:id="946079496">
          <w:marLeft w:val="1166"/>
          <w:marRight w:val="0"/>
          <w:marTop w:val="120"/>
          <w:marBottom w:val="120"/>
          <w:divBdr>
            <w:top w:val="none" w:sz="0" w:space="0" w:color="auto"/>
            <w:left w:val="none" w:sz="0" w:space="0" w:color="auto"/>
            <w:bottom w:val="none" w:sz="0" w:space="0" w:color="auto"/>
            <w:right w:val="none" w:sz="0" w:space="0" w:color="auto"/>
          </w:divBdr>
        </w:div>
        <w:div w:id="961618892">
          <w:marLeft w:val="1166"/>
          <w:marRight w:val="0"/>
          <w:marTop w:val="120"/>
          <w:marBottom w:val="120"/>
          <w:divBdr>
            <w:top w:val="none" w:sz="0" w:space="0" w:color="auto"/>
            <w:left w:val="none" w:sz="0" w:space="0" w:color="auto"/>
            <w:bottom w:val="none" w:sz="0" w:space="0" w:color="auto"/>
            <w:right w:val="none" w:sz="0" w:space="0" w:color="auto"/>
          </w:divBdr>
        </w:div>
        <w:div w:id="1841849849">
          <w:marLeft w:val="1800"/>
          <w:marRight w:val="0"/>
          <w:marTop w:val="120"/>
          <w:marBottom w:val="120"/>
          <w:divBdr>
            <w:top w:val="none" w:sz="0" w:space="0" w:color="auto"/>
            <w:left w:val="none" w:sz="0" w:space="0" w:color="auto"/>
            <w:bottom w:val="none" w:sz="0" w:space="0" w:color="auto"/>
            <w:right w:val="none" w:sz="0" w:space="0" w:color="auto"/>
          </w:divBdr>
        </w:div>
        <w:div w:id="1917661839">
          <w:marLeft w:val="1166"/>
          <w:marRight w:val="0"/>
          <w:marTop w:val="120"/>
          <w:marBottom w:val="120"/>
          <w:divBdr>
            <w:top w:val="none" w:sz="0" w:space="0" w:color="auto"/>
            <w:left w:val="none" w:sz="0" w:space="0" w:color="auto"/>
            <w:bottom w:val="none" w:sz="0" w:space="0" w:color="auto"/>
            <w:right w:val="none" w:sz="0" w:space="0" w:color="auto"/>
          </w:divBdr>
        </w:div>
        <w:div w:id="1970889968">
          <w:marLeft w:val="547"/>
          <w:marRight w:val="0"/>
          <w:marTop w:val="120"/>
          <w:marBottom w:val="120"/>
          <w:divBdr>
            <w:top w:val="none" w:sz="0" w:space="0" w:color="auto"/>
            <w:left w:val="none" w:sz="0" w:space="0" w:color="auto"/>
            <w:bottom w:val="none" w:sz="0" w:space="0" w:color="auto"/>
            <w:right w:val="none" w:sz="0" w:space="0" w:color="auto"/>
          </w:divBdr>
        </w:div>
        <w:div w:id="2146241211">
          <w:marLeft w:val="1800"/>
          <w:marRight w:val="0"/>
          <w:marTop w:val="120"/>
          <w:marBottom w:val="120"/>
          <w:divBdr>
            <w:top w:val="none" w:sz="0" w:space="0" w:color="auto"/>
            <w:left w:val="none" w:sz="0" w:space="0" w:color="auto"/>
            <w:bottom w:val="none" w:sz="0" w:space="0" w:color="auto"/>
            <w:right w:val="none" w:sz="0" w:space="0" w:color="auto"/>
          </w:divBdr>
        </w:div>
      </w:divsChild>
    </w:div>
    <w:div w:id="1087194945">
      <w:bodyDiv w:val="1"/>
      <w:marLeft w:val="0"/>
      <w:marRight w:val="0"/>
      <w:marTop w:val="0"/>
      <w:marBottom w:val="0"/>
      <w:divBdr>
        <w:top w:val="none" w:sz="0" w:space="0" w:color="auto"/>
        <w:left w:val="none" w:sz="0" w:space="0" w:color="auto"/>
        <w:bottom w:val="none" w:sz="0" w:space="0" w:color="auto"/>
        <w:right w:val="none" w:sz="0" w:space="0" w:color="auto"/>
      </w:divBdr>
    </w:div>
    <w:div w:id="1088650584">
      <w:bodyDiv w:val="1"/>
      <w:marLeft w:val="0"/>
      <w:marRight w:val="0"/>
      <w:marTop w:val="0"/>
      <w:marBottom w:val="0"/>
      <w:divBdr>
        <w:top w:val="none" w:sz="0" w:space="0" w:color="auto"/>
        <w:left w:val="none" w:sz="0" w:space="0" w:color="auto"/>
        <w:bottom w:val="none" w:sz="0" w:space="0" w:color="auto"/>
        <w:right w:val="none" w:sz="0" w:space="0" w:color="auto"/>
      </w:divBdr>
    </w:div>
    <w:div w:id="1090081488">
      <w:bodyDiv w:val="1"/>
      <w:marLeft w:val="0"/>
      <w:marRight w:val="0"/>
      <w:marTop w:val="0"/>
      <w:marBottom w:val="0"/>
      <w:divBdr>
        <w:top w:val="none" w:sz="0" w:space="0" w:color="auto"/>
        <w:left w:val="none" w:sz="0" w:space="0" w:color="auto"/>
        <w:bottom w:val="none" w:sz="0" w:space="0" w:color="auto"/>
        <w:right w:val="none" w:sz="0" w:space="0" w:color="auto"/>
      </w:divBdr>
    </w:div>
    <w:div w:id="1096365589">
      <w:bodyDiv w:val="1"/>
      <w:marLeft w:val="0"/>
      <w:marRight w:val="0"/>
      <w:marTop w:val="0"/>
      <w:marBottom w:val="0"/>
      <w:divBdr>
        <w:top w:val="none" w:sz="0" w:space="0" w:color="auto"/>
        <w:left w:val="none" w:sz="0" w:space="0" w:color="auto"/>
        <w:bottom w:val="none" w:sz="0" w:space="0" w:color="auto"/>
        <w:right w:val="none" w:sz="0" w:space="0" w:color="auto"/>
      </w:divBdr>
    </w:div>
    <w:div w:id="1157724788">
      <w:bodyDiv w:val="1"/>
      <w:marLeft w:val="0"/>
      <w:marRight w:val="0"/>
      <w:marTop w:val="0"/>
      <w:marBottom w:val="0"/>
      <w:divBdr>
        <w:top w:val="none" w:sz="0" w:space="0" w:color="auto"/>
        <w:left w:val="none" w:sz="0" w:space="0" w:color="auto"/>
        <w:bottom w:val="none" w:sz="0" w:space="0" w:color="auto"/>
        <w:right w:val="none" w:sz="0" w:space="0" w:color="auto"/>
      </w:divBdr>
    </w:div>
    <w:div w:id="1177501399">
      <w:bodyDiv w:val="1"/>
      <w:marLeft w:val="0"/>
      <w:marRight w:val="0"/>
      <w:marTop w:val="0"/>
      <w:marBottom w:val="0"/>
      <w:divBdr>
        <w:top w:val="none" w:sz="0" w:space="0" w:color="auto"/>
        <w:left w:val="none" w:sz="0" w:space="0" w:color="auto"/>
        <w:bottom w:val="none" w:sz="0" w:space="0" w:color="auto"/>
        <w:right w:val="none" w:sz="0" w:space="0" w:color="auto"/>
      </w:divBdr>
    </w:div>
    <w:div w:id="1193960752">
      <w:bodyDiv w:val="1"/>
      <w:marLeft w:val="0"/>
      <w:marRight w:val="0"/>
      <w:marTop w:val="0"/>
      <w:marBottom w:val="0"/>
      <w:divBdr>
        <w:top w:val="none" w:sz="0" w:space="0" w:color="auto"/>
        <w:left w:val="none" w:sz="0" w:space="0" w:color="auto"/>
        <w:bottom w:val="none" w:sz="0" w:space="0" w:color="auto"/>
        <w:right w:val="none" w:sz="0" w:space="0" w:color="auto"/>
      </w:divBdr>
    </w:div>
    <w:div w:id="1224178242">
      <w:bodyDiv w:val="1"/>
      <w:marLeft w:val="0"/>
      <w:marRight w:val="0"/>
      <w:marTop w:val="0"/>
      <w:marBottom w:val="0"/>
      <w:divBdr>
        <w:top w:val="none" w:sz="0" w:space="0" w:color="auto"/>
        <w:left w:val="none" w:sz="0" w:space="0" w:color="auto"/>
        <w:bottom w:val="none" w:sz="0" w:space="0" w:color="auto"/>
        <w:right w:val="none" w:sz="0" w:space="0" w:color="auto"/>
      </w:divBdr>
    </w:div>
    <w:div w:id="1226406967">
      <w:bodyDiv w:val="1"/>
      <w:marLeft w:val="0"/>
      <w:marRight w:val="0"/>
      <w:marTop w:val="0"/>
      <w:marBottom w:val="0"/>
      <w:divBdr>
        <w:top w:val="none" w:sz="0" w:space="0" w:color="auto"/>
        <w:left w:val="none" w:sz="0" w:space="0" w:color="auto"/>
        <w:bottom w:val="none" w:sz="0" w:space="0" w:color="auto"/>
        <w:right w:val="none" w:sz="0" w:space="0" w:color="auto"/>
      </w:divBdr>
    </w:div>
    <w:div w:id="1228612940">
      <w:bodyDiv w:val="1"/>
      <w:marLeft w:val="0"/>
      <w:marRight w:val="0"/>
      <w:marTop w:val="0"/>
      <w:marBottom w:val="0"/>
      <w:divBdr>
        <w:top w:val="none" w:sz="0" w:space="0" w:color="auto"/>
        <w:left w:val="none" w:sz="0" w:space="0" w:color="auto"/>
        <w:bottom w:val="none" w:sz="0" w:space="0" w:color="auto"/>
        <w:right w:val="none" w:sz="0" w:space="0" w:color="auto"/>
      </w:divBdr>
    </w:div>
    <w:div w:id="1245843501">
      <w:bodyDiv w:val="1"/>
      <w:marLeft w:val="0"/>
      <w:marRight w:val="0"/>
      <w:marTop w:val="0"/>
      <w:marBottom w:val="0"/>
      <w:divBdr>
        <w:top w:val="none" w:sz="0" w:space="0" w:color="auto"/>
        <w:left w:val="none" w:sz="0" w:space="0" w:color="auto"/>
        <w:bottom w:val="none" w:sz="0" w:space="0" w:color="auto"/>
        <w:right w:val="none" w:sz="0" w:space="0" w:color="auto"/>
      </w:divBdr>
    </w:div>
    <w:div w:id="1245995399">
      <w:bodyDiv w:val="1"/>
      <w:marLeft w:val="0"/>
      <w:marRight w:val="0"/>
      <w:marTop w:val="0"/>
      <w:marBottom w:val="0"/>
      <w:divBdr>
        <w:top w:val="none" w:sz="0" w:space="0" w:color="auto"/>
        <w:left w:val="none" w:sz="0" w:space="0" w:color="auto"/>
        <w:bottom w:val="none" w:sz="0" w:space="0" w:color="auto"/>
        <w:right w:val="none" w:sz="0" w:space="0" w:color="auto"/>
      </w:divBdr>
    </w:div>
    <w:div w:id="1290017765">
      <w:bodyDiv w:val="1"/>
      <w:marLeft w:val="0"/>
      <w:marRight w:val="0"/>
      <w:marTop w:val="0"/>
      <w:marBottom w:val="0"/>
      <w:divBdr>
        <w:top w:val="none" w:sz="0" w:space="0" w:color="auto"/>
        <w:left w:val="none" w:sz="0" w:space="0" w:color="auto"/>
        <w:bottom w:val="none" w:sz="0" w:space="0" w:color="auto"/>
        <w:right w:val="none" w:sz="0" w:space="0" w:color="auto"/>
      </w:divBdr>
    </w:div>
    <w:div w:id="1306013745">
      <w:bodyDiv w:val="1"/>
      <w:marLeft w:val="0"/>
      <w:marRight w:val="0"/>
      <w:marTop w:val="0"/>
      <w:marBottom w:val="0"/>
      <w:divBdr>
        <w:top w:val="none" w:sz="0" w:space="0" w:color="auto"/>
        <w:left w:val="none" w:sz="0" w:space="0" w:color="auto"/>
        <w:bottom w:val="none" w:sz="0" w:space="0" w:color="auto"/>
        <w:right w:val="none" w:sz="0" w:space="0" w:color="auto"/>
      </w:divBdr>
    </w:div>
    <w:div w:id="1312057029">
      <w:bodyDiv w:val="1"/>
      <w:marLeft w:val="0"/>
      <w:marRight w:val="0"/>
      <w:marTop w:val="0"/>
      <w:marBottom w:val="0"/>
      <w:divBdr>
        <w:top w:val="none" w:sz="0" w:space="0" w:color="auto"/>
        <w:left w:val="none" w:sz="0" w:space="0" w:color="auto"/>
        <w:bottom w:val="none" w:sz="0" w:space="0" w:color="auto"/>
        <w:right w:val="none" w:sz="0" w:space="0" w:color="auto"/>
      </w:divBdr>
    </w:div>
    <w:div w:id="1316571412">
      <w:bodyDiv w:val="1"/>
      <w:marLeft w:val="0"/>
      <w:marRight w:val="0"/>
      <w:marTop w:val="0"/>
      <w:marBottom w:val="0"/>
      <w:divBdr>
        <w:top w:val="none" w:sz="0" w:space="0" w:color="auto"/>
        <w:left w:val="none" w:sz="0" w:space="0" w:color="auto"/>
        <w:bottom w:val="none" w:sz="0" w:space="0" w:color="auto"/>
        <w:right w:val="none" w:sz="0" w:space="0" w:color="auto"/>
      </w:divBdr>
    </w:div>
    <w:div w:id="1332031103">
      <w:bodyDiv w:val="1"/>
      <w:marLeft w:val="0"/>
      <w:marRight w:val="0"/>
      <w:marTop w:val="0"/>
      <w:marBottom w:val="0"/>
      <w:divBdr>
        <w:top w:val="none" w:sz="0" w:space="0" w:color="auto"/>
        <w:left w:val="none" w:sz="0" w:space="0" w:color="auto"/>
        <w:bottom w:val="none" w:sz="0" w:space="0" w:color="auto"/>
        <w:right w:val="none" w:sz="0" w:space="0" w:color="auto"/>
      </w:divBdr>
    </w:div>
    <w:div w:id="1354499935">
      <w:bodyDiv w:val="1"/>
      <w:marLeft w:val="0"/>
      <w:marRight w:val="0"/>
      <w:marTop w:val="0"/>
      <w:marBottom w:val="0"/>
      <w:divBdr>
        <w:top w:val="none" w:sz="0" w:space="0" w:color="auto"/>
        <w:left w:val="none" w:sz="0" w:space="0" w:color="auto"/>
        <w:bottom w:val="none" w:sz="0" w:space="0" w:color="auto"/>
        <w:right w:val="none" w:sz="0" w:space="0" w:color="auto"/>
      </w:divBdr>
    </w:div>
    <w:div w:id="1359618937">
      <w:bodyDiv w:val="1"/>
      <w:marLeft w:val="0"/>
      <w:marRight w:val="0"/>
      <w:marTop w:val="0"/>
      <w:marBottom w:val="0"/>
      <w:divBdr>
        <w:top w:val="none" w:sz="0" w:space="0" w:color="auto"/>
        <w:left w:val="none" w:sz="0" w:space="0" w:color="auto"/>
        <w:bottom w:val="none" w:sz="0" w:space="0" w:color="auto"/>
        <w:right w:val="none" w:sz="0" w:space="0" w:color="auto"/>
      </w:divBdr>
      <w:divsChild>
        <w:div w:id="72632787">
          <w:marLeft w:val="0"/>
          <w:marRight w:val="0"/>
          <w:marTop w:val="0"/>
          <w:marBottom w:val="0"/>
          <w:divBdr>
            <w:top w:val="none" w:sz="0" w:space="0" w:color="auto"/>
            <w:left w:val="none" w:sz="0" w:space="0" w:color="auto"/>
            <w:bottom w:val="none" w:sz="0" w:space="0" w:color="auto"/>
            <w:right w:val="none" w:sz="0" w:space="0" w:color="auto"/>
          </w:divBdr>
          <w:divsChild>
            <w:div w:id="1535772512">
              <w:marLeft w:val="0"/>
              <w:marRight w:val="0"/>
              <w:marTop w:val="0"/>
              <w:marBottom w:val="0"/>
              <w:divBdr>
                <w:top w:val="none" w:sz="0" w:space="0" w:color="auto"/>
                <w:left w:val="none" w:sz="0" w:space="0" w:color="auto"/>
                <w:bottom w:val="none" w:sz="0" w:space="0" w:color="auto"/>
                <w:right w:val="none" w:sz="0" w:space="0" w:color="auto"/>
              </w:divBdr>
              <w:divsChild>
                <w:div w:id="1549491502">
                  <w:marLeft w:val="0"/>
                  <w:marRight w:val="0"/>
                  <w:marTop w:val="0"/>
                  <w:marBottom w:val="0"/>
                  <w:divBdr>
                    <w:top w:val="none" w:sz="0" w:space="0" w:color="auto"/>
                    <w:left w:val="none" w:sz="0" w:space="0" w:color="auto"/>
                    <w:bottom w:val="none" w:sz="0" w:space="0" w:color="auto"/>
                    <w:right w:val="none" w:sz="0" w:space="0" w:color="auto"/>
                  </w:divBdr>
                  <w:divsChild>
                    <w:div w:id="243878286">
                      <w:marLeft w:val="0"/>
                      <w:marRight w:val="0"/>
                      <w:marTop w:val="0"/>
                      <w:marBottom w:val="0"/>
                      <w:divBdr>
                        <w:top w:val="none" w:sz="0" w:space="0" w:color="auto"/>
                        <w:left w:val="none" w:sz="0" w:space="0" w:color="auto"/>
                        <w:bottom w:val="none" w:sz="0" w:space="0" w:color="auto"/>
                        <w:right w:val="none" w:sz="0" w:space="0" w:color="auto"/>
                      </w:divBdr>
                      <w:divsChild>
                        <w:div w:id="1658460632">
                          <w:marLeft w:val="0"/>
                          <w:marRight w:val="0"/>
                          <w:marTop w:val="0"/>
                          <w:marBottom w:val="0"/>
                          <w:divBdr>
                            <w:top w:val="none" w:sz="0" w:space="0" w:color="auto"/>
                            <w:left w:val="none" w:sz="0" w:space="0" w:color="auto"/>
                            <w:bottom w:val="none" w:sz="0" w:space="0" w:color="auto"/>
                            <w:right w:val="none" w:sz="0" w:space="0" w:color="auto"/>
                          </w:divBdr>
                          <w:divsChild>
                            <w:div w:id="1161504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66059136">
      <w:bodyDiv w:val="1"/>
      <w:marLeft w:val="0"/>
      <w:marRight w:val="0"/>
      <w:marTop w:val="0"/>
      <w:marBottom w:val="0"/>
      <w:divBdr>
        <w:top w:val="none" w:sz="0" w:space="0" w:color="auto"/>
        <w:left w:val="none" w:sz="0" w:space="0" w:color="auto"/>
        <w:bottom w:val="none" w:sz="0" w:space="0" w:color="auto"/>
        <w:right w:val="none" w:sz="0" w:space="0" w:color="auto"/>
      </w:divBdr>
    </w:div>
    <w:div w:id="1386222727">
      <w:bodyDiv w:val="1"/>
      <w:marLeft w:val="0"/>
      <w:marRight w:val="0"/>
      <w:marTop w:val="0"/>
      <w:marBottom w:val="0"/>
      <w:divBdr>
        <w:top w:val="none" w:sz="0" w:space="0" w:color="auto"/>
        <w:left w:val="none" w:sz="0" w:space="0" w:color="auto"/>
        <w:bottom w:val="none" w:sz="0" w:space="0" w:color="auto"/>
        <w:right w:val="none" w:sz="0" w:space="0" w:color="auto"/>
      </w:divBdr>
    </w:div>
    <w:div w:id="1400130534">
      <w:bodyDiv w:val="1"/>
      <w:marLeft w:val="0"/>
      <w:marRight w:val="0"/>
      <w:marTop w:val="0"/>
      <w:marBottom w:val="0"/>
      <w:divBdr>
        <w:top w:val="none" w:sz="0" w:space="0" w:color="auto"/>
        <w:left w:val="none" w:sz="0" w:space="0" w:color="auto"/>
        <w:bottom w:val="none" w:sz="0" w:space="0" w:color="auto"/>
        <w:right w:val="none" w:sz="0" w:space="0" w:color="auto"/>
      </w:divBdr>
    </w:div>
    <w:div w:id="1404180006">
      <w:bodyDiv w:val="1"/>
      <w:marLeft w:val="0"/>
      <w:marRight w:val="0"/>
      <w:marTop w:val="0"/>
      <w:marBottom w:val="0"/>
      <w:divBdr>
        <w:top w:val="none" w:sz="0" w:space="0" w:color="auto"/>
        <w:left w:val="none" w:sz="0" w:space="0" w:color="auto"/>
        <w:bottom w:val="none" w:sz="0" w:space="0" w:color="auto"/>
        <w:right w:val="none" w:sz="0" w:space="0" w:color="auto"/>
      </w:divBdr>
    </w:div>
    <w:div w:id="1460800865">
      <w:bodyDiv w:val="1"/>
      <w:marLeft w:val="0"/>
      <w:marRight w:val="0"/>
      <w:marTop w:val="0"/>
      <w:marBottom w:val="0"/>
      <w:divBdr>
        <w:top w:val="none" w:sz="0" w:space="0" w:color="auto"/>
        <w:left w:val="none" w:sz="0" w:space="0" w:color="auto"/>
        <w:bottom w:val="none" w:sz="0" w:space="0" w:color="auto"/>
        <w:right w:val="none" w:sz="0" w:space="0" w:color="auto"/>
      </w:divBdr>
    </w:div>
    <w:div w:id="1465851011">
      <w:bodyDiv w:val="1"/>
      <w:marLeft w:val="0"/>
      <w:marRight w:val="0"/>
      <w:marTop w:val="0"/>
      <w:marBottom w:val="0"/>
      <w:divBdr>
        <w:top w:val="none" w:sz="0" w:space="0" w:color="auto"/>
        <w:left w:val="none" w:sz="0" w:space="0" w:color="auto"/>
        <w:bottom w:val="none" w:sz="0" w:space="0" w:color="auto"/>
        <w:right w:val="none" w:sz="0" w:space="0" w:color="auto"/>
      </w:divBdr>
    </w:div>
    <w:div w:id="1473670083">
      <w:bodyDiv w:val="1"/>
      <w:marLeft w:val="0"/>
      <w:marRight w:val="0"/>
      <w:marTop w:val="0"/>
      <w:marBottom w:val="0"/>
      <w:divBdr>
        <w:top w:val="none" w:sz="0" w:space="0" w:color="auto"/>
        <w:left w:val="none" w:sz="0" w:space="0" w:color="auto"/>
        <w:bottom w:val="none" w:sz="0" w:space="0" w:color="auto"/>
        <w:right w:val="none" w:sz="0" w:space="0" w:color="auto"/>
      </w:divBdr>
    </w:div>
    <w:div w:id="1480539321">
      <w:bodyDiv w:val="1"/>
      <w:marLeft w:val="0"/>
      <w:marRight w:val="0"/>
      <w:marTop w:val="0"/>
      <w:marBottom w:val="0"/>
      <w:divBdr>
        <w:top w:val="none" w:sz="0" w:space="0" w:color="auto"/>
        <w:left w:val="none" w:sz="0" w:space="0" w:color="auto"/>
        <w:bottom w:val="none" w:sz="0" w:space="0" w:color="auto"/>
        <w:right w:val="none" w:sz="0" w:space="0" w:color="auto"/>
      </w:divBdr>
    </w:div>
    <w:div w:id="1489596820">
      <w:bodyDiv w:val="1"/>
      <w:marLeft w:val="0"/>
      <w:marRight w:val="0"/>
      <w:marTop w:val="0"/>
      <w:marBottom w:val="0"/>
      <w:divBdr>
        <w:top w:val="none" w:sz="0" w:space="0" w:color="auto"/>
        <w:left w:val="none" w:sz="0" w:space="0" w:color="auto"/>
        <w:bottom w:val="none" w:sz="0" w:space="0" w:color="auto"/>
        <w:right w:val="none" w:sz="0" w:space="0" w:color="auto"/>
      </w:divBdr>
    </w:div>
    <w:div w:id="1506243040">
      <w:bodyDiv w:val="1"/>
      <w:marLeft w:val="0"/>
      <w:marRight w:val="0"/>
      <w:marTop w:val="0"/>
      <w:marBottom w:val="0"/>
      <w:divBdr>
        <w:top w:val="none" w:sz="0" w:space="0" w:color="auto"/>
        <w:left w:val="none" w:sz="0" w:space="0" w:color="auto"/>
        <w:bottom w:val="none" w:sz="0" w:space="0" w:color="auto"/>
        <w:right w:val="none" w:sz="0" w:space="0" w:color="auto"/>
      </w:divBdr>
    </w:div>
    <w:div w:id="1524517400">
      <w:bodyDiv w:val="1"/>
      <w:marLeft w:val="0"/>
      <w:marRight w:val="0"/>
      <w:marTop w:val="0"/>
      <w:marBottom w:val="0"/>
      <w:divBdr>
        <w:top w:val="none" w:sz="0" w:space="0" w:color="auto"/>
        <w:left w:val="none" w:sz="0" w:space="0" w:color="auto"/>
        <w:bottom w:val="none" w:sz="0" w:space="0" w:color="auto"/>
        <w:right w:val="none" w:sz="0" w:space="0" w:color="auto"/>
      </w:divBdr>
    </w:div>
    <w:div w:id="1539584348">
      <w:bodyDiv w:val="1"/>
      <w:marLeft w:val="0"/>
      <w:marRight w:val="0"/>
      <w:marTop w:val="0"/>
      <w:marBottom w:val="0"/>
      <w:divBdr>
        <w:top w:val="none" w:sz="0" w:space="0" w:color="auto"/>
        <w:left w:val="none" w:sz="0" w:space="0" w:color="auto"/>
        <w:bottom w:val="none" w:sz="0" w:space="0" w:color="auto"/>
        <w:right w:val="none" w:sz="0" w:space="0" w:color="auto"/>
      </w:divBdr>
      <w:divsChild>
        <w:div w:id="172844959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42553125">
      <w:bodyDiv w:val="1"/>
      <w:marLeft w:val="0"/>
      <w:marRight w:val="0"/>
      <w:marTop w:val="0"/>
      <w:marBottom w:val="0"/>
      <w:divBdr>
        <w:top w:val="none" w:sz="0" w:space="0" w:color="auto"/>
        <w:left w:val="none" w:sz="0" w:space="0" w:color="auto"/>
        <w:bottom w:val="none" w:sz="0" w:space="0" w:color="auto"/>
        <w:right w:val="none" w:sz="0" w:space="0" w:color="auto"/>
      </w:divBdr>
    </w:div>
    <w:div w:id="1554348080">
      <w:bodyDiv w:val="1"/>
      <w:marLeft w:val="0"/>
      <w:marRight w:val="0"/>
      <w:marTop w:val="0"/>
      <w:marBottom w:val="0"/>
      <w:divBdr>
        <w:top w:val="none" w:sz="0" w:space="0" w:color="auto"/>
        <w:left w:val="none" w:sz="0" w:space="0" w:color="auto"/>
        <w:bottom w:val="none" w:sz="0" w:space="0" w:color="auto"/>
        <w:right w:val="none" w:sz="0" w:space="0" w:color="auto"/>
      </w:divBdr>
    </w:div>
    <w:div w:id="1580824157">
      <w:bodyDiv w:val="1"/>
      <w:marLeft w:val="0"/>
      <w:marRight w:val="0"/>
      <w:marTop w:val="0"/>
      <w:marBottom w:val="0"/>
      <w:divBdr>
        <w:top w:val="none" w:sz="0" w:space="0" w:color="auto"/>
        <w:left w:val="none" w:sz="0" w:space="0" w:color="auto"/>
        <w:bottom w:val="none" w:sz="0" w:space="0" w:color="auto"/>
        <w:right w:val="none" w:sz="0" w:space="0" w:color="auto"/>
      </w:divBdr>
    </w:div>
    <w:div w:id="1580824347">
      <w:bodyDiv w:val="1"/>
      <w:marLeft w:val="0"/>
      <w:marRight w:val="0"/>
      <w:marTop w:val="0"/>
      <w:marBottom w:val="0"/>
      <w:divBdr>
        <w:top w:val="none" w:sz="0" w:space="0" w:color="auto"/>
        <w:left w:val="none" w:sz="0" w:space="0" w:color="auto"/>
        <w:bottom w:val="none" w:sz="0" w:space="0" w:color="auto"/>
        <w:right w:val="none" w:sz="0" w:space="0" w:color="auto"/>
      </w:divBdr>
    </w:div>
    <w:div w:id="1588266810">
      <w:bodyDiv w:val="1"/>
      <w:marLeft w:val="0"/>
      <w:marRight w:val="0"/>
      <w:marTop w:val="0"/>
      <w:marBottom w:val="0"/>
      <w:divBdr>
        <w:top w:val="none" w:sz="0" w:space="0" w:color="auto"/>
        <w:left w:val="none" w:sz="0" w:space="0" w:color="auto"/>
        <w:bottom w:val="none" w:sz="0" w:space="0" w:color="auto"/>
        <w:right w:val="none" w:sz="0" w:space="0" w:color="auto"/>
      </w:divBdr>
    </w:div>
    <w:div w:id="1597513477">
      <w:bodyDiv w:val="1"/>
      <w:marLeft w:val="0"/>
      <w:marRight w:val="0"/>
      <w:marTop w:val="0"/>
      <w:marBottom w:val="0"/>
      <w:divBdr>
        <w:top w:val="none" w:sz="0" w:space="0" w:color="auto"/>
        <w:left w:val="none" w:sz="0" w:space="0" w:color="auto"/>
        <w:bottom w:val="none" w:sz="0" w:space="0" w:color="auto"/>
        <w:right w:val="none" w:sz="0" w:space="0" w:color="auto"/>
      </w:divBdr>
    </w:div>
    <w:div w:id="1604724585">
      <w:bodyDiv w:val="1"/>
      <w:marLeft w:val="0"/>
      <w:marRight w:val="0"/>
      <w:marTop w:val="0"/>
      <w:marBottom w:val="0"/>
      <w:divBdr>
        <w:top w:val="none" w:sz="0" w:space="0" w:color="auto"/>
        <w:left w:val="none" w:sz="0" w:space="0" w:color="auto"/>
        <w:bottom w:val="none" w:sz="0" w:space="0" w:color="auto"/>
        <w:right w:val="none" w:sz="0" w:space="0" w:color="auto"/>
      </w:divBdr>
    </w:div>
    <w:div w:id="1628269145">
      <w:bodyDiv w:val="1"/>
      <w:marLeft w:val="0"/>
      <w:marRight w:val="0"/>
      <w:marTop w:val="0"/>
      <w:marBottom w:val="0"/>
      <w:divBdr>
        <w:top w:val="none" w:sz="0" w:space="0" w:color="auto"/>
        <w:left w:val="none" w:sz="0" w:space="0" w:color="auto"/>
        <w:bottom w:val="none" w:sz="0" w:space="0" w:color="auto"/>
        <w:right w:val="none" w:sz="0" w:space="0" w:color="auto"/>
      </w:divBdr>
    </w:div>
    <w:div w:id="1633629919">
      <w:bodyDiv w:val="1"/>
      <w:marLeft w:val="0"/>
      <w:marRight w:val="0"/>
      <w:marTop w:val="0"/>
      <w:marBottom w:val="0"/>
      <w:divBdr>
        <w:top w:val="none" w:sz="0" w:space="0" w:color="auto"/>
        <w:left w:val="none" w:sz="0" w:space="0" w:color="auto"/>
        <w:bottom w:val="none" w:sz="0" w:space="0" w:color="auto"/>
        <w:right w:val="none" w:sz="0" w:space="0" w:color="auto"/>
      </w:divBdr>
    </w:div>
    <w:div w:id="1688948676">
      <w:bodyDiv w:val="1"/>
      <w:marLeft w:val="0"/>
      <w:marRight w:val="0"/>
      <w:marTop w:val="0"/>
      <w:marBottom w:val="0"/>
      <w:divBdr>
        <w:top w:val="none" w:sz="0" w:space="0" w:color="auto"/>
        <w:left w:val="none" w:sz="0" w:space="0" w:color="auto"/>
        <w:bottom w:val="none" w:sz="0" w:space="0" w:color="auto"/>
        <w:right w:val="none" w:sz="0" w:space="0" w:color="auto"/>
      </w:divBdr>
    </w:div>
    <w:div w:id="1690528038">
      <w:bodyDiv w:val="1"/>
      <w:marLeft w:val="0"/>
      <w:marRight w:val="0"/>
      <w:marTop w:val="0"/>
      <w:marBottom w:val="0"/>
      <w:divBdr>
        <w:top w:val="none" w:sz="0" w:space="0" w:color="auto"/>
        <w:left w:val="none" w:sz="0" w:space="0" w:color="auto"/>
        <w:bottom w:val="none" w:sz="0" w:space="0" w:color="auto"/>
        <w:right w:val="none" w:sz="0" w:space="0" w:color="auto"/>
      </w:divBdr>
    </w:div>
    <w:div w:id="1695811063">
      <w:bodyDiv w:val="1"/>
      <w:marLeft w:val="0"/>
      <w:marRight w:val="0"/>
      <w:marTop w:val="0"/>
      <w:marBottom w:val="0"/>
      <w:divBdr>
        <w:top w:val="none" w:sz="0" w:space="0" w:color="auto"/>
        <w:left w:val="none" w:sz="0" w:space="0" w:color="auto"/>
        <w:bottom w:val="none" w:sz="0" w:space="0" w:color="auto"/>
        <w:right w:val="none" w:sz="0" w:space="0" w:color="auto"/>
      </w:divBdr>
    </w:div>
    <w:div w:id="1697653728">
      <w:bodyDiv w:val="1"/>
      <w:marLeft w:val="0"/>
      <w:marRight w:val="0"/>
      <w:marTop w:val="0"/>
      <w:marBottom w:val="0"/>
      <w:divBdr>
        <w:top w:val="none" w:sz="0" w:space="0" w:color="auto"/>
        <w:left w:val="none" w:sz="0" w:space="0" w:color="auto"/>
        <w:bottom w:val="none" w:sz="0" w:space="0" w:color="auto"/>
        <w:right w:val="none" w:sz="0" w:space="0" w:color="auto"/>
      </w:divBdr>
    </w:div>
    <w:div w:id="1700275384">
      <w:bodyDiv w:val="1"/>
      <w:marLeft w:val="0"/>
      <w:marRight w:val="0"/>
      <w:marTop w:val="0"/>
      <w:marBottom w:val="0"/>
      <w:divBdr>
        <w:top w:val="none" w:sz="0" w:space="0" w:color="auto"/>
        <w:left w:val="none" w:sz="0" w:space="0" w:color="auto"/>
        <w:bottom w:val="none" w:sz="0" w:space="0" w:color="auto"/>
        <w:right w:val="none" w:sz="0" w:space="0" w:color="auto"/>
      </w:divBdr>
    </w:div>
    <w:div w:id="1714111592">
      <w:bodyDiv w:val="1"/>
      <w:marLeft w:val="0"/>
      <w:marRight w:val="0"/>
      <w:marTop w:val="0"/>
      <w:marBottom w:val="0"/>
      <w:divBdr>
        <w:top w:val="none" w:sz="0" w:space="0" w:color="auto"/>
        <w:left w:val="none" w:sz="0" w:space="0" w:color="auto"/>
        <w:bottom w:val="none" w:sz="0" w:space="0" w:color="auto"/>
        <w:right w:val="none" w:sz="0" w:space="0" w:color="auto"/>
      </w:divBdr>
    </w:div>
    <w:div w:id="1726099957">
      <w:bodyDiv w:val="1"/>
      <w:marLeft w:val="0"/>
      <w:marRight w:val="0"/>
      <w:marTop w:val="0"/>
      <w:marBottom w:val="0"/>
      <w:divBdr>
        <w:top w:val="none" w:sz="0" w:space="0" w:color="auto"/>
        <w:left w:val="none" w:sz="0" w:space="0" w:color="auto"/>
        <w:bottom w:val="none" w:sz="0" w:space="0" w:color="auto"/>
        <w:right w:val="none" w:sz="0" w:space="0" w:color="auto"/>
      </w:divBdr>
    </w:div>
    <w:div w:id="1748847737">
      <w:bodyDiv w:val="1"/>
      <w:marLeft w:val="0"/>
      <w:marRight w:val="0"/>
      <w:marTop w:val="0"/>
      <w:marBottom w:val="0"/>
      <w:divBdr>
        <w:top w:val="none" w:sz="0" w:space="0" w:color="auto"/>
        <w:left w:val="none" w:sz="0" w:space="0" w:color="auto"/>
        <w:bottom w:val="none" w:sz="0" w:space="0" w:color="auto"/>
        <w:right w:val="none" w:sz="0" w:space="0" w:color="auto"/>
      </w:divBdr>
      <w:divsChild>
        <w:div w:id="1195852160">
          <w:marLeft w:val="1166"/>
          <w:marRight w:val="0"/>
          <w:marTop w:val="120"/>
          <w:marBottom w:val="120"/>
          <w:divBdr>
            <w:top w:val="none" w:sz="0" w:space="0" w:color="auto"/>
            <w:left w:val="none" w:sz="0" w:space="0" w:color="auto"/>
            <w:bottom w:val="none" w:sz="0" w:space="0" w:color="auto"/>
            <w:right w:val="none" w:sz="0" w:space="0" w:color="auto"/>
          </w:divBdr>
        </w:div>
        <w:div w:id="1302157367">
          <w:marLeft w:val="1166"/>
          <w:marRight w:val="0"/>
          <w:marTop w:val="120"/>
          <w:marBottom w:val="120"/>
          <w:divBdr>
            <w:top w:val="none" w:sz="0" w:space="0" w:color="auto"/>
            <w:left w:val="none" w:sz="0" w:space="0" w:color="auto"/>
            <w:bottom w:val="none" w:sz="0" w:space="0" w:color="auto"/>
            <w:right w:val="none" w:sz="0" w:space="0" w:color="auto"/>
          </w:divBdr>
        </w:div>
      </w:divsChild>
    </w:div>
    <w:div w:id="1750081504">
      <w:bodyDiv w:val="1"/>
      <w:marLeft w:val="0"/>
      <w:marRight w:val="0"/>
      <w:marTop w:val="0"/>
      <w:marBottom w:val="0"/>
      <w:divBdr>
        <w:top w:val="none" w:sz="0" w:space="0" w:color="auto"/>
        <w:left w:val="none" w:sz="0" w:space="0" w:color="auto"/>
        <w:bottom w:val="none" w:sz="0" w:space="0" w:color="auto"/>
        <w:right w:val="none" w:sz="0" w:space="0" w:color="auto"/>
      </w:divBdr>
    </w:div>
    <w:div w:id="1755590481">
      <w:bodyDiv w:val="1"/>
      <w:marLeft w:val="0"/>
      <w:marRight w:val="0"/>
      <w:marTop w:val="0"/>
      <w:marBottom w:val="0"/>
      <w:divBdr>
        <w:top w:val="none" w:sz="0" w:space="0" w:color="auto"/>
        <w:left w:val="none" w:sz="0" w:space="0" w:color="auto"/>
        <w:bottom w:val="none" w:sz="0" w:space="0" w:color="auto"/>
        <w:right w:val="none" w:sz="0" w:space="0" w:color="auto"/>
      </w:divBdr>
    </w:div>
    <w:div w:id="1761677895">
      <w:bodyDiv w:val="1"/>
      <w:marLeft w:val="0"/>
      <w:marRight w:val="0"/>
      <w:marTop w:val="0"/>
      <w:marBottom w:val="0"/>
      <w:divBdr>
        <w:top w:val="none" w:sz="0" w:space="0" w:color="auto"/>
        <w:left w:val="none" w:sz="0" w:space="0" w:color="auto"/>
        <w:bottom w:val="none" w:sz="0" w:space="0" w:color="auto"/>
        <w:right w:val="none" w:sz="0" w:space="0" w:color="auto"/>
      </w:divBdr>
    </w:div>
    <w:div w:id="1762214323">
      <w:bodyDiv w:val="1"/>
      <w:marLeft w:val="0"/>
      <w:marRight w:val="0"/>
      <w:marTop w:val="0"/>
      <w:marBottom w:val="0"/>
      <w:divBdr>
        <w:top w:val="none" w:sz="0" w:space="0" w:color="auto"/>
        <w:left w:val="none" w:sz="0" w:space="0" w:color="auto"/>
        <w:bottom w:val="none" w:sz="0" w:space="0" w:color="auto"/>
        <w:right w:val="none" w:sz="0" w:space="0" w:color="auto"/>
      </w:divBdr>
    </w:div>
    <w:div w:id="1763837563">
      <w:bodyDiv w:val="1"/>
      <w:marLeft w:val="0"/>
      <w:marRight w:val="0"/>
      <w:marTop w:val="0"/>
      <w:marBottom w:val="0"/>
      <w:divBdr>
        <w:top w:val="none" w:sz="0" w:space="0" w:color="auto"/>
        <w:left w:val="none" w:sz="0" w:space="0" w:color="auto"/>
        <w:bottom w:val="none" w:sz="0" w:space="0" w:color="auto"/>
        <w:right w:val="none" w:sz="0" w:space="0" w:color="auto"/>
      </w:divBdr>
    </w:div>
    <w:div w:id="1765108351">
      <w:bodyDiv w:val="1"/>
      <w:marLeft w:val="0"/>
      <w:marRight w:val="0"/>
      <w:marTop w:val="0"/>
      <w:marBottom w:val="0"/>
      <w:divBdr>
        <w:top w:val="none" w:sz="0" w:space="0" w:color="auto"/>
        <w:left w:val="none" w:sz="0" w:space="0" w:color="auto"/>
        <w:bottom w:val="none" w:sz="0" w:space="0" w:color="auto"/>
        <w:right w:val="none" w:sz="0" w:space="0" w:color="auto"/>
      </w:divBdr>
    </w:div>
    <w:div w:id="1767996941">
      <w:bodyDiv w:val="1"/>
      <w:marLeft w:val="0"/>
      <w:marRight w:val="0"/>
      <w:marTop w:val="0"/>
      <w:marBottom w:val="0"/>
      <w:divBdr>
        <w:top w:val="none" w:sz="0" w:space="0" w:color="auto"/>
        <w:left w:val="none" w:sz="0" w:space="0" w:color="auto"/>
        <w:bottom w:val="none" w:sz="0" w:space="0" w:color="auto"/>
        <w:right w:val="none" w:sz="0" w:space="0" w:color="auto"/>
      </w:divBdr>
    </w:div>
    <w:div w:id="1795826310">
      <w:bodyDiv w:val="1"/>
      <w:marLeft w:val="0"/>
      <w:marRight w:val="0"/>
      <w:marTop w:val="0"/>
      <w:marBottom w:val="0"/>
      <w:divBdr>
        <w:top w:val="none" w:sz="0" w:space="0" w:color="auto"/>
        <w:left w:val="none" w:sz="0" w:space="0" w:color="auto"/>
        <w:bottom w:val="none" w:sz="0" w:space="0" w:color="auto"/>
        <w:right w:val="none" w:sz="0" w:space="0" w:color="auto"/>
      </w:divBdr>
    </w:div>
    <w:div w:id="1801723348">
      <w:bodyDiv w:val="1"/>
      <w:marLeft w:val="0"/>
      <w:marRight w:val="0"/>
      <w:marTop w:val="0"/>
      <w:marBottom w:val="0"/>
      <w:divBdr>
        <w:top w:val="none" w:sz="0" w:space="0" w:color="auto"/>
        <w:left w:val="none" w:sz="0" w:space="0" w:color="auto"/>
        <w:bottom w:val="none" w:sz="0" w:space="0" w:color="auto"/>
        <w:right w:val="none" w:sz="0" w:space="0" w:color="auto"/>
      </w:divBdr>
    </w:div>
    <w:div w:id="1803300878">
      <w:bodyDiv w:val="1"/>
      <w:marLeft w:val="0"/>
      <w:marRight w:val="0"/>
      <w:marTop w:val="0"/>
      <w:marBottom w:val="0"/>
      <w:divBdr>
        <w:top w:val="none" w:sz="0" w:space="0" w:color="auto"/>
        <w:left w:val="none" w:sz="0" w:space="0" w:color="auto"/>
        <w:bottom w:val="none" w:sz="0" w:space="0" w:color="auto"/>
        <w:right w:val="none" w:sz="0" w:space="0" w:color="auto"/>
      </w:divBdr>
    </w:div>
    <w:div w:id="1810396806">
      <w:bodyDiv w:val="1"/>
      <w:marLeft w:val="0"/>
      <w:marRight w:val="0"/>
      <w:marTop w:val="0"/>
      <w:marBottom w:val="0"/>
      <w:divBdr>
        <w:top w:val="none" w:sz="0" w:space="0" w:color="auto"/>
        <w:left w:val="none" w:sz="0" w:space="0" w:color="auto"/>
        <w:bottom w:val="none" w:sz="0" w:space="0" w:color="auto"/>
        <w:right w:val="none" w:sz="0" w:space="0" w:color="auto"/>
      </w:divBdr>
    </w:div>
    <w:div w:id="1831864262">
      <w:bodyDiv w:val="1"/>
      <w:marLeft w:val="0"/>
      <w:marRight w:val="0"/>
      <w:marTop w:val="0"/>
      <w:marBottom w:val="0"/>
      <w:divBdr>
        <w:top w:val="none" w:sz="0" w:space="0" w:color="auto"/>
        <w:left w:val="none" w:sz="0" w:space="0" w:color="auto"/>
        <w:bottom w:val="none" w:sz="0" w:space="0" w:color="auto"/>
        <w:right w:val="none" w:sz="0" w:space="0" w:color="auto"/>
      </w:divBdr>
    </w:div>
    <w:div w:id="1838958019">
      <w:bodyDiv w:val="1"/>
      <w:marLeft w:val="0"/>
      <w:marRight w:val="0"/>
      <w:marTop w:val="0"/>
      <w:marBottom w:val="0"/>
      <w:divBdr>
        <w:top w:val="none" w:sz="0" w:space="0" w:color="auto"/>
        <w:left w:val="none" w:sz="0" w:space="0" w:color="auto"/>
        <w:bottom w:val="none" w:sz="0" w:space="0" w:color="auto"/>
        <w:right w:val="none" w:sz="0" w:space="0" w:color="auto"/>
      </w:divBdr>
    </w:div>
    <w:div w:id="1857882800">
      <w:bodyDiv w:val="1"/>
      <w:marLeft w:val="0"/>
      <w:marRight w:val="0"/>
      <w:marTop w:val="0"/>
      <w:marBottom w:val="0"/>
      <w:divBdr>
        <w:top w:val="none" w:sz="0" w:space="0" w:color="auto"/>
        <w:left w:val="none" w:sz="0" w:space="0" w:color="auto"/>
        <w:bottom w:val="none" w:sz="0" w:space="0" w:color="auto"/>
        <w:right w:val="none" w:sz="0" w:space="0" w:color="auto"/>
      </w:divBdr>
      <w:divsChild>
        <w:div w:id="24718848">
          <w:marLeft w:val="1166"/>
          <w:marRight w:val="0"/>
          <w:marTop w:val="60"/>
          <w:marBottom w:val="60"/>
          <w:divBdr>
            <w:top w:val="none" w:sz="0" w:space="0" w:color="auto"/>
            <w:left w:val="none" w:sz="0" w:space="0" w:color="auto"/>
            <w:bottom w:val="none" w:sz="0" w:space="0" w:color="auto"/>
            <w:right w:val="none" w:sz="0" w:space="0" w:color="auto"/>
          </w:divBdr>
        </w:div>
        <w:div w:id="718942601">
          <w:marLeft w:val="1166"/>
          <w:marRight w:val="0"/>
          <w:marTop w:val="60"/>
          <w:marBottom w:val="60"/>
          <w:divBdr>
            <w:top w:val="none" w:sz="0" w:space="0" w:color="auto"/>
            <w:left w:val="none" w:sz="0" w:space="0" w:color="auto"/>
            <w:bottom w:val="none" w:sz="0" w:space="0" w:color="auto"/>
            <w:right w:val="none" w:sz="0" w:space="0" w:color="auto"/>
          </w:divBdr>
        </w:div>
        <w:div w:id="1129586446">
          <w:marLeft w:val="1166"/>
          <w:marRight w:val="0"/>
          <w:marTop w:val="60"/>
          <w:marBottom w:val="60"/>
          <w:divBdr>
            <w:top w:val="none" w:sz="0" w:space="0" w:color="auto"/>
            <w:left w:val="none" w:sz="0" w:space="0" w:color="auto"/>
            <w:bottom w:val="none" w:sz="0" w:space="0" w:color="auto"/>
            <w:right w:val="none" w:sz="0" w:space="0" w:color="auto"/>
          </w:divBdr>
        </w:div>
        <w:div w:id="1800880894">
          <w:marLeft w:val="1166"/>
          <w:marRight w:val="0"/>
          <w:marTop w:val="60"/>
          <w:marBottom w:val="60"/>
          <w:divBdr>
            <w:top w:val="none" w:sz="0" w:space="0" w:color="auto"/>
            <w:left w:val="none" w:sz="0" w:space="0" w:color="auto"/>
            <w:bottom w:val="none" w:sz="0" w:space="0" w:color="auto"/>
            <w:right w:val="none" w:sz="0" w:space="0" w:color="auto"/>
          </w:divBdr>
        </w:div>
      </w:divsChild>
    </w:div>
    <w:div w:id="1863085542">
      <w:bodyDiv w:val="1"/>
      <w:marLeft w:val="0"/>
      <w:marRight w:val="0"/>
      <w:marTop w:val="0"/>
      <w:marBottom w:val="0"/>
      <w:divBdr>
        <w:top w:val="none" w:sz="0" w:space="0" w:color="auto"/>
        <w:left w:val="none" w:sz="0" w:space="0" w:color="auto"/>
        <w:bottom w:val="none" w:sz="0" w:space="0" w:color="auto"/>
        <w:right w:val="none" w:sz="0" w:space="0" w:color="auto"/>
      </w:divBdr>
    </w:div>
    <w:div w:id="1891453821">
      <w:bodyDiv w:val="1"/>
      <w:marLeft w:val="0"/>
      <w:marRight w:val="0"/>
      <w:marTop w:val="0"/>
      <w:marBottom w:val="0"/>
      <w:divBdr>
        <w:top w:val="none" w:sz="0" w:space="0" w:color="auto"/>
        <w:left w:val="none" w:sz="0" w:space="0" w:color="auto"/>
        <w:bottom w:val="none" w:sz="0" w:space="0" w:color="auto"/>
        <w:right w:val="none" w:sz="0" w:space="0" w:color="auto"/>
      </w:divBdr>
    </w:div>
    <w:div w:id="1932157656">
      <w:bodyDiv w:val="1"/>
      <w:marLeft w:val="0"/>
      <w:marRight w:val="0"/>
      <w:marTop w:val="0"/>
      <w:marBottom w:val="0"/>
      <w:divBdr>
        <w:top w:val="none" w:sz="0" w:space="0" w:color="auto"/>
        <w:left w:val="none" w:sz="0" w:space="0" w:color="auto"/>
        <w:bottom w:val="none" w:sz="0" w:space="0" w:color="auto"/>
        <w:right w:val="none" w:sz="0" w:space="0" w:color="auto"/>
      </w:divBdr>
    </w:div>
    <w:div w:id="1946031853">
      <w:bodyDiv w:val="1"/>
      <w:marLeft w:val="0"/>
      <w:marRight w:val="0"/>
      <w:marTop w:val="0"/>
      <w:marBottom w:val="0"/>
      <w:divBdr>
        <w:top w:val="none" w:sz="0" w:space="0" w:color="auto"/>
        <w:left w:val="none" w:sz="0" w:space="0" w:color="auto"/>
        <w:bottom w:val="none" w:sz="0" w:space="0" w:color="auto"/>
        <w:right w:val="none" w:sz="0" w:space="0" w:color="auto"/>
      </w:divBdr>
    </w:div>
    <w:div w:id="1949653488">
      <w:bodyDiv w:val="1"/>
      <w:marLeft w:val="0"/>
      <w:marRight w:val="0"/>
      <w:marTop w:val="0"/>
      <w:marBottom w:val="0"/>
      <w:divBdr>
        <w:top w:val="none" w:sz="0" w:space="0" w:color="auto"/>
        <w:left w:val="none" w:sz="0" w:space="0" w:color="auto"/>
        <w:bottom w:val="none" w:sz="0" w:space="0" w:color="auto"/>
        <w:right w:val="none" w:sz="0" w:space="0" w:color="auto"/>
      </w:divBdr>
    </w:div>
    <w:div w:id="1955287462">
      <w:bodyDiv w:val="1"/>
      <w:marLeft w:val="0"/>
      <w:marRight w:val="0"/>
      <w:marTop w:val="0"/>
      <w:marBottom w:val="0"/>
      <w:divBdr>
        <w:top w:val="none" w:sz="0" w:space="0" w:color="auto"/>
        <w:left w:val="none" w:sz="0" w:space="0" w:color="auto"/>
        <w:bottom w:val="none" w:sz="0" w:space="0" w:color="auto"/>
        <w:right w:val="none" w:sz="0" w:space="0" w:color="auto"/>
      </w:divBdr>
    </w:div>
    <w:div w:id="1980768113">
      <w:bodyDiv w:val="1"/>
      <w:marLeft w:val="0"/>
      <w:marRight w:val="0"/>
      <w:marTop w:val="0"/>
      <w:marBottom w:val="0"/>
      <w:divBdr>
        <w:top w:val="none" w:sz="0" w:space="0" w:color="auto"/>
        <w:left w:val="none" w:sz="0" w:space="0" w:color="auto"/>
        <w:bottom w:val="none" w:sz="0" w:space="0" w:color="auto"/>
        <w:right w:val="none" w:sz="0" w:space="0" w:color="auto"/>
      </w:divBdr>
      <w:divsChild>
        <w:div w:id="238565245">
          <w:marLeft w:val="0"/>
          <w:marRight w:val="0"/>
          <w:marTop w:val="0"/>
          <w:marBottom w:val="0"/>
          <w:divBdr>
            <w:top w:val="none" w:sz="0" w:space="0" w:color="auto"/>
            <w:left w:val="none" w:sz="0" w:space="0" w:color="auto"/>
            <w:bottom w:val="none" w:sz="0" w:space="0" w:color="auto"/>
            <w:right w:val="none" w:sz="0" w:space="0" w:color="auto"/>
          </w:divBdr>
        </w:div>
        <w:div w:id="738134403">
          <w:marLeft w:val="0"/>
          <w:marRight w:val="0"/>
          <w:marTop w:val="0"/>
          <w:marBottom w:val="0"/>
          <w:divBdr>
            <w:top w:val="none" w:sz="0" w:space="0" w:color="auto"/>
            <w:left w:val="none" w:sz="0" w:space="0" w:color="auto"/>
            <w:bottom w:val="none" w:sz="0" w:space="0" w:color="auto"/>
            <w:right w:val="none" w:sz="0" w:space="0" w:color="auto"/>
          </w:divBdr>
        </w:div>
        <w:div w:id="1042709034">
          <w:marLeft w:val="0"/>
          <w:marRight w:val="0"/>
          <w:marTop w:val="0"/>
          <w:marBottom w:val="0"/>
          <w:divBdr>
            <w:top w:val="none" w:sz="0" w:space="0" w:color="auto"/>
            <w:left w:val="none" w:sz="0" w:space="0" w:color="auto"/>
            <w:bottom w:val="none" w:sz="0" w:space="0" w:color="auto"/>
            <w:right w:val="none" w:sz="0" w:space="0" w:color="auto"/>
          </w:divBdr>
        </w:div>
        <w:div w:id="1097869192">
          <w:marLeft w:val="0"/>
          <w:marRight w:val="0"/>
          <w:marTop w:val="0"/>
          <w:marBottom w:val="0"/>
          <w:divBdr>
            <w:top w:val="none" w:sz="0" w:space="0" w:color="auto"/>
            <w:left w:val="none" w:sz="0" w:space="0" w:color="auto"/>
            <w:bottom w:val="none" w:sz="0" w:space="0" w:color="auto"/>
            <w:right w:val="none" w:sz="0" w:space="0" w:color="auto"/>
          </w:divBdr>
        </w:div>
        <w:div w:id="1131821362">
          <w:marLeft w:val="0"/>
          <w:marRight w:val="0"/>
          <w:marTop w:val="0"/>
          <w:marBottom w:val="0"/>
          <w:divBdr>
            <w:top w:val="none" w:sz="0" w:space="0" w:color="auto"/>
            <w:left w:val="none" w:sz="0" w:space="0" w:color="auto"/>
            <w:bottom w:val="none" w:sz="0" w:space="0" w:color="auto"/>
            <w:right w:val="none" w:sz="0" w:space="0" w:color="auto"/>
          </w:divBdr>
        </w:div>
        <w:div w:id="1598098384">
          <w:marLeft w:val="0"/>
          <w:marRight w:val="0"/>
          <w:marTop w:val="0"/>
          <w:marBottom w:val="0"/>
          <w:divBdr>
            <w:top w:val="none" w:sz="0" w:space="0" w:color="auto"/>
            <w:left w:val="none" w:sz="0" w:space="0" w:color="auto"/>
            <w:bottom w:val="none" w:sz="0" w:space="0" w:color="auto"/>
            <w:right w:val="none" w:sz="0" w:space="0" w:color="auto"/>
          </w:divBdr>
        </w:div>
      </w:divsChild>
    </w:div>
    <w:div w:id="1991323973">
      <w:bodyDiv w:val="1"/>
      <w:marLeft w:val="0"/>
      <w:marRight w:val="0"/>
      <w:marTop w:val="0"/>
      <w:marBottom w:val="0"/>
      <w:divBdr>
        <w:top w:val="none" w:sz="0" w:space="0" w:color="auto"/>
        <w:left w:val="none" w:sz="0" w:space="0" w:color="auto"/>
        <w:bottom w:val="none" w:sz="0" w:space="0" w:color="auto"/>
        <w:right w:val="none" w:sz="0" w:space="0" w:color="auto"/>
      </w:divBdr>
    </w:div>
    <w:div w:id="1993295243">
      <w:bodyDiv w:val="1"/>
      <w:marLeft w:val="0"/>
      <w:marRight w:val="0"/>
      <w:marTop w:val="0"/>
      <w:marBottom w:val="0"/>
      <w:divBdr>
        <w:top w:val="none" w:sz="0" w:space="0" w:color="auto"/>
        <w:left w:val="none" w:sz="0" w:space="0" w:color="auto"/>
        <w:bottom w:val="none" w:sz="0" w:space="0" w:color="auto"/>
        <w:right w:val="none" w:sz="0" w:space="0" w:color="auto"/>
      </w:divBdr>
    </w:div>
    <w:div w:id="2012416419">
      <w:bodyDiv w:val="1"/>
      <w:marLeft w:val="0"/>
      <w:marRight w:val="0"/>
      <w:marTop w:val="0"/>
      <w:marBottom w:val="0"/>
      <w:divBdr>
        <w:top w:val="none" w:sz="0" w:space="0" w:color="auto"/>
        <w:left w:val="none" w:sz="0" w:space="0" w:color="auto"/>
        <w:bottom w:val="none" w:sz="0" w:space="0" w:color="auto"/>
        <w:right w:val="none" w:sz="0" w:space="0" w:color="auto"/>
      </w:divBdr>
      <w:divsChild>
        <w:div w:id="906457382">
          <w:marLeft w:val="0"/>
          <w:marRight w:val="0"/>
          <w:marTop w:val="0"/>
          <w:marBottom w:val="0"/>
          <w:divBdr>
            <w:top w:val="none" w:sz="0" w:space="0" w:color="auto"/>
            <w:left w:val="none" w:sz="0" w:space="0" w:color="auto"/>
            <w:bottom w:val="none" w:sz="0" w:space="0" w:color="auto"/>
            <w:right w:val="none" w:sz="0" w:space="0" w:color="auto"/>
          </w:divBdr>
          <w:divsChild>
            <w:div w:id="885990220">
              <w:marLeft w:val="0"/>
              <w:marRight w:val="0"/>
              <w:marTop w:val="0"/>
              <w:marBottom w:val="0"/>
              <w:divBdr>
                <w:top w:val="none" w:sz="0" w:space="0" w:color="auto"/>
                <w:left w:val="none" w:sz="0" w:space="0" w:color="auto"/>
                <w:bottom w:val="none" w:sz="0" w:space="0" w:color="auto"/>
                <w:right w:val="none" w:sz="0" w:space="0" w:color="auto"/>
              </w:divBdr>
              <w:divsChild>
                <w:div w:id="804736954">
                  <w:marLeft w:val="0"/>
                  <w:marRight w:val="0"/>
                  <w:marTop w:val="0"/>
                  <w:marBottom w:val="0"/>
                  <w:divBdr>
                    <w:top w:val="none" w:sz="0" w:space="0" w:color="auto"/>
                    <w:left w:val="none" w:sz="0" w:space="0" w:color="auto"/>
                    <w:bottom w:val="none" w:sz="0" w:space="0" w:color="auto"/>
                    <w:right w:val="none" w:sz="0" w:space="0" w:color="auto"/>
                  </w:divBdr>
                  <w:divsChild>
                    <w:div w:id="1920822704">
                      <w:marLeft w:val="0"/>
                      <w:marRight w:val="0"/>
                      <w:marTop w:val="0"/>
                      <w:marBottom w:val="0"/>
                      <w:divBdr>
                        <w:top w:val="none" w:sz="0" w:space="0" w:color="auto"/>
                        <w:left w:val="none" w:sz="0" w:space="0" w:color="auto"/>
                        <w:bottom w:val="none" w:sz="0" w:space="0" w:color="auto"/>
                        <w:right w:val="none" w:sz="0" w:space="0" w:color="auto"/>
                      </w:divBdr>
                      <w:divsChild>
                        <w:div w:id="1199733291">
                          <w:marLeft w:val="0"/>
                          <w:marRight w:val="0"/>
                          <w:marTop w:val="0"/>
                          <w:marBottom w:val="0"/>
                          <w:divBdr>
                            <w:top w:val="none" w:sz="0" w:space="0" w:color="auto"/>
                            <w:left w:val="none" w:sz="0" w:space="0" w:color="auto"/>
                            <w:bottom w:val="none" w:sz="0" w:space="0" w:color="auto"/>
                            <w:right w:val="none" w:sz="0" w:space="0" w:color="auto"/>
                          </w:divBdr>
                          <w:divsChild>
                            <w:div w:id="1440445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21463511">
      <w:bodyDiv w:val="1"/>
      <w:marLeft w:val="0"/>
      <w:marRight w:val="0"/>
      <w:marTop w:val="0"/>
      <w:marBottom w:val="0"/>
      <w:divBdr>
        <w:top w:val="none" w:sz="0" w:space="0" w:color="auto"/>
        <w:left w:val="none" w:sz="0" w:space="0" w:color="auto"/>
        <w:bottom w:val="none" w:sz="0" w:space="0" w:color="auto"/>
        <w:right w:val="none" w:sz="0" w:space="0" w:color="auto"/>
      </w:divBdr>
    </w:div>
    <w:div w:id="2036151628">
      <w:bodyDiv w:val="1"/>
      <w:marLeft w:val="0"/>
      <w:marRight w:val="0"/>
      <w:marTop w:val="0"/>
      <w:marBottom w:val="0"/>
      <w:divBdr>
        <w:top w:val="none" w:sz="0" w:space="0" w:color="auto"/>
        <w:left w:val="none" w:sz="0" w:space="0" w:color="auto"/>
        <w:bottom w:val="none" w:sz="0" w:space="0" w:color="auto"/>
        <w:right w:val="none" w:sz="0" w:space="0" w:color="auto"/>
      </w:divBdr>
    </w:div>
    <w:div w:id="2038702539">
      <w:bodyDiv w:val="1"/>
      <w:marLeft w:val="0"/>
      <w:marRight w:val="0"/>
      <w:marTop w:val="0"/>
      <w:marBottom w:val="0"/>
      <w:divBdr>
        <w:top w:val="none" w:sz="0" w:space="0" w:color="auto"/>
        <w:left w:val="none" w:sz="0" w:space="0" w:color="auto"/>
        <w:bottom w:val="none" w:sz="0" w:space="0" w:color="auto"/>
        <w:right w:val="none" w:sz="0" w:space="0" w:color="auto"/>
      </w:divBdr>
    </w:div>
    <w:div w:id="2049528111">
      <w:bodyDiv w:val="1"/>
      <w:marLeft w:val="0"/>
      <w:marRight w:val="0"/>
      <w:marTop w:val="0"/>
      <w:marBottom w:val="0"/>
      <w:divBdr>
        <w:top w:val="none" w:sz="0" w:space="0" w:color="auto"/>
        <w:left w:val="none" w:sz="0" w:space="0" w:color="auto"/>
        <w:bottom w:val="none" w:sz="0" w:space="0" w:color="auto"/>
        <w:right w:val="none" w:sz="0" w:space="0" w:color="auto"/>
      </w:divBdr>
    </w:div>
    <w:div w:id="2055692674">
      <w:bodyDiv w:val="1"/>
      <w:marLeft w:val="0"/>
      <w:marRight w:val="0"/>
      <w:marTop w:val="0"/>
      <w:marBottom w:val="0"/>
      <w:divBdr>
        <w:top w:val="none" w:sz="0" w:space="0" w:color="auto"/>
        <w:left w:val="none" w:sz="0" w:space="0" w:color="auto"/>
        <w:bottom w:val="none" w:sz="0" w:space="0" w:color="auto"/>
        <w:right w:val="none" w:sz="0" w:space="0" w:color="auto"/>
      </w:divBdr>
    </w:div>
    <w:div w:id="2058162703">
      <w:bodyDiv w:val="1"/>
      <w:marLeft w:val="0"/>
      <w:marRight w:val="0"/>
      <w:marTop w:val="0"/>
      <w:marBottom w:val="0"/>
      <w:divBdr>
        <w:top w:val="none" w:sz="0" w:space="0" w:color="auto"/>
        <w:left w:val="none" w:sz="0" w:space="0" w:color="auto"/>
        <w:bottom w:val="none" w:sz="0" w:space="0" w:color="auto"/>
        <w:right w:val="none" w:sz="0" w:space="0" w:color="auto"/>
      </w:divBdr>
    </w:div>
    <w:div w:id="2086877098">
      <w:bodyDiv w:val="1"/>
      <w:marLeft w:val="0"/>
      <w:marRight w:val="0"/>
      <w:marTop w:val="0"/>
      <w:marBottom w:val="0"/>
      <w:divBdr>
        <w:top w:val="none" w:sz="0" w:space="0" w:color="auto"/>
        <w:left w:val="none" w:sz="0" w:space="0" w:color="auto"/>
        <w:bottom w:val="none" w:sz="0" w:space="0" w:color="auto"/>
        <w:right w:val="none" w:sz="0" w:space="0" w:color="auto"/>
      </w:divBdr>
    </w:div>
    <w:div w:id="2088648178">
      <w:bodyDiv w:val="1"/>
      <w:marLeft w:val="0"/>
      <w:marRight w:val="0"/>
      <w:marTop w:val="0"/>
      <w:marBottom w:val="0"/>
      <w:divBdr>
        <w:top w:val="none" w:sz="0" w:space="0" w:color="auto"/>
        <w:left w:val="none" w:sz="0" w:space="0" w:color="auto"/>
        <w:bottom w:val="none" w:sz="0" w:space="0" w:color="auto"/>
        <w:right w:val="none" w:sz="0" w:space="0" w:color="auto"/>
      </w:divBdr>
    </w:div>
    <w:div w:id="2112970463">
      <w:bodyDiv w:val="1"/>
      <w:marLeft w:val="0"/>
      <w:marRight w:val="0"/>
      <w:marTop w:val="0"/>
      <w:marBottom w:val="0"/>
      <w:divBdr>
        <w:top w:val="none" w:sz="0" w:space="0" w:color="auto"/>
        <w:left w:val="none" w:sz="0" w:space="0" w:color="auto"/>
        <w:bottom w:val="none" w:sz="0" w:space="0" w:color="auto"/>
        <w:right w:val="none" w:sz="0" w:space="0" w:color="auto"/>
      </w:divBdr>
    </w:div>
    <w:div w:id="2125495433">
      <w:bodyDiv w:val="1"/>
      <w:marLeft w:val="0"/>
      <w:marRight w:val="0"/>
      <w:marTop w:val="0"/>
      <w:marBottom w:val="0"/>
      <w:divBdr>
        <w:top w:val="none" w:sz="0" w:space="0" w:color="auto"/>
        <w:left w:val="none" w:sz="0" w:space="0" w:color="auto"/>
        <w:bottom w:val="none" w:sz="0" w:space="0" w:color="auto"/>
        <w:right w:val="none" w:sz="0" w:space="0" w:color="auto"/>
      </w:divBdr>
      <w:divsChild>
        <w:div w:id="319038039">
          <w:marLeft w:val="0"/>
          <w:marRight w:val="0"/>
          <w:marTop w:val="0"/>
          <w:marBottom w:val="0"/>
          <w:divBdr>
            <w:top w:val="none" w:sz="0" w:space="0" w:color="auto"/>
            <w:left w:val="none" w:sz="0" w:space="0" w:color="auto"/>
            <w:bottom w:val="none" w:sz="0" w:space="0" w:color="auto"/>
            <w:right w:val="none" w:sz="0" w:space="0" w:color="auto"/>
          </w:divBdr>
        </w:div>
        <w:div w:id="682560431">
          <w:marLeft w:val="0"/>
          <w:marRight w:val="0"/>
          <w:marTop w:val="0"/>
          <w:marBottom w:val="0"/>
          <w:divBdr>
            <w:top w:val="none" w:sz="0" w:space="0" w:color="auto"/>
            <w:left w:val="none" w:sz="0" w:space="0" w:color="auto"/>
            <w:bottom w:val="none" w:sz="0" w:space="0" w:color="auto"/>
            <w:right w:val="none" w:sz="0" w:space="0" w:color="auto"/>
          </w:divBdr>
        </w:div>
        <w:div w:id="870806459">
          <w:marLeft w:val="0"/>
          <w:marRight w:val="0"/>
          <w:marTop w:val="0"/>
          <w:marBottom w:val="0"/>
          <w:divBdr>
            <w:top w:val="none" w:sz="0" w:space="0" w:color="auto"/>
            <w:left w:val="none" w:sz="0" w:space="0" w:color="auto"/>
            <w:bottom w:val="none" w:sz="0" w:space="0" w:color="auto"/>
            <w:right w:val="none" w:sz="0" w:space="0" w:color="auto"/>
          </w:divBdr>
        </w:div>
        <w:div w:id="942497954">
          <w:marLeft w:val="0"/>
          <w:marRight w:val="0"/>
          <w:marTop w:val="0"/>
          <w:marBottom w:val="0"/>
          <w:divBdr>
            <w:top w:val="none" w:sz="0" w:space="0" w:color="auto"/>
            <w:left w:val="none" w:sz="0" w:space="0" w:color="auto"/>
            <w:bottom w:val="none" w:sz="0" w:space="0" w:color="auto"/>
            <w:right w:val="none" w:sz="0" w:space="0" w:color="auto"/>
          </w:divBdr>
        </w:div>
        <w:div w:id="1370111234">
          <w:marLeft w:val="0"/>
          <w:marRight w:val="0"/>
          <w:marTop w:val="0"/>
          <w:marBottom w:val="0"/>
          <w:divBdr>
            <w:top w:val="none" w:sz="0" w:space="0" w:color="auto"/>
            <w:left w:val="none" w:sz="0" w:space="0" w:color="auto"/>
            <w:bottom w:val="none" w:sz="0" w:space="0" w:color="auto"/>
            <w:right w:val="none" w:sz="0" w:space="0" w:color="auto"/>
          </w:divBdr>
        </w:div>
        <w:div w:id="1841701715">
          <w:marLeft w:val="0"/>
          <w:marRight w:val="0"/>
          <w:marTop w:val="0"/>
          <w:marBottom w:val="0"/>
          <w:divBdr>
            <w:top w:val="none" w:sz="0" w:space="0" w:color="auto"/>
            <w:left w:val="none" w:sz="0" w:space="0" w:color="auto"/>
            <w:bottom w:val="none" w:sz="0" w:space="0" w:color="auto"/>
            <w:right w:val="none" w:sz="0" w:space="0" w:color="auto"/>
          </w:divBdr>
        </w:div>
      </w:divsChild>
    </w:div>
    <w:div w:id="21413439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footer" Target="footer4.xml"/><Relationship Id="rId26" Type="http://schemas.openxmlformats.org/officeDocument/2006/relationships/footer" Target="footer8.xml"/><Relationship Id="rId39" Type="http://schemas.openxmlformats.org/officeDocument/2006/relationships/hyperlink" Target="https://www.iso-ne.com/static-assets/documents/2017/05/forecast_data_2017.xlsx" TargetMode="External"/><Relationship Id="rId21" Type="http://schemas.openxmlformats.org/officeDocument/2006/relationships/header" Target="header6.xml"/><Relationship Id="rId34" Type="http://schemas.openxmlformats.org/officeDocument/2006/relationships/image" Target="media/image6.emf"/><Relationship Id="rId42" Type="http://schemas.openxmlformats.org/officeDocument/2006/relationships/hyperlink" Target="http://www.iso-ne.com/isoexpress/web/reports/auctions/-/tree/fcm-auction-results" TargetMode="External"/><Relationship Id="rId47" Type="http://schemas.openxmlformats.org/officeDocument/2006/relationships/hyperlink" Target="https://www.iso-ne.com/system-planning/system-forecasting/energy-efficiency-forecast" TargetMode="External"/><Relationship Id="rId50" Type="http://schemas.openxmlformats.org/officeDocument/2006/relationships/image" Target="media/image13.emf"/><Relationship Id="rId55" Type="http://schemas.openxmlformats.org/officeDocument/2006/relationships/hyperlink" Target="http://www.iso-ne.com/isoexpress/web/reports/operations/-/tree/single-src-cont" TargetMode="External"/><Relationship Id="rId63" Type="http://schemas.openxmlformats.org/officeDocument/2006/relationships/image" Target="media/image21.emf"/><Relationship Id="rId68" Type="http://schemas.openxmlformats.org/officeDocument/2006/relationships/image" Target="media/image23.emf"/><Relationship Id="rId76" Type="http://schemas.openxmlformats.org/officeDocument/2006/relationships/image" Target="media/image27.emf"/><Relationship Id="rId84" Type="http://schemas.openxmlformats.org/officeDocument/2006/relationships/hyperlink" Target="http://www.nrc.gov/info-finder/reactor/" TargetMode="External"/><Relationship Id="rId89" Type="http://schemas.openxmlformats.org/officeDocument/2006/relationships/hyperlink" Target="http://www.mass.gov/eea/energy-utilities-clean-tech/renewable-energy/energy-storage-initiative/" TargetMode="External"/><Relationship Id="rId7" Type="http://schemas.openxmlformats.org/officeDocument/2006/relationships/webSettings" Target="webSettings.xml"/><Relationship Id="rId71" Type="http://schemas.openxmlformats.org/officeDocument/2006/relationships/hyperlink" Target="https://www.eia.gov/dnav/ng/ng_move_poe1_a_epg0_iml_mmcf_m.htm" TargetMode="External"/><Relationship Id="rId92"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footer" Target="footer3.xml"/><Relationship Id="rId29" Type="http://schemas.openxmlformats.org/officeDocument/2006/relationships/hyperlink" Target="https://www.iso-ne.com/static-assets/documents/2017/05/annual_markets_report_2016.pdf" TargetMode="External"/><Relationship Id="rId11" Type="http://schemas.openxmlformats.org/officeDocument/2006/relationships/header" Target="header1.xml"/><Relationship Id="rId24" Type="http://schemas.openxmlformats.org/officeDocument/2006/relationships/footer" Target="footer7.xml"/><Relationship Id="rId32" Type="http://schemas.openxmlformats.org/officeDocument/2006/relationships/image" Target="media/image3.png"/><Relationship Id="rId37" Type="http://schemas.openxmlformats.org/officeDocument/2006/relationships/image" Target="media/image9.emf"/><Relationship Id="rId40" Type="http://schemas.openxmlformats.org/officeDocument/2006/relationships/hyperlink" Target="https://www.iso-ne.com/static-assets/documents/2016/12/summary_of_historical_icr_values.xlsx" TargetMode="External"/><Relationship Id="rId45" Type="http://schemas.openxmlformats.org/officeDocument/2006/relationships/image" Target="media/image10.emf"/><Relationship Id="rId53" Type="http://schemas.openxmlformats.org/officeDocument/2006/relationships/hyperlink" Target="https://www.iso-ne.com/static-assets/documents/rules_proceds/isone_plan/pp04_0/pp4_0.pdf" TargetMode="External"/><Relationship Id="rId58" Type="http://schemas.openxmlformats.org/officeDocument/2006/relationships/image" Target="media/image17.emf"/><Relationship Id="rId66" Type="http://schemas.openxmlformats.org/officeDocument/2006/relationships/hyperlink" Target="http://www.ferc.gov/market-oversight/reports-analyses/mkt-views/2014/10-16-14-A-3.pdf" TargetMode="External"/><Relationship Id="rId74" Type="http://schemas.openxmlformats.org/officeDocument/2006/relationships/hyperlink" Target="https://www.eia.gov/electricity/data/water/" TargetMode="External"/><Relationship Id="rId79" Type="http://schemas.openxmlformats.org/officeDocument/2006/relationships/hyperlink" Target="http://www.rggi.org/rggi" TargetMode="External"/><Relationship Id="rId87" Type="http://schemas.openxmlformats.org/officeDocument/2006/relationships/image" Target="media/image32.emf"/><Relationship Id="rId5" Type="http://schemas.microsoft.com/office/2007/relationships/stylesWithEffects" Target="stylesWithEffects.xml"/><Relationship Id="rId61" Type="http://schemas.openxmlformats.org/officeDocument/2006/relationships/image" Target="media/image20.emf"/><Relationship Id="rId82" Type="http://schemas.openxmlformats.org/officeDocument/2006/relationships/image" Target="media/image30.png"/><Relationship Id="rId90" Type="http://schemas.openxmlformats.org/officeDocument/2006/relationships/header" Target="header9.xml"/><Relationship Id="rId19" Type="http://schemas.openxmlformats.org/officeDocument/2006/relationships/header" Target="header5.xml"/><Relationship Id="rId14" Type="http://schemas.openxmlformats.org/officeDocument/2006/relationships/footer" Target="footer2.xml"/><Relationship Id="rId22" Type="http://schemas.openxmlformats.org/officeDocument/2006/relationships/footer" Target="footer6.xml"/><Relationship Id="rId27" Type="http://schemas.openxmlformats.org/officeDocument/2006/relationships/image" Target="media/image2.emf"/><Relationship Id="rId30" Type="http://schemas.openxmlformats.org/officeDocument/2006/relationships/hyperlink" Target="https://www.iso-ne.com/about/key-stats" TargetMode="External"/><Relationship Id="rId35" Type="http://schemas.openxmlformats.org/officeDocument/2006/relationships/image" Target="media/image7.emf"/><Relationship Id="rId43" Type="http://schemas.openxmlformats.org/officeDocument/2006/relationships/hyperlink" Target="https://www.iso-ne.com/isoexpress/web/reports/auctions/-/tree/fca-results" TargetMode="External"/><Relationship Id="rId48" Type="http://schemas.openxmlformats.org/officeDocument/2006/relationships/image" Target="media/image11.emf"/><Relationship Id="rId56" Type="http://schemas.openxmlformats.org/officeDocument/2006/relationships/image" Target="media/image16.emf"/><Relationship Id="rId64" Type="http://schemas.openxmlformats.org/officeDocument/2006/relationships/image" Target="media/image22.emf"/><Relationship Id="rId69" Type="http://schemas.openxmlformats.org/officeDocument/2006/relationships/image" Target="media/image24.emf"/><Relationship Id="rId77" Type="http://schemas.openxmlformats.org/officeDocument/2006/relationships/hyperlink" Target="https://www.iso-ne.com/static-assets/documents/2017/01/2015_emissions_report.pdf" TargetMode="External"/><Relationship Id="rId8" Type="http://schemas.openxmlformats.org/officeDocument/2006/relationships/footnotes" Target="footnotes.xml"/><Relationship Id="rId51" Type="http://schemas.openxmlformats.org/officeDocument/2006/relationships/image" Target="media/image14.emf"/><Relationship Id="rId72" Type="http://schemas.openxmlformats.org/officeDocument/2006/relationships/image" Target="media/image25.emf"/><Relationship Id="rId80" Type="http://schemas.openxmlformats.org/officeDocument/2006/relationships/image" Target="media/image29.emf"/><Relationship Id="rId85" Type="http://schemas.openxmlformats.org/officeDocument/2006/relationships/image" Target="media/image31.emf"/><Relationship Id="rId93" Type="http://schemas.openxmlformats.org/officeDocument/2006/relationships/theme" Target="theme/theme1.xml"/><Relationship Id="rId3" Type="http://schemas.openxmlformats.org/officeDocument/2006/relationships/numbering" Target="numbering.xml"/><Relationship Id="rId12" Type="http://schemas.openxmlformats.org/officeDocument/2006/relationships/header" Target="header2.xml"/><Relationship Id="rId17" Type="http://schemas.openxmlformats.org/officeDocument/2006/relationships/header" Target="header4.xml"/><Relationship Id="rId25" Type="http://schemas.openxmlformats.org/officeDocument/2006/relationships/header" Target="header8.xml"/><Relationship Id="rId33" Type="http://schemas.openxmlformats.org/officeDocument/2006/relationships/image" Target="media/image4.jpeg"/><Relationship Id="rId38" Type="http://schemas.openxmlformats.org/officeDocument/2006/relationships/hyperlink" Target="https://www.iso-ne.com/static-assets/documents/2017/05/forecast_data_2017.xlsx" TargetMode="External"/><Relationship Id="rId46" Type="http://schemas.openxmlformats.org/officeDocument/2006/relationships/hyperlink" Target="https://www.iso-ne.com/static-assets/documents/2017/03/ccp_2020_21_fca_11_cso_flow_diagram.pdf" TargetMode="External"/><Relationship Id="rId59" Type="http://schemas.openxmlformats.org/officeDocument/2006/relationships/image" Target="media/image18.png"/><Relationship Id="rId67" Type="http://schemas.openxmlformats.org/officeDocument/2006/relationships/hyperlink" Target="https://www.ferc.gov/market-oversight/reports-analyses/mkt-views/2015/10-15-15-A-3.pdf" TargetMode="External"/><Relationship Id="rId20" Type="http://schemas.openxmlformats.org/officeDocument/2006/relationships/footer" Target="footer5.xml"/><Relationship Id="rId41" Type="http://schemas.openxmlformats.org/officeDocument/2006/relationships/hyperlink" Target="http://www.iso-ne.com/markets/othrmkts_data/fcm/cal_results/index.html" TargetMode="External"/><Relationship Id="rId54" Type="http://schemas.openxmlformats.org/officeDocument/2006/relationships/hyperlink" Target="file:///C:\Users\cwendel\Documents\2017%20Reports\RSP17\Public%20Meeting%20Draft\),%20https:\www.iso-ne.com\static-assets\documents\2017\07\2017_07_18_tc_a02_forcst.pptx" TargetMode="External"/><Relationship Id="rId62" Type="http://schemas.openxmlformats.org/officeDocument/2006/relationships/hyperlink" Target="http://www.ingaa.org/File.aspx?id=22553&amp;v=a776386%20" TargetMode="External"/><Relationship Id="rId70" Type="http://schemas.openxmlformats.org/officeDocument/2006/relationships/hyperlink" Target="file:///C:\Users\hsaarela\AppData\Local\Microsoft\Windows\Temporary%20Internet%20Files\Content.Outlook\KZM61H1S\EIA" TargetMode="External"/><Relationship Id="rId75" Type="http://schemas.openxmlformats.org/officeDocument/2006/relationships/hyperlink" Target="http://www.iso-ne.com/system-planning/system-plans-studies/celt" TargetMode="External"/><Relationship Id="rId83" Type="http://schemas.openxmlformats.org/officeDocument/2006/relationships/hyperlink" Target="https://www.iso-ne.com/static-assets/documents/2017/05/annual_markets_report_2016.pdf" TargetMode="External"/><Relationship Id="rId88" Type="http://schemas.openxmlformats.org/officeDocument/2006/relationships/hyperlink" Target="http://www.mass.gov/governor/press-office/press-releases/fy2017/governor-baker-signs-comprehensive-energy-diversity-law.html" TargetMode="External"/><Relationship Id="rId91" Type="http://schemas.openxmlformats.org/officeDocument/2006/relationships/footer" Target="footer9.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header" Target="header3.xml"/><Relationship Id="rId23" Type="http://schemas.openxmlformats.org/officeDocument/2006/relationships/header" Target="header7.xml"/><Relationship Id="rId28" Type="http://schemas.openxmlformats.org/officeDocument/2006/relationships/hyperlink" Target="http://www.iso-ne.com/system-planning/system-plans-studies/celt" TargetMode="External"/><Relationship Id="rId36" Type="http://schemas.openxmlformats.org/officeDocument/2006/relationships/image" Target="media/image8.emf"/><Relationship Id="rId49" Type="http://schemas.openxmlformats.org/officeDocument/2006/relationships/image" Target="media/image12.emf"/><Relationship Id="rId57" Type="http://schemas.openxmlformats.org/officeDocument/2006/relationships/hyperlink" Target="https://www.iso-ne.com/static-assets/documents/2016/05/2016_celt_report.xls" TargetMode="External"/><Relationship Id="rId10" Type="http://schemas.openxmlformats.org/officeDocument/2006/relationships/image" Target="media/image1.png"/><Relationship Id="rId31" Type="http://schemas.openxmlformats.org/officeDocument/2006/relationships/hyperlink" Target="http://www.iso-ne.com/static-assets/documents/rules_proceds/operating/isone/op4/op4_rto_final.pdf" TargetMode="External"/><Relationship Id="rId44" Type="http://schemas.openxmlformats.org/officeDocument/2006/relationships/hyperlink" Target="https://www.iso-ne.com/committees/participants/participants-committee" TargetMode="External"/><Relationship Id="rId52" Type="http://schemas.openxmlformats.org/officeDocument/2006/relationships/image" Target="media/image15.png"/><Relationship Id="rId60" Type="http://schemas.openxmlformats.org/officeDocument/2006/relationships/image" Target="media/image19.emf"/><Relationship Id="rId65" Type="http://schemas.openxmlformats.org/officeDocument/2006/relationships/hyperlink" Target="http://www.snl.com/" TargetMode="External"/><Relationship Id="rId73" Type="http://schemas.openxmlformats.org/officeDocument/2006/relationships/image" Target="media/image26.emf"/><Relationship Id="rId78" Type="http://schemas.openxmlformats.org/officeDocument/2006/relationships/image" Target="media/image28.emf"/><Relationship Id="rId81" Type="http://schemas.openxmlformats.org/officeDocument/2006/relationships/hyperlink" Target="http://www.rggi.org/rggi%20" TargetMode="External"/><Relationship Id="rId86" Type="http://schemas.openxmlformats.org/officeDocument/2006/relationships/hyperlink" Target="http://www.iso-ne.com/static-assets/documents/committees/comm_wkgrps/othr/distributed_generation_frcst/2013mtrls/dec162013/dg_transmission_impacts.pdf" TargetMode="External"/><Relationship Id="rId4" Type="http://schemas.openxmlformats.org/officeDocument/2006/relationships/styles" Target="styles.xml"/><Relationship Id="rId9" Type="http://schemas.openxmlformats.org/officeDocument/2006/relationships/endnotes" Target="endnotes.xml"/></Relationships>
</file>

<file path=word/_rels/footnotes.xml.rels><?xml version="1.0" encoding="UTF-8" standalone="yes"?>
<Relationships xmlns="http://schemas.openxmlformats.org/package/2006/relationships"><Relationship Id="rId117" Type="http://schemas.openxmlformats.org/officeDocument/2006/relationships/hyperlink" Target="https://smd.iso-ne.com/planning/ceii/reports/2010s/greater_boston_updated_needs_assessment_report_final.pdf" TargetMode="External"/><Relationship Id="rId21" Type="http://schemas.openxmlformats.org/officeDocument/2006/relationships/hyperlink" Target="https://www.iso-ne.com/static-assets/documents/2017/02/iso_dep_comments_022017.pdf" TargetMode="External"/><Relationship Id="rId42" Type="http://schemas.openxmlformats.org/officeDocument/2006/relationships/hyperlink" Target="http://www.iso-ne.com/system-planning/transmission-planning/transmission-planning-guides" TargetMode="External"/><Relationship Id="rId63" Type="http://schemas.openxmlformats.org/officeDocument/2006/relationships/hyperlink" Target="http://www.iso-ne.com/participate/rules-procedures/tariff/market-rule-1" TargetMode="External"/><Relationship Id="rId84" Type="http://schemas.openxmlformats.org/officeDocument/2006/relationships/hyperlink" Target="http://www.iso-ne.com/participate/rules-procedures/operating-procedures" TargetMode="External"/><Relationship Id="rId138" Type="http://schemas.openxmlformats.org/officeDocument/2006/relationships/hyperlink" Target="https://www.iso-ne.com/static-assets/documents/2017/02/updates_to_system_study_memo.pdf" TargetMode="External"/><Relationship Id="rId159" Type="http://schemas.openxmlformats.org/officeDocument/2006/relationships/hyperlink" Target="http://www.iso-ne.com/committees/comm_wkgrps/prtcpnts_comm/pac/index.html" TargetMode="External"/><Relationship Id="rId170" Type="http://schemas.openxmlformats.org/officeDocument/2006/relationships/hyperlink" Target="http://www.nerc.com/pa/RAPA/Pages/default.aspx" TargetMode="External"/><Relationship Id="rId191" Type="http://schemas.openxmlformats.org/officeDocument/2006/relationships/hyperlink" Target="http://www.rggi.org/design/overview" TargetMode="External"/><Relationship Id="rId205" Type="http://schemas.openxmlformats.org/officeDocument/2006/relationships/hyperlink" Target="http://www.crjc.org/news-and-events/relicensing-of-connecticut-river-dams/" TargetMode="External"/><Relationship Id="rId226" Type="http://schemas.openxmlformats.org/officeDocument/2006/relationships/hyperlink" Target="http://www.ieee-pes.org/nari-hingorani-facts-award" TargetMode="External"/><Relationship Id="rId107" Type="http://schemas.openxmlformats.org/officeDocument/2006/relationships/hyperlink" Target="https://www.iso-ne.com/system-planning/key-study-areas/greater-hartford" TargetMode="External"/><Relationship Id="rId11" Type="http://schemas.openxmlformats.org/officeDocument/2006/relationships/hyperlink" Target="https://www.iso-ne.com/static-assets/documents/2017/05/rsp17_load_energy_capacity_resource_overview.pdf" TargetMode="External"/><Relationship Id="rId32" Type="http://schemas.openxmlformats.org/officeDocument/2006/relationships/hyperlink" Target="http://www.iso-ne.com/static-assets/documents/regulatory/tariff/sect_2/oatt/sect_ii.pdf" TargetMode="External"/><Relationship Id="rId53" Type="http://schemas.openxmlformats.org/officeDocument/2006/relationships/hyperlink" Target="http://www.iso-ne.com/static-assets/documents/regulatory/tariff/attach_d/attachment_d.pdf" TargetMode="External"/><Relationship Id="rId74" Type="http://schemas.openxmlformats.org/officeDocument/2006/relationships/hyperlink" Target="https://www.iso-ne.com/static-assets/documents/2016/09/2016_solar_forecast_details_final.pdf" TargetMode="External"/><Relationship Id="rId128" Type="http://schemas.openxmlformats.org/officeDocument/2006/relationships/hyperlink" Target="https://smd.iso-ne.com/planning/ceii/reports/2010s/archive/a7_newport_aquidneck_island_transmission_area_improvements_presentation.pdf" TargetMode="External"/><Relationship Id="rId149" Type="http://schemas.openxmlformats.org/officeDocument/2006/relationships/hyperlink" Target="https://smd.iso-ne.com/operations-services/ceii/pac/2013/eastern_ct_study_needs_cll_short_circuit_final.pptx" TargetMode="External"/><Relationship Id="rId5" Type="http://schemas.openxmlformats.org/officeDocument/2006/relationships/hyperlink" Target="https://www.iso-ne.com/static-assets/documents/2017/03/planning_technical_guide_3_24_2017.pdf" TargetMode="External"/><Relationship Id="rId95" Type="http://schemas.openxmlformats.org/officeDocument/2006/relationships/hyperlink" Target="http://www.iso-ne.com/committees/comm_wkgrps/prtcpnts_comm/pac/index.html" TargetMode="External"/><Relationship Id="rId160" Type="http://schemas.openxmlformats.org/officeDocument/2006/relationships/hyperlink" Target="http://www.iso-ne.com/system-planning/system-plans-studies/rsp" TargetMode="External"/><Relationship Id="rId181" Type="http://schemas.openxmlformats.org/officeDocument/2006/relationships/hyperlink" Target="https://www.federalregister.gov/d/2017-07500" TargetMode="External"/><Relationship Id="rId216" Type="http://schemas.openxmlformats.org/officeDocument/2006/relationships/hyperlink" Target="https://www.iso-ne.com/static-assets/documents/2016/10/a3_integration_and_planning_of_large_amounts_of_inverter_based_resources.pptx" TargetMode="External"/><Relationship Id="rId237" Type="http://schemas.openxmlformats.org/officeDocument/2006/relationships/hyperlink" Target="http://www.mass.gov/governor/legislationexecorder/execorders/executive-order-no-569.html" TargetMode="External"/><Relationship Id="rId22" Type="http://schemas.openxmlformats.org/officeDocument/2006/relationships/hyperlink" Target="http://ieeexplore.ieee.org/document/1225051/?reload=true%20" TargetMode="External"/><Relationship Id="rId43" Type="http://schemas.openxmlformats.org/officeDocument/2006/relationships/hyperlink" Target="https://www.iso-ne.com/static-assets/documents/regulatory/tariff/sect_2/oatt/sect_ii.pdf" TargetMode="External"/><Relationship Id="rId64" Type="http://schemas.openxmlformats.org/officeDocument/2006/relationships/hyperlink" Target="https://www.iso-ne.com/system-planning/system-plans-studies/celt" TargetMode="External"/><Relationship Id="rId118" Type="http://schemas.openxmlformats.org/officeDocument/2006/relationships/hyperlink" Target="https://www.iso-ne.com/static-assets/documents/2015/02/a2_isone_greater_boston_preferred_solution_non_ceii.pdf" TargetMode="External"/><Relationship Id="rId139" Type="http://schemas.openxmlformats.org/officeDocument/2006/relationships/hyperlink" Target="https://www.iso-ne.com/static-assets/documents/2017/03/a4_updates_to_system_studies.pdf" TargetMode="External"/><Relationship Id="rId85" Type="http://schemas.openxmlformats.org/officeDocument/2006/relationships/hyperlink" Target="https://www.iso-ne.com/static-assets/documents/rules_proceds/operating/isone/op8/op8_rto_final.pdf" TargetMode="External"/><Relationship Id="rId150" Type="http://schemas.openxmlformats.org/officeDocument/2006/relationships/hyperlink" Target="https://smd.iso-ne.com/planning/ceii/reports/2010s/final_eastern_ct_2022_needs_assessment_report.pdf" TargetMode="External"/><Relationship Id="rId171" Type="http://schemas.openxmlformats.org/officeDocument/2006/relationships/hyperlink" Target="http://www.nerc.com/pa/RAPA/ra/Reliability%20Assessments%20DL/2016%20Long-Term%20Reliability%20Assessment.pdf" TargetMode="External"/><Relationship Id="rId192" Type="http://schemas.openxmlformats.org/officeDocument/2006/relationships/hyperlink" Target="https://www.rggi.org/docs/Market/MM_Secondary_Market_Report_2016_Q4.pdf" TargetMode="External"/><Relationship Id="rId206" Type="http://schemas.openxmlformats.org/officeDocument/2006/relationships/hyperlink" Target="https://www.nrel.gov/research/publications.html" TargetMode="External"/><Relationship Id="rId227" Type="http://schemas.openxmlformats.org/officeDocument/2006/relationships/hyperlink" Target="http://www.pserc.wisc.edu/home/index.aspx" TargetMode="External"/><Relationship Id="rId201" Type="http://schemas.openxmlformats.org/officeDocument/2006/relationships/hyperlink" Target="https://www.iso-ne.com/static-assets/documents/2017/05/2017_celt_report.xls" TargetMode="External"/><Relationship Id="rId222" Type="http://schemas.openxmlformats.org/officeDocument/2006/relationships/hyperlink" Target="https://www.naruc.org/" TargetMode="External"/><Relationship Id="rId243" Type="http://schemas.openxmlformats.org/officeDocument/2006/relationships/hyperlink" Target="http://www.gencourt.state.nh.us/bill_status/bill_docket.aspx?lsr=925&amp;sy=2017&amp;sortoption=&amp;txtsessionyear=2017&amp;txtbillnumber=sb125&amp;q=1" TargetMode="External"/><Relationship Id="rId12" Type="http://schemas.openxmlformats.org/officeDocument/2006/relationships/hyperlink" Target="https://www.iso-ne.com/static-assets/documents/2017/05/20170522_fuel_security_study_update_final.pdf" TargetMode="External"/><Relationship Id="rId17" Type="http://schemas.openxmlformats.org/officeDocument/2006/relationships/hyperlink" Target="http://www.rggi.org/" TargetMode="External"/><Relationship Id="rId33" Type="http://schemas.openxmlformats.org/officeDocument/2006/relationships/hyperlink" Target="https://www.iso-ne.com/static-assets/documents/regulatory/ferc/orders/2013/may/er13_193_er13_196_5_17_13_order_on_order_1000_compliance_filings.pdf" TargetMode="External"/><Relationship Id="rId38" Type="http://schemas.openxmlformats.org/officeDocument/2006/relationships/hyperlink" Target="http://www.iso-ne.com/static-assets/documents/regulatory/tariff/sect_2/oatt/sect_ii.pdf" TargetMode="External"/><Relationship Id="rId59" Type="http://schemas.openxmlformats.org/officeDocument/2006/relationships/hyperlink" Target="http://nmisa.com/docs/041917-Final-2017-Seven-Year-Outlook.pdf" TargetMode="External"/><Relationship Id="rId103" Type="http://schemas.openxmlformats.org/officeDocument/2006/relationships/hyperlink" Target="https://smd.iso-ne.com/committees/comm_wkgrps/prtcpnts_comm/pac/ceii/mtrls/2014/feb192014/a9_swct_needs_assessment_2.pdf" TargetMode="External"/><Relationship Id="rId108" Type="http://schemas.openxmlformats.org/officeDocument/2006/relationships/hyperlink" Target="https://smd.iso-ne.com/committees/comm_wkgrps/prtcpnts_comm/pac/ceii/reports/2014/ghcc_needs_assessment_report_rev2.zip." TargetMode="External"/><Relationship Id="rId124" Type="http://schemas.openxmlformats.org/officeDocument/2006/relationships/hyperlink" Target="https://smd.iso-ne.com/operations-services/ceii/pac/2016/05/final_sema_ri_2026_needs_assessment_presentation_rev2.pdf" TargetMode="External"/><Relationship Id="rId129" Type="http://schemas.openxmlformats.org/officeDocument/2006/relationships/hyperlink" Target="https://smd.iso-ne.com/operations-services/ceii/pac/2016/11/a2_sema_ri_2025_min_load_needs_assessment_" TargetMode="External"/><Relationship Id="rId54" Type="http://schemas.openxmlformats.org/officeDocument/2006/relationships/hyperlink" Target="http://www.iso-ne.com/participate/rules-procedures" TargetMode="External"/><Relationship Id="rId70" Type="http://schemas.openxmlformats.org/officeDocument/2006/relationships/hyperlink" Target="http://www.iso-ne.com/isoexpress/web/reports/load-and-demand/-/tree/net-ener-peak-load" TargetMode="External"/><Relationship Id="rId75" Type="http://schemas.openxmlformats.org/officeDocument/2006/relationships/hyperlink" Target="http://www.iso-ne.com/regulatory/ferc/filings/2013/nov/er14-328-000_11-5-13__icr_2017-2018_.pdf" TargetMode="External"/><Relationship Id="rId91" Type="http://schemas.openxmlformats.org/officeDocument/2006/relationships/hyperlink" Target="http://www.iso-ne.com/system-planning/transmission-planning/interconnection-request-queue" TargetMode="External"/><Relationship Id="rId96" Type="http://schemas.openxmlformats.org/officeDocument/2006/relationships/hyperlink" Target="http://www.iso-ne.com/system-planning/transmission-planning/transmission-planning-guides" TargetMode="External"/><Relationship Id="rId140" Type="http://schemas.openxmlformats.org/officeDocument/2006/relationships/hyperlink" Target="https://www.iso-ne.com/system-planning/key-study-areas/vt-nh" TargetMode="External"/><Relationship Id="rId145" Type="http://schemas.openxmlformats.org/officeDocument/2006/relationships/hyperlink" Target="https://smd.iso-ne.com/operations-services/ceii/pac/2015/10/2023_final_nhvt_transmission_needs_assessment_addendum_report.pdf" TargetMode="External"/><Relationship Id="rId161" Type="http://schemas.openxmlformats.org/officeDocument/2006/relationships/hyperlink" Target="http://www.ferc.gov/CalendarFiles/20140606132455-ER14-1686-000.pdf" TargetMode="External"/><Relationship Id="rId166" Type="http://schemas.openxmlformats.org/officeDocument/2006/relationships/hyperlink" Target="https://www.iso-ne.com/static-assets/documents/2016/12/part_2_of_two-part_filing_of_ncpc_revisions_shs.pdf" TargetMode="External"/><Relationship Id="rId182" Type="http://schemas.openxmlformats.org/officeDocument/2006/relationships/hyperlink" Target="https://www.federalregister.gov/d/2017-04107" TargetMode="External"/><Relationship Id="rId187" Type="http://schemas.openxmlformats.org/officeDocument/2006/relationships/hyperlink" Target="http://www2.epa.gov/laws-regulations/summary-clean-air-act" TargetMode="External"/><Relationship Id="rId217" Type="http://schemas.openxmlformats.org/officeDocument/2006/relationships/hyperlink" Target="https://www.iso-ne.com/static-assets/documents/2017/07/final_analysis_group_2016_economic_analysis_capacity_market_impacts.pdf" TargetMode="External"/><Relationship Id="rId1" Type="http://schemas.openxmlformats.org/officeDocument/2006/relationships/hyperlink" Target="https://www.iso-ne.com/static-assets/documents/2015/06/iso_ne_capacity_mkt_discussion_paper_06_03_2015.pdf" TargetMode="External"/><Relationship Id="rId6" Type="http://schemas.openxmlformats.org/officeDocument/2006/relationships/hyperlink" Target="https://www.npcc.org/default.aspx" TargetMode="External"/><Relationship Id="rId212" Type="http://schemas.openxmlformats.org/officeDocument/2006/relationships/hyperlink" Target="http://www.epri.com/abstracts/Pages/ProductAbstract.aspx?ProductId=000000003002006203." TargetMode="External"/><Relationship Id="rId233" Type="http://schemas.openxmlformats.org/officeDocument/2006/relationships/hyperlink" Target="https://www.iso-ne.com/static-assets/documents/2015/06/iso_ne_capacity_mkt_discussion_paper_06_03_2015.pdf" TargetMode="External"/><Relationship Id="rId238" Type="http://schemas.openxmlformats.org/officeDocument/2006/relationships/hyperlink" Target="http://www.mass.gov/eea/docs/dep/air/climate/3dregf-electricity.pdf" TargetMode="External"/><Relationship Id="rId23" Type="http://schemas.openxmlformats.org/officeDocument/2006/relationships/hyperlink" Target="https://smd.iso-ne.com/committees/comm_wkgrps/prtcpnts_comm/pac/ceii/mtrls/2013/dec182013/a4_wind_study.pdf" TargetMode="External"/><Relationship Id="rId28" Type="http://schemas.openxmlformats.org/officeDocument/2006/relationships/hyperlink" Target="http://www.iso-ne.com/markets-operations/market-monitoring-mitigation/internal-monitor" TargetMode="External"/><Relationship Id="rId49" Type="http://schemas.openxmlformats.org/officeDocument/2006/relationships/hyperlink" Target="https://www.iso-ne.com/about/regional-electricity-outlook" TargetMode="External"/><Relationship Id="rId114" Type="http://schemas.openxmlformats.org/officeDocument/2006/relationships/hyperlink" Target="https://www.iso-ne.com/system-planning/key-study-areas/greater-boston" TargetMode="External"/><Relationship Id="rId119" Type="http://schemas.openxmlformats.org/officeDocument/2006/relationships/hyperlink" Target="https://smd.iso-ne.com/operations-services/ceii/pac/2015/08/final_greater_boston_transmission_solution_study_reports.zip" TargetMode="External"/><Relationship Id="rId44" Type="http://schemas.openxmlformats.org/officeDocument/2006/relationships/hyperlink" Target="http://www.iso-ne.com/committees/comm_wkgrps/prtcpnts_comm/pac/index.html" TargetMode="External"/><Relationship Id="rId60" Type="http://schemas.openxmlformats.org/officeDocument/2006/relationships/hyperlink" Target="https://www.iso-ne.com/static-assets/documents/2017/05/annual_markets_report_2016.pdf" TargetMode="External"/><Relationship Id="rId65" Type="http://schemas.openxmlformats.org/officeDocument/2006/relationships/hyperlink" Target="https://www.iso-ne.com/static-assets/documents/2014/10/seasonal_peak_data_summary.xls" TargetMode="External"/><Relationship Id="rId81" Type="http://schemas.openxmlformats.org/officeDocument/2006/relationships/hyperlink" Target="https://smd.iso-ne.com/operations-services/ceii/pac/2017/03/a8_fca_12_zonal_boundary_determination.pdf" TargetMode="External"/><Relationship Id="rId86" Type="http://schemas.openxmlformats.org/officeDocument/2006/relationships/hyperlink" Target="http://www.iso-ne.com/rules_proceds/operating/isone/op19/op19_rto_final.pdf" TargetMode="External"/><Relationship Id="rId130" Type="http://schemas.openxmlformats.org/officeDocument/2006/relationships/hyperlink" Target="https://smd.iso-ne.com/operations-services/ceii/pac/2017/03/a9_sema_ri_min_load_needs_assessment_" TargetMode="External"/><Relationship Id="rId135" Type="http://schemas.openxmlformats.org/officeDocument/2006/relationships/hyperlink" Target="https://smd.iso-ne.com/operations-services/ceii/pac/2016/04/2023-final-me-addendum-report_20160428.pdf" TargetMode="External"/><Relationship Id="rId151" Type="http://schemas.openxmlformats.org/officeDocument/2006/relationships/hyperlink" Target="https://smd.iso-ne.com/operations-services/ceii/pac/2016/09/a3_eastern_connecticut_2022_solution_study_update.pdf" TargetMode="External"/><Relationship Id="rId156" Type="http://schemas.openxmlformats.org/officeDocument/2006/relationships/hyperlink" Target="https://www.iso-ne.com/system-planning/system-plans-studies/rsp" TargetMode="External"/><Relationship Id="rId177" Type="http://schemas.openxmlformats.org/officeDocument/2006/relationships/hyperlink" Target="https://www.iso-ne.com/static-assets/documents/2017/04/a8_2016_interface_flows_and_other_system_perfromance_summaries.pdf" TargetMode="External"/><Relationship Id="rId198" Type="http://schemas.openxmlformats.org/officeDocument/2006/relationships/hyperlink" Target="http://www.analysisgroup.com/news-and-events/news/energy-report--considerations-related-to-trading-for-the-rggi-states-under-the-epa-s-clean-power-plan/" TargetMode="External"/><Relationship Id="rId172" Type="http://schemas.openxmlformats.org/officeDocument/2006/relationships/hyperlink" Target="https://www.google.com/url?sa=t&amp;rct=j&amp;q=&amp;esrc=s&amp;source=web&amp;cd=1&amp;cad=rja&amp;uact=8&amp;ved=0ahUKEwj16Oi2mKrUAhVGvRoKHWA3BbkQFggmMAA&amp;url=http%3A%2F%2Fwww.nerc.com%2Fcomm%2FOther%2FessntlrlbltysrvcstskfrcDL%2FERSTF%2520Framework%2520Report%2520-%2520Final.pdf&amp;usg=AFQjCNEV_k9d-grrdno85cjAD5EBCxsBzA" TargetMode="External"/><Relationship Id="rId193" Type="http://schemas.openxmlformats.org/officeDocument/2006/relationships/hyperlink" Target="https://www.rggi.org/design/overview/cap" TargetMode="External"/><Relationship Id="rId202" Type="http://schemas.openxmlformats.org/officeDocument/2006/relationships/hyperlink" Target="http://www.ferc.gov/industries/hydropower/gen-info/licensing.asp" TargetMode="External"/><Relationship Id="rId207" Type="http://schemas.openxmlformats.org/officeDocument/2006/relationships/hyperlink" Target="http://grouper.ieee.org/groups/scc21/1547/1547_index.html" TargetMode="External"/><Relationship Id="rId223" Type="http://schemas.openxmlformats.org/officeDocument/2006/relationships/hyperlink" Target="http://www.nescoe.com" TargetMode="External"/><Relationship Id="rId228" Type="http://schemas.openxmlformats.org/officeDocument/2006/relationships/hyperlink" Target="http://www.epri.com/" TargetMode="External"/><Relationship Id="rId244" Type="http://schemas.openxmlformats.org/officeDocument/2006/relationships/hyperlink" Target="http://www.ri.gov/press/view/29766" TargetMode="External"/><Relationship Id="rId13" Type="http://schemas.openxmlformats.org/officeDocument/2006/relationships/hyperlink" Target="http://www.gpo.gov/fdsys/pkg/FR-2015-10-26/pdf/2015-26594.pdf" TargetMode="External"/><Relationship Id="rId18" Type="http://schemas.openxmlformats.org/officeDocument/2006/relationships/hyperlink" Target="http://www.mass.gov/legis/laws/seslaw08/sl080298.htm" TargetMode="External"/><Relationship Id="rId39" Type="http://schemas.openxmlformats.org/officeDocument/2006/relationships/hyperlink" Target="https://www.iso-ne.com/static-assets/documents/2014/10/a7_etu_conforming_changes_rev1.pdf" TargetMode="External"/><Relationship Id="rId109" Type="http://schemas.openxmlformats.org/officeDocument/2006/relationships/hyperlink" Target="https://smd.iso-ne.com/committees/comm_wkgrps/prtcpnts_comm/pac/ceii/mtrls/2014/jul152014/a8_ghcc_area_solutions_2.zip" TargetMode="External"/><Relationship Id="rId34" Type="http://schemas.openxmlformats.org/officeDocument/2006/relationships/hyperlink" Target="http://www.ferc.gov/industries/electric/indus-act/trans-plan.asp" TargetMode="External"/><Relationship Id="rId50" Type="http://schemas.openxmlformats.org/officeDocument/2006/relationships/hyperlink" Target="http://www.iso-ne.com/markets/mkt_anlys_rpts/annl_mkt_rpts/" TargetMode="External"/><Relationship Id="rId55" Type="http://schemas.openxmlformats.org/officeDocument/2006/relationships/hyperlink" Target="http://www.ferc.gov/whats-new/comm-meet/2007/021507/E-1.pdf" TargetMode="External"/><Relationship Id="rId76" Type="http://schemas.openxmlformats.org/officeDocument/2006/relationships/hyperlink" Target="http://www.iso-ne.com/static-assets/documents/2014/11/er15-___-000_11-6-14_2018-2019_icr_filing.pdf" TargetMode="External"/><Relationship Id="rId97" Type="http://schemas.openxmlformats.org/officeDocument/2006/relationships/hyperlink" Target="https://www.iso-ne.com/system-planning/system-plans-studies/public-policy-transmission-upgrades" TargetMode="External"/><Relationship Id="rId104" Type="http://schemas.openxmlformats.org/officeDocument/2006/relationships/hyperlink" Target="https://smd.iso-ne.com/committees/comm_wkgrps/prtcpnts_comm/pac/ceii/reports/2014/final_swct_2022_needs.pdf" TargetMode="External"/><Relationship Id="rId120" Type="http://schemas.openxmlformats.org/officeDocument/2006/relationships/hyperlink" Target="https://www.iso-ne.com/system-planning/key-study-areas/sema-ri" TargetMode="External"/><Relationship Id="rId125" Type="http://schemas.openxmlformats.org/officeDocument/2006/relationships/hyperlink" Target="https://smd.iso-ne.com/operations-services/ceii/pac/2016/05/final_sema_ri_needs_assessment_report.pdf" TargetMode="External"/><Relationship Id="rId141" Type="http://schemas.openxmlformats.org/officeDocument/2006/relationships/hyperlink" Target="https://smd.iso-ne.com/committees/comm_wkgrps/prtcpnts_comm/pac/ceii/mtrls/2014/mar172014/a7_nh_vt_2023_needs_assessment.pdf" TargetMode="External"/><Relationship Id="rId146" Type="http://schemas.openxmlformats.org/officeDocument/2006/relationships/hyperlink" Target="https://smd.iso-ne.com/operations-services/ceii/pac/2016/10/a5_new_hampshire_2023_solutions_study_update.pdf" TargetMode="External"/><Relationship Id="rId167" Type="http://schemas.openxmlformats.org/officeDocument/2006/relationships/hyperlink" Target="http://www.nerc.com/" TargetMode="External"/><Relationship Id="rId188" Type="http://schemas.openxmlformats.org/officeDocument/2006/relationships/hyperlink" Target="https://www.federalregister.gov/articles/2015/10/26/2015-26594/national-ambient-air-quality-standards-for-ozone" TargetMode="External"/><Relationship Id="rId7" Type="http://schemas.openxmlformats.org/officeDocument/2006/relationships/hyperlink" Target="https://www.ferc.gov/industries/electric/indus-act/trans-plan.asp" TargetMode="External"/><Relationship Id="rId71" Type="http://schemas.openxmlformats.org/officeDocument/2006/relationships/hyperlink" Target="http://www.iso-ne.com/committees/planning/energy-efficiency-forecast" TargetMode="External"/><Relationship Id="rId92" Type="http://schemas.openxmlformats.org/officeDocument/2006/relationships/hyperlink" Target="https://www.iso-ne.com/static-assets/documents/2017/01/2017_01_23_memo_pac_mri.pdf" TargetMode="External"/><Relationship Id="rId162" Type="http://schemas.openxmlformats.org/officeDocument/2006/relationships/hyperlink" Target="https://www.iso-ne.com/static-assets/documents/2016/12/2016_keene_rd_metu_needs_assessment_final_1.pdf" TargetMode="External"/><Relationship Id="rId183" Type="http://schemas.openxmlformats.org/officeDocument/2006/relationships/hyperlink" Target="file:///C:\Users\mhenderson\AppData\Local\Microsoft\Windows\Temporary%20Internet%20Files\Content.Outlook\O9FBBH91\roposed%20rule" TargetMode="External"/><Relationship Id="rId213" Type="http://schemas.openxmlformats.org/officeDocument/2006/relationships/hyperlink" Target="http://www.iso-ne.com/static-assets/documents/2015/07/a2_dg_interconnection_issues_update.pdf" TargetMode="External"/><Relationship Id="rId218" Type="http://schemas.openxmlformats.org/officeDocument/2006/relationships/hyperlink" Target="https://www.iso-ne.com/static-assets/documents/2017/04/a7_2017_economic_study_request_clf.pdf%20" TargetMode="External"/><Relationship Id="rId234" Type="http://schemas.openxmlformats.org/officeDocument/2006/relationships/hyperlink" Target="https://www.iso-ne.com/static-assets/documents/2017/04/caspr_discussion_paper_april_14_2017.pdf" TargetMode="External"/><Relationship Id="rId239" Type="http://schemas.openxmlformats.org/officeDocument/2006/relationships/hyperlink" Target="http://www.mass.gov/eea/agencies/massdep/air/climate/section3d-comments.html" TargetMode="External"/><Relationship Id="rId2" Type="http://schemas.openxmlformats.org/officeDocument/2006/relationships/hyperlink" Target="https://www.iso-ne.com/static-assets/documents/2017/04/caspr_discussion_paper_april_14_2017.pdf" TargetMode="External"/><Relationship Id="rId29" Type="http://schemas.openxmlformats.org/officeDocument/2006/relationships/hyperlink" Target="http://www.iso-ne.com/markets-operations/markets-development/wholesale-markets-project-plan" TargetMode="External"/><Relationship Id="rId24" Type="http://schemas.openxmlformats.org/officeDocument/2006/relationships/hyperlink" Target="https://www.iso-ne.com/static-assets/documents/2016/09/2015_economic_study_keene_road_increased_export_limits_fina.docx" TargetMode="External"/><Relationship Id="rId40" Type="http://schemas.openxmlformats.org/officeDocument/2006/relationships/hyperlink" Target="http://www.iso-ne.com/static-assets/documents/regulatory/tariff/sect_2/oatt/sect_ii.pdf" TargetMode="External"/><Relationship Id="rId45" Type="http://schemas.openxmlformats.org/officeDocument/2006/relationships/hyperlink" Target="http://www.iso-ne.com/participate/governing-agreements/nepool-agreement" TargetMode="External"/><Relationship Id="rId66" Type="http://schemas.openxmlformats.org/officeDocument/2006/relationships/hyperlink" Target="https://www.iso-ne.com/static-assets/documents/2017/03/a2_new_england_energy_efficiency_pv_and_load_forecast_update.pdf" TargetMode="External"/><Relationship Id="rId87" Type="http://schemas.openxmlformats.org/officeDocument/2006/relationships/hyperlink" Target="https://smd.iso-ne.com/operations-services/ceii/pac/2017/03/a8_fca_12_zonal_boundary_determination.pdf" TargetMode="External"/><Relationship Id="rId110" Type="http://schemas.openxmlformats.org/officeDocument/2006/relationships/hyperlink" Target="https://smd.iso-ne.com/planning/ceii/reports/final_ghcc_solutions_study_report.pdf" TargetMode="External"/><Relationship Id="rId115" Type="http://schemas.openxmlformats.org/officeDocument/2006/relationships/hyperlink" Target="https://smd.iso-ne.com/committees/comm_wkgrps/prtcpnts_comm/pac/ceii/reports/2012/boston_needs_report.ZIP" TargetMode="External"/><Relationship Id="rId131" Type="http://schemas.openxmlformats.org/officeDocument/2006/relationships/hyperlink" Target="https://smd.iso-ne.com/operations-services/ceii/pac/2017/06/ceii_draft_sema_ri_min_load_needs_assessment_" TargetMode="External"/><Relationship Id="rId136" Type="http://schemas.openxmlformats.org/officeDocument/2006/relationships/hyperlink" Target="https://smd.iso-ne.com/operations-services/ceii/pac/2017/01/a4_maine_2023_solution_study_update.pdf" TargetMode="External"/><Relationship Id="rId157" Type="http://schemas.openxmlformats.org/officeDocument/2006/relationships/hyperlink" Target="https://www.iso-ne.com/committees/planning/topac" TargetMode="External"/><Relationship Id="rId178" Type="http://schemas.openxmlformats.org/officeDocument/2006/relationships/hyperlink" Target="https://www.iso-ne.com/static-assets/documents/2017/01/2015_emissions_report.pdf" TargetMode="External"/><Relationship Id="rId61" Type="http://schemas.openxmlformats.org/officeDocument/2006/relationships/hyperlink" Target="http://www.iso-ne.com/markets-operations/markets/forward-capacity-market" TargetMode="External"/><Relationship Id="rId82" Type="http://schemas.openxmlformats.org/officeDocument/2006/relationships/hyperlink" Target="https://smd.iso-ne.com/operations-services/ceii/pac/2017/03/a8_fca_12_zonal_boundary_determination.pdf" TargetMode="External"/><Relationship Id="rId152" Type="http://schemas.openxmlformats.org/officeDocument/2006/relationships/hyperlink" Target="https://www.iso-ne.com/system-planning/key-study-areas/new-england-asset-management/?load.more=1" TargetMode="External"/><Relationship Id="rId173" Type="http://schemas.openxmlformats.org/officeDocument/2006/relationships/hyperlink" Target="http://www.isorto.org/Reports/default" TargetMode="External"/><Relationship Id="rId194" Type="http://schemas.openxmlformats.org/officeDocument/2006/relationships/hyperlink" Target="https://www.rggi.org/design/overview" TargetMode="External"/><Relationship Id="rId199" Type="http://schemas.openxmlformats.org/officeDocument/2006/relationships/hyperlink" Target="https://www.eia.gov/todayinenergy/detail.php?id=26812" TargetMode="External"/><Relationship Id="rId203" Type="http://schemas.openxmlformats.org/officeDocument/2006/relationships/hyperlink" Target="https://www.iso-ne.com/static-assets/documents/2017/05/2017_celt_report.xls" TargetMode="External"/><Relationship Id="rId208" Type="http://schemas.openxmlformats.org/officeDocument/2006/relationships/hyperlink" Target="http://www.nerc.com/comm/Other/essntlrlbltysrvcstskfrcDL/Distributed_Energy_Resources_Report.pdf" TargetMode="External"/><Relationship Id="rId229" Type="http://schemas.openxmlformats.org/officeDocument/2006/relationships/hyperlink" Target="http://www.isorto.org/Documents/Report/20160425_2015NorthAmericanWholesaleElectricityDemandResponseProgramComparison.xlsx" TargetMode="External"/><Relationship Id="rId19" Type="http://schemas.openxmlformats.org/officeDocument/2006/relationships/hyperlink" Target="http://www.mass.gov/eea/docs/dep/air/climate/3dregf-electricity.pdf" TargetMode="External"/><Relationship Id="rId224" Type="http://schemas.openxmlformats.org/officeDocument/2006/relationships/hyperlink" Target="http://www.iso-ne.com/about/government-industry-affairs/materials" TargetMode="External"/><Relationship Id="rId240" Type="http://schemas.openxmlformats.org/officeDocument/2006/relationships/hyperlink" Target="https://malegislature.gov/Laws/SessionLaws/Acts/2016/Chapter188" TargetMode="External"/><Relationship Id="rId245" Type="http://schemas.openxmlformats.org/officeDocument/2006/relationships/hyperlink" Target="http://puc.vermont.gov/electric/renewable-energy-standard" TargetMode="External"/><Relationship Id="rId14" Type="http://schemas.openxmlformats.org/officeDocument/2006/relationships/hyperlink" Target="https://www.federalregister.gov/d/2012-806" TargetMode="External"/><Relationship Id="rId30" Type="http://schemas.openxmlformats.org/officeDocument/2006/relationships/hyperlink" Target="http://www.iso-ne.com/regulatory/tariff/index.html" TargetMode="External"/><Relationship Id="rId35" Type="http://schemas.openxmlformats.org/officeDocument/2006/relationships/hyperlink" Target="http://www.iso-ne.com/static-assets/documents/regulatory/tariff/sect_2/sch22/sch_22_lgip.pdf" TargetMode="External"/><Relationship Id="rId56" Type="http://schemas.openxmlformats.org/officeDocument/2006/relationships/hyperlink" Target="http://www.nerc.com/pa/Stand/Pages/ReliabilityStandards.aspx" TargetMode="External"/><Relationship Id="rId77" Type="http://schemas.openxmlformats.org/officeDocument/2006/relationships/hyperlink" Target="https://www.iso-ne.com/static-assets/documents/2015/11/icr_values_2019-2020_ccp.pdf" TargetMode="External"/><Relationship Id="rId100" Type="http://schemas.openxmlformats.org/officeDocument/2006/relationships/hyperlink" Target="https://www.iso-ne.com/static-assets/documents/2017/05/nescoe_submission_public_policy_transmission_upgrades.pdf" TargetMode="External"/><Relationship Id="rId105" Type="http://schemas.openxmlformats.org/officeDocument/2006/relationships/hyperlink" Target="https://smd.iso-ne.com/committees/comm_wkgrps/prtcpnts_comm/pac/ceii/mtrls/2014/jul152014/a9_swct_2022_preferred_solutions.pdf" TargetMode="External"/><Relationship Id="rId126" Type="http://schemas.openxmlformats.org/officeDocument/2006/relationships/hyperlink" Target="https://smd.iso-ne.com/operations-services/ceii/pac/2016/12/a3_sema_ri_2026_preliminary_preferred_solutions.pdf" TargetMode="External"/><Relationship Id="rId147" Type="http://schemas.openxmlformats.org/officeDocument/2006/relationships/hyperlink" Target="https://www.iso-ne.com/system-planning/key-study-areas/eastern-connecticut" TargetMode="External"/><Relationship Id="rId168" Type="http://schemas.openxmlformats.org/officeDocument/2006/relationships/hyperlink" Target="http://www.eipconline.com/" TargetMode="External"/><Relationship Id="rId8" Type="http://schemas.openxmlformats.org/officeDocument/2006/relationships/hyperlink" Target="https://www.iso-ne.com/static-assets/documents/2017/04/transmission_planning_process_guide_4_6_2017.pdf" TargetMode="External"/><Relationship Id="rId51" Type="http://schemas.openxmlformats.org/officeDocument/2006/relationships/hyperlink" Target="http://www.iso-ne.com/markets-operations/markets-development/wholesale-markets-project-plan" TargetMode="External"/><Relationship Id="rId72" Type="http://schemas.openxmlformats.org/officeDocument/2006/relationships/hyperlink" Target="http://www.iso-ne.com/static-assets/documents/committees/comm_wkgrps/othr/distributed_generation_frcst/2013mtrls/sep302013/draft_dgfwg_scope_of_work.pdf" TargetMode="External"/><Relationship Id="rId93" Type="http://schemas.openxmlformats.org/officeDocument/2006/relationships/hyperlink" Target="https://www.iso-ne.com/system-planning/system-plans-studies/rsp" TargetMode="External"/><Relationship Id="rId98" Type="http://schemas.openxmlformats.org/officeDocument/2006/relationships/hyperlink" Target="https://www.iso-ne.com/static-assets/documents/2017/01/a10_2017_public_policy_transmission_upgrde_process_announcement.pdf" TargetMode="External"/><Relationship Id="rId121" Type="http://schemas.openxmlformats.org/officeDocument/2006/relationships/hyperlink" Target="https://smd.iso-ne.com/committees/comm_wkgrps/prtcpnts_comm/pac/ceii/mtrls/2012/oct172012/sema_ri.pdf" TargetMode="External"/><Relationship Id="rId142" Type="http://schemas.openxmlformats.org/officeDocument/2006/relationships/hyperlink" Target="https://smd.iso-ne.com/committees/comm_wkgrps/prtcpnts_comm/pac/ceii/reports/2014/final_2023_nhvt_transmission_system_needs_assessment.pdf" TargetMode="External"/><Relationship Id="rId163" Type="http://schemas.openxmlformats.org/officeDocument/2006/relationships/hyperlink" Target="https://www.iso-ne.com/static-assets/documents/2017/03/a3_keene_rd_metu_presentation.pdf" TargetMode="External"/><Relationship Id="rId184" Type="http://schemas.openxmlformats.org/officeDocument/2006/relationships/hyperlink" Target="http://www.mass.gov/eea/docs/dep/air/climate/7-74-facility-limits-12-15-16.docx" TargetMode="External"/><Relationship Id="rId189" Type="http://schemas.openxmlformats.org/officeDocument/2006/relationships/hyperlink" Target="https://www.iso-ne.com/static-assets/documents/2017/01/2015_emissions_report.pdf" TargetMode="External"/><Relationship Id="rId219" Type="http://schemas.openxmlformats.org/officeDocument/2006/relationships/hyperlink" Target="https://www.iso-ne.com/static-assets/documents/2017/05/a2_2017_economic_study_scope_of_work.pdf" TargetMode="External"/><Relationship Id="rId3" Type="http://schemas.openxmlformats.org/officeDocument/2006/relationships/hyperlink" Target="http://www.iso-ne.com/committees/comm_wkgrps/prtcpnts_comm/prtcpnts/mtrls/index.html." TargetMode="External"/><Relationship Id="rId214" Type="http://schemas.openxmlformats.org/officeDocument/2006/relationships/hyperlink" Target="https://www.iso-ne.com/committees/planning/planning-advisory/?document-type=Economic%20Studies&amp;file-type=DOC&amp;file-type=DOCX%20" TargetMode="External"/><Relationship Id="rId230" Type="http://schemas.openxmlformats.org/officeDocument/2006/relationships/hyperlink" Target="http://www.ieee.org/index.html" TargetMode="External"/><Relationship Id="rId235" Type="http://schemas.openxmlformats.org/officeDocument/2006/relationships/hyperlink" Target="https://www.cga.ct.gov/2015/ACT/PA/2015PA-00107-R00SB-01078-PA.htm" TargetMode="External"/><Relationship Id="rId25" Type="http://schemas.openxmlformats.org/officeDocument/2006/relationships/hyperlink" Target="https://www.iso-ne.com/static-assets/documents/2016/09/2015_economic_study_offshore_wind_development_final.docx" TargetMode="External"/><Relationship Id="rId46" Type="http://schemas.openxmlformats.org/officeDocument/2006/relationships/hyperlink" Target="http://www.iso-ne.com/regulatory/tariff/sect_3/index.html" TargetMode="External"/><Relationship Id="rId67" Type="http://schemas.openxmlformats.org/officeDocument/2006/relationships/hyperlink" Target="http://www.iso-ne.com/static-assets/documents/2015/02/a5_new_england_load_forecast_update.pdf" TargetMode="External"/><Relationship Id="rId116" Type="http://schemas.openxmlformats.org/officeDocument/2006/relationships/hyperlink" Target="https://www.iso-ne.com/static-assets/documents/2016/07/summary_of_corrections_made_to_greater_boston_needs_assessment_report_final.pdf" TargetMode="External"/><Relationship Id="rId137" Type="http://schemas.openxmlformats.org/officeDocument/2006/relationships/hyperlink" Target="https://www.iso-ne.com/static-assets/documents/2017/02/pp3_rev7.pdf" TargetMode="External"/><Relationship Id="rId158" Type="http://schemas.openxmlformats.org/officeDocument/2006/relationships/hyperlink" Target="https://www.iso-ne.com/system-planning/system-plans-studies/rsp" TargetMode="External"/><Relationship Id="rId20" Type="http://schemas.openxmlformats.org/officeDocument/2006/relationships/hyperlink" Target="http://www.mass.gov/eea/agencies/massdep/air/climate/section3d-comments.html" TargetMode="External"/><Relationship Id="rId41" Type="http://schemas.openxmlformats.org/officeDocument/2006/relationships/hyperlink" Target="http://www.iso-ne.com/system-planning/transmission-planning/transmission-planning-guides" TargetMode="External"/><Relationship Id="rId62" Type="http://schemas.openxmlformats.org/officeDocument/2006/relationships/hyperlink" Target="https://www.iso-ne.com/markets-operations/markets-development/wholesale-markets-project-plan" TargetMode="External"/><Relationship Id="rId83" Type="http://schemas.openxmlformats.org/officeDocument/2006/relationships/hyperlink" Target="https://www.iso-ne.com/static-assets/documents/2017/05/a5-fca-12-zone-formation-pspc.pdf" TargetMode="External"/><Relationship Id="rId88" Type="http://schemas.openxmlformats.org/officeDocument/2006/relationships/hyperlink" Target="http://www.iso-ne.com/regulatory/tariff/sect_3/index.html" TargetMode="External"/><Relationship Id="rId111" Type="http://schemas.openxmlformats.org/officeDocument/2006/relationships/hyperlink" Target="https://www.iso-ne.com/system-planning/key-study-areas/pittsfield-greenfield" TargetMode="External"/><Relationship Id="rId132" Type="http://schemas.openxmlformats.org/officeDocument/2006/relationships/hyperlink" Target="https://www.iso-ne.com/system-planning/key-study-areas/maine" TargetMode="External"/><Relationship Id="rId153" Type="http://schemas.openxmlformats.org/officeDocument/2006/relationships/hyperlink" Target="https://www.iso-ne.com/static-assets/documents/2015/10/a3_draft_rsp15_project_list_presentation.pdf" TargetMode="External"/><Relationship Id="rId174" Type="http://schemas.openxmlformats.org/officeDocument/2006/relationships/hyperlink" Target="http://www.isorto.org/Documents/Report/20170213_Final_IRC_Comments_on_ESR_and_DER_RM16-23-000.pdf" TargetMode="External"/><Relationship Id="rId179" Type="http://schemas.openxmlformats.org/officeDocument/2006/relationships/hyperlink" Target="http://aceee.org/research-report/u1606" TargetMode="External"/><Relationship Id="rId195" Type="http://schemas.openxmlformats.org/officeDocument/2006/relationships/hyperlink" Target="http://www.rggi.org/design/program-review" TargetMode="External"/><Relationship Id="rId209" Type="http://schemas.openxmlformats.org/officeDocument/2006/relationships/hyperlink" Target="https://www.iso-ne.com/participate/support/customer-readiness-outlook/do-not-exceed-dispatch" TargetMode="External"/><Relationship Id="rId190" Type="http://schemas.openxmlformats.org/officeDocument/2006/relationships/hyperlink" Target="https://www.federalregister.gov/d/2015-22837" TargetMode="External"/><Relationship Id="rId204" Type="http://schemas.openxmlformats.org/officeDocument/2006/relationships/hyperlink" Target="http://elibrary.ferc.gov/idmws/common/OpenNat.asp?fileID=13140930" TargetMode="External"/><Relationship Id="rId220" Type="http://schemas.openxmlformats.org/officeDocument/2006/relationships/hyperlink" Target="http://www.eipconline.com/" TargetMode="External"/><Relationship Id="rId225" Type="http://schemas.openxmlformats.org/officeDocument/2006/relationships/hyperlink" Target="https://www.ieee.org/membership-catalog/productdetail/showProductDetailPage.html?product=CMYSG735" TargetMode="External"/><Relationship Id="rId241" Type="http://schemas.openxmlformats.org/officeDocument/2006/relationships/hyperlink" Target="http://www.mass.gov/governor/press-office/press-releases/fy2017/governor-baker-signs-comprehensive-energy-diversity-law.html" TargetMode="External"/><Relationship Id="rId15" Type="http://schemas.openxmlformats.org/officeDocument/2006/relationships/hyperlink" Target="https://www.federalregister.gov/d/2015-22842" TargetMode="External"/><Relationship Id="rId36" Type="http://schemas.openxmlformats.org/officeDocument/2006/relationships/hyperlink" Target="file:///C:\Users\cwendel\Documents\2017%20Reports\RSP17\Public%20Meeting%20Draft\;" TargetMode="External"/><Relationship Id="rId57" Type="http://schemas.openxmlformats.org/officeDocument/2006/relationships/hyperlink" Target="https://www.npcc.org/Standards/default.aspx" TargetMode="External"/><Relationship Id="rId106" Type="http://schemas.openxmlformats.org/officeDocument/2006/relationships/hyperlink" Target="https://smd.iso-ne.com/planning/ceii/studies/ct/final_swct_2022_solutions_study.pdf" TargetMode="External"/><Relationship Id="rId127" Type="http://schemas.openxmlformats.org/officeDocument/2006/relationships/hyperlink" Target="https://smd.iso-ne.com/operations-services/ceii/pac/2017/02/final_sema_ri_2026_solutions_study_report_rev1.pdf" TargetMode="External"/><Relationship Id="rId10" Type="http://schemas.openxmlformats.org/officeDocument/2006/relationships/hyperlink" Target="https://www.iso-ne.com/static-assets/documents/committees/comm_wkgrps/othr/ipsac/rto_plan_prot/planning_protocol.pdf%20" TargetMode="External"/><Relationship Id="rId31" Type="http://schemas.openxmlformats.org/officeDocument/2006/relationships/hyperlink" Target="https://www.iso-ne.com/participate/rules-procedures/tariff/oatt" TargetMode="External"/><Relationship Id="rId52" Type="http://schemas.openxmlformats.org/officeDocument/2006/relationships/hyperlink" Target="http://www.ferc.gov/docs-filing/forms/form-715/overview.asp" TargetMode="External"/><Relationship Id="rId73" Type="http://schemas.openxmlformats.org/officeDocument/2006/relationships/hyperlink" Target="http://www.iso-ne.com/static-assets/documents/rules_proceds/operating/isone/op14/op14_rto_final.pdf%20" TargetMode="External"/><Relationship Id="rId78" Type="http://schemas.openxmlformats.org/officeDocument/2006/relationships/hyperlink" Target="https://www.iso-ne.com/static-assets/documents/2016/11/icr_filing_for_2020-2021_ccp.pdf" TargetMode="External"/><Relationship Id="rId94" Type="http://schemas.openxmlformats.org/officeDocument/2006/relationships/hyperlink" Target="http://www.iso-ne.com/trans/rsp/index.html" TargetMode="External"/><Relationship Id="rId99" Type="http://schemas.openxmlformats.org/officeDocument/2006/relationships/hyperlink" Target="https://www.iso-ne.com/static-assets/documents/2017/03/2017_public_policy_requirements_stakeholder_submittals_combined.pdf" TargetMode="External"/><Relationship Id="rId101" Type="http://schemas.openxmlformats.org/officeDocument/2006/relationships/hyperlink" Target="https://www.iso-ne.com/static-assets/documents/2017/06/a3_public_policy_transmission_upgrade_process_june_2017.pdf" TargetMode="External"/><Relationship Id="rId122" Type="http://schemas.openxmlformats.org/officeDocument/2006/relationships/hyperlink" Target="https://smd.iso-ne.com/committees/comm_wkgrps/prtcpnts_comm/pac/ceii/mtrls/2014/feb192014/a8_sema_ri_needs_assessment.pdf" TargetMode="External"/><Relationship Id="rId143" Type="http://schemas.openxmlformats.org/officeDocument/2006/relationships/hyperlink" Target="https://smd.iso-ne.com/operations-services/ceii/pac/2014/a4_vermont_2023_solution_study.pdf" TargetMode="External"/><Relationship Id="rId148" Type="http://schemas.openxmlformats.org/officeDocument/2006/relationships/hyperlink" Target="https://smd.iso-ne.com/operations-services/ceii/pac/2013/eastern_ct_study_n_1_n_1_1_needs_final.pptx" TargetMode="External"/><Relationship Id="rId164" Type="http://schemas.openxmlformats.org/officeDocument/2006/relationships/hyperlink" Target="https://www.iso-ne.com/static-assets/documents/2017/04/a8_2016_interface_flows_and_other_system_perfromance_summaries.pdf" TargetMode="External"/><Relationship Id="rId169" Type="http://schemas.openxmlformats.org/officeDocument/2006/relationships/hyperlink" Target="http://www.eipconline.com/non-doe-documents.html" TargetMode="External"/><Relationship Id="rId185" Type="http://schemas.openxmlformats.org/officeDocument/2006/relationships/hyperlink" Target="https://federalregister.gov/a/2013-10191" TargetMode="External"/><Relationship Id="rId4" Type="http://schemas.openxmlformats.org/officeDocument/2006/relationships/hyperlink" Target="https://www.iso-ne.com/static-assets/documents/2017/02/pp3_rev7.pdf" TargetMode="External"/><Relationship Id="rId9" Type="http://schemas.openxmlformats.org/officeDocument/2006/relationships/hyperlink" Target="https://www.iso-ne.com/static-assets/documents/2015/11/rsp15_final_110515.docx" TargetMode="External"/><Relationship Id="rId180" Type="http://schemas.openxmlformats.org/officeDocument/2006/relationships/hyperlink" Target="http://www.mass.gov/eea/docs/dep/air/climate/gwsa-appc.xls" TargetMode="External"/><Relationship Id="rId210" Type="http://schemas.openxmlformats.org/officeDocument/2006/relationships/hyperlink" Target="https://www.iso-ne.com/static-assets/documents/2016/12/er17-68-000_12-9-16_order_accept_resource_dispatchability_revisions.pdf" TargetMode="External"/><Relationship Id="rId215" Type="http://schemas.openxmlformats.org/officeDocument/2006/relationships/hyperlink" Target="https://www.iso-ne.com/static-assets/documents/2017/07/draft_2016_phase1_nepool_scenario_analysis_report.docx" TargetMode="External"/><Relationship Id="rId236" Type="http://schemas.openxmlformats.org/officeDocument/2006/relationships/hyperlink" Target="http://masscases.com/cases/sjc/474/474mass278.html" TargetMode="External"/><Relationship Id="rId26" Type="http://schemas.openxmlformats.org/officeDocument/2006/relationships/hyperlink" Target="https://www.iso-ne.com/static-assets/documents/2016/09/2015_economic_study_onshore_wind_integration_final.docx" TargetMode="External"/><Relationship Id="rId231" Type="http://schemas.openxmlformats.org/officeDocument/2006/relationships/hyperlink" Target="http://www.ieee-pes.org/" TargetMode="External"/><Relationship Id="rId47" Type="http://schemas.openxmlformats.org/officeDocument/2006/relationships/hyperlink" Target="http://www.iso-ne.com/system-planning/system-plans-studies/rsp" TargetMode="External"/><Relationship Id="rId68" Type="http://schemas.openxmlformats.org/officeDocument/2006/relationships/image" Target="media/image5.wmf"/><Relationship Id="rId89" Type="http://schemas.openxmlformats.org/officeDocument/2006/relationships/hyperlink" Target="https://www.iso-ne.com/static-assets/documents/2017/04/april-2017-coo-report.pdf" TargetMode="External"/><Relationship Id="rId112" Type="http://schemas.openxmlformats.org/officeDocument/2006/relationships/hyperlink" Target="https://smd.iso-ne.com/planning/ceii/reports/2010s/archive/a8_pittsfield_greenfield_2022_solutions_study_rev2.pdf" TargetMode="External"/><Relationship Id="rId133" Type="http://schemas.openxmlformats.org/officeDocument/2006/relationships/hyperlink" Target="https://smd.iso-ne.com/operations-services/ceii/pac/2014/a3_maine_2023_needs_assessment_results.pdf" TargetMode="External"/><Relationship Id="rId154" Type="http://schemas.openxmlformats.org/officeDocument/2006/relationships/hyperlink" Target="https://www.iso-ne.com/system-planning/system-plans-studies/rsp" TargetMode="External"/><Relationship Id="rId175" Type="http://schemas.openxmlformats.org/officeDocument/2006/relationships/hyperlink" Target="https://www.iso-ne.com/committees/planning/ipsac" TargetMode="External"/><Relationship Id="rId196" Type="http://schemas.openxmlformats.org/officeDocument/2006/relationships/hyperlink" Target="https://www.rggi.org/docs/Market/MM_Secondary_Market_Report_2016_Q4.pdf" TargetMode="External"/><Relationship Id="rId200" Type="http://schemas.openxmlformats.org/officeDocument/2006/relationships/hyperlink" Target="https://www.iso-ne.com/static-assets/documents/2017/05/annual_markets_report_2016.pdf" TargetMode="External"/><Relationship Id="rId16" Type="http://schemas.openxmlformats.org/officeDocument/2006/relationships/hyperlink" Target="https://www.federalregister.gov/d/2015-22837" TargetMode="External"/><Relationship Id="rId221" Type="http://schemas.openxmlformats.org/officeDocument/2006/relationships/hyperlink" Target="http://electricitypolicy.org/about/" TargetMode="External"/><Relationship Id="rId242" Type="http://schemas.openxmlformats.org/officeDocument/2006/relationships/hyperlink" Target="http://www.mass.gov/eea/energy-utilities-clean-tech/renewable-energy/energy-storage-initiative/" TargetMode="External"/><Relationship Id="rId37" Type="http://schemas.openxmlformats.org/officeDocument/2006/relationships/hyperlink" Target="https://www.iso-ne.com/static-assets/documents/regulatory/tariff/sect_2/sch23/sch_23_sgip.pdf" TargetMode="External"/><Relationship Id="rId58" Type="http://schemas.openxmlformats.org/officeDocument/2006/relationships/hyperlink" Target="http://www.iso-ne.com/regulatory/toa/index.html" TargetMode="External"/><Relationship Id="rId79" Type="http://schemas.openxmlformats.org/officeDocument/2006/relationships/hyperlink" Target="http://www.iso-ne.com/system-planning/resource-planning/nonprice-retirement" TargetMode="External"/><Relationship Id="rId102" Type="http://schemas.openxmlformats.org/officeDocument/2006/relationships/hyperlink" Target="https://www.iso-ne.com/system-planning/key-study-areas/swct" TargetMode="External"/><Relationship Id="rId123" Type="http://schemas.openxmlformats.org/officeDocument/2006/relationships/hyperlink" Target="https://smd.iso-ne.com/committees/comm_wkgrps/prtcpnts_comm/pac/ceii/mtrls/2014/jul152014/a5_sema_ri_area_needs_2_n_1_1_rev1.pdf" TargetMode="External"/><Relationship Id="rId144" Type="http://schemas.openxmlformats.org/officeDocument/2006/relationships/hyperlink" Target="https://smd.iso-ne.com/operations-services/ceii/pac/2014/vermont_2023_solutions_report_final.pdf" TargetMode="External"/><Relationship Id="rId90" Type="http://schemas.openxmlformats.org/officeDocument/2006/relationships/hyperlink" Target="file:///C:\Documents%20and%20Settings\cwendel\My%20Documents\2013%20Reports\RSP13\PAC%20SPARC%20Draft\In" TargetMode="External"/><Relationship Id="rId165" Type="http://schemas.openxmlformats.org/officeDocument/2006/relationships/hyperlink" Target="https://www.iso-ne.com/static-assets/documents/2016/12/part_1_of_two-part_filing_ncpc_revisions_shs.pdf" TargetMode="External"/><Relationship Id="rId186" Type="http://schemas.openxmlformats.org/officeDocument/2006/relationships/hyperlink" Target="http://dx.doi.org/10.3133/sir20145184" TargetMode="External"/><Relationship Id="rId211" Type="http://schemas.openxmlformats.org/officeDocument/2006/relationships/hyperlink" Target="https://www.iso-ne.com/static-assets/documents/2017/04/npc_20170407_addl.pdf" TargetMode="External"/><Relationship Id="rId232" Type="http://schemas.openxmlformats.org/officeDocument/2006/relationships/hyperlink" Target="https://www.google.com/url?sa=t&amp;rct=j&amp;q=&amp;esrc=s&amp;source=web&amp;cd=1&amp;ved=0ahUKEwiPuc73ndfUAhWIcT4KHUgCDwkQFgg7MAA&amp;url=https%3A%2F%2Fwww.ferc.gov%2FEventCalendar%2FFiles%2F20110315105757-RM10-17-000.pdf&amp;usg=AFQjCNHj8nf3O25n08Tt4ALJlua7GcmTGw&amp;cad=rja" TargetMode="External"/><Relationship Id="rId27" Type="http://schemas.openxmlformats.org/officeDocument/2006/relationships/hyperlink" Target="https://www.iso-ne.com/static-assets/documents/2017/07/draft_2016_phase1_nepool_scenario_analysis_report.docx" TargetMode="External"/><Relationship Id="rId48" Type="http://schemas.openxmlformats.org/officeDocument/2006/relationships/hyperlink" Target="http://www.iso-ne.com/trans/rsp/index.html" TargetMode="External"/><Relationship Id="rId69" Type="http://schemas.openxmlformats.org/officeDocument/2006/relationships/hyperlink" Target="http://www.iso-ne.com/static-assets/documents/rules_proceds/operating/isone/op4/op4_rto_final.pdf" TargetMode="External"/><Relationship Id="rId113" Type="http://schemas.openxmlformats.org/officeDocument/2006/relationships/hyperlink" Target="https://smd.iso-ne.com/operations-services/ceii/pac/2015/10/2022_pittsfield_greenfield_area_solutions_study_report_final.pdf" TargetMode="External"/><Relationship Id="rId134" Type="http://schemas.openxmlformats.org/officeDocument/2006/relationships/hyperlink" Target="https://smd.iso-ne.com/operations-services/ceii/pac/2014/final_maine_2023_needs_assessment_tpl_001_4_compliance_report.pdf" TargetMode="External"/><Relationship Id="rId80" Type="http://schemas.openxmlformats.org/officeDocument/2006/relationships/hyperlink" Target="http://www.iso-ne.com/static-assets/documents/rules_proceds/isone_plan/pp10/pp10.pdf" TargetMode="External"/><Relationship Id="rId155" Type="http://schemas.openxmlformats.org/officeDocument/2006/relationships/hyperlink" Target="https://www.iso-ne.com/static-assets/documents/2015/10/a3_draft_rsp15_project_list_presentation.pdf" TargetMode="External"/><Relationship Id="rId176" Type="http://schemas.openxmlformats.org/officeDocument/2006/relationships/hyperlink" Target="https://www.iso-ne.com/static-assets/documents/2016/04/2015_ncsp_041116_final.docx%20" TargetMode="External"/><Relationship Id="rId197" Type="http://schemas.openxmlformats.org/officeDocument/2006/relationships/hyperlink" Target="https://www.rggi.org/docs/ProgramReview/2016/11-17-15/Key_Discussion_Items_11_17_15.pdf" TargetMode="External"/></Relationships>
</file>

<file path=word/theme/theme1.xml><?xml version="1.0" encoding="utf-8"?>
<a:theme xmlns:a="http://schemas.openxmlformats.org/drawingml/2006/main" name="COLOR TEST 2015 1">
  <a:themeElements>
    <a:clrScheme name="ISO-NE">
      <a:dk1>
        <a:srgbClr val="62777F"/>
      </a:dk1>
      <a:lt1>
        <a:srgbClr val="FFFFFF"/>
      </a:lt1>
      <a:dk2>
        <a:srgbClr val="1E6A9A"/>
      </a:dk2>
      <a:lt2>
        <a:srgbClr val="6DCFF6"/>
      </a:lt2>
      <a:accent1>
        <a:srgbClr val="1795D2"/>
      </a:accent1>
      <a:accent2>
        <a:srgbClr val="8555A1"/>
      </a:accent2>
      <a:accent3>
        <a:srgbClr val="77BD2A"/>
      </a:accent3>
      <a:accent4>
        <a:srgbClr val="FBB92F"/>
      </a:accent4>
      <a:accent5>
        <a:srgbClr val="F68920"/>
      </a:accent5>
      <a:accent6>
        <a:srgbClr val="EC1F25"/>
      </a:accent6>
      <a:hlink>
        <a:srgbClr val="1795D2"/>
      </a:hlink>
      <a:folHlink>
        <a:srgbClr val="8555A1"/>
      </a:folHlink>
    </a:clrScheme>
    <a:fontScheme name="Office">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CHICAGO.XSL" StyleName="Chicago"/>
</file>

<file path=customXml/item2.xml><?xml version="1.0" encoding="utf-8"?>
<b:Sources xmlns:b="http://schemas.openxmlformats.org/officeDocument/2006/bibliography" xmlns="http://schemas.openxmlformats.org/officeDocument/2006/bibliography" SelectedStyle="\CHICAGO.XSL" StyleName="Chicago"/>
</file>

<file path=customXml/itemProps1.xml><?xml version="1.0" encoding="utf-8"?>
<ds:datastoreItem xmlns:ds="http://schemas.openxmlformats.org/officeDocument/2006/customXml" ds:itemID="{BC5ABFD8-5E6B-4E67-979D-B309D1F1FD05}">
  <ds:schemaRefs>
    <ds:schemaRef ds:uri="http://schemas.openxmlformats.org/officeDocument/2006/bibliography"/>
  </ds:schemaRefs>
</ds:datastoreItem>
</file>

<file path=customXml/itemProps2.xml><?xml version="1.0" encoding="utf-8"?>
<ds:datastoreItem xmlns:ds="http://schemas.openxmlformats.org/officeDocument/2006/customXml" ds:itemID="{C3EA6DAB-418A-4DF9-B844-25A7A1F75F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166</Pages>
  <Words>60261</Words>
  <Characters>343494</Characters>
  <Application>Microsoft Office Word</Application>
  <DocSecurity>0</DocSecurity>
  <Lines>2862</Lines>
  <Paragraphs>805</Paragraphs>
  <ScaleCrop>false</ScaleCrop>
  <Company/>
  <LinksUpToDate>false</LinksUpToDate>
  <CharactersWithSpaces>402950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2017-08-29T18:54:00Z</dcterms:created>
  <dcterms:modified xsi:type="dcterms:W3CDTF">2017-08-29T18:55:00Z</dcterms:modified>
</cp:coreProperties>
</file>