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81" w:rsidRPr="00716539" w:rsidRDefault="00B630EF" w:rsidP="00716539">
      <w:pPr>
        <w:pStyle w:val="body"/>
        <w:spacing w:before="0" w:after="120" w:line="192" w:lineRule="auto"/>
        <w:rPr>
          <w:rFonts w:ascii="Calibri" w:hAnsi="Calibri" w:cs="OpenSans-Bold"/>
          <w:b/>
          <w:bCs/>
          <w:color w:val="3D484C"/>
          <w:sz w:val="80"/>
          <w:szCs w:val="80"/>
        </w:rPr>
        <w:sectPr w:rsidR="00D02C81" w:rsidRPr="00716539" w:rsidSect="00F637C1">
          <w:headerReference w:type="even" r:id="rId8"/>
          <w:headerReference w:type="default" r:id="rId9"/>
          <w:footerReference w:type="even" r:id="rId10"/>
          <w:footerReference w:type="default" r:id="rId11"/>
          <w:headerReference w:type="first" r:id="rId12"/>
          <w:footerReference w:type="first" r:id="rId13"/>
          <w:type w:val="continuous"/>
          <w:pgSz w:w="12240" w:h="15840"/>
          <w:pgMar w:top="900" w:right="1440" w:bottom="1440" w:left="1440" w:header="720" w:footer="720" w:gutter="0"/>
          <w:pgNumType w:fmt="lowerRoman" w:start="2"/>
          <w:cols w:space="720"/>
          <w:titlePg/>
          <w:docGrid w:linePitch="360"/>
        </w:sectPr>
      </w:pPr>
      <w:r>
        <w:rPr>
          <w:rFonts w:ascii="Calibri" w:hAnsi="Calibri" w:cs="OpenSans-Bold"/>
          <w:b/>
          <w:bCs/>
          <w:noProof/>
          <w:color w:val="3D484C"/>
          <w:sz w:val="80"/>
          <w:szCs w:val="80"/>
        </w:rPr>
        <mc:AlternateContent>
          <mc:Choice Requires="wps">
            <w:drawing>
              <wp:anchor distT="0" distB="0" distL="114300" distR="114300" simplePos="0" relativeHeight="251663360" behindDoc="0" locked="0" layoutInCell="1" allowOverlap="1" wp14:anchorId="596CB823" wp14:editId="3AE0F02E">
                <wp:simplePos x="0" y="0"/>
                <wp:positionH relativeFrom="column">
                  <wp:posOffset>128905</wp:posOffset>
                </wp:positionH>
                <wp:positionV relativeFrom="paragraph">
                  <wp:posOffset>2252345</wp:posOffset>
                </wp:positionV>
                <wp:extent cx="6163310" cy="2926080"/>
                <wp:effectExtent l="0" t="4445" r="381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292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A75" w:rsidRPr="00523C7A" w:rsidRDefault="00813A75" w:rsidP="00523C7A">
                            <w:pPr>
                              <w:pStyle w:val="body"/>
                              <w:spacing w:after="120" w:line="192" w:lineRule="auto"/>
                              <w:rPr>
                                <w:rFonts w:ascii="Calibri" w:hAnsi="Calibri" w:cs="OpenSans-Bold"/>
                                <w:b/>
                                <w:bCs/>
                                <w:color w:val="62777F"/>
                                <w:sz w:val="56"/>
                                <w:szCs w:val="56"/>
                              </w:rPr>
                            </w:pPr>
                            <w:r w:rsidRPr="00523C7A">
                              <w:rPr>
                                <w:rFonts w:ascii="Calibri" w:hAnsi="Calibri" w:cs="OpenSans-Bold"/>
                                <w:b/>
                                <w:bCs/>
                                <w:color w:val="62777F"/>
                                <w:sz w:val="56"/>
                                <w:szCs w:val="56"/>
                              </w:rPr>
                              <w:t>Wholesale Markets Project Plan</w:t>
                            </w:r>
                          </w:p>
                          <w:p w:rsidR="00813A75" w:rsidRPr="00523C7A" w:rsidRDefault="00813A75" w:rsidP="00523C7A">
                            <w:pPr>
                              <w:pStyle w:val="body"/>
                              <w:spacing w:after="120" w:line="192" w:lineRule="auto"/>
                              <w:rPr>
                                <w:rFonts w:ascii="Calibri" w:hAnsi="Calibri" w:cs="OpenSans-Bold"/>
                                <w:b/>
                                <w:bCs/>
                                <w:color w:val="62777F"/>
                                <w:sz w:val="56"/>
                                <w:szCs w:val="56"/>
                              </w:rPr>
                            </w:pPr>
                            <w:r w:rsidRPr="00523C7A">
                              <w:rPr>
                                <w:rFonts w:ascii="Calibri" w:hAnsi="Calibri" w:cs="OpenSans-Bold"/>
                                <w:b/>
                                <w:bCs/>
                                <w:color w:val="62777F"/>
                                <w:sz w:val="56"/>
                                <w:szCs w:val="56"/>
                              </w:rPr>
                              <w:t xml:space="preserve">Closed Market Design Projects </w:t>
                            </w:r>
                          </w:p>
                          <w:p w:rsidR="00813A75" w:rsidRDefault="00813A75" w:rsidP="00523C7A">
                            <w:pPr>
                              <w:pStyle w:val="body"/>
                              <w:spacing w:before="0" w:after="240" w:line="192" w:lineRule="auto"/>
                              <w:ind w:left="90"/>
                              <w:rPr>
                                <w:rFonts w:ascii="Calibri" w:hAnsi="Calibri" w:cs="OpenSans-Bold"/>
                                <w:b/>
                                <w:bCs/>
                                <w:caps/>
                                <w:color w:val="62777F"/>
                                <w:sz w:val="24"/>
                                <w:szCs w:val="24"/>
                              </w:rPr>
                            </w:pPr>
                            <w:r>
                              <w:rPr>
                                <w:rFonts w:ascii="Calibri" w:hAnsi="Calibri" w:cs="OpenSans-Bold"/>
                                <w:b/>
                                <w:bCs/>
                                <w:color w:val="62777F"/>
                                <w:spacing w:val="-2"/>
                                <w:sz w:val="32"/>
                                <w:szCs w:val="32"/>
                              </w:rPr>
                              <w:t>© ISO New England Inc.</w:t>
                            </w:r>
                          </w:p>
                          <w:p w:rsidR="00813A75" w:rsidRPr="00716539" w:rsidRDefault="00813A75" w:rsidP="00523C7A">
                            <w:pPr>
                              <w:pStyle w:val="body"/>
                              <w:spacing w:before="0" w:after="240" w:line="192" w:lineRule="auto"/>
                              <w:ind w:left="90"/>
                              <w:rPr>
                                <w:color w:val="62777F"/>
                              </w:rPr>
                            </w:pPr>
                            <w:r>
                              <w:rPr>
                                <w:rFonts w:ascii="Calibri" w:hAnsi="Calibri" w:cs="OpenSans-Bold"/>
                                <w:b/>
                                <w:bCs/>
                                <w:caps/>
                                <w:color w:val="62777F"/>
                                <w:sz w:val="24"/>
                                <w:szCs w:val="24"/>
                              </w:rPr>
                              <w:t>June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6CB823" id="_x0000_t202" coordsize="21600,21600" o:spt="202" path="m,l,21600r21600,l21600,xe">
                <v:stroke joinstyle="miter"/>
                <v:path gradientshapeok="t" o:connecttype="rect"/>
              </v:shapetype>
              <v:shape id="Text Box 3" o:spid="_x0000_s1026" type="#_x0000_t202" style="position:absolute;margin-left:10.15pt;margin-top:177.35pt;width:485.3pt;height:230.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LntQIAALo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" filled="f" stroked="f">
                <v:textbox style="mso-fit-shape-to-text:t">
                  <w:txbxContent>
                    <w:p w:rsidR="00813A75" w:rsidRPr="00523C7A" w:rsidRDefault="00813A75" w:rsidP="00523C7A">
                      <w:pPr>
                        <w:pStyle w:val="body"/>
                        <w:spacing w:after="120" w:line="192" w:lineRule="auto"/>
                        <w:rPr>
                          <w:rFonts w:ascii="Calibri" w:hAnsi="Calibri" w:cs="OpenSans-Bold"/>
                          <w:b/>
                          <w:bCs/>
                          <w:color w:val="62777F"/>
                          <w:sz w:val="56"/>
                          <w:szCs w:val="56"/>
                        </w:rPr>
                      </w:pPr>
                      <w:r w:rsidRPr="00523C7A">
                        <w:rPr>
                          <w:rFonts w:ascii="Calibri" w:hAnsi="Calibri" w:cs="OpenSans-Bold"/>
                          <w:b/>
                          <w:bCs/>
                          <w:color w:val="62777F"/>
                          <w:sz w:val="56"/>
                          <w:szCs w:val="56"/>
                        </w:rPr>
                        <w:t>Wholesale Markets Project Plan</w:t>
                      </w:r>
                    </w:p>
                    <w:p w:rsidR="00813A75" w:rsidRPr="00523C7A" w:rsidRDefault="00813A75" w:rsidP="00523C7A">
                      <w:pPr>
                        <w:pStyle w:val="body"/>
                        <w:spacing w:after="120" w:line="192" w:lineRule="auto"/>
                        <w:rPr>
                          <w:rFonts w:ascii="Calibri" w:hAnsi="Calibri" w:cs="OpenSans-Bold"/>
                          <w:b/>
                          <w:bCs/>
                          <w:color w:val="62777F"/>
                          <w:sz w:val="56"/>
                          <w:szCs w:val="56"/>
                        </w:rPr>
                      </w:pPr>
                      <w:r w:rsidRPr="00523C7A">
                        <w:rPr>
                          <w:rFonts w:ascii="Calibri" w:hAnsi="Calibri" w:cs="OpenSans-Bold"/>
                          <w:b/>
                          <w:bCs/>
                          <w:color w:val="62777F"/>
                          <w:sz w:val="56"/>
                          <w:szCs w:val="56"/>
                        </w:rPr>
                        <w:t xml:space="preserve">Closed Market Design Projects </w:t>
                      </w:r>
                    </w:p>
                    <w:p w:rsidR="00813A75" w:rsidRDefault="00813A75" w:rsidP="00523C7A">
                      <w:pPr>
                        <w:pStyle w:val="body"/>
                        <w:spacing w:before="0" w:after="240" w:line="192" w:lineRule="auto"/>
                        <w:ind w:left="90"/>
                        <w:rPr>
                          <w:rFonts w:ascii="Calibri" w:hAnsi="Calibri" w:cs="OpenSans-Bold"/>
                          <w:b/>
                          <w:bCs/>
                          <w:caps/>
                          <w:color w:val="62777F"/>
                          <w:sz w:val="24"/>
                          <w:szCs w:val="24"/>
                        </w:rPr>
                      </w:pPr>
                      <w:r>
                        <w:rPr>
                          <w:rFonts w:ascii="Calibri" w:hAnsi="Calibri" w:cs="OpenSans-Bold"/>
                          <w:b/>
                          <w:bCs/>
                          <w:color w:val="62777F"/>
                          <w:spacing w:val="-2"/>
                          <w:sz w:val="32"/>
                          <w:szCs w:val="32"/>
                        </w:rPr>
                        <w:t>© ISO New England Inc.</w:t>
                      </w:r>
                    </w:p>
                    <w:p w:rsidR="00813A75" w:rsidRPr="00716539" w:rsidRDefault="00813A75" w:rsidP="00523C7A">
                      <w:pPr>
                        <w:pStyle w:val="body"/>
                        <w:spacing w:before="0" w:after="240" w:line="192" w:lineRule="auto"/>
                        <w:ind w:left="90"/>
                        <w:rPr>
                          <w:color w:val="62777F"/>
                        </w:rPr>
                      </w:pPr>
                      <w:r>
                        <w:rPr>
                          <w:rFonts w:ascii="Calibri" w:hAnsi="Calibri" w:cs="OpenSans-Bold"/>
                          <w:b/>
                          <w:bCs/>
                          <w:caps/>
                          <w:color w:val="62777F"/>
                          <w:sz w:val="24"/>
                          <w:szCs w:val="24"/>
                        </w:rPr>
                        <w:t>June 2018</w:t>
                      </w:r>
                    </w:p>
                  </w:txbxContent>
                </v:textbox>
              </v:shape>
            </w:pict>
          </mc:Fallback>
        </mc:AlternateContent>
      </w:r>
      <w:r>
        <w:rPr>
          <w:rFonts w:ascii="Calibri" w:hAnsi="Calibri" w:cs="OpenSans-Bold"/>
          <w:b/>
          <w:bCs/>
          <w:noProof/>
          <w:color w:val="3D484C"/>
          <w:sz w:val="80"/>
          <w:szCs w:val="80"/>
        </w:rPr>
        <mc:AlternateContent>
          <mc:Choice Requires="wps">
            <w:drawing>
              <wp:anchor distT="0" distB="0" distL="114300" distR="114300" simplePos="0" relativeHeight="251662336" behindDoc="0" locked="0" layoutInCell="1" allowOverlap="1" wp14:anchorId="626AE9E7" wp14:editId="3A9C30EA">
                <wp:simplePos x="0" y="0"/>
                <wp:positionH relativeFrom="column">
                  <wp:posOffset>-753745</wp:posOffset>
                </wp:positionH>
                <wp:positionV relativeFrom="paragraph">
                  <wp:posOffset>6433185</wp:posOffset>
                </wp:positionV>
                <wp:extent cx="73152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13A75" w:rsidRPr="00716539" w:rsidRDefault="00813A75" w:rsidP="003055AD">
                            <w:pPr>
                              <w:widowControl w:val="0"/>
                              <w:suppressAutoHyphens/>
                              <w:autoSpaceDE w:val="0"/>
                              <w:autoSpaceDN w:val="0"/>
                              <w:adjustRightInd w:val="0"/>
                              <w:jc w:val="center"/>
                              <w:textAlignment w:val="center"/>
                              <w:rPr>
                                <w:rFonts w:ascii="Calibri" w:hAnsi="Calibri" w:cs="OpenSans-Bold"/>
                                <w:b/>
                                <w:bCs/>
                                <w:caps/>
                                <w:color w:val="62777F"/>
                                <w:sz w:val="14"/>
                                <w:szCs w:val="14"/>
                              </w:rPr>
                            </w:pPr>
                            <w:r w:rsidRPr="00716539">
                              <w:rPr>
                                <w:rFonts w:ascii="Calibri" w:hAnsi="Calibri" w:cs="OpenSans-Bold"/>
                                <w:b/>
                                <w:bCs/>
                                <w:caps/>
                                <w:color w:val="62777F"/>
                                <w:sz w:val="14"/>
                                <w:szCs w:val="14"/>
                              </w:rPr>
                              <w:t xml:space="preserve">ISO-NE </w:t>
                            </w:r>
                            <w:r>
                              <w:rPr>
                                <w:rFonts w:ascii="Calibri" w:hAnsi="Calibri" w:cs="OpenSans-Bold"/>
                                <w:b/>
                                <w:bCs/>
                                <w:caps/>
                                <w:color w:val="62777F"/>
                                <w:sz w:val="14"/>
                                <w:szCs w:val="14"/>
                              </w:rPr>
                              <w:t>PUBLIC</w:t>
                            </w:r>
                          </w:p>
                          <w:p w:rsidR="00813A75" w:rsidRPr="004759C4" w:rsidRDefault="00813A75" w:rsidP="003055AD">
                            <w:pPr>
                              <w:rPr>
                                <w:rFonts w:ascii="Calibri" w:hAnsi="Calibri"/>
                                <w:color w:val="787B7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6AE9E7" id="_x0000_s1027" type="#_x0000_t202" style="position:absolute;margin-left:-59.35pt;margin-top:506.55pt;width:8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" filled="f" stroked="f">
                <v:path arrowok="t"/>
                <v:textbox>
                  <w:txbxContent>
                    <w:p w:rsidR="00813A75" w:rsidRPr="00716539" w:rsidRDefault="00813A75" w:rsidP="003055AD">
                      <w:pPr>
                        <w:widowControl w:val="0"/>
                        <w:suppressAutoHyphens/>
                        <w:autoSpaceDE w:val="0"/>
                        <w:autoSpaceDN w:val="0"/>
                        <w:adjustRightInd w:val="0"/>
                        <w:jc w:val="center"/>
                        <w:textAlignment w:val="center"/>
                        <w:rPr>
                          <w:rFonts w:ascii="Calibri" w:hAnsi="Calibri" w:cs="OpenSans-Bold"/>
                          <w:b/>
                          <w:bCs/>
                          <w:caps/>
                          <w:color w:val="62777F"/>
                          <w:sz w:val="14"/>
                          <w:szCs w:val="14"/>
                        </w:rPr>
                      </w:pPr>
                      <w:r w:rsidRPr="00716539">
                        <w:rPr>
                          <w:rFonts w:ascii="Calibri" w:hAnsi="Calibri" w:cs="OpenSans-Bold"/>
                          <w:b/>
                          <w:bCs/>
                          <w:caps/>
                          <w:color w:val="62777F"/>
                          <w:sz w:val="14"/>
                          <w:szCs w:val="14"/>
                        </w:rPr>
                        <w:t xml:space="preserve">ISO-NE </w:t>
                      </w:r>
                      <w:r>
                        <w:rPr>
                          <w:rFonts w:ascii="Calibri" w:hAnsi="Calibri" w:cs="OpenSans-Bold"/>
                          <w:b/>
                          <w:bCs/>
                          <w:caps/>
                          <w:color w:val="62777F"/>
                          <w:sz w:val="14"/>
                          <w:szCs w:val="14"/>
                        </w:rPr>
                        <w:t>PUBLIC</w:t>
                      </w:r>
                    </w:p>
                    <w:p w:rsidR="00813A75" w:rsidRPr="004759C4" w:rsidRDefault="00813A75" w:rsidP="003055AD">
                      <w:pPr>
                        <w:rPr>
                          <w:rFonts w:ascii="Calibri" w:hAnsi="Calibri"/>
                          <w:color w:val="787B7F"/>
                          <w:sz w:val="14"/>
                          <w:szCs w:val="14"/>
                        </w:rPr>
                      </w:pPr>
                    </w:p>
                  </w:txbxContent>
                </v:textbox>
                <w10:wrap type="square"/>
              </v:shape>
            </w:pict>
          </mc:Fallback>
        </mc:AlternateContent>
      </w:r>
      <w:r w:rsidR="003055AD">
        <w:rPr>
          <w:rFonts w:ascii="Calibri" w:hAnsi="Calibri" w:cs="OpenSans-Bold"/>
          <w:b/>
          <w:bCs/>
          <w:noProof/>
          <w:color w:val="3D484C"/>
          <w:sz w:val="80"/>
          <w:szCs w:val="80"/>
        </w:rPr>
        <w:drawing>
          <wp:anchor distT="0" distB="0" distL="114300" distR="114300" simplePos="0" relativeHeight="251659263" behindDoc="1" locked="0" layoutInCell="1" allowOverlap="1" wp14:anchorId="150D4D5D" wp14:editId="3A5D9FC8">
            <wp:simplePos x="0" y="0"/>
            <wp:positionH relativeFrom="page">
              <wp:posOffset>0</wp:posOffset>
            </wp:positionH>
            <wp:positionV relativeFrom="page">
              <wp:posOffset>0</wp:posOffset>
            </wp:positionV>
            <wp:extent cx="7772400" cy="100584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hindle:Dropbox (TAF):CURRENT CLIENTS (2):  ISO_ISO New England: OPEN:ISO049 2015 Templates:Cover Backgrounds:ISO049-report-covers-d2.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523C7A" w:rsidRPr="002E364A" w:rsidRDefault="00523C7A" w:rsidP="002E364A">
      <w:pPr>
        <w:pStyle w:val="Heading1"/>
        <w:rPr>
          <w:szCs w:val="36"/>
        </w:rPr>
      </w:pPr>
      <w:bookmarkStart w:id="0" w:name="_Toc314732124"/>
      <w:bookmarkStart w:id="1" w:name="_Toc326051517"/>
      <w:bookmarkStart w:id="2" w:name="_Toc453760796"/>
      <w:bookmarkStart w:id="3" w:name="_Toc418682038"/>
      <w:r w:rsidRPr="002E364A">
        <w:rPr>
          <w:szCs w:val="36"/>
        </w:rPr>
        <w:lastRenderedPageBreak/>
        <w:t>Preface</w:t>
      </w:r>
      <w:bookmarkEnd w:id="0"/>
      <w:bookmarkEnd w:id="1"/>
      <w:bookmarkEnd w:id="2"/>
    </w:p>
    <w:p w:rsidR="00523C7A" w:rsidRPr="002E364A" w:rsidRDefault="00523C7A" w:rsidP="00523C7A">
      <w:pPr>
        <w:autoSpaceDE w:val="0"/>
        <w:autoSpaceDN w:val="0"/>
        <w:adjustRightInd w:val="0"/>
        <w:rPr>
          <w:rFonts w:eastAsia="Calibri" w:cs="Times New Roman"/>
        </w:rPr>
      </w:pPr>
      <w:r w:rsidRPr="002E364A">
        <w:rPr>
          <w:rFonts w:eastAsia="Calibri" w:cs="Times New Roman"/>
        </w:rPr>
        <w:t xml:space="preserve">ISO New England publishes the </w:t>
      </w:r>
      <w:r w:rsidRPr="002E364A">
        <w:rPr>
          <w:rFonts w:eastAsia="Calibri" w:cs="Times New Roman"/>
          <w:i/>
        </w:rPr>
        <w:t xml:space="preserve">Wholesale Markets Project Plan </w:t>
      </w:r>
      <w:r w:rsidRPr="002E364A">
        <w:rPr>
          <w:rFonts w:eastAsia="Calibri" w:cs="Times New Roman"/>
        </w:rPr>
        <w:t>(WMPP) on a biannual basis to communicate changes and advancements on the scope and status of key market initiatives and to identify new efforts to ensure an efficient and reliable electricity system in New England. The WMPP is available on ISO New England’s website (</w:t>
      </w:r>
      <w:hyperlink r:id="rId15" w:history="1">
        <w:r w:rsidRPr="002E364A">
          <w:rPr>
            <w:rFonts w:eastAsia="Calibri" w:cs="Times New Roman"/>
            <w:color w:val="0000FF"/>
            <w:u w:val="single"/>
          </w:rPr>
          <w:t>http://www.iso-ne.com</w:t>
        </w:r>
      </w:hyperlink>
      <w:r w:rsidRPr="002E364A">
        <w:rPr>
          <w:rFonts w:eastAsia="Calibri" w:cs="Times New Roman"/>
        </w:rPr>
        <w:t xml:space="preserve">). This document, the </w:t>
      </w:r>
      <w:r w:rsidRPr="002E364A">
        <w:rPr>
          <w:rFonts w:eastAsia="Calibri" w:cs="Times New Roman"/>
          <w:i/>
        </w:rPr>
        <w:t>Wholesale Markets Project Plan: Closed Market Design Projects</w:t>
      </w:r>
      <w:r w:rsidRPr="002E364A">
        <w:rPr>
          <w:rFonts w:eastAsia="Calibri" w:cs="Times New Roman"/>
        </w:rPr>
        <w:t xml:space="preserve">, includes information on closed WMPP projects. </w:t>
      </w:r>
    </w:p>
    <w:p w:rsidR="00523C7A" w:rsidRPr="00523C7A" w:rsidRDefault="00523C7A" w:rsidP="00523C7A">
      <w:pPr>
        <w:rPr>
          <w:rFonts w:ascii="Calibri" w:eastAsia="Calibri" w:hAnsi="Calibri" w:cs="Times New Roman"/>
          <w:b/>
          <w:bCs/>
          <w:color w:val="11479D"/>
          <w:sz w:val="32"/>
          <w:szCs w:val="28"/>
        </w:rPr>
        <w:sectPr w:rsidR="00523C7A" w:rsidRPr="00523C7A" w:rsidSect="00523C7A">
          <w:footerReference w:type="default" r:id="rId16"/>
          <w:endnotePr>
            <w:numFmt w:val="decimal"/>
          </w:endnotePr>
          <w:pgSz w:w="12240" w:h="15840"/>
          <w:pgMar w:top="1350" w:right="1440" w:bottom="1170" w:left="1440" w:header="720" w:footer="449" w:gutter="0"/>
          <w:pgNumType w:fmt="lowerRoman" w:start="1"/>
          <w:cols w:space="720"/>
          <w:titlePg/>
          <w:docGrid w:linePitch="360"/>
        </w:sectPr>
      </w:pPr>
    </w:p>
    <w:p w:rsidR="00523C7A" w:rsidRPr="002E364A" w:rsidRDefault="00523C7A" w:rsidP="002E364A">
      <w:pPr>
        <w:pStyle w:val="Heading1"/>
        <w:rPr>
          <w:szCs w:val="36"/>
        </w:rPr>
      </w:pPr>
      <w:r w:rsidRPr="002E364A">
        <w:rPr>
          <w:szCs w:val="36"/>
        </w:rPr>
        <w:lastRenderedPageBreak/>
        <w:t>Contents</w:t>
      </w:r>
    </w:p>
    <w:p w:rsidR="00523C7A" w:rsidRPr="002E364A" w:rsidRDefault="00523C7A">
      <w:pPr>
        <w:pStyle w:val="TOC1"/>
        <w:rPr>
          <w:rFonts w:eastAsiaTheme="minorEastAsia" w:cstheme="minorBidi"/>
          <w:b w:val="0"/>
          <w:bCs w:val="0"/>
          <w:color w:val="auto"/>
          <w:sz w:val="22"/>
          <w:szCs w:val="22"/>
        </w:rPr>
      </w:pPr>
      <w:r w:rsidRPr="002E364A">
        <w:rPr>
          <w:rFonts w:ascii="Calibri" w:eastAsia="Times New Roman" w:hAnsi="Calibri"/>
          <w:color w:val="11479D"/>
          <w:sz w:val="22"/>
          <w:szCs w:val="22"/>
        </w:rPr>
        <w:fldChar w:fldCharType="begin"/>
      </w:r>
      <w:r w:rsidRPr="002E364A">
        <w:rPr>
          <w:rFonts w:ascii="Calibri" w:eastAsia="Times New Roman" w:hAnsi="Calibri"/>
          <w:color w:val="11479D"/>
          <w:sz w:val="22"/>
          <w:szCs w:val="22"/>
        </w:rPr>
        <w:instrText xml:space="preserve"> TOC \o "1-2" \h \z \u </w:instrText>
      </w:r>
      <w:r w:rsidRPr="002E364A">
        <w:rPr>
          <w:rFonts w:ascii="Calibri" w:eastAsia="Times New Roman" w:hAnsi="Calibri"/>
          <w:color w:val="11479D"/>
          <w:sz w:val="22"/>
          <w:szCs w:val="22"/>
        </w:rPr>
        <w:fldChar w:fldCharType="separate"/>
      </w:r>
      <w:hyperlink w:anchor="_Toc453760796" w:history="1">
        <w:r w:rsidRPr="002E364A">
          <w:rPr>
            <w:rStyle w:val="Hyperlink"/>
            <w:rFonts w:ascii="Calibri" w:eastAsia="Times New Roman" w:hAnsi="Calibri"/>
            <w:sz w:val="22"/>
            <w:szCs w:val="22"/>
          </w:rPr>
          <w:t>Preface</w:t>
        </w:r>
        <w:r w:rsidRPr="002E364A">
          <w:rPr>
            <w:webHidden/>
            <w:sz w:val="22"/>
            <w:szCs w:val="22"/>
          </w:rPr>
          <w:tab/>
        </w:r>
        <w:r w:rsidRPr="002E364A">
          <w:rPr>
            <w:webHidden/>
            <w:sz w:val="22"/>
            <w:szCs w:val="22"/>
          </w:rPr>
          <w:fldChar w:fldCharType="begin"/>
        </w:r>
        <w:r w:rsidRPr="002E364A">
          <w:rPr>
            <w:webHidden/>
            <w:sz w:val="22"/>
            <w:szCs w:val="22"/>
          </w:rPr>
          <w:instrText xml:space="preserve"> PAGEREF _Toc453760796 \h </w:instrText>
        </w:r>
        <w:r w:rsidRPr="002E364A">
          <w:rPr>
            <w:webHidden/>
            <w:sz w:val="22"/>
            <w:szCs w:val="22"/>
          </w:rPr>
        </w:r>
        <w:r w:rsidRPr="002E364A">
          <w:rPr>
            <w:webHidden/>
            <w:sz w:val="22"/>
            <w:szCs w:val="22"/>
          </w:rPr>
          <w:fldChar w:fldCharType="separate"/>
        </w:r>
        <w:r w:rsidR="00910E6C">
          <w:rPr>
            <w:webHidden/>
            <w:sz w:val="22"/>
            <w:szCs w:val="22"/>
          </w:rPr>
          <w:t>i</w:t>
        </w:r>
        <w:r w:rsidRPr="002E364A">
          <w:rPr>
            <w:webHidden/>
            <w:sz w:val="22"/>
            <w:szCs w:val="22"/>
          </w:rPr>
          <w:fldChar w:fldCharType="end"/>
        </w:r>
      </w:hyperlink>
    </w:p>
    <w:p w:rsidR="00523C7A" w:rsidRPr="002E364A" w:rsidRDefault="009663C1">
      <w:pPr>
        <w:pStyle w:val="TOC1"/>
        <w:rPr>
          <w:rFonts w:eastAsiaTheme="minorEastAsia" w:cstheme="minorBidi"/>
          <w:b w:val="0"/>
          <w:bCs w:val="0"/>
          <w:color w:val="auto"/>
          <w:sz w:val="22"/>
          <w:szCs w:val="22"/>
        </w:rPr>
      </w:pPr>
      <w:hyperlink w:anchor="_Toc453760797" w:history="1">
        <w:r w:rsidR="00523C7A" w:rsidRPr="002E364A">
          <w:rPr>
            <w:rStyle w:val="Hyperlink"/>
            <w:rFonts w:ascii="Calibri" w:eastAsia="Times New Roman" w:hAnsi="Calibri"/>
            <w:sz w:val="22"/>
            <w:szCs w:val="22"/>
          </w:rPr>
          <w:t>Closed Market Design Projects</w:t>
        </w:r>
        <w:r w:rsidR="00523C7A" w:rsidRPr="002E364A">
          <w:rPr>
            <w:webHidden/>
            <w:sz w:val="22"/>
            <w:szCs w:val="22"/>
          </w:rPr>
          <w:tab/>
        </w:r>
        <w:r w:rsidR="00523C7A" w:rsidRPr="002E364A">
          <w:rPr>
            <w:webHidden/>
            <w:sz w:val="22"/>
            <w:szCs w:val="22"/>
          </w:rPr>
          <w:fldChar w:fldCharType="begin"/>
        </w:r>
        <w:r w:rsidR="00523C7A" w:rsidRPr="002E364A">
          <w:rPr>
            <w:webHidden/>
            <w:sz w:val="22"/>
            <w:szCs w:val="22"/>
          </w:rPr>
          <w:instrText xml:space="preserve"> PAGEREF _Toc453760797 \h </w:instrText>
        </w:r>
        <w:r w:rsidR="00523C7A" w:rsidRPr="002E364A">
          <w:rPr>
            <w:webHidden/>
            <w:sz w:val="22"/>
            <w:szCs w:val="22"/>
          </w:rPr>
        </w:r>
        <w:r w:rsidR="00523C7A" w:rsidRPr="002E364A">
          <w:rPr>
            <w:webHidden/>
            <w:sz w:val="22"/>
            <w:szCs w:val="22"/>
          </w:rPr>
          <w:fldChar w:fldCharType="separate"/>
        </w:r>
        <w:r w:rsidR="00910E6C">
          <w:rPr>
            <w:webHidden/>
            <w:sz w:val="22"/>
            <w:szCs w:val="22"/>
          </w:rPr>
          <w:t>iii</w:t>
        </w:r>
        <w:r w:rsidR="00523C7A" w:rsidRPr="002E364A">
          <w:rPr>
            <w:webHidden/>
            <w:sz w:val="22"/>
            <w:szCs w:val="22"/>
          </w:rPr>
          <w:fldChar w:fldCharType="end"/>
        </w:r>
      </w:hyperlink>
    </w:p>
    <w:p w:rsidR="00523C7A" w:rsidRPr="00523C7A" w:rsidRDefault="00523C7A" w:rsidP="00523C7A">
      <w:pPr>
        <w:tabs>
          <w:tab w:val="right" w:leader="dot" w:pos="9350"/>
        </w:tabs>
        <w:rPr>
          <w:rFonts w:ascii="Calibri" w:eastAsia="Times New Roman" w:hAnsi="Calibri" w:cs="Times New Roman"/>
          <w:b/>
          <w:bCs/>
          <w:noProof/>
          <w:color w:val="11479D"/>
        </w:rPr>
        <w:sectPr w:rsidR="00523C7A" w:rsidRPr="00523C7A" w:rsidSect="00121D2A">
          <w:footerReference w:type="first" r:id="rId17"/>
          <w:endnotePr>
            <w:numFmt w:val="decimal"/>
          </w:endnotePr>
          <w:pgSz w:w="12240" w:h="15840"/>
          <w:pgMar w:top="1440" w:right="1440" w:bottom="1260" w:left="1440" w:header="720" w:footer="649" w:gutter="0"/>
          <w:pgNumType w:fmt="lowerRoman"/>
          <w:cols w:space="720"/>
          <w:titlePg/>
          <w:docGrid w:linePitch="360"/>
        </w:sectPr>
      </w:pPr>
      <w:r w:rsidRPr="002E364A">
        <w:rPr>
          <w:rFonts w:ascii="Calibri" w:eastAsia="Times New Roman" w:hAnsi="Calibri" w:cs="Times New Roman"/>
          <w:b/>
          <w:bCs/>
          <w:noProof/>
          <w:color w:val="11479D"/>
        </w:rPr>
        <w:fldChar w:fldCharType="end"/>
      </w:r>
    </w:p>
    <w:p w:rsidR="00523C7A" w:rsidRPr="002E364A" w:rsidRDefault="00523C7A" w:rsidP="002E364A">
      <w:pPr>
        <w:pStyle w:val="Heading1"/>
        <w:rPr>
          <w:szCs w:val="36"/>
        </w:rPr>
      </w:pPr>
      <w:bookmarkStart w:id="4" w:name="_Toc453760797"/>
      <w:r w:rsidRPr="002E364A">
        <w:rPr>
          <w:szCs w:val="36"/>
        </w:rPr>
        <w:lastRenderedPageBreak/>
        <w:t>Closed Market Design Projects</w:t>
      </w:r>
      <w:bookmarkEnd w:id="4"/>
    </w:p>
    <w:p w:rsidR="00523C7A" w:rsidRPr="002E364A" w:rsidRDefault="00523C7A" w:rsidP="00523C7A">
      <w:pPr>
        <w:rPr>
          <w:rFonts w:eastAsia="Calibri" w:cs="Times New Roman"/>
        </w:rPr>
      </w:pPr>
      <w:r w:rsidRPr="002E364A">
        <w:rPr>
          <w:rFonts w:eastAsia="Calibri" w:cs="Times New Roman"/>
        </w:rPr>
        <w:t>The ISO has closed the following projects, either by modifying the market design and tariff or by determining that no further action is required</w:t>
      </w:r>
      <w:r w:rsidR="00681DBF">
        <w:rPr>
          <w:rFonts w:eastAsia="Calibri" w:cs="Times New Roman"/>
        </w:rPr>
        <w:t xml:space="preserve"> at this time</w:t>
      </w:r>
      <w:r w:rsidRPr="002E364A">
        <w:rPr>
          <w:rFonts w:eastAsia="Calibri" w:cs="Times New Roman"/>
        </w:rPr>
        <w:t>. Market design projects are moved to this document when the effective date has passed and the projects have been implemented. Market design projects that did not result in</w:t>
      </w:r>
      <w:r w:rsidR="00681DBF">
        <w:rPr>
          <w:rFonts w:eastAsia="Calibri" w:cs="Times New Roman"/>
        </w:rPr>
        <w:t xml:space="preserve"> near-term design</w:t>
      </w:r>
      <w:r w:rsidRPr="002E364A">
        <w:rPr>
          <w:rFonts w:eastAsia="Calibri" w:cs="Times New Roman"/>
        </w:rPr>
        <w:t xml:space="preserve"> changes are also shown in this section. The ISO maintains a historical repository of Federal Energy Regulatory Commission (FERC) by month and year located at </w:t>
      </w:r>
      <w:hyperlink w:history="1"/>
      <w:hyperlink r:id="rId18" w:history="1">
        <w:r w:rsidRPr="002E364A">
          <w:rPr>
            <w:rFonts w:eastAsia="Calibri" w:cs="Times New Roman"/>
            <w:color w:val="0000FF"/>
            <w:u w:val="single"/>
          </w:rPr>
          <w:t>http://www.iso-ne.com/participate/filings-orders</w:t>
        </w:r>
      </w:hyperlink>
      <w:r w:rsidRPr="002E364A">
        <w:rPr>
          <w:rFonts w:eastAsia="Calibri" w:cs="Times New Roman"/>
        </w:rPr>
        <w:t xml:space="preserve">. </w:t>
      </w:r>
    </w:p>
    <w:p w:rsidR="00523C7A" w:rsidRPr="00523C7A" w:rsidRDefault="00523C7A" w:rsidP="00523C7A">
      <w:pPr>
        <w:keepNext/>
        <w:spacing w:before="240" w:after="120" w:line="240" w:lineRule="auto"/>
        <w:jc w:val="center"/>
        <w:rPr>
          <w:rFonts w:ascii="Calibri" w:eastAsia="Calibri" w:hAnsi="Calibri" w:cs="Times New Roman"/>
          <w:b/>
          <w:bCs/>
          <w:sz w:val="16"/>
          <w:szCs w:val="18"/>
        </w:rPr>
      </w:pPr>
      <w:bookmarkStart w:id="5" w:name="_Toc315163146"/>
      <w:r w:rsidRPr="00523C7A">
        <w:rPr>
          <w:rFonts w:ascii="Calibri" w:eastAsia="Calibri" w:hAnsi="Calibri" w:cs="Times New Roman"/>
          <w:b/>
          <w:bCs/>
          <w:sz w:val="20"/>
          <w:szCs w:val="18"/>
        </w:rPr>
        <w:t xml:space="preserve">Summary of Completed Market Design </w:t>
      </w:r>
      <w:bookmarkEnd w:id="5"/>
      <w:r w:rsidR="00BF5698" w:rsidRPr="00523C7A">
        <w:rPr>
          <w:rFonts w:ascii="Calibri" w:eastAsia="Calibri" w:hAnsi="Calibri" w:cs="Times New Roman"/>
          <w:b/>
          <w:bCs/>
          <w:sz w:val="20"/>
          <w:szCs w:val="18"/>
        </w:rPr>
        <w:t xml:space="preserve">Projects </w:t>
      </w:r>
      <w:r w:rsidRPr="00523C7A">
        <w:rPr>
          <w:rFonts w:ascii="Calibri" w:eastAsia="Calibri" w:hAnsi="Calibri" w:cs="Times New Roman"/>
          <w:b/>
          <w:bCs/>
          <w:sz w:val="20"/>
          <w:szCs w:val="18"/>
        </w:rPr>
        <w:br/>
      </w:r>
      <w:r w:rsidRPr="00523C7A">
        <w:rPr>
          <w:rFonts w:ascii="Calibri" w:eastAsia="Calibri" w:hAnsi="Calibri" w:cs="Times New Roman"/>
          <w:b/>
          <w:bCs/>
          <w:sz w:val="16"/>
          <w:szCs w:val="18"/>
        </w:rPr>
        <w:t>(Listed by Estimated Earliest Effective Date)</w:t>
      </w:r>
    </w:p>
    <w:tbl>
      <w:tblPr>
        <w:tblStyle w:val="WMPPTable"/>
        <w:tblW w:w="5004" w:type="pct"/>
        <w:jc w:val="center"/>
        <w:tblLayout w:type="fixed"/>
        <w:tblCellMar>
          <w:top w:w="0" w:type="dxa"/>
          <w:bottom w:w="0" w:type="dxa"/>
        </w:tblCellMar>
        <w:tblLook w:val="0000" w:firstRow="0" w:lastRow="0" w:firstColumn="0" w:lastColumn="0" w:noHBand="0" w:noVBand="0"/>
      </w:tblPr>
      <w:tblGrid>
        <w:gridCol w:w="9"/>
        <w:gridCol w:w="984"/>
        <w:gridCol w:w="3492"/>
        <w:gridCol w:w="1835"/>
        <w:gridCol w:w="1968"/>
        <w:gridCol w:w="1300"/>
        <w:gridCol w:w="10"/>
      </w:tblGrid>
      <w:tr w:rsidR="00523C7A" w:rsidRPr="00523C7A" w:rsidTr="00121D2A">
        <w:trPr>
          <w:cnfStyle w:val="000000010000" w:firstRow="0" w:lastRow="0" w:firstColumn="0" w:lastColumn="0" w:oddVBand="0" w:evenVBand="0" w:oddHBand="0" w:evenHBand="1" w:firstRowFirstColumn="0" w:firstRowLastColumn="0" w:lastRowFirstColumn="0" w:lastRowLastColumn="0"/>
          <w:tblHeader/>
          <w:jc w:val="center"/>
        </w:trPr>
        <w:tc>
          <w:tcPr>
            <w:tcW w:w="517" w:type="pct"/>
            <w:gridSpan w:val="2"/>
            <w:shd w:val="clear" w:color="auto" w:fill="A6A6A6" w:themeFill="background1" w:themeFillShade="A6"/>
            <w:vAlign w:val="center"/>
          </w:tcPr>
          <w:p w:rsidR="00523C7A" w:rsidRPr="00523C7A" w:rsidRDefault="00523C7A" w:rsidP="00523C7A">
            <w:pPr>
              <w:spacing w:before="60" w:after="60" w:line="240" w:lineRule="auto"/>
              <w:jc w:val="center"/>
              <w:rPr>
                <w:rFonts w:ascii="Calibri" w:hAnsi="Calibri" w:cs="Arial"/>
                <w:b/>
                <w:bCs/>
                <w:color w:val="000000"/>
                <w:sz w:val="18"/>
                <w:szCs w:val="18"/>
              </w:rPr>
            </w:pPr>
            <w:r w:rsidRPr="00523C7A">
              <w:rPr>
                <w:rFonts w:ascii="Calibri" w:hAnsi="Calibri" w:cs="Arial"/>
                <w:b/>
                <w:bCs/>
                <w:color w:val="000000"/>
                <w:sz w:val="18"/>
                <w:szCs w:val="18"/>
              </w:rPr>
              <w:t>Project ID</w:t>
            </w:r>
          </w:p>
        </w:tc>
        <w:tc>
          <w:tcPr>
            <w:tcW w:w="1819" w:type="pct"/>
            <w:shd w:val="clear" w:color="auto" w:fill="A6A6A6" w:themeFill="background1" w:themeFillShade="A6"/>
            <w:vAlign w:val="center"/>
          </w:tcPr>
          <w:p w:rsidR="00523C7A" w:rsidRPr="00523C7A" w:rsidRDefault="00523C7A" w:rsidP="00523C7A">
            <w:pPr>
              <w:spacing w:before="60" w:after="60" w:line="240" w:lineRule="auto"/>
              <w:jc w:val="center"/>
              <w:rPr>
                <w:rFonts w:ascii="Calibri" w:hAnsi="Calibri" w:cs="Arial"/>
                <w:b/>
                <w:bCs/>
                <w:color w:val="000000"/>
                <w:sz w:val="18"/>
              </w:rPr>
            </w:pPr>
            <w:r w:rsidRPr="00523C7A">
              <w:rPr>
                <w:rFonts w:ascii="Calibri" w:hAnsi="Calibri" w:cs="Arial"/>
                <w:b/>
                <w:bCs/>
                <w:color w:val="000000"/>
                <w:sz w:val="18"/>
                <w:szCs w:val="18"/>
              </w:rPr>
              <w:t>Market Design Project</w:t>
            </w:r>
          </w:p>
        </w:tc>
        <w:tc>
          <w:tcPr>
            <w:tcW w:w="956" w:type="pct"/>
            <w:shd w:val="clear" w:color="auto" w:fill="A6A6A6" w:themeFill="background1" w:themeFillShade="A6"/>
            <w:vAlign w:val="center"/>
          </w:tcPr>
          <w:p w:rsidR="00523C7A" w:rsidRPr="00523C7A" w:rsidRDefault="00523C7A" w:rsidP="00523C7A">
            <w:pPr>
              <w:spacing w:before="60" w:after="60" w:line="240" w:lineRule="auto"/>
              <w:jc w:val="center"/>
              <w:rPr>
                <w:rFonts w:ascii="Calibri" w:eastAsia="Calibri" w:hAnsi="Calibri" w:cs="Arial"/>
                <w:b/>
                <w:bCs/>
                <w:color w:val="000000"/>
                <w:sz w:val="18"/>
              </w:rPr>
            </w:pPr>
            <w:r w:rsidRPr="00523C7A">
              <w:rPr>
                <w:rFonts w:ascii="Calibri" w:eastAsia="Calibri" w:hAnsi="Calibri" w:cs="Arial"/>
                <w:b/>
                <w:bCs/>
                <w:color w:val="000000"/>
                <w:sz w:val="18"/>
              </w:rPr>
              <w:t>Estimated Earliest Effective Date</w:t>
            </w:r>
          </w:p>
        </w:tc>
        <w:tc>
          <w:tcPr>
            <w:tcW w:w="1025" w:type="pct"/>
            <w:shd w:val="clear" w:color="auto" w:fill="A6A6A6" w:themeFill="background1" w:themeFillShade="A6"/>
            <w:vAlign w:val="center"/>
          </w:tcPr>
          <w:p w:rsidR="00523C7A" w:rsidRPr="00523C7A" w:rsidRDefault="00523C7A" w:rsidP="00523C7A">
            <w:pPr>
              <w:spacing w:before="60" w:after="60" w:line="240" w:lineRule="auto"/>
              <w:jc w:val="center"/>
              <w:rPr>
                <w:rFonts w:ascii="Calibri" w:eastAsia="Calibri" w:hAnsi="Calibri" w:cs="Arial"/>
                <w:b/>
                <w:bCs/>
                <w:color w:val="000000"/>
                <w:sz w:val="18"/>
              </w:rPr>
            </w:pPr>
            <w:r w:rsidRPr="00523C7A">
              <w:rPr>
                <w:rFonts w:ascii="Calibri" w:eastAsia="Calibri" w:hAnsi="Calibri" w:cs="Arial"/>
                <w:b/>
                <w:bCs/>
                <w:color w:val="000000"/>
                <w:sz w:val="18"/>
              </w:rPr>
              <w:t xml:space="preserve">Docket No. </w:t>
            </w:r>
            <w:r w:rsidRPr="00523C7A">
              <w:rPr>
                <w:rFonts w:ascii="Calibri" w:eastAsia="Calibri" w:hAnsi="Calibri" w:cs="Arial"/>
                <w:b/>
                <w:bCs/>
                <w:color w:val="000000"/>
                <w:sz w:val="18"/>
              </w:rPr>
              <w:br/>
              <w:t>(Filing Date)</w:t>
            </w:r>
          </w:p>
        </w:tc>
        <w:tc>
          <w:tcPr>
            <w:tcW w:w="682" w:type="pct"/>
            <w:gridSpan w:val="2"/>
            <w:shd w:val="clear" w:color="auto" w:fill="A6A6A6" w:themeFill="background1" w:themeFillShade="A6"/>
            <w:vAlign w:val="center"/>
          </w:tcPr>
          <w:p w:rsidR="00523C7A" w:rsidRPr="00523C7A" w:rsidRDefault="00523C7A" w:rsidP="00523C7A">
            <w:pPr>
              <w:spacing w:before="60" w:after="60" w:line="240" w:lineRule="auto"/>
              <w:jc w:val="center"/>
              <w:rPr>
                <w:rFonts w:ascii="Calibri" w:eastAsia="Calibri" w:hAnsi="Calibri" w:cs="Arial"/>
                <w:b/>
                <w:bCs/>
                <w:color w:val="000000"/>
                <w:sz w:val="18"/>
              </w:rPr>
            </w:pPr>
            <w:r w:rsidRPr="00523C7A">
              <w:rPr>
                <w:rFonts w:ascii="Calibri" w:eastAsia="Calibri" w:hAnsi="Calibri" w:cs="Arial"/>
                <w:b/>
                <w:bCs/>
                <w:color w:val="000000"/>
                <w:sz w:val="18"/>
              </w:rPr>
              <w:t>Design Status</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Financial Transmission Right Auction Enhancements</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January 2012</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ER11-3568-000</w:t>
            </w:r>
            <w:r w:rsidRPr="00523C7A">
              <w:rPr>
                <w:rFonts w:ascii="Calibri" w:eastAsia="Calibri" w:hAnsi="Calibri"/>
                <w:bCs/>
                <w:color w:val="000000"/>
                <w:sz w:val="18"/>
                <w:szCs w:val="18"/>
              </w:rPr>
              <w:br/>
              <w:t>(May 13, 2011)</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Reopen Regulation Market Pilot</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February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ER12-505-000</w:t>
            </w:r>
            <w:r w:rsidRPr="00523C7A">
              <w:rPr>
                <w:rFonts w:ascii="Calibri" w:eastAsia="Calibri" w:hAnsi="Calibri"/>
                <w:bCs/>
                <w:color w:val="000000"/>
                <w:sz w:val="18"/>
              </w:rPr>
              <w:br/>
              <w:t>(December 1, 2011)</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Load Reconstitution</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rPr>
            </w:pPr>
            <w:r w:rsidRPr="00523C7A">
              <w:rPr>
                <w:rFonts w:ascii="Calibri" w:eastAsia="Calibri" w:hAnsi="Calibri"/>
                <w:bCs/>
                <w:sz w:val="18"/>
                <w:szCs w:val="18"/>
              </w:rPr>
              <w:t>March 2012</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ER10-1653-000</w:t>
            </w:r>
            <w:r w:rsidRPr="00523C7A">
              <w:rPr>
                <w:rFonts w:ascii="Calibri" w:eastAsia="Calibri" w:hAnsi="Calibri"/>
                <w:bCs/>
                <w:color w:val="000000"/>
                <w:sz w:val="18"/>
              </w:rPr>
              <w:br/>
              <w:t>(June 30, 2010)</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Design Reforms Extension</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April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ER12-953-000</w:t>
            </w:r>
            <w:r w:rsidRPr="00523C7A">
              <w:rPr>
                <w:rFonts w:ascii="Calibri" w:hAnsi="Calibri" w:cs="Arial"/>
                <w:bCs/>
                <w:color w:val="000000"/>
                <w:sz w:val="18"/>
                <w:szCs w:val="18"/>
              </w:rPr>
              <w:br/>
              <w:t>(January 31, 2012)</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rPr>
            </w:pPr>
            <w:r w:rsidRPr="00523C7A">
              <w:rPr>
                <w:rFonts w:ascii="Calibri" w:hAnsi="Calibri" w:cs="Arial"/>
                <w:bCs/>
                <w:color w:val="000000"/>
                <w:sz w:val="18"/>
              </w:rPr>
              <w:t>Start-Up and No-Load Reoffer Changes</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April 2012</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N/A</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rPr>
            </w:pPr>
            <w:r w:rsidRPr="00523C7A">
              <w:rPr>
                <w:rFonts w:ascii="Calibri" w:hAnsi="Calibri" w:cs="Arial"/>
                <w:bCs/>
                <w:color w:val="000000"/>
                <w:sz w:val="18"/>
              </w:rPr>
              <w:t>Virtual Transaction Submission Limits</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April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N/A</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NCPC: Weekly Posturing Rules</w:t>
            </w:r>
          </w:p>
        </w:tc>
        <w:tc>
          <w:tcPr>
            <w:tcW w:w="956"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May 2012</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523C7A">
              <w:rPr>
                <w:rFonts w:ascii="Calibri" w:hAnsi="Calibri"/>
                <w:bCs/>
                <w:color w:val="000000"/>
                <w:sz w:val="18"/>
                <w:szCs w:val="18"/>
              </w:rPr>
              <w:t>ER12-1809-000</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bCs/>
                <w:color w:val="000000"/>
                <w:sz w:val="18"/>
                <w:szCs w:val="18"/>
              </w:rPr>
              <w:t>(May 17, 2012)</w:t>
            </w:r>
          </w:p>
        </w:tc>
        <w:tc>
          <w:tcPr>
            <w:tcW w:w="682" w:type="pct"/>
            <w:gridSpan w:val="2"/>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NCPC: Weekly Posturing Rules Compliance</w:t>
            </w:r>
          </w:p>
        </w:tc>
        <w:tc>
          <w:tcPr>
            <w:tcW w:w="956"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May 2012</w:t>
            </w:r>
          </w:p>
        </w:tc>
        <w:tc>
          <w:tcPr>
            <w:tcW w:w="1025"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ER12-1809-001</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ER12-1809-002</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(July 30, 2012)</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End-Use Customer Aggregation (Order 745 Compliance)</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2012</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ER11-4336-005</w:t>
            </w:r>
            <w:r w:rsidRPr="00523C7A">
              <w:rPr>
                <w:rFonts w:ascii="Calibri" w:hAnsi="Calibri" w:cs="Arial"/>
                <w:bCs/>
                <w:color w:val="000000"/>
                <w:sz w:val="18"/>
                <w:szCs w:val="18"/>
              </w:rPr>
              <w:br/>
              <w:t>(March 26, 2012)</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FCA Informational Publishing</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ER12-1455-000</w:t>
            </w:r>
            <w:r w:rsidRPr="00523C7A">
              <w:rPr>
                <w:rFonts w:ascii="Calibri" w:hAnsi="Calibri" w:cs="Arial"/>
                <w:bCs/>
                <w:color w:val="000000"/>
                <w:sz w:val="18"/>
                <w:szCs w:val="18"/>
              </w:rPr>
              <w:br/>
              <w:t>(April 6, 2012)</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FCA Informational Publishing Compliance</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June 2012</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ER12-1455-001</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523C7A">
              <w:rPr>
                <w:rFonts w:ascii="Calibri" w:hAnsi="Calibri" w:cs="Arial"/>
                <w:bCs/>
                <w:color w:val="000000"/>
                <w:sz w:val="18"/>
                <w:szCs w:val="18"/>
              </w:rPr>
              <w:t>(July 2, 2012)</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Capacity Transfer Rights (CTRs)</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18"/>
                <w:szCs w:val="18"/>
              </w:rPr>
            </w:pPr>
            <w:r w:rsidRPr="00523C7A">
              <w:rPr>
                <w:rFonts w:ascii="Calibri" w:hAnsi="Calibri"/>
                <w:bCs/>
                <w:color w:val="000000"/>
                <w:sz w:val="18"/>
                <w:szCs w:val="18"/>
              </w:rPr>
              <w:t>June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ER12-1234-000</w:t>
            </w:r>
          </w:p>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(March 9, 2012)</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Demand-Resource Capacity</w:t>
            </w:r>
            <w:r w:rsidRPr="00523C7A">
              <w:rPr>
                <w:rFonts w:ascii="Calibri" w:hAnsi="Calibri" w:cs="Arial"/>
                <w:bCs/>
                <w:color w:val="000000"/>
                <w:sz w:val="18"/>
                <w:szCs w:val="18"/>
              </w:rPr>
              <w:br/>
              <w:t xml:space="preserve"> Auditing</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June 2012</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ER12-1389-000</w:t>
            </w:r>
            <w:r w:rsidRPr="00523C7A">
              <w:rPr>
                <w:rFonts w:ascii="Calibri" w:eastAsia="Calibri" w:hAnsi="Calibri"/>
                <w:bCs/>
                <w:color w:val="000000"/>
                <w:sz w:val="18"/>
                <w:szCs w:val="18"/>
              </w:rPr>
              <w:br/>
              <w:t>(March 29, 2012)</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Demand-Resource Performance Incentives</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ER12-1392-000</w:t>
            </w:r>
            <w:r w:rsidRPr="00523C7A">
              <w:rPr>
                <w:rFonts w:ascii="Calibri" w:eastAsia="Calibri" w:hAnsi="Calibri"/>
                <w:bCs/>
                <w:color w:val="000000"/>
                <w:sz w:val="18"/>
              </w:rPr>
              <w:br/>
              <w:t>(March 29, 2012)</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FCM Net Regional Clearing Price (NRCP) </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2012</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ER12-1325-000</w:t>
            </w:r>
            <w:r w:rsidRPr="00523C7A">
              <w:rPr>
                <w:rFonts w:ascii="Calibri" w:eastAsia="Calibri" w:hAnsi="Calibri"/>
                <w:bCs/>
                <w:color w:val="000000"/>
                <w:sz w:val="18"/>
              </w:rPr>
              <w:br/>
            </w:r>
            <w:r w:rsidRPr="00523C7A">
              <w:rPr>
                <w:rFonts w:ascii="Calibri" w:eastAsia="Calibri" w:hAnsi="Calibri"/>
                <w:bCs/>
                <w:color w:val="000000"/>
                <w:sz w:val="18"/>
              </w:rPr>
              <w:lastRenderedPageBreak/>
              <w:t>(March 23, 2012)</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lastRenderedPageBreak/>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Supplemental Availability Bilateral Transactions</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18"/>
                <w:szCs w:val="18"/>
              </w:rPr>
            </w:pPr>
            <w:r w:rsidRPr="00523C7A">
              <w:rPr>
                <w:rFonts w:ascii="Calibri" w:hAnsi="Calibri"/>
                <w:bCs/>
                <w:color w:val="000000"/>
                <w:sz w:val="18"/>
                <w:szCs w:val="18"/>
              </w:rPr>
              <w:t>June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ER12-1382-000</w:t>
            </w:r>
            <w:r w:rsidRPr="00523C7A">
              <w:rPr>
                <w:rFonts w:ascii="Calibri" w:eastAsia="Calibri" w:hAnsi="Calibri"/>
                <w:bCs/>
                <w:color w:val="000000"/>
                <w:sz w:val="18"/>
              </w:rPr>
              <w:br/>
              <w:t>(March 29, 2012)</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Price-Responsive Demand: Transition Period Changes</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2012</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ER12-1550-000</w:t>
            </w:r>
            <w:r w:rsidRPr="00523C7A">
              <w:rPr>
                <w:rFonts w:ascii="Calibri" w:hAnsi="Calibri" w:cs="Arial"/>
                <w:bCs/>
                <w:color w:val="000000"/>
                <w:sz w:val="18"/>
                <w:szCs w:val="18"/>
              </w:rPr>
              <w:br/>
              <w:t>(April 1, 2012)</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System TMOR Reserve-Constraint Penalty Factor Prices </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June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ER12-1314-000</w:t>
            </w:r>
            <w:r w:rsidRPr="00523C7A">
              <w:rPr>
                <w:rFonts w:ascii="Calibri" w:eastAsia="Calibri" w:hAnsi="Calibri"/>
                <w:bCs/>
                <w:color w:val="000000"/>
                <w:sz w:val="18"/>
              </w:rPr>
              <w:br/>
              <w:t>(March 22, 2012)</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Electronic Data Reporting (Order 760)</w:t>
            </w:r>
          </w:p>
        </w:tc>
        <w:tc>
          <w:tcPr>
            <w:tcW w:w="956"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August 2012</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ER12-2228-000</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highlight w:val="yellow"/>
              </w:rPr>
            </w:pPr>
            <w:r w:rsidRPr="00523C7A">
              <w:rPr>
                <w:rFonts w:ascii="Calibri" w:hAnsi="Calibri" w:cs="Arial"/>
                <w:bCs/>
                <w:color w:val="000000"/>
                <w:sz w:val="18"/>
                <w:szCs w:val="18"/>
              </w:rPr>
              <w:t>(July 11, 2012)</w:t>
            </w:r>
          </w:p>
        </w:tc>
        <w:tc>
          <w:tcPr>
            <w:tcW w:w="682" w:type="pct"/>
            <w:gridSpan w:val="2"/>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highlight w:val="yellow"/>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Rejected Delist Bid Follow-Up Actions</w:t>
            </w:r>
          </w:p>
        </w:tc>
        <w:tc>
          <w:tcPr>
            <w:tcW w:w="956"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August 2012</w:t>
            </w:r>
          </w:p>
        </w:tc>
        <w:tc>
          <w:tcPr>
            <w:tcW w:w="1025"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ER12-1914-000</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(June 1, 2012)</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Rejected Delist Bid Follow-Up Actions Compliance</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August 2012</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ER12-1914-001</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(August 30, 2012)</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Partial Nonprice Retirement</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October 2012</w:t>
            </w:r>
          </w:p>
        </w:tc>
        <w:tc>
          <w:tcPr>
            <w:tcW w:w="1025"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bCs/>
                <w:color w:val="000000"/>
                <w:sz w:val="18"/>
                <w:szCs w:val="18"/>
              </w:rPr>
              <w:t>ER12-2393-000</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(August 3, 2012)</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Resource Termination</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November 13, 2012</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ER12-2625-000</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(September 14, 2012)</w:t>
            </w:r>
          </w:p>
        </w:tc>
        <w:tc>
          <w:tcPr>
            <w:tcW w:w="682" w:type="pct"/>
            <w:gridSpan w:val="2"/>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FCA #7</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November</w:t>
            </w:r>
            <w:r w:rsidRPr="00523C7A">
              <w:rPr>
                <w:rFonts w:ascii="Calibri" w:eastAsia="Calibri" w:hAnsi="Calibri"/>
                <w:bCs/>
                <w:color w:val="000000"/>
                <w:sz w:val="18"/>
                <w:szCs w:val="18"/>
              </w:rPr>
              <w:t xml:space="preserve"> 2012</w:t>
            </w:r>
          </w:p>
        </w:tc>
        <w:tc>
          <w:tcPr>
            <w:tcW w:w="1025" w:type="pct"/>
          </w:tcPr>
          <w:p w:rsidR="00523C7A" w:rsidRPr="00523C7A" w:rsidRDefault="00523C7A" w:rsidP="00523C7A">
            <w:pPr>
              <w:spacing w:after="0" w:line="240" w:lineRule="auto"/>
              <w:ind w:left="28"/>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ER12-2697-000</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(September 27, 2012)</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FRM Threshold Price Calculation Frequency</w:t>
            </w:r>
          </w:p>
        </w:tc>
        <w:tc>
          <w:tcPr>
            <w:tcW w:w="956"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November 2012</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ER12-2485-000</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(August 20, 2012)</w:t>
            </w:r>
          </w:p>
        </w:tc>
        <w:tc>
          <w:tcPr>
            <w:tcW w:w="682" w:type="pct"/>
            <w:gridSpan w:val="2"/>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Financial Assurance Bilateral Transaction Cure Period</w:t>
            </w:r>
          </w:p>
        </w:tc>
        <w:tc>
          <w:tcPr>
            <w:tcW w:w="956"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2013</w:t>
            </w:r>
          </w:p>
        </w:tc>
        <w:tc>
          <w:tcPr>
            <w:tcW w:w="1025"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ER12-2575-000 </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(September 4, 2012) </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Central Counterparty (Order 741)</w:t>
            </w:r>
          </w:p>
        </w:tc>
        <w:tc>
          <w:tcPr>
            <w:tcW w:w="956"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2013</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bCs/>
                <w:color w:val="000000"/>
                <w:sz w:val="18"/>
                <w:szCs w:val="18"/>
              </w:rPr>
              <w:t>ER12-1651-000</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(April 30, 2012)</w:t>
            </w:r>
          </w:p>
        </w:tc>
        <w:tc>
          <w:tcPr>
            <w:tcW w:w="682" w:type="pct"/>
            <w:gridSpan w:val="2"/>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1</w:t>
            </w:r>
          </w:p>
        </w:tc>
        <w:tc>
          <w:tcPr>
            <w:tcW w:w="1819" w:type="pct"/>
          </w:tcPr>
          <w:p w:rsidR="00523C7A" w:rsidRPr="00523C7A" w:rsidRDefault="00523C7A" w:rsidP="00523C7A">
            <w:pPr>
              <w:spacing w:after="0" w:line="240" w:lineRule="auto"/>
              <w:ind w:left="132" w:hanging="90"/>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Gas Pipeline Information Sharing</w:t>
            </w:r>
            <w:r w:rsidRPr="00523C7A">
              <w:rPr>
                <w:rFonts w:ascii="Calibri" w:hAnsi="Calibri" w:cs="Arial"/>
                <w:bCs/>
                <w:color w:val="000000"/>
                <w:sz w:val="18"/>
                <w:szCs w:val="18"/>
                <w:vertAlign w:val="superscript"/>
              </w:rPr>
              <w:t xml:space="preserve"> </w:t>
            </w:r>
          </w:p>
        </w:tc>
        <w:tc>
          <w:tcPr>
            <w:tcW w:w="956"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2013</w:t>
            </w:r>
          </w:p>
        </w:tc>
        <w:tc>
          <w:tcPr>
            <w:tcW w:w="1025" w:type="pct"/>
          </w:tcPr>
          <w:p w:rsidR="00523C7A" w:rsidRPr="00523C7A" w:rsidRDefault="009C3931"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N/A</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cs="Arial"/>
                <w:bCs w:val="0"/>
                <w:color w:val="000000"/>
                <w:sz w:val="18"/>
                <w:szCs w:val="18"/>
              </w:rPr>
            </w:pPr>
            <w:r w:rsidRPr="00523C7A">
              <w:rPr>
                <w:rFonts w:cs="Arial"/>
                <w:bCs w:val="0"/>
                <w:color w:val="000000"/>
                <w:sz w:val="18"/>
                <w:szCs w:val="18"/>
              </w:rPr>
              <w:t>13</w:t>
            </w:r>
          </w:p>
        </w:tc>
        <w:tc>
          <w:tcPr>
            <w:tcW w:w="1819" w:type="pct"/>
          </w:tcPr>
          <w:p w:rsidR="00523C7A" w:rsidRPr="00523C7A" w:rsidRDefault="00523C7A" w:rsidP="00523C7A">
            <w:pPr>
              <w:spacing w:after="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Financial Assurance and Bilateral Transactions</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Phase 1: January 2013</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Phase 2: N/A</w:t>
            </w:r>
          </w:p>
        </w:tc>
        <w:tc>
          <w:tcPr>
            <w:tcW w:w="1025" w:type="pct"/>
          </w:tcPr>
          <w:p w:rsidR="00523C7A" w:rsidRPr="00523C7A" w:rsidRDefault="00523C7A" w:rsidP="00523C7A">
            <w:pPr>
              <w:spacing w:after="0" w:line="240" w:lineRule="auto"/>
              <w:ind w:left="28"/>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ER13-270-000</w:t>
            </w:r>
            <w:r w:rsidRPr="00523C7A">
              <w:rPr>
                <w:rFonts w:ascii="Calibri" w:hAnsi="Calibri" w:cs="Arial"/>
                <w:bCs/>
                <w:color w:val="000000"/>
                <w:sz w:val="18"/>
                <w:szCs w:val="18"/>
              </w:rPr>
              <w:br/>
              <w:t>(November 1, 2012)</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No action taken</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ind w:left="132" w:hanging="90"/>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Static Delist Bids</w:t>
            </w:r>
          </w:p>
        </w:tc>
        <w:tc>
          <w:tcPr>
            <w:tcW w:w="956"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February 2013</w:t>
            </w:r>
          </w:p>
        </w:tc>
        <w:tc>
          <w:tcPr>
            <w:tcW w:w="1025" w:type="pct"/>
          </w:tcPr>
          <w:p w:rsidR="00523C7A" w:rsidRPr="00523C7A" w:rsidRDefault="00523C7A" w:rsidP="00523C7A">
            <w:pPr>
              <w:spacing w:after="0" w:line="240" w:lineRule="auto"/>
              <w:ind w:left="28"/>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ER13-612-000</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21, 2012)</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cs="Arial"/>
                <w:bCs w:val="0"/>
                <w:color w:val="000000"/>
                <w:sz w:val="18"/>
                <w:szCs w:val="18"/>
              </w:rPr>
            </w:pPr>
            <w:r w:rsidRPr="00523C7A">
              <w:rPr>
                <w:rFonts w:cs="Arial"/>
                <w:bCs w:val="0"/>
                <w:color w:val="000000"/>
                <w:sz w:val="18"/>
                <w:szCs w:val="18"/>
              </w:rPr>
              <w:t>12</w:t>
            </w:r>
          </w:p>
        </w:tc>
        <w:tc>
          <w:tcPr>
            <w:tcW w:w="1819" w:type="pct"/>
          </w:tcPr>
          <w:p w:rsidR="00523C7A" w:rsidRPr="00523C7A" w:rsidRDefault="00523C7A" w:rsidP="00523C7A">
            <w:pPr>
              <w:spacing w:after="0" w:line="240" w:lineRule="auto"/>
              <w:ind w:left="42"/>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FCM Redesign </w:t>
            </w:r>
          </w:p>
        </w:tc>
        <w:tc>
          <w:tcPr>
            <w:tcW w:w="956" w:type="pct"/>
          </w:tcPr>
          <w:p w:rsidR="00523C7A" w:rsidRPr="00523C7A" w:rsidRDefault="00523C7A" w:rsidP="00523C7A">
            <w:pPr>
              <w:spacing w:after="0" w:line="240" w:lineRule="auto"/>
              <w:ind w:left="-1"/>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February 2013</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ER12-953-001</w:t>
            </w:r>
          </w:p>
          <w:p w:rsidR="00523C7A" w:rsidRPr="00523C7A" w:rsidRDefault="00523C7A" w:rsidP="00523C7A">
            <w:pPr>
              <w:spacing w:after="0" w:line="240" w:lineRule="auto"/>
              <w:ind w:left="28"/>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2012)</w:t>
            </w:r>
          </w:p>
        </w:tc>
        <w:tc>
          <w:tcPr>
            <w:tcW w:w="682" w:type="pct"/>
            <w:gridSpan w:val="2"/>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2</w:t>
            </w:r>
          </w:p>
        </w:tc>
        <w:tc>
          <w:tcPr>
            <w:tcW w:w="1819" w:type="pct"/>
          </w:tcPr>
          <w:p w:rsidR="00523C7A" w:rsidRPr="00523C7A" w:rsidRDefault="00523C7A" w:rsidP="00523C7A">
            <w:pPr>
              <w:spacing w:after="0" w:line="240" w:lineRule="auto"/>
              <w:ind w:left="42"/>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Forward Reserve Market TMNSR Procurement </w:t>
            </w:r>
          </w:p>
        </w:tc>
        <w:tc>
          <w:tcPr>
            <w:tcW w:w="956" w:type="pct"/>
          </w:tcPr>
          <w:p w:rsidR="00523C7A" w:rsidRPr="00523C7A" w:rsidRDefault="00523C7A" w:rsidP="00523C7A">
            <w:pPr>
              <w:spacing w:after="0" w:line="240" w:lineRule="auto"/>
              <w:ind w:left="-1"/>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March 2013</w:t>
            </w:r>
          </w:p>
        </w:tc>
        <w:tc>
          <w:tcPr>
            <w:tcW w:w="1025" w:type="pct"/>
          </w:tcPr>
          <w:p w:rsidR="00523C7A" w:rsidRPr="00523C7A" w:rsidRDefault="00523C7A" w:rsidP="00523C7A">
            <w:pPr>
              <w:spacing w:after="0" w:line="240" w:lineRule="auto"/>
              <w:ind w:left="28"/>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ER13-465-000</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(November 27, 2012)</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gridBefore w:val="1"/>
          <w:gridAfter w:val="1"/>
          <w:cnfStyle w:val="000000100000" w:firstRow="0" w:lastRow="0" w:firstColumn="0" w:lastColumn="0" w:oddVBand="0" w:evenVBand="0" w:oddHBand="1" w:evenHBand="0" w:firstRowFirstColumn="0" w:firstRowLastColumn="0" w:lastRowFirstColumn="0" w:lastRowLastColumn="0"/>
          <w:wBefore w:w="5" w:type="pct"/>
          <w:wAfter w:w="5" w:type="pct"/>
          <w:trHeight w:val="70"/>
          <w:jc w:val="center"/>
        </w:trPr>
        <w:tc>
          <w:tcPr>
            <w:cnfStyle w:val="001000000000" w:firstRow="0" w:lastRow="0" w:firstColumn="1" w:lastColumn="0" w:oddVBand="0" w:evenVBand="0" w:oddHBand="0" w:evenHBand="0" w:firstRowFirstColumn="0" w:firstRowLastColumn="0" w:lastRowFirstColumn="0" w:lastRowLastColumn="0"/>
            <w:tcW w:w="513" w:type="pct"/>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50</w:t>
            </w:r>
          </w:p>
        </w:tc>
        <w:tc>
          <w:tcPr>
            <w:tcW w:w="1819" w:type="pct"/>
          </w:tcPr>
          <w:p w:rsidR="00523C7A" w:rsidRPr="00523C7A" w:rsidRDefault="00523C7A" w:rsidP="00523C7A">
            <w:pPr>
              <w:spacing w:before="60" w:after="60" w:line="240" w:lineRule="auto"/>
              <w:ind w:left="1" w:firstLine="9"/>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Wind Forecasting and Dispatch</w:t>
            </w:r>
            <w:r w:rsidRPr="00523C7A">
              <w:rPr>
                <w:rFonts w:ascii="Calibri" w:hAnsi="Calibri" w:cs="Arial"/>
                <w:bCs/>
                <w:color w:val="000000"/>
                <w:sz w:val="18"/>
                <w:szCs w:val="18"/>
                <w:vertAlign w:val="superscript"/>
              </w:rPr>
              <w:t xml:space="preserve"> </w:t>
            </w:r>
          </w:p>
        </w:tc>
        <w:tc>
          <w:tcPr>
            <w:tcW w:w="956" w:type="pct"/>
          </w:tcPr>
          <w:p w:rsidR="00523C7A" w:rsidRPr="00523C7A" w:rsidRDefault="00523C7A" w:rsidP="00523C7A">
            <w:pPr>
              <w:spacing w:before="60" w:after="60" w:line="240" w:lineRule="auto"/>
              <w:ind w:left="-7"/>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Q2 2013</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677"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Merged with other project</w:t>
            </w:r>
          </w:p>
        </w:tc>
      </w:tr>
      <w:tr w:rsidR="00523C7A" w:rsidRPr="00523C7A" w:rsidTr="00121D2A">
        <w:tblPrEx>
          <w:tblCellMar>
            <w:top w:w="43" w:type="dxa"/>
            <w:bottom w:w="43" w:type="dxa"/>
          </w:tblCellMar>
          <w:tblLook w:val="04A0" w:firstRow="1" w:lastRow="0" w:firstColumn="1" w:lastColumn="0" w:noHBand="0" w:noVBand="1"/>
        </w:tblPrEx>
        <w:trPr>
          <w:gridBefore w:val="1"/>
          <w:gridAfter w:val="1"/>
          <w:cnfStyle w:val="000000010000" w:firstRow="0" w:lastRow="0" w:firstColumn="0" w:lastColumn="0" w:oddVBand="0" w:evenVBand="0" w:oddHBand="0" w:evenHBand="1" w:firstRowFirstColumn="0" w:firstRowLastColumn="0" w:lastRowFirstColumn="0" w:lastRowLastColumn="0"/>
          <w:wBefore w:w="5" w:type="pct"/>
          <w:wAfter w:w="5" w:type="pct"/>
          <w:trHeight w:val="70"/>
          <w:jc w:val="center"/>
        </w:trPr>
        <w:tc>
          <w:tcPr>
            <w:cnfStyle w:val="001000000000" w:firstRow="0" w:lastRow="0" w:firstColumn="1" w:lastColumn="0" w:oddVBand="0" w:evenVBand="0" w:oddHBand="0" w:evenHBand="0" w:firstRowFirstColumn="0" w:firstRowLastColumn="0" w:lastRowFirstColumn="0" w:lastRowLastColumn="0"/>
            <w:tcW w:w="513" w:type="pct"/>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1</w:t>
            </w:r>
            <w:r w:rsidRPr="00523C7A">
              <w:rPr>
                <w:rFonts w:cs="Arial"/>
                <w:bCs w:val="0"/>
                <w:color w:val="000000"/>
                <w:sz w:val="18"/>
                <w:szCs w:val="18"/>
              </w:rPr>
              <w:t>1</w:t>
            </w:r>
          </w:p>
        </w:tc>
        <w:tc>
          <w:tcPr>
            <w:tcW w:w="1819" w:type="pct"/>
          </w:tcPr>
          <w:p w:rsidR="00523C7A" w:rsidRPr="00523C7A" w:rsidRDefault="00523C7A" w:rsidP="00523C7A">
            <w:pPr>
              <w:spacing w:before="60" w:after="60" w:line="240" w:lineRule="auto"/>
              <w:ind w:left="1" w:firstLine="9"/>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Reconfiguration Auction and Capacity Supply Obligation (CSO) Bilateral Transaction Enhancements</w:t>
            </w:r>
          </w:p>
        </w:tc>
        <w:tc>
          <w:tcPr>
            <w:tcW w:w="956" w:type="pct"/>
          </w:tcPr>
          <w:p w:rsidR="00523C7A" w:rsidRPr="00523C7A" w:rsidRDefault="00523C7A" w:rsidP="00523C7A">
            <w:pPr>
              <w:spacing w:before="60" w:after="60" w:line="240" w:lineRule="auto"/>
              <w:ind w:left="-7"/>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April 2013</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ER13-585-000</w:t>
            </w:r>
            <w:r w:rsidRPr="00523C7A">
              <w:rPr>
                <w:rFonts w:ascii="Calibri" w:hAnsi="Calibri" w:cs="Arial"/>
                <w:bCs/>
                <w:color w:val="000000"/>
                <w:sz w:val="18"/>
                <w:szCs w:val="18"/>
              </w:rPr>
              <w:br/>
              <w:t>ER13-585-001</w:t>
            </w:r>
            <w:r w:rsidRPr="00523C7A">
              <w:rPr>
                <w:rFonts w:ascii="Calibri" w:hAnsi="Calibri" w:cs="Arial"/>
                <w:bCs/>
                <w:color w:val="000000"/>
                <w:sz w:val="18"/>
                <w:szCs w:val="18"/>
              </w:rPr>
              <w:br/>
              <w:t>(December 19, 2012)</w:t>
            </w:r>
          </w:p>
        </w:tc>
        <w:tc>
          <w:tcPr>
            <w:tcW w:w="677" w:type="pct"/>
          </w:tcPr>
          <w:p w:rsidR="00523C7A" w:rsidRPr="00523C7A" w:rsidRDefault="00523C7A" w:rsidP="00ED152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gridBefore w:val="1"/>
          <w:gridAfter w:val="1"/>
          <w:cnfStyle w:val="000000100000" w:firstRow="0" w:lastRow="0" w:firstColumn="0" w:lastColumn="0" w:oddVBand="0" w:evenVBand="0" w:oddHBand="1" w:evenHBand="0" w:firstRowFirstColumn="0" w:firstRowLastColumn="0" w:lastRowFirstColumn="0" w:lastRowLastColumn="0"/>
          <w:wBefore w:w="5" w:type="pct"/>
          <w:wAfter w:w="5" w:type="pct"/>
          <w:trHeight w:val="70"/>
          <w:jc w:val="center"/>
        </w:trPr>
        <w:tc>
          <w:tcPr>
            <w:cnfStyle w:val="001000000000" w:firstRow="0" w:lastRow="0" w:firstColumn="1" w:lastColumn="0" w:oddVBand="0" w:evenVBand="0" w:oddHBand="0" w:evenHBand="0" w:firstRowFirstColumn="0" w:firstRowLastColumn="0" w:lastRowFirstColumn="0" w:lastRowLastColumn="0"/>
            <w:tcW w:w="513" w:type="pct"/>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4</w:t>
            </w:r>
          </w:p>
        </w:tc>
        <w:tc>
          <w:tcPr>
            <w:tcW w:w="1819" w:type="pct"/>
          </w:tcPr>
          <w:p w:rsidR="00523C7A" w:rsidRPr="00523C7A" w:rsidRDefault="00523C7A" w:rsidP="00523C7A">
            <w:pPr>
              <w:spacing w:before="60" w:after="60" w:line="240" w:lineRule="auto"/>
              <w:ind w:left="1" w:firstLine="9"/>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Demand-Asset Auditing</w:t>
            </w:r>
          </w:p>
        </w:tc>
        <w:tc>
          <w:tcPr>
            <w:tcW w:w="956" w:type="pct"/>
          </w:tcPr>
          <w:p w:rsidR="00523C7A" w:rsidRPr="00523C7A" w:rsidRDefault="00523C7A" w:rsidP="00523C7A">
            <w:pPr>
              <w:spacing w:before="60" w:after="60" w:line="240" w:lineRule="auto"/>
              <w:ind w:left="-7"/>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May 1, 2013</w:t>
            </w:r>
          </w:p>
        </w:tc>
        <w:tc>
          <w:tcPr>
            <w:tcW w:w="1025" w:type="pct"/>
          </w:tcPr>
          <w:p w:rsidR="00523C7A" w:rsidRPr="00523C7A" w:rsidRDefault="00523C7A" w:rsidP="00523C7A">
            <w:pPr>
              <w:spacing w:after="0" w:line="240" w:lineRule="auto"/>
              <w:ind w:left="-7"/>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ER13-1010-000</w:t>
            </w:r>
            <w:r w:rsidRPr="00523C7A">
              <w:rPr>
                <w:rFonts w:ascii="Calibri" w:hAnsi="Calibri" w:cs="Arial"/>
                <w:bCs/>
                <w:color w:val="000000"/>
                <w:sz w:val="18"/>
                <w:szCs w:val="18"/>
              </w:rPr>
              <w:br/>
              <w:t>(March 1, 2013)</w:t>
            </w:r>
          </w:p>
        </w:tc>
        <w:tc>
          <w:tcPr>
            <w:tcW w:w="677" w:type="pct"/>
          </w:tcPr>
          <w:p w:rsidR="00523C7A" w:rsidRPr="00523C7A" w:rsidRDefault="00523C7A" w:rsidP="00523C7A">
            <w:pPr>
              <w:spacing w:before="60" w:after="60" w:line="240" w:lineRule="auto"/>
              <w:ind w:left="-7"/>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Complete</w:t>
            </w:r>
            <w:r w:rsidRPr="00523C7A">
              <w:rPr>
                <w:rFonts w:ascii="Calibri" w:hAnsi="Calibri" w:cs="Arial"/>
                <w:bCs/>
                <w:color w:val="000000"/>
                <w:sz w:val="18"/>
                <w:szCs w:val="18"/>
              </w:rPr>
              <w:br/>
            </w:r>
          </w:p>
        </w:tc>
      </w:tr>
      <w:tr w:rsidR="00523C7A" w:rsidRPr="00523C7A" w:rsidTr="00121D2A">
        <w:tblPrEx>
          <w:tblCellMar>
            <w:top w:w="43" w:type="dxa"/>
            <w:bottom w:w="43" w:type="dxa"/>
          </w:tblCellMar>
          <w:tblLook w:val="04A0" w:firstRow="1" w:lastRow="0" w:firstColumn="1" w:lastColumn="0" w:noHBand="0" w:noVBand="1"/>
        </w:tblPrEx>
        <w:trPr>
          <w:gridBefore w:val="1"/>
          <w:gridAfter w:val="1"/>
          <w:cnfStyle w:val="000000010000" w:firstRow="0" w:lastRow="0" w:firstColumn="0" w:lastColumn="0" w:oddVBand="0" w:evenVBand="0" w:oddHBand="0" w:evenHBand="1" w:firstRowFirstColumn="0" w:firstRowLastColumn="0" w:lastRowFirstColumn="0" w:lastRowLastColumn="0"/>
          <w:wBefore w:w="5" w:type="pct"/>
          <w:wAfter w:w="5" w:type="pct"/>
          <w:trHeight w:val="70"/>
          <w:jc w:val="center"/>
        </w:trPr>
        <w:tc>
          <w:tcPr>
            <w:cnfStyle w:val="001000000000" w:firstRow="0" w:lastRow="0" w:firstColumn="1" w:lastColumn="0" w:oddVBand="0" w:evenVBand="0" w:oddHBand="0" w:evenHBand="0" w:firstRowFirstColumn="0" w:firstRowLastColumn="0" w:lastRowFirstColumn="0" w:lastRowLastColumn="0"/>
            <w:tcW w:w="513" w:type="pct"/>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lastRenderedPageBreak/>
              <w:t>―</w:t>
            </w:r>
          </w:p>
        </w:tc>
        <w:tc>
          <w:tcPr>
            <w:tcW w:w="1819" w:type="pct"/>
          </w:tcPr>
          <w:p w:rsidR="00523C7A" w:rsidRPr="00523C7A" w:rsidRDefault="00523C7A" w:rsidP="009C3931">
            <w:pPr>
              <w:spacing w:before="60" w:after="60" w:line="240" w:lineRule="auto"/>
              <w:ind w:firstLine="9"/>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Off-line Reserve Capability</w:t>
            </w:r>
            <w:r w:rsidRPr="00523C7A">
              <w:rPr>
                <w:rFonts w:ascii="Calibri" w:hAnsi="Calibri" w:cs="Arial"/>
                <w:bCs/>
                <w:color w:val="000000"/>
                <w:sz w:val="18"/>
                <w:szCs w:val="18"/>
              </w:rPr>
              <w:br/>
              <w:t xml:space="preserve"> Determination </w:t>
            </w:r>
          </w:p>
        </w:tc>
        <w:tc>
          <w:tcPr>
            <w:tcW w:w="956" w:type="pct"/>
          </w:tcPr>
          <w:p w:rsidR="00523C7A" w:rsidRPr="00523C7A" w:rsidRDefault="00523C7A" w:rsidP="00523C7A">
            <w:pPr>
              <w:spacing w:before="60" w:after="60" w:line="240" w:lineRule="auto"/>
              <w:ind w:left="-7"/>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June 2013</w:t>
            </w:r>
          </w:p>
        </w:tc>
        <w:tc>
          <w:tcPr>
            <w:tcW w:w="1025" w:type="pct"/>
          </w:tcPr>
          <w:p w:rsidR="00523C7A" w:rsidRPr="00523C7A" w:rsidRDefault="00523C7A" w:rsidP="00523C7A">
            <w:pPr>
              <w:spacing w:after="0" w:line="240" w:lineRule="auto"/>
              <w:ind w:left="-7"/>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ER13-323-000</w:t>
            </w:r>
          </w:p>
          <w:p w:rsidR="00523C7A" w:rsidRPr="00523C7A" w:rsidRDefault="00523C7A" w:rsidP="00523C7A">
            <w:pPr>
              <w:spacing w:before="60" w:after="60" w:line="240" w:lineRule="auto"/>
              <w:ind w:left="-7"/>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(November 6, 2012)</w:t>
            </w:r>
          </w:p>
        </w:tc>
        <w:tc>
          <w:tcPr>
            <w:tcW w:w="677" w:type="pct"/>
          </w:tcPr>
          <w:p w:rsidR="00523C7A" w:rsidRPr="00523C7A" w:rsidRDefault="00523C7A" w:rsidP="00523C7A">
            <w:pPr>
              <w:spacing w:before="60" w:after="60" w:line="240" w:lineRule="auto"/>
              <w:ind w:left="-7"/>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szCs w:val="18"/>
              </w:rPr>
              <w:t>Complete</w:t>
            </w:r>
          </w:p>
        </w:tc>
      </w:tr>
      <w:tr w:rsidR="00523C7A" w:rsidRPr="00523C7A" w:rsidTr="009C3931">
        <w:trPr>
          <w:cnfStyle w:val="000000100000" w:firstRow="0" w:lastRow="0" w:firstColumn="0" w:lastColumn="0" w:oddVBand="0" w:evenVBand="0" w:oddHBand="1" w:evenHBand="0" w:firstRowFirstColumn="0" w:firstRowLastColumn="0" w:lastRowFirstColumn="0" w:lastRowLastColumn="0"/>
          <w:trHeight w:val="70"/>
          <w:jc w:val="center"/>
        </w:trPr>
        <w:tc>
          <w:tcPr>
            <w:tcW w:w="517" w:type="pct"/>
            <w:gridSpan w:val="2"/>
          </w:tcPr>
          <w:p w:rsidR="00523C7A" w:rsidRPr="00523C7A" w:rsidRDefault="00523C7A" w:rsidP="00523C7A">
            <w:pPr>
              <w:spacing w:before="60" w:after="60" w:line="240" w:lineRule="auto"/>
              <w:jc w:val="center"/>
              <w:rPr>
                <w:rFonts w:cs="Arial"/>
                <w:bCs/>
                <w:color w:val="000000"/>
                <w:sz w:val="18"/>
                <w:szCs w:val="18"/>
              </w:rPr>
            </w:pPr>
            <w:r w:rsidRPr="00523C7A">
              <w:rPr>
                <w:rFonts w:ascii="Calibri" w:hAnsi="Calibri" w:cs="Arial"/>
                <w:bCs/>
                <w:color w:val="000000"/>
                <w:sz w:val="18"/>
                <w:szCs w:val="18"/>
              </w:rPr>
              <w:t>5</w:t>
            </w:r>
          </w:p>
        </w:tc>
        <w:tc>
          <w:tcPr>
            <w:tcW w:w="1819" w:type="pct"/>
            <w:vAlign w:val="center"/>
          </w:tcPr>
          <w:p w:rsidR="00523C7A" w:rsidRPr="00523C7A" w:rsidRDefault="00523C7A" w:rsidP="009C3931">
            <w:pPr>
              <w:spacing w:before="60" w:after="60" w:line="240" w:lineRule="auto"/>
              <w:ind w:firstLine="64"/>
              <w:rPr>
                <w:rFonts w:ascii="Calibri" w:hAnsi="Calibri" w:cs="Arial"/>
                <w:bCs/>
                <w:color w:val="000000"/>
                <w:sz w:val="18"/>
                <w:szCs w:val="18"/>
              </w:rPr>
            </w:pPr>
            <w:r w:rsidRPr="00523C7A">
              <w:rPr>
                <w:rFonts w:ascii="Calibri" w:hAnsi="Calibri" w:cs="Arial"/>
                <w:bCs/>
                <w:color w:val="000000"/>
                <w:sz w:val="18"/>
                <w:szCs w:val="18"/>
              </w:rPr>
              <w:t xml:space="preserve">Day-Ahead Energy Market Schedule </w:t>
            </w:r>
          </w:p>
        </w:tc>
        <w:tc>
          <w:tcPr>
            <w:tcW w:w="956" w:type="pct"/>
            <w:vAlign w:val="center"/>
          </w:tcPr>
          <w:p w:rsidR="00523C7A" w:rsidRPr="00523C7A" w:rsidRDefault="00523C7A" w:rsidP="009C3931">
            <w:pPr>
              <w:spacing w:before="60" w:after="60" w:line="240" w:lineRule="auto"/>
              <w:jc w:val="center"/>
              <w:rPr>
                <w:rFonts w:ascii="Calibri" w:eastAsia="Calibri" w:hAnsi="Calibri"/>
                <w:bCs/>
                <w:color w:val="000000"/>
                <w:sz w:val="18"/>
              </w:rPr>
            </w:pPr>
            <w:r w:rsidRPr="00523C7A">
              <w:rPr>
                <w:rFonts w:ascii="Calibri" w:hAnsi="Calibri" w:cs="Arial"/>
                <w:bCs/>
                <w:color w:val="000000"/>
                <w:sz w:val="18"/>
                <w:szCs w:val="18"/>
              </w:rPr>
              <w:t>June 2013</w:t>
            </w:r>
          </w:p>
        </w:tc>
        <w:tc>
          <w:tcPr>
            <w:tcW w:w="1025" w:type="pct"/>
          </w:tcPr>
          <w:p w:rsidR="00523C7A" w:rsidRPr="00523C7A" w:rsidRDefault="00523C7A" w:rsidP="00523C7A">
            <w:pPr>
              <w:spacing w:before="60" w:after="60" w:line="240" w:lineRule="auto"/>
              <w:ind w:left="13" w:hanging="13"/>
              <w:jc w:val="center"/>
              <w:rPr>
                <w:rFonts w:ascii="Calibri" w:eastAsia="Calibri" w:hAnsi="Calibri"/>
                <w:bCs/>
                <w:color w:val="000000"/>
                <w:sz w:val="18"/>
              </w:rPr>
            </w:pPr>
            <w:r w:rsidRPr="00523C7A">
              <w:rPr>
                <w:rFonts w:ascii="Calibri" w:hAnsi="Calibri" w:cs="Arial"/>
                <w:bCs/>
                <w:color w:val="000000"/>
                <w:sz w:val="18"/>
                <w:szCs w:val="18"/>
              </w:rPr>
              <w:t>ER13-895-000</w:t>
            </w:r>
            <w:r w:rsidRPr="00523C7A">
              <w:rPr>
                <w:rFonts w:ascii="Calibri" w:hAnsi="Calibri" w:cs="Arial"/>
                <w:bCs/>
                <w:color w:val="000000"/>
                <w:sz w:val="18"/>
                <w:szCs w:val="18"/>
              </w:rPr>
              <w:br/>
              <w:t>(February 7, 2013)</w:t>
            </w:r>
          </w:p>
        </w:tc>
        <w:tc>
          <w:tcPr>
            <w:tcW w:w="682" w:type="pct"/>
            <w:gridSpan w:val="2"/>
            <w:vAlign w:val="center"/>
          </w:tcPr>
          <w:p w:rsidR="00523C7A" w:rsidRPr="00523C7A" w:rsidRDefault="00523C7A" w:rsidP="00523C7A">
            <w:pPr>
              <w:spacing w:before="60" w:after="60" w:line="240" w:lineRule="auto"/>
              <w:ind w:left="13" w:hanging="13"/>
              <w:jc w:val="center"/>
              <w:rPr>
                <w:rFonts w:ascii="Calibri" w:eastAsia="Calibri" w:hAnsi="Calibri"/>
                <w:bCs/>
                <w:color w:val="000000"/>
                <w:sz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6</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Obsolete Language Review</w:t>
            </w:r>
          </w:p>
        </w:tc>
        <w:tc>
          <w:tcPr>
            <w:tcW w:w="956" w:type="pct"/>
          </w:tcPr>
          <w:p w:rsidR="00523C7A" w:rsidRPr="00523C7A" w:rsidRDefault="00523C7A" w:rsidP="00523C7A">
            <w:pPr>
              <w:spacing w:before="60" w:after="60" w:line="240" w:lineRule="auto"/>
              <w:ind w:left="2"/>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15, 2013</w:t>
            </w:r>
          </w:p>
        </w:tc>
        <w:tc>
          <w:tcPr>
            <w:tcW w:w="1025" w:type="pct"/>
          </w:tcPr>
          <w:p w:rsidR="00523C7A" w:rsidRPr="00523C7A" w:rsidRDefault="00523C7A" w:rsidP="00523C7A">
            <w:pPr>
              <w:spacing w:before="60" w:after="60" w:line="240" w:lineRule="auto"/>
              <w:ind w:left="-1"/>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ER13-1149-000</w:t>
            </w:r>
            <w:r w:rsidRPr="00523C7A">
              <w:rPr>
                <w:rFonts w:ascii="Calibri" w:hAnsi="Calibri" w:cs="Arial"/>
                <w:bCs/>
                <w:color w:val="000000"/>
                <w:sz w:val="18"/>
                <w:szCs w:val="18"/>
              </w:rPr>
              <w:br/>
              <w:t>(March 22, 2013)</w:t>
            </w:r>
          </w:p>
        </w:tc>
        <w:tc>
          <w:tcPr>
            <w:tcW w:w="682" w:type="pct"/>
            <w:gridSpan w:val="2"/>
          </w:tcPr>
          <w:p w:rsidR="00523C7A" w:rsidRPr="00523C7A" w:rsidRDefault="00523C7A" w:rsidP="00523C7A">
            <w:pPr>
              <w:spacing w:before="60" w:after="60" w:line="240" w:lineRule="auto"/>
              <w:ind w:left="-2"/>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47</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Reliability Commitment Cost Recovery</w:t>
            </w:r>
          </w:p>
        </w:tc>
        <w:tc>
          <w:tcPr>
            <w:tcW w:w="956" w:type="pct"/>
          </w:tcPr>
          <w:p w:rsidR="00523C7A" w:rsidRPr="00523C7A" w:rsidRDefault="00523C7A" w:rsidP="00523C7A">
            <w:pPr>
              <w:spacing w:before="60" w:after="60" w:line="240" w:lineRule="auto"/>
              <w:ind w:left="2"/>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25, 2013</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EL13-72-000</w:t>
            </w:r>
            <w:r w:rsidRPr="00523C7A">
              <w:rPr>
                <w:rFonts w:ascii="Calibri" w:hAnsi="Calibri" w:cs="Arial"/>
                <w:bCs/>
                <w:color w:val="000000"/>
                <w:sz w:val="18"/>
                <w:szCs w:val="18"/>
              </w:rPr>
              <w:br/>
              <w:t>(August 13, 2013)</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Er13-2149-000</w:t>
            </w:r>
            <w:r w:rsidRPr="00523C7A">
              <w:rPr>
                <w:rFonts w:ascii="Calibri" w:hAnsi="Calibri" w:cs="Arial"/>
                <w:bCs/>
                <w:color w:val="000000"/>
                <w:sz w:val="18"/>
                <w:szCs w:val="18"/>
              </w:rPr>
              <w:br/>
              <w:t>(August 20, 2013)</w:t>
            </w:r>
          </w:p>
        </w:tc>
        <w:tc>
          <w:tcPr>
            <w:tcW w:w="682" w:type="pct"/>
            <w:gridSpan w:val="2"/>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3</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Regulation Market Opportunity Cost</w:t>
            </w:r>
            <w:r w:rsidRPr="00523C7A">
              <w:rPr>
                <w:rFonts w:ascii="Calibri" w:hAnsi="Calibri" w:cs="Arial"/>
                <w:bCs/>
                <w:color w:val="000000"/>
                <w:sz w:val="18"/>
                <w:szCs w:val="18"/>
                <w:vertAlign w:val="superscript"/>
              </w:rPr>
              <w:t xml:space="preserve"> </w:t>
            </w:r>
          </w:p>
        </w:tc>
        <w:tc>
          <w:tcPr>
            <w:tcW w:w="956" w:type="pct"/>
          </w:tcPr>
          <w:p w:rsidR="00523C7A" w:rsidRPr="00523C7A" w:rsidRDefault="00523C7A" w:rsidP="00523C7A">
            <w:pPr>
              <w:spacing w:before="60" w:after="60" w:line="240" w:lineRule="auto"/>
              <w:ind w:left="2"/>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July 2013</w:t>
            </w:r>
          </w:p>
        </w:tc>
        <w:tc>
          <w:tcPr>
            <w:tcW w:w="1025" w:type="pct"/>
          </w:tcPr>
          <w:p w:rsidR="00523C7A" w:rsidRPr="00523C7A" w:rsidRDefault="00523C7A" w:rsidP="00523C7A">
            <w:pPr>
              <w:spacing w:before="60" w:after="60" w:line="240" w:lineRule="auto"/>
              <w:ind w:left="-1"/>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ER13-1259-000</w:t>
            </w:r>
          </w:p>
          <w:p w:rsidR="00523C7A" w:rsidRPr="00523C7A" w:rsidRDefault="00523C7A" w:rsidP="00523C7A">
            <w:pPr>
              <w:spacing w:before="60" w:after="60" w:line="240" w:lineRule="auto"/>
              <w:ind w:left="-1"/>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(April 11. 2013)</w:t>
            </w:r>
          </w:p>
        </w:tc>
        <w:tc>
          <w:tcPr>
            <w:tcW w:w="682" w:type="pct"/>
            <w:gridSpan w:val="2"/>
          </w:tcPr>
          <w:p w:rsidR="00523C7A" w:rsidRPr="00523C7A" w:rsidRDefault="00523C7A" w:rsidP="00523C7A">
            <w:pPr>
              <w:spacing w:before="60" w:after="60" w:line="240" w:lineRule="auto"/>
              <w:ind w:left="-2"/>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Complete</w:t>
            </w:r>
          </w:p>
        </w:tc>
      </w:tr>
      <w:tr w:rsidR="00523C7A" w:rsidRPr="00523C7A" w:rsidTr="00121D2A">
        <w:trPr>
          <w:cnfStyle w:val="000000100000" w:firstRow="0" w:lastRow="0" w:firstColumn="0" w:lastColumn="0" w:oddVBand="0" w:evenVBand="0" w:oddHBand="1" w:evenHBand="0" w:firstRowFirstColumn="0" w:firstRowLastColumn="0" w:lastRowFirstColumn="0" w:lastRowLastColumn="0"/>
          <w:trHeight w:val="70"/>
          <w:jc w:val="center"/>
        </w:trPr>
        <w:tc>
          <w:tcPr>
            <w:tcW w:w="517" w:type="pct"/>
            <w:gridSpan w:val="2"/>
          </w:tcPr>
          <w:p w:rsidR="00523C7A" w:rsidRPr="00523C7A" w:rsidRDefault="00523C7A" w:rsidP="00523C7A">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22</w:t>
            </w:r>
          </w:p>
        </w:tc>
        <w:tc>
          <w:tcPr>
            <w:tcW w:w="1819" w:type="pct"/>
            <w:vAlign w:val="center"/>
          </w:tcPr>
          <w:p w:rsidR="00523C7A" w:rsidRPr="00523C7A" w:rsidRDefault="00523C7A" w:rsidP="00523C7A">
            <w:pPr>
              <w:spacing w:before="60" w:after="60" w:line="240" w:lineRule="auto"/>
              <w:rPr>
                <w:rFonts w:ascii="Calibri" w:hAnsi="Calibri" w:cs="Arial"/>
                <w:bCs/>
                <w:color w:val="000000"/>
                <w:sz w:val="18"/>
                <w:szCs w:val="18"/>
              </w:rPr>
            </w:pPr>
            <w:r w:rsidRPr="00523C7A">
              <w:rPr>
                <w:rFonts w:ascii="Calibri" w:hAnsi="Calibri" w:cs="Arial"/>
                <w:bCs/>
                <w:color w:val="000000"/>
                <w:sz w:val="18"/>
                <w:szCs w:val="18"/>
              </w:rPr>
              <w:t>PRD and Net Supply</w:t>
            </w:r>
          </w:p>
        </w:tc>
        <w:tc>
          <w:tcPr>
            <w:tcW w:w="956" w:type="pct"/>
            <w:vAlign w:val="center"/>
          </w:tcPr>
          <w:p w:rsidR="00523C7A" w:rsidRPr="00523C7A" w:rsidRDefault="00523C7A" w:rsidP="00523C7A">
            <w:pPr>
              <w:spacing w:before="60" w:after="60" w:line="240" w:lineRule="auto"/>
              <w:ind w:left="2"/>
              <w:jc w:val="center"/>
              <w:rPr>
                <w:rFonts w:ascii="Calibri" w:hAnsi="Calibri" w:cs="Arial"/>
                <w:bCs/>
                <w:color w:val="000000"/>
                <w:sz w:val="18"/>
                <w:szCs w:val="18"/>
              </w:rPr>
            </w:pPr>
            <w:r w:rsidRPr="00523C7A">
              <w:rPr>
                <w:rFonts w:ascii="Calibri" w:hAnsi="Calibri" w:cs="Arial"/>
                <w:bCs/>
                <w:color w:val="000000"/>
                <w:sz w:val="18"/>
                <w:szCs w:val="18"/>
              </w:rPr>
              <w:t>August 21, 2013</w:t>
            </w:r>
          </w:p>
        </w:tc>
        <w:tc>
          <w:tcPr>
            <w:tcW w:w="1025" w:type="pct"/>
            <w:vAlign w:val="center"/>
          </w:tcPr>
          <w:p w:rsidR="00523C7A" w:rsidRPr="00523C7A" w:rsidRDefault="00523C7A" w:rsidP="00523C7A">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ER13-1742-000</w:t>
            </w:r>
            <w:r w:rsidRPr="00523C7A">
              <w:rPr>
                <w:rFonts w:ascii="Calibri" w:hAnsi="Calibri" w:cs="Arial"/>
                <w:bCs/>
                <w:color w:val="000000"/>
                <w:sz w:val="18"/>
                <w:szCs w:val="18"/>
              </w:rPr>
              <w:br/>
              <w:t>(June 21, 2013)</w:t>
            </w:r>
          </w:p>
        </w:tc>
        <w:tc>
          <w:tcPr>
            <w:tcW w:w="682" w:type="pct"/>
            <w:gridSpan w:val="2"/>
            <w:vAlign w:val="center"/>
          </w:tcPr>
          <w:p w:rsidR="00523C7A" w:rsidRPr="00523C7A" w:rsidRDefault="00523C7A" w:rsidP="00523C7A">
            <w:pPr>
              <w:spacing w:before="60" w:after="60" w:line="240" w:lineRule="auto"/>
              <w:ind w:left="-2"/>
              <w:jc w:val="center"/>
              <w:rPr>
                <w:rFonts w:ascii="Calibri" w:hAnsi="Calibri" w:cs="Arial"/>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20</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Price-Responsive Demand: Full Integration Capacity Market Changes</w:t>
            </w:r>
          </w:p>
        </w:tc>
        <w:tc>
          <w:tcPr>
            <w:tcW w:w="956" w:type="pct"/>
          </w:tcPr>
          <w:p w:rsidR="00523C7A" w:rsidRPr="00523C7A" w:rsidRDefault="00523C7A" w:rsidP="00523C7A">
            <w:pPr>
              <w:spacing w:before="60" w:after="60" w:line="240" w:lineRule="auto"/>
              <w:ind w:left="2"/>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August 21, 2013</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ER13-1742-000</w:t>
            </w:r>
            <w:r w:rsidRPr="00523C7A">
              <w:rPr>
                <w:rFonts w:ascii="Calibri" w:hAnsi="Calibri" w:cs="Arial"/>
                <w:bCs/>
                <w:color w:val="000000"/>
                <w:sz w:val="18"/>
                <w:szCs w:val="18"/>
              </w:rPr>
              <w:br/>
              <w:t>(June 21, 2013)</w:t>
            </w:r>
          </w:p>
        </w:tc>
        <w:tc>
          <w:tcPr>
            <w:tcW w:w="682" w:type="pct"/>
            <w:gridSpan w:val="2"/>
          </w:tcPr>
          <w:p w:rsidR="00523C7A" w:rsidRPr="00523C7A" w:rsidRDefault="00523C7A" w:rsidP="00523C7A">
            <w:pPr>
              <w:spacing w:before="60" w:after="60" w:line="240" w:lineRule="auto"/>
              <w:ind w:left="-2"/>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cs="Arial"/>
                <w:bCs w:val="0"/>
                <w:color w:val="000000"/>
                <w:sz w:val="18"/>
                <w:szCs w:val="18"/>
              </w:rPr>
            </w:pPr>
            <w:r w:rsidRPr="00523C7A">
              <w:rPr>
                <w:rFonts w:ascii="Calibri" w:hAnsi="Calibri" w:cs="Arial"/>
                <w:bCs w:val="0"/>
                <w:color w:val="000000"/>
                <w:sz w:val="18"/>
                <w:szCs w:val="18"/>
              </w:rPr>
              <w:t>7</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Generation Capacity Auditing </w:t>
            </w:r>
          </w:p>
        </w:tc>
        <w:tc>
          <w:tcPr>
            <w:tcW w:w="956" w:type="pct"/>
          </w:tcPr>
          <w:p w:rsidR="00523C7A" w:rsidRDefault="00523C7A" w:rsidP="00523C7A">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Phase 1: </w:t>
            </w:r>
            <w:r w:rsidRPr="00523C7A">
              <w:rPr>
                <w:rFonts w:ascii="Calibri" w:hAnsi="Calibri" w:cs="Arial"/>
                <w:bCs/>
                <w:color w:val="000000"/>
                <w:sz w:val="18"/>
                <w:szCs w:val="18"/>
              </w:rPr>
              <w:br/>
              <w:t>December 2012</w:t>
            </w:r>
          </w:p>
          <w:p w:rsidR="009C3931" w:rsidRPr="00523C7A" w:rsidRDefault="009C3931" w:rsidP="00523C7A">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p>
          <w:p w:rsidR="00523C7A" w:rsidRPr="00523C7A" w:rsidRDefault="00523C7A" w:rsidP="00523C7A">
            <w:pPr>
              <w:spacing w:after="120" w:line="240" w:lineRule="auto"/>
              <w:ind w:left="22"/>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Phase 2: September 2013</w:t>
            </w:r>
          </w:p>
        </w:tc>
        <w:tc>
          <w:tcPr>
            <w:tcW w:w="1025" w:type="pct"/>
          </w:tcPr>
          <w:p w:rsidR="00523C7A" w:rsidRPr="00523C7A" w:rsidRDefault="00523C7A" w:rsidP="00523C7A">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p w:rsidR="00523C7A" w:rsidRPr="00523C7A" w:rsidRDefault="00523C7A" w:rsidP="00523C7A">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p>
          <w:p w:rsidR="00523C7A" w:rsidRPr="00523C7A" w:rsidRDefault="00523C7A" w:rsidP="00523C7A">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ER13-323-000</w:t>
            </w:r>
          </w:p>
          <w:p w:rsidR="00523C7A" w:rsidRPr="00523C7A" w:rsidRDefault="00523C7A" w:rsidP="00523C7A">
            <w:pPr>
              <w:spacing w:after="120" w:line="240" w:lineRule="auto"/>
              <w:ind w:left="13"/>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(November 6, 2012)</w:t>
            </w:r>
          </w:p>
        </w:tc>
        <w:tc>
          <w:tcPr>
            <w:tcW w:w="682" w:type="pct"/>
            <w:gridSpan w:val="2"/>
          </w:tcPr>
          <w:p w:rsidR="00523C7A" w:rsidRPr="00523C7A" w:rsidRDefault="00523C7A" w:rsidP="00523C7A">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51</w:t>
            </w:r>
          </w:p>
        </w:tc>
        <w:tc>
          <w:tcPr>
            <w:tcW w:w="1819" w:type="pct"/>
          </w:tcPr>
          <w:p w:rsidR="00523C7A" w:rsidRPr="00523C7A" w:rsidRDefault="00523C7A" w:rsidP="00523C7A">
            <w:pPr>
              <w:spacing w:after="0" w:line="240" w:lineRule="auto"/>
              <w:ind w:firstLine="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vertAlign w:val="superscript"/>
              </w:rPr>
            </w:pPr>
            <w:r w:rsidRPr="00523C7A">
              <w:rPr>
                <w:rFonts w:ascii="Calibri" w:hAnsi="Calibri" w:cs="Arial"/>
                <w:bCs/>
                <w:color w:val="000000"/>
                <w:sz w:val="18"/>
                <w:szCs w:val="18"/>
              </w:rPr>
              <w:t xml:space="preserve">Winter 2013/2014 Reliability Solutions </w:t>
            </w:r>
          </w:p>
          <w:p w:rsidR="00523C7A" w:rsidRPr="00523C7A" w:rsidRDefault="00523C7A" w:rsidP="00523C7A">
            <w:pPr>
              <w:spacing w:after="0" w:line="240" w:lineRule="auto"/>
              <w:ind w:firstLine="720"/>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p>
          <w:p w:rsidR="00523C7A" w:rsidRPr="00523C7A" w:rsidRDefault="00523C7A" w:rsidP="00523C7A">
            <w:pPr>
              <w:spacing w:after="0" w:line="240" w:lineRule="auto"/>
              <w:ind w:firstLine="720"/>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p>
          <w:p w:rsidR="00523C7A" w:rsidRPr="00523C7A" w:rsidRDefault="00523C7A" w:rsidP="00523C7A">
            <w:pPr>
              <w:spacing w:after="0" w:line="240" w:lineRule="auto"/>
              <w:ind w:firstLine="720"/>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p>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Winter 2013/2014 Reliability Solutions Compliance</w:t>
            </w:r>
          </w:p>
        </w:tc>
        <w:tc>
          <w:tcPr>
            <w:tcW w:w="956" w:type="pct"/>
          </w:tcPr>
          <w:p w:rsidR="00C80E98" w:rsidRDefault="00523C7A" w:rsidP="00C80E98">
            <w:pPr>
              <w:spacing w:before="60" w:after="60" w:line="240" w:lineRule="auto"/>
              <w:jc w:val="left"/>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August 27, 2013</w:t>
            </w:r>
            <w:r w:rsidRPr="00523C7A">
              <w:rPr>
                <w:rFonts w:ascii="Calibri" w:hAnsi="Calibri" w:cs="Arial"/>
                <w:bCs/>
                <w:color w:val="000000"/>
                <w:sz w:val="18"/>
                <w:szCs w:val="18"/>
              </w:rPr>
              <w:br/>
            </w:r>
            <w:r w:rsidRPr="00523C7A">
              <w:rPr>
                <w:rFonts w:ascii="Calibri" w:hAnsi="Calibri" w:cs="Arial"/>
                <w:bCs/>
                <w:color w:val="000000"/>
                <w:sz w:val="18"/>
                <w:szCs w:val="18"/>
              </w:rPr>
              <w:br/>
              <w:t>September 6, 2013</w:t>
            </w:r>
            <w:r w:rsidRPr="00523C7A">
              <w:rPr>
                <w:rFonts w:ascii="Calibri" w:hAnsi="Calibri" w:cs="Arial"/>
                <w:bCs/>
                <w:color w:val="000000"/>
                <w:sz w:val="18"/>
                <w:szCs w:val="18"/>
              </w:rPr>
              <w:br/>
            </w:r>
          </w:p>
          <w:p w:rsidR="00523C7A" w:rsidRPr="00523C7A" w:rsidRDefault="00523C7A" w:rsidP="00C80E98">
            <w:pPr>
              <w:spacing w:before="60" w:after="60" w:line="240" w:lineRule="auto"/>
              <w:jc w:val="left"/>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br/>
              <w:t>September 6, 2013</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ER13-1851-000</w:t>
            </w:r>
            <w:r w:rsidRPr="00523C7A">
              <w:rPr>
                <w:rFonts w:ascii="Calibri" w:hAnsi="Calibri" w:cs="Arial"/>
                <w:bCs/>
                <w:color w:val="000000"/>
                <w:sz w:val="18"/>
                <w:szCs w:val="18"/>
              </w:rPr>
              <w:br/>
              <w:t>(June 28, 2013)</w:t>
            </w:r>
            <w:r w:rsidRPr="00523C7A">
              <w:rPr>
                <w:rFonts w:ascii="Calibri" w:hAnsi="Calibri" w:cs="Arial"/>
                <w:bCs/>
                <w:color w:val="000000"/>
                <w:sz w:val="18"/>
                <w:szCs w:val="18"/>
              </w:rPr>
              <w:br/>
              <w:t>ER13-1851-001</w:t>
            </w:r>
            <w:r w:rsidRPr="00523C7A">
              <w:rPr>
                <w:rFonts w:ascii="Calibri" w:hAnsi="Calibri" w:cs="Arial"/>
                <w:bCs/>
                <w:i/>
                <w:color w:val="000000"/>
                <w:sz w:val="18"/>
                <w:szCs w:val="18"/>
              </w:rPr>
              <w:br/>
            </w:r>
            <w:r w:rsidRPr="00523C7A">
              <w:rPr>
                <w:rFonts w:ascii="Calibri" w:hAnsi="Calibri" w:cs="Arial"/>
                <w:bCs/>
                <w:color w:val="000000"/>
                <w:sz w:val="18"/>
                <w:szCs w:val="18"/>
              </w:rPr>
              <w:t>(August 9, 2013)</w:t>
            </w:r>
            <w:r w:rsidRPr="00523C7A">
              <w:rPr>
                <w:rFonts w:ascii="Calibri" w:hAnsi="Calibri" w:cs="Arial"/>
                <w:bCs/>
                <w:color w:val="000000"/>
                <w:sz w:val="18"/>
                <w:szCs w:val="18"/>
              </w:rPr>
              <w:br/>
            </w:r>
            <w:r w:rsidRPr="00523C7A">
              <w:rPr>
                <w:rFonts w:ascii="Calibri" w:hAnsi="Calibri" w:cs="Arial"/>
                <w:bCs/>
                <w:color w:val="000000"/>
                <w:sz w:val="18"/>
                <w:szCs w:val="18"/>
              </w:rPr>
              <w:br/>
              <w:t>ER13-1851-000</w:t>
            </w:r>
            <w:r w:rsidRPr="00523C7A">
              <w:rPr>
                <w:rFonts w:ascii="Calibri" w:hAnsi="Calibri" w:cs="Arial"/>
                <w:bCs/>
                <w:color w:val="000000"/>
                <w:sz w:val="18"/>
                <w:szCs w:val="18"/>
              </w:rPr>
              <w:br/>
              <w:t>(October 15, 2013)</w:t>
            </w:r>
          </w:p>
        </w:tc>
        <w:tc>
          <w:tcPr>
            <w:tcW w:w="682" w:type="pct"/>
            <w:gridSpan w:val="2"/>
          </w:tcPr>
          <w:p w:rsidR="00523C7A" w:rsidRPr="00523C7A" w:rsidRDefault="00523C7A"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r w:rsidRPr="00523C7A">
              <w:rPr>
                <w:rFonts w:ascii="Calibri" w:hAnsi="Calibri" w:cs="Arial"/>
                <w:bCs/>
                <w:color w:val="000000"/>
                <w:sz w:val="18"/>
                <w:szCs w:val="18"/>
              </w:rPr>
              <w:br/>
            </w:r>
            <w:r w:rsidRPr="00523C7A">
              <w:rPr>
                <w:rFonts w:ascii="Calibri" w:hAnsi="Calibri" w:cs="Arial"/>
                <w:bCs/>
                <w:color w:val="000000"/>
                <w:sz w:val="18"/>
                <w:szCs w:val="18"/>
              </w:rPr>
              <w:br/>
            </w:r>
            <w:r w:rsidRPr="00523C7A">
              <w:rPr>
                <w:rFonts w:ascii="Calibri" w:hAnsi="Calibri" w:cs="Arial"/>
                <w:bCs/>
                <w:color w:val="000000"/>
                <w:sz w:val="18"/>
                <w:szCs w:val="18"/>
              </w:rPr>
              <w:br/>
            </w:r>
            <w:r w:rsidRPr="00523C7A">
              <w:rPr>
                <w:rFonts w:ascii="Calibri" w:hAnsi="Calibri" w:cs="Arial"/>
                <w:bCs/>
                <w:color w:val="000000"/>
                <w:sz w:val="18"/>
                <w:szCs w:val="18"/>
              </w:rPr>
              <w:br/>
            </w:r>
            <w:r w:rsidRPr="00523C7A">
              <w:rPr>
                <w:rFonts w:ascii="Calibri" w:hAnsi="Calibri" w:cs="Arial"/>
                <w:bCs/>
                <w:color w:val="000000"/>
                <w:sz w:val="18"/>
                <w:szCs w:val="18"/>
              </w:rPr>
              <w:br/>
            </w: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cs="Arial"/>
                <w:bCs w:val="0"/>
                <w:color w:val="000000"/>
                <w:sz w:val="18"/>
                <w:szCs w:val="18"/>
              </w:rPr>
            </w:pPr>
            <w:r w:rsidRPr="00523C7A">
              <w:rPr>
                <w:rFonts w:ascii="Calibri" w:hAnsi="Calibri" w:cs="Arial"/>
                <w:bCs w:val="0"/>
                <w:color w:val="000000"/>
                <w:sz w:val="18"/>
                <w:szCs w:val="18"/>
              </w:rPr>
              <w:t>14</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Forward Capacity Auction #8</w:t>
            </w:r>
          </w:p>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Carry-Forward and Administrative Pricing</w:t>
            </w:r>
          </w:p>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Objective Function</w:t>
            </w:r>
          </w:p>
        </w:tc>
        <w:tc>
          <w:tcPr>
            <w:tcW w:w="956" w:type="pct"/>
          </w:tcPr>
          <w:p w:rsid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p w:rsidR="009C3931" w:rsidRPr="00523C7A" w:rsidRDefault="009C3931"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p>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September 2, 2013</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ER13-1880-000</w:t>
            </w:r>
            <w:r w:rsidRPr="00523C7A">
              <w:rPr>
                <w:rFonts w:ascii="Calibri" w:hAnsi="Calibri" w:cs="Arial"/>
                <w:bCs/>
                <w:color w:val="000000"/>
                <w:sz w:val="18"/>
                <w:szCs w:val="18"/>
              </w:rPr>
              <w:br/>
              <w:t>(July 1, 2013)</w:t>
            </w:r>
          </w:p>
        </w:tc>
        <w:tc>
          <w:tcPr>
            <w:tcW w:w="682" w:type="pct"/>
            <w:gridSpan w:val="2"/>
          </w:tcPr>
          <w:p w:rsidR="00523C7A" w:rsidRPr="00523C7A" w:rsidRDefault="00523C7A" w:rsidP="00523C7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No action taken</w:t>
            </w:r>
          </w:p>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17</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lang w:val="fr-CM"/>
              </w:rPr>
              <w:t xml:space="preserve">Import </w:t>
            </w:r>
            <w:r w:rsidRPr="00523C7A">
              <w:rPr>
                <w:rFonts w:ascii="Calibri" w:hAnsi="Calibri" w:cs="Arial"/>
                <w:bCs/>
                <w:color w:val="000000"/>
                <w:sz w:val="18"/>
                <w:szCs w:val="18"/>
              </w:rPr>
              <w:t>Capacity Resource Qualification Documentation</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September 23, 2013</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16</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Forward Reserve Market (FRM) Incentives</w:t>
            </w:r>
            <w:r w:rsidRPr="00523C7A">
              <w:rPr>
                <w:rFonts w:ascii="Calibri" w:hAnsi="Calibri" w:cs="Arial"/>
                <w:bCs/>
                <w:color w:val="000000"/>
                <w:sz w:val="18"/>
                <w:szCs w:val="18"/>
                <w:vertAlign w:val="superscript"/>
              </w:rPr>
              <w:t xml:space="preserve"> </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October 1, 2013</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ER13-1733-000</w:t>
            </w:r>
            <w:r w:rsidRPr="00523C7A">
              <w:rPr>
                <w:rFonts w:ascii="Calibri" w:hAnsi="Calibri" w:cs="Arial"/>
                <w:bCs/>
                <w:color w:val="000000"/>
                <w:sz w:val="18"/>
                <w:szCs w:val="18"/>
              </w:rPr>
              <w:br/>
              <w:t>(June 20, 2013)</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25</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TMOR RCPF &amp; Replacement Reserve</w:t>
            </w:r>
            <w:r w:rsidRPr="00523C7A">
              <w:rPr>
                <w:rFonts w:ascii="Calibri" w:hAnsi="Calibri" w:cs="Arial"/>
                <w:bCs/>
                <w:color w:val="000000"/>
                <w:sz w:val="18"/>
                <w:szCs w:val="18"/>
                <w:vertAlign w:val="superscript"/>
              </w:rPr>
              <w:t xml:space="preserve"> </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October 1, 2013</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ER13-1736-000</w:t>
            </w:r>
            <w:r w:rsidRPr="00523C7A">
              <w:rPr>
                <w:rFonts w:ascii="Calibri" w:hAnsi="Calibri" w:cs="Arial"/>
                <w:bCs/>
                <w:color w:val="000000"/>
                <w:sz w:val="18"/>
                <w:szCs w:val="18"/>
              </w:rPr>
              <w:br/>
              <w:t>(June 20, 2013)</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37</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Shortage-Event Triggers</w:t>
            </w:r>
            <w:r w:rsidRPr="00523C7A">
              <w:rPr>
                <w:rFonts w:ascii="Calibri" w:hAnsi="Calibri" w:cs="Arial"/>
                <w:bCs/>
                <w:color w:val="000000"/>
                <w:sz w:val="18"/>
                <w:szCs w:val="18"/>
                <w:vertAlign w:val="superscript"/>
              </w:rPr>
              <w:t xml:space="preserve"> </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October 4, 2013</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ER13-2313-000</w:t>
            </w:r>
            <w:r w:rsidRPr="00523C7A">
              <w:rPr>
                <w:rFonts w:ascii="Calibri" w:hAnsi="Calibri" w:cs="Arial"/>
                <w:bCs/>
                <w:color w:val="000000"/>
                <w:sz w:val="18"/>
                <w:szCs w:val="18"/>
              </w:rPr>
              <w:br/>
              <w:t>(September 4, 2013)</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24</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Tie-Line Name Clean-Up</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October 6, 2013</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ER13-2113-000</w:t>
            </w:r>
            <w:r w:rsidRPr="00523C7A">
              <w:rPr>
                <w:rFonts w:ascii="Calibri" w:hAnsi="Calibri" w:cs="Arial"/>
                <w:bCs/>
                <w:color w:val="000000"/>
                <w:sz w:val="18"/>
                <w:szCs w:val="18"/>
              </w:rPr>
              <w:br/>
              <w:t>(August 6, 2013)</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lastRenderedPageBreak/>
              <w:t>43</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Net Metered Generator Auditing</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October 7, 2013</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ER13-2110-000</w:t>
            </w:r>
            <w:r w:rsidRPr="00523C7A">
              <w:rPr>
                <w:rFonts w:ascii="Calibri" w:hAnsi="Calibri" w:cs="Arial"/>
                <w:bCs/>
                <w:color w:val="000000"/>
                <w:sz w:val="18"/>
                <w:szCs w:val="18"/>
              </w:rPr>
              <w:br/>
              <w:t>(August 5, 2013)</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Complete</w:t>
            </w:r>
          </w:p>
        </w:tc>
      </w:tr>
      <w:tr w:rsidR="00523C7A" w:rsidRPr="00523C7A" w:rsidTr="009C3931">
        <w:trPr>
          <w:cnfStyle w:val="000000010000" w:firstRow="0" w:lastRow="0" w:firstColumn="0" w:lastColumn="0" w:oddVBand="0" w:evenVBand="0" w:oddHBand="0" w:evenHBand="1" w:firstRowFirstColumn="0" w:firstRowLastColumn="0" w:lastRowFirstColumn="0" w:lastRowLastColumn="0"/>
          <w:trHeight w:val="70"/>
          <w:jc w:val="center"/>
        </w:trPr>
        <w:tc>
          <w:tcPr>
            <w:tcW w:w="517" w:type="pct"/>
            <w:gridSpan w:val="2"/>
            <w:vAlign w:val="center"/>
          </w:tcPr>
          <w:p w:rsidR="00523C7A" w:rsidRPr="00523C7A" w:rsidRDefault="00523C7A" w:rsidP="009C3931">
            <w:pPr>
              <w:spacing w:before="60" w:after="60" w:line="240" w:lineRule="auto"/>
              <w:ind w:left="-205" w:right="-239"/>
              <w:jc w:val="center"/>
              <w:rPr>
                <w:rFonts w:ascii="Calibri" w:hAnsi="Calibri" w:cs="Arial"/>
                <w:bCs/>
                <w:color w:val="000000"/>
                <w:sz w:val="18"/>
                <w:szCs w:val="18"/>
              </w:rPr>
            </w:pPr>
            <w:r w:rsidRPr="00523C7A">
              <w:rPr>
                <w:rFonts w:ascii="Calibri" w:hAnsi="Calibri" w:cs="Arial"/>
                <w:bCs/>
                <w:color w:val="000000"/>
                <w:sz w:val="18"/>
                <w:szCs w:val="18"/>
              </w:rPr>
              <w:t>60</w:t>
            </w:r>
          </w:p>
        </w:tc>
        <w:tc>
          <w:tcPr>
            <w:tcW w:w="1819" w:type="pct"/>
            <w:vAlign w:val="center"/>
          </w:tcPr>
          <w:p w:rsidR="00523C7A" w:rsidRPr="00523C7A" w:rsidRDefault="00523C7A" w:rsidP="009C3931">
            <w:pPr>
              <w:spacing w:before="60" w:after="60" w:line="240" w:lineRule="auto"/>
              <w:rPr>
                <w:rFonts w:ascii="Calibri" w:hAnsi="Calibri" w:cs="Arial"/>
                <w:bCs/>
                <w:color w:val="000000"/>
                <w:sz w:val="18"/>
                <w:szCs w:val="18"/>
              </w:rPr>
            </w:pPr>
            <w:r w:rsidRPr="00523C7A">
              <w:rPr>
                <w:rFonts w:ascii="Calibri" w:hAnsi="Calibri" w:cs="Arial"/>
                <w:bCs/>
                <w:color w:val="000000"/>
                <w:sz w:val="18"/>
                <w:szCs w:val="18"/>
              </w:rPr>
              <w:t>Non-Commercial Resource Treatment</w:t>
            </w:r>
          </w:p>
        </w:tc>
        <w:tc>
          <w:tcPr>
            <w:tcW w:w="956" w:type="pct"/>
            <w:vAlign w:val="center"/>
          </w:tcPr>
          <w:p w:rsidR="00523C7A" w:rsidRPr="00523C7A" w:rsidRDefault="00523C7A" w:rsidP="009C3931">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2014</w:t>
            </w:r>
          </w:p>
        </w:tc>
        <w:tc>
          <w:tcPr>
            <w:tcW w:w="1025" w:type="pct"/>
            <w:vAlign w:val="center"/>
          </w:tcPr>
          <w:p w:rsidR="00523C7A" w:rsidRPr="00523C7A" w:rsidRDefault="00523C7A" w:rsidP="009C3931">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ER14-2440-00</w:t>
            </w:r>
            <w:r w:rsidRPr="00523C7A">
              <w:rPr>
                <w:rFonts w:ascii="Calibri" w:hAnsi="Calibri" w:cs="Arial"/>
                <w:bCs/>
                <w:color w:val="000000"/>
                <w:sz w:val="18"/>
                <w:szCs w:val="18"/>
              </w:rPr>
              <w:br/>
              <w:t>(July 16, 2014)</w:t>
            </w:r>
          </w:p>
        </w:tc>
        <w:tc>
          <w:tcPr>
            <w:tcW w:w="682" w:type="pct"/>
            <w:gridSpan w:val="2"/>
            <w:vAlign w:val="center"/>
          </w:tcPr>
          <w:p w:rsidR="00523C7A" w:rsidRPr="00523C7A" w:rsidRDefault="00523C7A" w:rsidP="009C3931">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205" w:right="-239"/>
              <w:jc w:val="center"/>
              <w:rPr>
                <w:rFonts w:ascii="Calibri" w:hAnsi="Calibri" w:cs="Arial"/>
                <w:bCs w:val="0"/>
                <w:color w:val="000000"/>
                <w:sz w:val="18"/>
                <w:szCs w:val="18"/>
              </w:rPr>
            </w:pPr>
            <w:r w:rsidRPr="00523C7A">
              <w:rPr>
                <w:rFonts w:ascii="Calibri" w:hAnsi="Calibri" w:cs="Arial"/>
                <w:bCs w:val="0"/>
                <w:color w:val="000000"/>
                <w:sz w:val="18"/>
                <w:szCs w:val="18"/>
              </w:rPr>
              <w:t>57</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Gas Pipeline Information Sharing</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11, 2014</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ER14-970-000</w:t>
            </w:r>
            <w:r w:rsidRPr="00523C7A">
              <w:rPr>
                <w:rFonts w:ascii="Calibri" w:hAnsi="Calibri" w:cs="Arial"/>
                <w:bCs/>
                <w:color w:val="000000"/>
                <w:sz w:val="18"/>
                <w:szCs w:val="18"/>
              </w:rPr>
              <w:br/>
              <w:t>(January 10, 2014)</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205" w:right="-239"/>
              <w:jc w:val="center"/>
              <w:rPr>
                <w:rFonts w:ascii="Calibri" w:hAnsi="Calibri" w:cs="Arial"/>
                <w:bCs w:val="0"/>
                <w:color w:val="000000"/>
                <w:sz w:val="18"/>
                <w:szCs w:val="18"/>
              </w:rPr>
            </w:pPr>
            <w:r w:rsidRPr="00523C7A">
              <w:rPr>
                <w:rFonts w:ascii="Calibri" w:hAnsi="Calibri" w:cs="Arial"/>
                <w:bCs w:val="0"/>
                <w:color w:val="000000"/>
                <w:sz w:val="18"/>
                <w:szCs w:val="18"/>
              </w:rPr>
              <w:t>40</w:t>
            </w:r>
          </w:p>
        </w:tc>
        <w:tc>
          <w:tcPr>
            <w:tcW w:w="1819" w:type="pct"/>
          </w:tcPr>
          <w:p w:rsidR="00523C7A" w:rsidRPr="00523C7A" w:rsidRDefault="00523C7A" w:rsidP="00523C7A">
            <w:pPr>
              <w:spacing w:before="60" w:after="60" w:line="240" w:lineRule="auto"/>
              <w:ind w:left="-26"/>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NCPC Local Second-Contingency Protection Resource (LSCPR) Cost Allocation</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23, 2014</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ER14-584-000</w:t>
            </w:r>
            <w:r w:rsidRPr="00523C7A">
              <w:rPr>
                <w:rFonts w:ascii="Calibri" w:hAnsi="Calibri" w:cs="Arial"/>
                <w:bCs/>
                <w:color w:val="000000"/>
                <w:sz w:val="18"/>
                <w:szCs w:val="18"/>
              </w:rPr>
              <w:br/>
              <w:t>(December 9, 2013)</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10</w:t>
            </w:r>
          </w:p>
        </w:tc>
        <w:tc>
          <w:tcPr>
            <w:tcW w:w="1819" w:type="pct"/>
          </w:tcPr>
          <w:p w:rsidR="00523C7A" w:rsidRPr="00523C7A" w:rsidRDefault="00523C7A" w:rsidP="00523C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Estimated Capacity Requirement</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March 1, 2014</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205" w:right="-239"/>
              <w:jc w:val="center"/>
              <w:rPr>
                <w:rFonts w:ascii="Calibri" w:hAnsi="Calibri" w:cs="Arial"/>
                <w:bCs w:val="0"/>
                <w:color w:val="000000"/>
                <w:sz w:val="18"/>
                <w:szCs w:val="18"/>
              </w:rPr>
            </w:pPr>
            <w:r w:rsidRPr="00523C7A">
              <w:rPr>
                <w:rFonts w:ascii="Calibri" w:hAnsi="Calibri" w:cs="Arial"/>
                <w:bCs w:val="0"/>
                <w:color w:val="000000"/>
                <w:sz w:val="18"/>
                <w:szCs w:val="18"/>
              </w:rPr>
              <w:t>38</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Fuel Switching: Use of Reference Level as the Supply Offer </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March 1, 2014</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ER14-707-000</w:t>
            </w:r>
            <w:r w:rsidRPr="00523C7A">
              <w:rPr>
                <w:rFonts w:ascii="Calibri" w:hAnsi="Calibri" w:cs="Arial"/>
                <w:bCs/>
                <w:color w:val="000000"/>
                <w:sz w:val="18"/>
                <w:szCs w:val="18"/>
              </w:rPr>
              <w:br/>
              <w:t>(December 20, 2013)</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26</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Capacity Zone Modeling</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April 28, 2014</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ER12-953-004</w:t>
            </w:r>
            <w:r w:rsidRPr="00523C7A">
              <w:rPr>
                <w:rFonts w:ascii="Calibri" w:hAnsi="Calibri" w:cs="Arial"/>
                <w:bCs/>
                <w:color w:val="000000"/>
                <w:sz w:val="18"/>
                <w:szCs w:val="18"/>
              </w:rPr>
              <w:br/>
              <w:t>(January 31, 2014)</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35</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Performance Incentives</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2014</w:t>
            </w:r>
          </w:p>
        </w:tc>
        <w:tc>
          <w:tcPr>
            <w:tcW w:w="1025" w:type="pct"/>
          </w:tcPr>
          <w:p w:rsidR="00523C7A" w:rsidRPr="00523C7A" w:rsidRDefault="00523C7A"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ER14-2419-000</w:t>
            </w:r>
          </w:p>
          <w:p w:rsidR="00523C7A" w:rsidRPr="00523C7A" w:rsidRDefault="00523C7A"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ER14-2419-001</w:t>
            </w:r>
          </w:p>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17, 2014)</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28</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Demand-Response: Asset Auditing and FCM Financial Assurance</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1, 2014</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ER14-581-000</w:t>
            </w:r>
            <w:r w:rsidRPr="00523C7A">
              <w:rPr>
                <w:rFonts w:ascii="Calibri" w:hAnsi="Calibri" w:cs="Arial"/>
                <w:bCs/>
                <w:color w:val="000000"/>
                <w:sz w:val="18"/>
                <w:szCs w:val="18"/>
              </w:rPr>
              <w:br/>
              <w:t>(December 9, 2013)</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9C3931">
        <w:trPr>
          <w:cnfStyle w:val="000000010000" w:firstRow="0" w:lastRow="0" w:firstColumn="0" w:lastColumn="0" w:oddVBand="0" w:evenVBand="0" w:oddHBand="0" w:evenHBand="1" w:firstRowFirstColumn="0" w:firstRowLastColumn="0" w:lastRowFirstColumn="0" w:lastRowLastColumn="0"/>
          <w:trHeight w:val="70"/>
          <w:jc w:val="center"/>
        </w:trPr>
        <w:tc>
          <w:tcPr>
            <w:tcW w:w="517" w:type="pct"/>
            <w:gridSpan w:val="2"/>
            <w:vAlign w:val="center"/>
          </w:tcPr>
          <w:p w:rsidR="00523C7A" w:rsidRPr="00523C7A" w:rsidRDefault="00523C7A" w:rsidP="00523C7A">
            <w:pPr>
              <w:spacing w:before="60" w:after="60" w:line="240" w:lineRule="auto"/>
              <w:ind w:left="-86"/>
              <w:jc w:val="center"/>
              <w:rPr>
                <w:rFonts w:ascii="Calibri" w:hAnsi="Calibri" w:cs="Arial"/>
                <w:bCs/>
                <w:color w:val="000000"/>
                <w:sz w:val="18"/>
                <w:szCs w:val="18"/>
              </w:rPr>
            </w:pPr>
            <w:r w:rsidRPr="00523C7A">
              <w:rPr>
                <w:rFonts w:ascii="Calibri" w:hAnsi="Calibri" w:cs="Arial"/>
                <w:bCs/>
                <w:color w:val="000000"/>
                <w:sz w:val="18"/>
                <w:szCs w:val="18"/>
              </w:rPr>
              <w:t>29</w:t>
            </w:r>
          </w:p>
        </w:tc>
        <w:tc>
          <w:tcPr>
            <w:tcW w:w="1819" w:type="pct"/>
            <w:vAlign w:val="center"/>
          </w:tcPr>
          <w:p w:rsidR="00523C7A" w:rsidRPr="00523C7A" w:rsidRDefault="00523C7A" w:rsidP="00523C7A">
            <w:pPr>
              <w:spacing w:before="60" w:after="60" w:line="240" w:lineRule="auto"/>
              <w:ind w:firstLine="1"/>
              <w:rPr>
                <w:rFonts w:ascii="Calibri" w:hAnsi="Calibri" w:cs="Arial"/>
                <w:bCs/>
                <w:color w:val="000000"/>
                <w:sz w:val="18"/>
                <w:szCs w:val="18"/>
              </w:rPr>
            </w:pPr>
            <w:r w:rsidRPr="00523C7A">
              <w:rPr>
                <w:rFonts w:ascii="Calibri" w:hAnsi="Calibri" w:cs="Arial"/>
                <w:bCs/>
                <w:color w:val="000000"/>
                <w:sz w:val="18"/>
                <w:szCs w:val="18"/>
              </w:rPr>
              <w:t>Demand-Response Baseline and Outages</w:t>
            </w:r>
          </w:p>
        </w:tc>
        <w:tc>
          <w:tcPr>
            <w:tcW w:w="956" w:type="pct"/>
            <w:vAlign w:val="center"/>
          </w:tcPr>
          <w:p w:rsidR="00523C7A" w:rsidRPr="00523C7A" w:rsidRDefault="00523C7A" w:rsidP="00523C7A">
            <w:pPr>
              <w:spacing w:before="60" w:after="60" w:line="240" w:lineRule="auto"/>
              <w:ind w:left="19"/>
              <w:jc w:val="center"/>
              <w:rPr>
                <w:rFonts w:ascii="Calibri" w:hAnsi="Calibri" w:cs="Arial"/>
                <w:bCs/>
                <w:color w:val="000000"/>
                <w:sz w:val="18"/>
                <w:szCs w:val="18"/>
              </w:rPr>
            </w:pPr>
            <w:r w:rsidRPr="00523C7A">
              <w:rPr>
                <w:rFonts w:ascii="Calibri" w:hAnsi="Calibri" w:cs="Arial"/>
                <w:bCs/>
                <w:color w:val="000000"/>
                <w:sz w:val="18"/>
                <w:szCs w:val="18"/>
              </w:rPr>
              <w:t>June 1, 2014</w:t>
            </w:r>
          </w:p>
        </w:tc>
        <w:tc>
          <w:tcPr>
            <w:tcW w:w="1025" w:type="pct"/>
            <w:vAlign w:val="center"/>
          </w:tcPr>
          <w:p w:rsidR="00523C7A" w:rsidRPr="00523C7A" w:rsidRDefault="00523C7A" w:rsidP="00523C7A">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ER14-727-000</w:t>
            </w:r>
            <w:r w:rsidRPr="00523C7A">
              <w:rPr>
                <w:rFonts w:ascii="Calibri" w:hAnsi="Calibri" w:cs="Arial"/>
                <w:bCs/>
                <w:color w:val="000000"/>
                <w:sz w:val="18"/>
                <w:szCs w:val="18"/>
              </w:rPr>
              <w:br/>
              <w:t>(December 20, 2013)</w:t>
            </w:r>
          </w:p>
          <w:p w:rsidR="00523C7A" w:rsidRPr="00523C7A" w:rsidRDefault="00523C7A" w:rsidP="00523C7A">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ER14-1659-000</w:t>
            </w:r>
            <w:r w:rsidRPr="00523C7A">
              <w:rPr>
                <w:rFonts w:ascii="Calibri" w:hAnsi="Calibri" w:cs="Arial"/>
                <w:bCs/>
                <w:color w:val="000000"/>
                <w:sz w:val="18"/>
                <w:szCs w:val="18"/>
              </w:rPr>
              <w:br/>
              <w:t>(April 4, 2014)</w:t>
            </w:r>
          </w:p>
          <w:p w:rsidR="00523C7A" w:rsidRPr="00523C7A" w:rsidRDefault="00523C7A" w:rsidP="00523C7A">
            <w:pPr>
              <w:spacing w:before="60" w:after="60" w:line="240" w:lineRule="auto"/>
              <w:ind w:hanging="16"/>
              <w:jc w:val="center"/>
              <w:rPr>
                <w:rFonts w:ascii="Calibri" w:hAnsi="Calibri" w:cs="Arial"/>
                <w:bCs/>
                <w:color w:val="000000"/>
                <w:sz w:val="18"/>
                <w:szCs w:val="18"/>
              </w:rPr>
            </w:pPr>
            <w:r w:rsidRPr="00523C7A">
              <w:rPr>
                <w:rFonts w:ascii="Calibri" w:hAnsi="Calibri" w:cs="Arial"/>
                <w:bCs/>
                <w:color w:val="000000"/>
                <w:sz w:val="18"/>
                <w:szCs w:val="18"/>
              </w:rPr>
              <w:t>ER14-727-001</w:t>
            </w:r>
            <w:r w:rsidRPr="00523C7A">
              <w:rPr>
                <w:rFonts w:ascii="Calibri" w:hAnsi="Calibri" w:cs="Arial"/>
                <w:bCs/>
                <w:color w:val="000000"/>
                <w:sz w:val="18"/>
                <w:szCs w:val="18"/>
              </w:rPr>
              <w:br/>
              <w:t>(May 1, 2014)</w:t>
            </w:r>
          </w:p>
        </w:tc>
        <w:tc>
          <w:tcPr>
            <w:tcW w:w="682" w:type="pct"/>
            <w:gridSpan w:val="2"/>
            <w:vAlign w:val="center"/>
          </w:tcPr>
          <w:p w:rsidR="00523C7A" w:rsidRPr="00523C7A" w:rsidRDefault="00523C7A" w:rsidP="009C3931">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rPr>
          <w:cnfStyle w:val="000000100000" w:firstRow="0" w:lastRow="0" w:firstColumn="0" w:lastColumn="0" w:oddVBand="0" w:evenVBand="0" w:oddHBand="1" w:evenHBand="0" w:firstRowFirstColumn="0" w:firstRowLastColumn="0" w:lastRowFirstColumn="0" w:lastRowLastColumn="0"/>
          <w:trHeight w:val="70"/>
          <w:jc w:val="center"/>
        </w:trPr>
        <w:tc>
          <w:tcPr>
            <w:tcW w:w="517" w:type="pct"/>
            <w:gridSpan w:val="2"/>
          </w:tcPr>
          <w:p w:rsidR="00523C7A" w:rsidRPr="00523C7A" w:rsidRDefault="00523C7A" w:rsidP="00523C7A">
            <w:pPr>
              <w:spacing w:before="60" w:after="60" w:line="240" w:lineRule="auto"/>
              <w:ind w:left="-86"/>
              <w:jc w:val="center"/>
              <w:rPr>
                <w:rFonts w:ascii="Calibri" w:hAnsi="Calibri" w:cs="Arial"/>
                <w:bCs/>
                <w:color w:val="000000"/>
                <w:sz w:val="18"/>
                <w:szCs w:val="18"/>
              </w:rPr>
            </w:pPr>
            <w:r w:rsidRPr="00523C7A">
              <w:rPr>
                <w:rFonts w:ascii="Calibri" w:hAnsi="Calibri" w:cs="Arial"/>
                <w:bCs/>
                <w:color w:val="000000"/>
                <w:sz w:val="18"/>
                <w:szCs w:val="18"/>
              </w:rPr>
              <w:t>44</w:t>
            </w:r>
          </w:p>
        </w:tc>
        <w:tc>
          <w:tcPr>
            <w:tcW w:w="1819" w:type="pct"/>
          </w:tcPr>
          <w:p w:rsidR="00523C7A" w:rsidRPr="00523C7A" w:rsidRDefault="00523C7A" w:rsidP="00523C7A">
            <w:pPr>
              <w:spacing w:before="60" w:after="60" w:line="240" w:lineRule="auto"/>
              <w:ind w:firstLine="1"/>
              <w:rPr>
                <w:rFonts w:ascii="Calibri" w:hAnsi="Calibri" w:cs="Arial"/>
                <w:bCs/>
                <w:color w:val="000000"/>
                <w:sz w:val="18"/>
                <w:szCs w:val="18"/>
              </w:rPr>
            </w:pPr>
            <w:r w:rsidRPr="00523C7A">
              <w:rPr>
                <w:rFonts w:ascii="Calibri" w:hAnsi="Calibri" w:cs="Arial"/>
                <w:bCs/>
                <w:color w:val="000000"/>
                <w:sz w:val="18"/>
                <w:szCs w:val="18"/>
              </w:rPr>
              <w:t>Nonprice Retirement Request Timeline</w:t>
            </w:r>
          </w:p>
        </w:tc>
        <w:tc>
          <w:tcPr>
            <w:tcW w:w="956" w:type="pct"/>
          </w:tcPr>
          <w:p w:rsidR="00523C7A" w:rsidRPr="00523C7A" w:rsidRDefault="00523C7A" w:rsidP="00523C7A">
            <w:pPr>
              <w:spacing w:before="60" w:after="60" w:line="240" w:lineRule="auto"/>
              <w:ind w:left="19"/>
              <w:jc w:val="center"/>
              <w:rPr>
                <w:rFonts w:ascii="Calibri" w:hAnsi="Calibri" w:cs="Arial"/>
                <w:bCs/>
                <w:color w:val="000000"/>
                <w:sz w:val="18"/>
                <w:szCs w:val="18"/>
              </w:rPr>
            </w:pPr>
            <w:r w:rsidRPr="00523C7A">
              <w:rPr>
                <w:rFonts w:ascii="Calibri" w:hAnsi="Calibri" w:cs="Arial"/>
                <w:bCs/>
                <w:color w:val="000000"/>
                <w:sz w:val="18"/>
                <w:szCs w:val="18"/>
              </w:rPr>
              <w:t>June 9, 2014</w:t>
            </w:r>
          </w:p>
        </w:tc>
        <w:tc>
          <w:tcPr>
            <w:tcW w:w="1025" w:type="pct"/>
          </w:tcPr>
          <w:p w:rsidR="00523C7A" w:rsidRPr="00523C7A" w:rsidRDefault="00523C7A" w:rsidP="00523C7A">
            <w:pPr>
              <w:spacing w:before="60" w:after="60" w:line="240" w:lineRule="auto"/>
              <w:ind w:hanging="16"/>
              <w:jc w:val="center"/>
              <w:rPr>
                <w:rFonts w:ascii="Calibri" w:hAnsi="Calibri" w:cs="Arial"/>
                <w:bCs/>
                <w:color w:val="000000"/>
                <w:sz w:val="18"/>
                <w:szCs w:val="18"/>
              </w:rPr>
            </w:pPr>
            <w:r w:rsidRPr="00523C7A">
              <w:rPr>
                <w:rFonts w:ascii="Calibri" w:hAnsi="Calibri" w:cs="Arial"/>
                <w:bCs/>
                <w:color w:val="000000"/>
                <w:sz w:val="18"/>
                <w:szCs w:val="18"/>
              </w:rPr>
              <w:t>ER14-1693-000</w:t>
            </w:r>
            <w:r w:rsidRPr="00523C7A">
              <w:rPr>
                <w:rFonts w:ascii="Calibri" w:hAnsi="Calibri" w:cs="Arial"/>
                <w:bCs/>
                <w:color w:val="000000"/>
                <w:sz w:val="18"/>
                <w:szCs w:val="18"/>
              </w:rPr>
              <w:br/>
              <w:t>(April 9, 2014)</w:t>
            </w:r>
          </w:p>
        </w:tc>
        <w:tc>
          <w:tcPr>
            <w:tcW w:w="682" w:type="pct"/>
            <w:gridSpan w:val="2"/>
          </w:tcPr>
          <w:p w:rsidR="00523C7A" w:rsidRPr="00523C7A" w:rsidRDefault="00523C7A" w:rsidP="00523C7A">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9C3931">
        <w:trPr>
          <w:cnfStyle w:val="000000010000" w:firstRow="0" w:lastRow="0" w:firstColumn="0" w:lastColumn="0" w:oddVBand="0" w:evenVBand="0" w:oddHBand="0" w:evenHBand="1" w:firstRowFirstColumn="0" w:firstRowLastColumn="0" w:lastRowFirstColumn="0" w:lastRowLastColumn="0"/>
          <w:trHeight w:val="70"/>
          <w:jc w:val="center"/>
        </w:trPr>
        <w:tc>
          <w:tcPr>
            <w:tcW w:w="517" w:type="pct"/>
            <w:gridSpan w:val="2"/>
            <w:vAlign w:val="center"/>
          </w:tcPr>
          <w:p w:rsidR="00523C7A" w:rsidRPr="00523C7A" w:rsidRDefault="00523C7A" w:rsidP="009C3931">
            <w:pPr>
              <w:spacing w:before="60" w:after="60" w:line="240" w:lineRule="auto"/>
              <w:ind w:left="-86"/>
              <w:jc w:val="center"/>
              <w:rPr>
                <w:rFonts w:ascii="Calibri" w:hAnsi="Calibri" w:cs="Arial"/>
                <w:bCs/>
                <w:color w:val="000000"/>
                <w:sz w:val="18"/>
                <w:szCs w:val="18"/>
              </w:rPr>
            </w:pPr>
            <w:r w:rsidRPr="00523C7A">
              <w:rPr>
                <w:rFonts w:ascii="Calibri" w:hAnsi="Calibri" w:cs="Arial"/>
                <w:bCs/>
                <w:color w:val="000000"/>
                <w:sz w:val="18"/>
                <w:szCs w:val="18"/>
              </w:rPr>
              <w:t>66</w:t>
            </w:r>
          </w:p>
        </w:tc>
        <w:tc>
          <w:tcPr>
            <w:tcW w:w="1819" w:type="pct"/>
            <w:vAlign w:val="center"/>
          </w:tcPr>
          <w:p w:rsidR="00523C7A" w:rsidRPr="00523C7A" w:rsidRDefault="00523C7A" w:rsidP="009C3931">
            <w:pPr>
              <w:spacing w:before="60" w:after="60" w:line="240" w:lineRule="auto"/>
              <w:ind w:left="1"/>
              <w:rPr>
                <w:rFonts w:ascii="Calibri" w:hAnsi="Calibri" w:cs="Arial"/>
                <w:bCs/>
                <w:color w:val="000000"/>
                <w:sz w:val="18"/>
                <w:szCs w:val="18"/>
              </w:rPr>
            </w:pPr>
            <w:r w:rsidRPr="00523C7A">
              <w:rPr>
                <w:rFonts w:ascii="Calibri" w:hAnsi="Calibri" w:cs="Arial"/>
                <w:bCs/>
                <w:color w:val="000000"/>
                <w:sz w:val="18"/>
                <w:szCs w:val="18"/>
              </w:rPr>
              <w:t>Dual-Fuel Resource Auditing</w:t>
            </w:r>
          </w:p>
        </w:tc>
        <w:tc>
          <w:tcPr>
            <w:tcW w:w="956" w:type="pct"/>
            <w:vAlign w:val="center"/>
          </w:tcPr>
          <w:p w:rsidR="00523C7A" w:rsidRPr="00523C7A" w:rsidRDefault="00523C7A" w:rsidP="009C3931">
            <w:pPr>
              <w:spacing w:before="60" w:after="60" w:line="240" w:lineRule="auto"/>
              <w:ind w:left="-86"/>
              <w:jc w:val="center"/>
              <w:rPr>
                <w:rFonts w:ascii="Calibri" w:hAnsi="Calibri" w:cs="Arial"/>
                <w:bCs/>
                <w:color w:val="000000"/>
                <w:sz w:val="18"/>
                <w:szCs w:val="18"/>
              </w:rPr>
            </w:pPr>
            <w:r w:rsidRPr="00523C7A">
              <w:rPr>
                <w:rFonts w:ascii="Calibri" w:hAnsi="Calibri" w:cs="Arial"/>
                <w:bCs/>
                <w:color w:val="000000"/>
                <w:sz w:val="18"/>
                <w:szCs w:val="18"/>
              </w:rPr>
              <w:t>September 9, 2014</w:t>
            </w:r>
          </w:p>
        </w:tc>
        <w:tc>
          <w:tcPr>
            <w:tcW w:w="1025" w:type="pct"/>
          </w:tcPr>
          <w:p w:rsidR="00523C7A" w:rsidRPr="00523C7A" w:rsidRDefault="00523C7A" w:rsidP="00523C7A">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ER14-2407-000</w:t>
            </w:r>
          </w:p>
          <w:p w:rsidR="00523C7A" w:rsidRPr="00523C7A" w:rsidRDefault="00523C7A" w:rsidP="00523C7A">
            <w:pPr>
              <w:spacing w:before="60" w:after="60" w:line="240" w:lineRule="auto"/>
              <w:ind w:left="-86"/>
              <w:jc w:val="center"/>
              <w:rPr>
                <w:rFonts w:ascii="Calibri" w:hAnsi="Calibri" w:cs="Arial"/>
                <w:bCs/>
                <w:color w:val="000000"/>
                <w:sz w:val="18"/>
                <w:szCs w:val="18"/>
              </w:rPr>
            </w:pPr>
            <w:r w:rsidRPr="00523C7A">
              <w:rPr>
                <w:rFonts w:ascii="Calibri" w:hAnsi="Calibri" w:cs="Arial"/>
                <w:bCs/>
                <w:color w:val="000000"/>
                <w:sz w:val="18"/>
                <w:szCs w:val="18"/>
              </w:rPr>
              <w:t>(July 11, 2014)</w:t>
            </w:r>
          </w:p>
        </w:tc>
        <w:tc>
          <w:tcPr>
            <w:tcW w:w="682" w:type="pct"/>
            <w:gridSpan w:val="2"/>
            <w:vAlign w:val="center"/>
          </w:tcPr>
          <w:p w:rsidR="00523C7A" w:rsidRPr="009C3931" w:rsidRDefault="00523C7A" w:rsidP="009C3931">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rPr>
          <w:cnfStyle w:val="000000100000" w:firstRow="0" w:lastRow="0" w:firstColumn="0" w:lastColumn="0" w:oddVBand="0" w:evenVBand="0" w:oddHBand="1" w:evenHBand="0" w:firstRowFirstColumn="0" w:firstRowLastColumn="0" w:lastRowFirstColumn="0" w:lastRowLastColumn="0"/>
          <w:trHeight w:val="70"/>
          <w:jc w:val="center"/>
        </w:trPr>
        <w:tc>
          <w:tcPr>
            <w:tcW w:w="517" w:type="pct"/>
            <w:gridSpan w:val="2"/>
          </w:tcPr>
          <w:p w:rsidR="00523C7A" w:rsidRPr="00523C7A" w:rsidRDefault="00523C7A" w:rsidP="00523C7A">
            <w:pPr>
              <w:spacing w:before="60" w:after="60" w:line="240" w:lineRule="auto"/>
              <w:ind w:left="-86"/>
              <w:jc w:val="center"/>
              <w:rPr>
                <w:rFonts w:ascii="Calibri" w:hAnsi="Calibri" w:cs="Arial"/>
                <w:bCs/>
                <w:color w:val="000000"/>
                <w:sz w:val="18"/>
                <w:szCs w:val="18"/>
              </w:rPr>
            </w:pPr>
            <w:r w:rsidRPr="00523C7A">
              <w:rPr>
                <w:rFonts w:ascii="Calibri" w:hAnsi="Calibri" w:cs="Arial"/>
                <w:bCs/>
                <w:color w:val="000000"/>
                <w:sz w:val="18"/>
                <w:szCs w:val="18"/>
              </w:rPr>
              <w:t>65</w:t>
            </w:r>
          </w:p>
        </w:tc>
        <w:tc>
          <w:tcPr>
            <w:tcW w:w="1819" w:type="pct"/>
          </w:tcPr>
          <w:p w:rsidR="00523C7A" w:rsidRPr="00523C7A" w:rsidRDefault="00523C7A" w:rsidP="00523C7A">
            <w:pPr>
              <w:spacing w:before="60" w:after="60" w:line="240" w:lineRule="auto"/>
              <w:ind w:left="1"/>
              <w:rPr>
                <w:rFonts w:ascii="Calibri" w:hAnsi="Calibri" w:cs="Arial"/>
                <w:bCs/>
                <w:color w:val="000000"/>
                <w:sz w:val="18"/>
                <w:szCs w:val="18"/>
              </w:rPr>
            </w:pPr>
            <w:r w:rsidRPr="00523C7A">
              <w:rPr>
                <w:rFonts w:ascii="Calibri" w:hAnsi="Calibri" w:cs="Arial"/>
                <w:bCs/>
                <w:color w:val="000000"/>
                <w:sz w:val="18"/>
                <w:szCs w:val="18"/>
              </w:rPr>
              <w:t xml:space="preserve">Winter Reliability Program </w:t>
            </w:r>
          </w:p>
        </w:tc>
        <w:tc>
          <w:tcPr>
            <w:tcW w:w="956" w:type="pct"/>
          </w:tcPr>
          <w:p w:rsidR="00523C7A" w:rsidRPr="00523C7A" w:rsidRDefault="00523C7A" w:rsidP="00523C7A">
            <w:pPr>
              <w:spacing w:before="60" w:after="60" w:line="240" w:lineRule="auto"/>
              <w:ind w:left="-86"/>
              <w:jc w:val="center"/>
              <w:rPr>
                <w:rFonts w:ascii="Calibri" w:hAnsi="Calibri" w:cs="Arial"/>
                <w:bCs/>
                <w:color w:val="000000"/>
                <w:sz w:val="18"/>
                <w:szCs w:val="18"/>
              </w:rPr>
            </w:pPr>
            <w:r w:rsidRPr="00523C7A">
              <w:rPr>
                <w:rFonts w:ascii="Calibri" w:hAnsi="Calibri" w:cs="Arial"/>
                <w:bCs/>
                <w:color w:val="000000"/>
                <w:sz w:val="18"/>
                <w:szCs w:val="18"/>
              </w:rPr>
              <w:t>September 9, 2014</w:t>
            </w:r>
          </w:p>
        </w:tc>
        <w:tc>
          <w:tcPr>
            <w:tcW w:w="1025" w:type="pct"/>
          </w:tcPr>
          <w:p w:rsidR="00523C7A" w:rsidRPr="00523C7A" w:rsidRDefault="00523C7A" w:rsidP="00523C7A">
            <w:pPr>
              <w:spacing w:before="60" w:after="60" w:line="240" w:lineRule="auto"/>
              <w:ind w:left="-86"/>
              <w:jc w:val="center"/>
              <w:rPr>
                <w:rFonts w:ascii="Calibri" w:hAnsi="Calibri" w:cs="Arial"/>
                <w:bCs/>
                <w:color w:val="000000"/>
                <w:sz w:val="18"/>
                <w:szCs w:val="18"/>
              </w:rPr>
            </w:pPr>
          </w:p>
        </w:tc>
        <w:tc>
          <w:tcPr>
            <w:tcW w:w="682" w:type="pct"/>
            <w:gridSpan w:val="2"/>
          </w:tcPr>
          <w:p w:rsidR="00523C7A" w:rsidRPr="00523C7A" w:rsidRDefault="00523C7A" w:rsidP="00523C7A">
            <w:pPr>
              <w:spacing w:before="60" w:after="60" w:line="240" w:lineRule="auto"/>
              <w:ind w:left="-4"/>
              <w:jc w:val="center"/>
              <w:rPr>
                <w:rFonts w:ascii="Calibri" w:eastAsia="Calibri" w:hAnsi="Calibri"/>
                <w:bCs/>
                <w:color w:val="000000"/>
                <w:sz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30</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Energy Market Offer Flexibility </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ER13-1877-000</w:t>
            </w:r>
            <w:r w:rsidRPr="00523C7A">
              <w:rPr>
                <w:rFonts w:ascii="Calibri" w:hAnsi="Calibri" w:cs="Arial"/>
                <w:bCs/>
                <w:color w:val="000000"/>
                <w:sz w:val="18"/>
                <w:szCs w:val="18"/>
              </w:rPr>
              <w:br/>
              <w:t>(July 1, 2013)</w:t>
            </w:r>
          </w:p>
        </w:tc>
        <w:tc>
          <w:tcPr>
            <w:tcW w:w="682" w:type="pct"/>
            <w:gridSpan w:val="2"/>
          </w:tcPr>
          <w:p w:rsidR="00523C7A" w:rsidRPr="00523C7A" w:rsidRDefault="00523C7A" w:rsidP="00523C7A">
            <w:pPr>
              <w:spacing w:after="12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31</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Energy Market Offer Flexibility: Conforming Rules</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ER14-2376-000</w:t>
            </w:r>
            <w:r w:rsidRPr="00523C7A">
              <w:rPr>
                <w:rFonts w:ascii="Calibri" w:hAnsi="Calibri" w:cs="Arial"/>
                <w:bCs/>
                <w:color w:val="000000"/>
                <w:sz w:val="18"/>
                <w:szCs w:val="18"/>
              </w:rPr>
              <w:br/>
              <w:t>(July 8, 2014)</w:t>
            </w:r>
          </w:p>
        </w:tc>
        <w:tc>
          <w:tcPr>
            <w:tcW w:w="682" w:type="pct"/>
            <w:gridSpan w:val="2"/>
          </w:tcPr>
          <w:p w:rsidR="00523C7A" w:rsidRPr="00523C7A" w:rsidRDefault="00523C7A" w:rsidP="00523C7A">
            <w:pPr>
              <w:spacing w:before="60" w:after="60" w:line="240" w:lineRule="auto"/>
              <w:ind w:left="25" w:hanging="25"/>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76</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Energy Market Offer Flexibility: IMM-Related Conforming II</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ER14-2686-000</w:t>
            </w:r>
            <w:r w:rsidRPr="00523C7A">
              <w:rPr>
                <w:rFonts w:ascii="Calibri" w:hAnsi="Calibri" w:cs="Arial"/>
                <w:bCs/>
                <w:color w:val="000000"/>
                <w:sz w:val="18"/>
                <w:szCs w:val="18"/>
              </w:rPr>
              <w:br/>
              <w:t>(August 22, 2014)</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77</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Energy Market Offer Flexibility NCPC Clarifications</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ER14-2929-000</w:t>
            </w:r>
            <w:r w:rsidRPr="00523C7A">
              <w:rPr>
                <w:rFonts w:ascii="Calibri" w:hAnsi="Calibri" w:cs="Arial"/>
                <w:bCs/>
                <w:color w:val="000000"/>
                <w:sz w:val="18"/>
                <w:szCs w:val="18"/>
              </w:rPr>
              <w:br/>
              <w:t>(September 23, 2014)</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32</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Energy Market Offer Flexibility: Self-Funding Tariff</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ER14-2929-000</w:t>
            </w:r>
            <w:r w:rsidRPr="00523C7A">
              <w:rPr>
                <w:rFonts w:ascii="Calibri" w:hAnsi="Calibri" w:cs="Arial"/>
                <w:bCs/>
                <w:color w:val="000000"/>
                <w:sz w:val="18"/>
                <w:szCs w:val="18"/>
              </w:rPr>
              <w:br/>
              <w:t>(September 23, 2014)</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lastRenderedPageBreak/>
              <w:t>70</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MS Sans Serif"/>
                <w:bCs/>
                <w:color w:val="000000"/>
                <w:sz w:val="18"/>
                <w:szCs w:val="18"/>
              </w:rPr>
              <w:t>Ex-Post Mitigation of Dual-Fuel Resources</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ER14-2407-001</w:t>
            </w:r>
            <w:r w:rsidRPr="00523C7A">
              <w:rPr>
                <w:rFonts w:ascii="Calibri" w:hAnsi="Calibri" w:cs="Arial"/>
                <w:bCs/>
                <w:color w:val="000000"/>
                <w:sz w:val="18"/>
                <w:szCs w:val="18"/>
              </w:rPr>
              <w:br/>
              <w:t>(July 11, 2014)</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Arial" w:hAnsi="Arial" w:cs="Arial"/>
                <w:bCs w:val="0"/>
                <w:color w:val="000000"/>
                <w:sz w:val="18"/>
              </w:rPr>
              <w:br w:type="page"/>
            </w:r>
            <w:r w:rsidRPr="00523C7A">
              <w:rPr>
                <w:rFonts w:ascii="Calibri" w:hAnsi="Calibri" w:cs="Arial"/>
                <w:noProof/>
                <w:color w:val="000000"/>
                <w:sz w:val="18"/>
                <w:szCs w:val="18"/>
              </w:rPr>
              <w:drawing>
                <wp:anchor distT="0" distB="0" distL="114300" distR="114300" simplePos="0" relativeHeight="251665408" behindDoc="1" locked="0" layoutInCell="1" allowOverlap="1" wp14:anchorId="2ED6E400" wp14:editId="04F5ACCB">
                  <wp:simplePos x="0" y="0"/>
                  <wp:positionH relativeFrom="column">
                    <wp:posOffset>-281940</wp:posOffset>
                  </wp:positionH>
                  <wp:positionV relativeFrom="paragraph">
                    <wp:posOffset>-19578955</wp:posOffset>
                  </wp:positionV>
                  <wp:extent cx="7341870" cy="9493250"/>
                  <wp:effectExtent l="19050" t="0" r="0" b="0"/>
                  <wp:wrapNone/>
                  <wp:docPr id="2" name="Picture 12" descr="simple_yellow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mple_yellowdots"/>
                          <pic:cNvPicPr>
                            <a:picLocks noChangeAspect="1" noChangeArrowheads="1"/>
                          </pic:cNvPicPr>
                        </pic:nvPicPr>
                        <pic:blipFill>
                          <a:blip r:embed="rId19" cstate="print"/>
                          <a:srcRect/>
                          <a:stretch>
                            <a:fillRect/>
                          </a:stretch>
                        </pic:blipFill>
                        <pic:spPr bwMode="auto">
                          <a:xfrm>
                            <a:off x="0" y="0"/>
                            <a:ext cx="7341870" cy="9493250"/>
                          </a:xfrm>
                          <a:prstGeom prst="rect">
                            <a:avLst/>
                          </a:prstGeom>
                          <a:noFill/>
                          <a:ln w="9525">
                            <a:noFill/>
                            <a:miter lim="800000"/>
                            <a:headEnd/>
                            <a:tailEnd/>
                          </a:ln>
                        </pic:spPr>
                      </pic:pic>
                    </a:graphicData>
                  </a:graphic>
                </wp:anchor>
              </w:drawing>
            </w:r>
            <w:r w:rsidRPr="00523C7A">
              <w:rPr>
                <w:rFonts w:ascii="Calibri" w:hAnsi="Calibri" w:cs="Arial"/>
                <w:bCs w:val="0"/>
                <w:color w:val="000000"/>
                <w:sz w:val="18"/>
                <w:szCs w:val="18"/>
              </w:rPr>
              <w:t>41</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MS Sans Serif"/>
                <w:bCs/>
                <w:color w:val="000000"/>
                <w:sz w:val="18"/>
                <w:szCs w:val="18"/>
              </w:rPr>
            </w:pPr>
            <w:r w:rsidRPr="00523C7A">
              <w:rPr>
                <w:rFonts w:ascii="Calibri" w:hAnsi="Calibri" w:cs="Arial"/>
                <w:bCs/>
                <w:color w:val="000000"/>
                <w:sz w:val="18"/>
                <w:szCs w:val="18"/>
              </w:rPr>
              <w:t>NCPC Payments</w:t>
            </w:r>
            <w:r w:rsidRPr="00523C7A">
              <w:rPr>
                <w:rFonts w:ascii="Calibri" w:hAnsi="Calibri" w:cs="Arial"/>
                <w:bCs/>
                <w:color w:val="000000"/>
                <w:sz w:val="18"/>
                <w:szCs w:val="18"/>
                <w:vertAlign w:val="superscript"/>
              </w:rPr>
              <w:t xml:space="preserve"> </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ER14-1147-000</w:t>
            </w:r>
            <w:r w:rsidRPr="00523C7A">
              <w:rPr>
                <w:rFonts w:ascii="Calibri" w:hAnsi="Calibri" w:cs="Arial"/>
                <w:bCs/>
                <w:color w:val="000000"/>
                <w:sz w:val="18"/>
                <w:szCs w:val="18"/>
              </w:rPr>
              <w:br/>
              <w:t>(January 24, 2014)</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Arial" w:hAnsi="Arial" w:cs="Arial"/>
                <w:bCs w:val="0"/>
                <w:color w:val="000000"/>
                <w:sz w:val="18"/>
              </w:rPr>
            </w:pPr>
            <w:r w:rsidRPr="00523C7A">
              <w:rPr>
                <w:rFonts w:ascii="Calibri" w:hAnsi="Calibri" w:cs="Arial"/>
                <w:bCs w:val="0"/>
                <w:color w:val="000000"/>
                <w:sz w:val="18"/>
                <w:szCs w:val="18"/>
              </w:rPr>
              <w:t>42</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NCPC Payments: Appendix A</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ER14-1147-000</w:t>
            </w:r>
            <w:r w:rsidRPr="00523C7A">
              <w:rPr>
                <w:rFonts w:ascii="Calibri" w:hAnsi="Calibri" w:cs="Arial"/>
                <w:bCs/>
                <w:color w:val="000000"/>
                <w:sz w:val="18"/>
                <w:szCs w:val="18"/>
              </w:rPr>
              <w:br/>
              <w:t>(January 24, 2014)</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45</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Real-Time Reserve and Pumped Storage</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62</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Capacity Zone Modeling: Conforming Rules</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Q4 2014</w:t>
            </w:r>
          </w:p>
        </w:tc>
        <w:tc>
          <w:tcPr>
            <w:tcW w:w="1025"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ER15-195-000</w:t>
            </w:r>
            <w:r w:rsidRPr="00523C7A">
              <w:rPr>
                <w:rFonts w:ascii="Calibri" w:eastAsia="Calibri" w:hAnsi="Calibri"/>
                <w:bCs/>
                <w:color w:val="000000"/>
                <w:sz w:val="18"/>
                <w:szCs w:val="18"/>
              </w:rPr>
              <w:br/>
              <w:t>(October 27, 2014)</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73</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Administrative Clarifications</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30, 2015</w:t>
            </w:r>
          </w:p>
        </w:tc>
        <w:tc>
          <w:tcPr>
            <w:tcW w:w="1025" w:type="pct"/>
          </w:tcPr>
          <w:p w:rsidR="00523C7A" w:rsidRPr="00523C7A" w:rsidRDefault="00523C7A"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ER15-369-000</w:t>
            </w:r>
          </w:p>
          <w:p w:rsid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(November 10, 2014)</w:t>
            </w:r>
          </w:p>
          <w:p w:rsidR="00463C98" w:rsidRPr="00463C98" w:rsidRDefault="00463C98" w:rsidP="00463C98">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463C98">
              <w:rPr>
                <w:rFonts w:ascii="Calibri" w:hAnsi="Calibri" w:cs="Arial"/>
                <w:bCs/>
                <w:color w:val="000000"/>
                <w:sz w:val="18"/>
                <w:szCs w:val="18"/>
              </w:rPr>
              <w:t>ER15-369-000</w:t>
            </w:r>
          </w:p>
          <w:p w:rsidR="00463C98" w:rsidRPr="00523C7A" w:rsidRDefault="00463C98" w:rsidP="00463C98">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463C98">
              <w:rPr>
                <w:rFonts w:ascii="Calibri" w:hAnsi="Calibri" w:cs="Arial"/>
                <w:bCs/>
                <w:color w:val="000000"/>
                <w:sz w:val="18"/>
                <w:szCs w:val="18"/>
              </w:rPr>
              <w:t>(December 31, 2014)</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56</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Sloped Demand Curve: System Curve</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FCA #9</w:t>
            </w:r>
            <w:r w:rsidRPr="00523C7A">
              <w:rPr>
                <w:rFonts w:ascii="Calibri" w:hAnsi="Calibri" w:cs="Arial"/>
                <w:bCs/>
                <w:color w:val="000000"/>
                <w:sz w:val="18"/>
                <w:szCs w:val="18"/>
              </w:rPr>
              <w:br/>
              <w:t>(February 2015)</w:t>
            </w:r>
          </w:p>
        </w:tc>
        <w:tc>
          <w:tcPr>
            <w:tcW w:w="1025"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ER14-1639-000</w:t>
            </w:r>
            <w:r w:rsidRPr="00523C7A">
              <w:rPr>
                <w:rFonts w:ascii="Calibri" w:hAnsi="Calibri" w:cs="Arial"/>
                <w:bCs/>
                <w:color w:val="000000"/>
                <w:sz w:val="18"/>
                <w:szCs w:val="18"/>
              </w:rPr>
              <w:br/>
              <w:t>(April 1, 2014)</w:t>
            </w:r>
          </w:p>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ER14-1639-002</w:t>
            </w:r>
            <w:r w:rsidRPr="00523C7A">
              <w:rPr>
                <w:rFonts w:ascii="Calibri" w:hAnsi="Calibri" w:cs="Arial"/>
                <w:bCs/>
                <w:color w:val="000000"/>
                <w:sz w:val="18"/>
                <w:szCs w:val="18"/>
              </w:rPr>
              <w:br/>
              <w:t>(July 11, 2014)</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34</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Noncommercial Capacity Financial Assurance</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February 2015</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ER14-525-000</w:t>
            </w:r>
            <w:r w:rsidRPr="00523C7A">
              <w:rPr>
                <w:rFonts w:ascii="Calibri" w:hAnsi="Calibri" w:cs="Arial"/>
                <w:bCs/>
                <w:color w:val="000000"/>
                <w:sz w:val="18"/>
                <w:szCs w:val="18"/>
              </w:rPr>
              <w:br/>
              <w:t>(December 4, 2013)</w:t>
            </w:r>
          </w:p>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ER15-369-001</w:t>
            </w:r>
            <w:r w:rsidRPr="00523C7A">
              <w:rPr>
                <w:rFonts w:ascii="Calibri" w:eastAsia="Calibri" w:hAnsi="Calibri"/>
                <w:bCs/>
                <w:color w:val="000000"/>
                <w:sz w:val="18"/>
                <w:szCs w:val="18"/>
              </w:rPr>
              <w:br/>
              <w:t>(November 10, 2014)</w:t>
            </w:r>
          </w:p>
        </w:tc>
        <w:tc>
          <w:tcPr>
            <w:tcW w:w="682" w:type="pct"/>
            <w:gridSpan w:val="2"/>
          </w:tcPr>
          <w:p w:rsidR="00523C7A" w:rsidRPr="00523C7A" w:rsidRDefault="00523C7A"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67</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Elective Transmission Upgrade</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February 16, 2015</w:t>
            </w:r>
          </w:p>
        </w:tc>
        <w:tc>
          <w:tcPr>
            <w:tcW w:w="1025" w:type="pct"/>
          </w:tcPr>
          <w:p w:rsidR="00523C7A" w:rsidRPr="00523C7A" w:rsidRDefault="00523C7A" w:rsidP="00523C7A">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ER15-1050-000</w:t>
            </w:r>
          </w:p>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(February 13, 2015)</w:t>
            </w:r>
          </w:p>
        </w:tc>
        <w:tc>
          <w:tcPr>
            <w:tcW w:w="682" w:type="pct"/>
            <w:gridSpan w:val="2"/>
          </w:tcPr>
          <w:p w:rsidR="00523C7A" w:rsidRPr="00523C7A" w:rsidRDefault="00523C7A"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88</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Offer Review Trigger Price (ORTP) Exemptions for Distributed Renewable Technology Resources</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February 21, 2015</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ER15-716-000</w:t>
            </w:r>
            <w:r w:rsidRPr="00523C7A">
              <w:rPr>
                <w:rFonts w:ascii="Calibri" w:hAnsi="Calibri" w:cs="Arial"/>
                <w:bCs/>
                <w:color w:val="000000"/>
                <w:sz w:val="18"/>
                <w:szCs w:val="18"/>
              </w:rPr>
              <w:br/>
              <w:t>(December 23, 2014)</w:t>
            </w:r>
          </w:p>
        </w:tc>
        <w:tc>
          <w:tcPr>
            <w:tcW w:w="682" w:type="pct"/>
            <w:gridSpan w:val="2"/>
          </w:tcPr>
          <w:p w:rsidR="00523C7A" w:rsidRPr="00523C7A" w:rsidRDefault="00523C7A"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74</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Regulation Enhancements for Storage Management</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March 31, 2015</w:t>
            </w:r>
          </w:p>
        </w:tc>
        <w:tc>
          <w:tcPr>
            <w:tcW w:w="1025"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ER14-2918-000</w:t>
            </w:r>
            <w:r w:rsidRPr="00523C7A">
              <w:rPr>
                <w:rFonts w:ascii="Calibri" w:eastAsia="Calibri" w:hAnsi="Calibri"/>
                <w:bCs/>
                <w:color w:val="000000"/>
                <w:sz w:val="18"/>
                <w:szCs w:val="18"/>
              </w:rPr>
              <w:br/>
              <w:t>(September 22, 2014)</w:t>
            </w:r>
          </w:p>
        </w:tc>
        <w:tc>
          <w:tcPr>
            <w:tcW w:w="682" w:type="pct"/>
            <w:gridSpan w:val="2"/>
          </w:tcPr>
          <w:p w:rsidR="00523C7A" w:rsidRPr="00523C7A" w:rsidRDefault="00523C7A"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46</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Regulation Market (Order 755) Compliance</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March 31, 2015</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ER12-1643-003</w:t>
            </w:r>
            <w:r w:rsidRPr="00523C7A">
              <w:rPr>
                <w:rFonts w:ascii="Calibri" w:hAnsi="Calibri" w:cs="Arial"/>
                <w:bCs/>
                <w:color w:val="000000"/>
                <w:sz w:val="18"/>
                <w:szCs w:val="18"/>
              </w:rPr>
              <w:br/>
              <w:t>(August 5, 2013)</w:t>
            </w:r>
          </w:p>
        </w:tc>
        <w:tc>
          <w:tcPr>
            <w:tcW w:w="682" w:type="pct"/>
            <w:gridSpan w:val="2"/>
          </w:tcPr>
          <w:p w:rsidR="00523C7A" w:rsidRPr="00523C7A" w:rsidRDefault="00523C7A"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EA22F2"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EA22F2" w:rsidRPr="00523C7A" w:rsidRDefault="00594C79"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63</w:t>
            </w:r>
          </w:p>
        </w:tc>
        <w:tc>
          <w:tcPr>
            <w:tcW w:w="1819" w:type="pct"/>
          </w:tcPr>
          <w:p w:rsidR="00EA22F2" w:rsidRPr="00523C7A" w:rsidRDefault="00594C79"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FCM Sloped Demand Curve: Local Curves: FCA 10 (Market Monitoring-Related Capacity Market Changes)</w:t>
            </w:r>
          </w:p>
        </w:tc>
        <w:tc>
          <w:tcPr>
            <w:tcW w:w="956" w:type="pct"/>
          </w:tcPr>
          <w:p w:rsidR="00EA22F2" w:rsidRPr="00523C7A" w:rsidRDefault="00594C79"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FC5B8A">
              <w:rPr>
                <w:rFonts w:ascii="Calibri" w:hAnsi="Calibri" w:cs="Arial"/>
                <w:bCs/>
                <w:color w:val="000000"/>
                <w:sz w:val="18"/>
                <w:szCs w:val="18"/>
              </w:rPr>
              <w:t>June 1, 2015</w:t>
            </w:r>
          </w:p>
        </w:tc>
        <w:tc>
          <w:tcPr>
            <w:tcW w:w="1025" w:type="pct"/>
          </w:tcPr>
          <w:p w:rsidR="00EA22F2" w:rsidRPr="001104BE" w:rsidRDefault="00594C79" w:rsidP="001104BE">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1104BE">
              <w:rPr>
                <w:rFonts w:ascii="Calibri" w:eastAsia="Calibri" w:hAnsi="Calibri"/>
                <w:bCs/>
                <w:color w:val="000000"/>
                <w:sz w:val="18"/>
                <w:szCs w:val="18"/>
              </w:rPr>
              <w:t>ER15-1650-000</w:t>
            </w:r>
          </w:p>
          <w:p w:rsidR="00594C79" w:rsidRPr="00EA22F2" w:rsidRDefault="00594C79" w:rsidP="001104BE">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1104BE">
              <w:rPr>
                <w:rFonts w:ascii="Calibri" w:eastAsia="Calibri" w:hAnsi="Calibri"/>
                <w:bCs/>
                <w:color w:val="000000"/>
                <w:sz w:val="18"/>
                <w:szCs w:val="18"/>
              </w:rPr>
              <w:t>(June 30, 2015)</w:t>
            </w:r>
          </w:p>
        </w:tc>
        <w:tc>
          <w:tcPr>
            <w:tcW w:w="682" w:type="pct"/>
            <w:gridSpan w:val="2"/>
          </w:tcPr>
          <w:p w:rsidR="00EA22F2" w:rsidRPr="00523C7A" w:rsidRDefault="00594C79"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80</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FCA Qualification Enhancements</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Q2 2015</w:t>
            </w:r>
          </w:p>
        </w:tc>
        <w:tc>
          <w:tcPr>
            <w:tcW w:w="1025" w:type="pct"/>
          </w:tcPr>
          <w:p w:rsidR="005C46F6" w:rsidRPr="00523C7A" w:rsidRDefault="005C46F6"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p>
        </w:tc>
        <w:tc>
          <w:tcPr>
            <w:tcW w:w="682" w:type="pct"/>
            <w:gridSpan w:val="2"/>
          </w:tcPr>
          <w:p w:rsidR="00523C7A" w:rsidRPr="00523C7A" w:rsidRDefault="00523C7A"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Merged with other project</w:t>
            </w:r>
          </w:p>
        </w:tc>
      </w:tr>
      <w:tr w:rsidR="00A74EF1" w:rsidRPr="00523C7A" w:rsidTr="009C3931">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62536F" w:rsidRDefault="00A74EF1" w:rsidP="009C3931">
            <w:pPr>
              <w:pStyle w:val="ISOTableText-Right"/>
              <w:spacing w:before="0" w:after="0"/>
              <w:jc w:val="center"/>
              <w:rPr>
                <w:rFonts w:asciiTheme="minorHAnsi" w:hAnsiTheme="minorHAnsi"/>
                <w:szCs w:val="18"/>
              </w:rPr>
            </w:pPr>
            <w:r w:rsidRPr="0062536F">
              <w:rPr>
                <w:rFonts w:asciiTheme="minorHAnsi" w:hAnsiTheme="minorHAnsi"/>
                <w:color w:val="auto"/>
                <w:szCs w:val="18"/>
              </w:rPr>
              <w:t>93</w:t>
            </w:r>
          </w:p>
        </w:tc>
        <w:tc>
          <w:tcPr>
            <w:tcW w:w="1819" w:type="pct"/>
          </w:tcPr>
          <w:p w:rsidR="00A74EF1" w:rsidRPr="00E55538" w:rsidRDefault="00A74EF1" w:rsidP="009C3931">
            <w:pPr>
              <w:pStyle w:val="ISOTableText-Centered"/>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r w:rsidRPr="00E55538">
              <w:rPr>
                <w:rFonts w:asciiTheme="minorHAnsi" w:hAnsiTheme="minorHAnsi" w:cs="Arial"/>
                <w:szCs w:val="18"/>
              </w:rPr>
              <w:t xml:space="preserve">Ownership Share Change Timing  </w:t>
            </w:r>
          </w:p>
        </w:tc>
        <w:tc>
          <w:tcPr>
            <w:tcW w:w="956" w:type="pct"/>
          </w:tcPr>
          <w:p w:rsidR="00A74EF1" w:rsidRPr="00051EE4" w:rsidRDefault="00A74EF1" w:rsidP="009C3931">
            <w:pPr>
              <w:pStyle w:val="ISOTableText-Centered"/>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r>
              <w:rPr>
                <w:rFonts w:asciiTheme="minorHAnsi" w:hAnsiTheme="minorHAnsi" w:cs="Arial"/>
                <w:szCs w:val="18"/>
              </w:rPr>
              <w:t>August 7, 2015</w:t>
            </w:r>
          </w:p>
        </w:tc>
        <w:tc>
          <w:tcPr>
            <w:tcW w:w="1025" w:type="pct"/>
          </w:tcPr>
          <w:p w:rsidR="00A74EF1" w:rsidRPr="00074654" w:rsidRDefault="00A74EF1" w:rsidP="009C3931">
            <w:pPr>
              <w:pStyle w:val="ISOTableText-Centered"/>
              <w:spacing w:before="0" w:after="0"/>
              <w:ind w:left="-24"/>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18"/>
              </w:rPr>
            </w:pPr>
            <w:r>
              <w:rPr>
                <w:rFonts w:asciiTheme="minorHAnsi" w:hAnsiTheme="minorHAnsi"/>
                <w:color w:val="auto"/>
                <w:szCs w:val="18"/>
              </w:rPr>
              <w:t>Manuals complete</w:t>
            </w:r>
          </w:p>
        </w:tc>
        <w:tc>
          <w:tcPr>
            <w:tcW w:w="682" w:type="pct"/>
            <w:gridSpan w:val="2"/>
          </w:tcPr>
          <w:p w:rsidR="00A74EF1" w:rsidRPr="00E55538" w:rsidRDefault="00A74EF1" w:rsidP="009C3931">
            <w:pPr>
              <w:pStyle w:val="ISOTableText-Centered"/>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r>
              <w:rPr>
                <w:rFonts w:asciiTheme="minorHAnsi" w:hAnsiTheme="minorHAnsi" w:cs="Arial"/>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523C7A">
            <w:pPr>
              <w:spacing w:before="60" w:after="60" w:line="240" w:lineRule="auto"/>
              <w:ind w:left="-86"/>
              <w:jc w:val="center"/>
              <w:rPr>
                <w:rFonts w:ascii="Calibri" w:hAnsi="Calibri" w:cs="Arial"/>
                <w:bCs w:val="0"/>
                <w:color w:val="000000"/>
                <w:sz w:val="18"/>
                <w:szCs w:val="18"/>
              </w:rPr>
            </w:pPr>
            <w:r>
              <w:rPr>
                <w:rFonts w:ascii="Calibri" w:hAnsi="Calibri" w:cs="Arial"/>
                <w:bCs w:val="0"/>
                <w:color w:val="000000"/>
                <w:sz w:val="18"/>
                <w:szCs w:val="18"/>
              </w:rPr>
              <w:t>81</w:t>
            </w:r>
          </w:p>
        </w:tc>
        <w:tc>
          <w:tcPr>
            <w:tcW w:w="1819" w:type="pct"/>
          </w:tcPr>
          <w:p w:rsidR="00A74EF1" w:rsidRDefault="00A74EF1"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Winter Reliability Program: Winter Periods Prior to June 1, 2018</w:t>
            </w:r>
          </w:p>
        </w:tc>
        <w:tc>
          <w:tcPr>
            <w:tcW w:w="956" w:type="pct"/>
          </w:tcPr>
          <w:p w:rsidR="00A74EF1" w:rsidRDefault="00A74EF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FC5B8A">
              <w:rPr>
                <w:rFonts w:ascii="Calibri" w:hAnsi="Calibri" w:cs="Arial"/>
                <w:bCs/>
                <w:color w:val="000000"/>
                <w:sz w:val="18"/>
                <w:szCs w:val="18"/>
              </w:rPr>
              <w:t>September 14, 2015</w:t>
            </w:r>
          </w:p>
        </w:tc>
        <w:tc>
          <w:tcPr>
            <w:tcW w:w="1025" w:type="pct"/>
          </w:tcPr>
          <w:p w:rsidR="00A74EF1" w:rsidRPr="00FC5B8A" w:rsidRDefault="00A74EF1" w:rsidP="00594C79">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FC5B8A">
              <w:rPr>
                <w:rFonts w:ascii="Calibri" w:hAnsi="Calibri" w:cs="Arial"/>
                <w:bCs/>
                <w:color w:val="000000"/>
                <w:sz w:val="18"/>
                <w:szCs w:val="18"/>
              </w:rPr>
              <w:t>ER15-2208-002</w:t>
            </w:r>
          </w:p>
          <w:p w:rsidR="00A74EF1" w:rsidRPr="00594C79" w:rsidRDefault="00A74EF1" w:rsidP="00594C79">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FC5B8A">
              <w:rPr>
                <w:rFonts w:ascii="Calibri" w:hAnsi="Calibri" w:cs="Arial"/>
                <w:bCs/>
                <w:color w:val="000000"/>
                <w:sz w:val="18"/>
                <w:szCs w:val="18"/>
              </w:rPr>
              <w:t>(December 23, 2015)</w:t>
            </w:r>
          </w:p>
        </w:tc>
        <w:tc>
          <w:tcPr>
            <w:tcW w:w="682" w:type="pct"/>
            <w:gridSpan w:val="2"/>
          </w:tcPr>
          <w:p w:rsidR="00A74EF1" w:rsidRDefault="00A74EF1"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523C7A" w:rsidRDefault="00A74EF1" w:rsidP="00523C7A">
            <w:pPr>
              <w:spacing w:before="60" w:after="60" w:line="240" w:lineRule="auto"/>
              <w:ind w:left="-86"/>
              <w:jc w:val="center"/>
              <w:rPr>
                <w:rFonts w:ascii="Calibri" w:hAnsi="Calibri" w:cs="Arial"/>
                <w:bCs w:val="0"/>
                <w:color w:val="000000"/>
                <w:sz w:val="18"/>
                <w:szCs w:val="18"/>
              </w:rPr>
            </w:pPr>
            <w:r>
              <w:rPr>
                <w:rFonts w:ascii="Calibri" w:hAnsi="Calibri" w:cs="Arial"/>
                <w:bCs w:val="0"/>
                <w:color w:val="000000"/>
                <w:sz w:val="18"/>
                <w:szCs w:val="18"/>
              </w:rPr>
              <w:lastRenderedPageBreak/>
              <w:t>64</w:t>
            </w:r>
          </w:p>
        </w:tc>
        <w:tc>
          <w:tcPr>
            <w:tcW w:w="1819" w:type="pct"/>
          </w:tcPr>
          <w:p w:rsidR="00A74EF1" w:rsidRPr="00523C7A" w:rsidRDefault="00A74EF1"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FCM Sloped Demand Curve: Reconfiguration Auctions</w:t>
            </w:r>
          </w:p>
        </w:tc>
        <w:tc>
          <w:tcPr>
            <w:tcW w:w="956" w:type="pct"/>
          </w:tcPr>
          <w:p w:rsidR="00A74EF1" w:rsidRPr="00523C7A" w:rsidRDefault="00A74EF1"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October 12, 2015</w:t>
            </w:r>
          </w:p>
        </w:tc>
        <w:tc>
          <w:tcPr>
            <w:tcW w:w="1025" w:type="pct"/>
          </w:tcPr>
          <w:p w:rsidR="00A74EF1" w:rsidRPr="00594C79" w:rsidRDefault="00A74EF1" w:rsidP="00594C79">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94C79">
              <w:rPr>
                <w:rFonts w:ascii="Calibri" w:hAnsi="Calibri" w:cs="Arial"/>
                <w:bCs/>
                <w:color w:val="000000"/>
                <w:sz w:val="18"/>
                <w:szCs w:val="18"/>
              </w:rPr>
              <w:t>ER15-2404-000</w:t>
            </w:r>
          </w:p>
          <w:p w:rsidR="00A74EF1" w:rsidRPr="00523C7A" w:rsidRDefault="00A74EF1" w:rsidP="00594C79">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94C79">
              <w:rPr>
                <w:rFonts w:ascii="Calibri" w:hAnsi="Calibri" w:cs="Arial"/>
                <w:bCs/>
                <w:color w:val="000000"/>
                <w:sz w:val="18"/>
                <w:szCs w:val="18"/>
              </w:rPr>
              <w:t>(October 7, 2015)</w:t>
            </w:r>
          </w:p>
        </w:tc>
        <w:tc>
          <w:tcPr>
            <w:tcW w:w="682" w:type="pct"/>
            <w:gridSpan w:val="2"/>
          </w:tcPr>
          <w:p w:rsidR="00A74EF1" w:rsidRPr="00523C7A" w:rsidRDefault="00A74EF1"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523C7A" w:rsidRDefault="00A74EF1"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8</w:t>
            </w:r>
          </w:p>
        </w:tc>
        <w:tc>
          <w:tcPr>
            <w:tcW w:w="1819" w:type="pct"/>
          </w:tcPr>
          <w:p w:rsidR="00A74EF1" w:rsidRPr="00523C7A" w:rsidRDefault="00A74EF1"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Coordinated Transaction Scheduling</w:t>
            </w:r>
          </w:p>
        </w:tc>
        <w:tc>
          <w:tcPr>
            <w:tcW w:w="956" w:type="pct"/>
          </w:tcPr>
          <w:p w:rsidR="00A74EF1" w:rsidRPr="00523C7A" w:rsidRDefault="00A74EF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Q4 2015</w:t>
            </w:r>
          </w:p>
        </w:tc>
        <w:tc>
          <w:tcPr>
            <w:tcW w:w="1025" w:type="pct"/>
          </w:tcPr>
          <w:p w:rsidR="00A74EF1" w:rsidRPr="00523C7A" w:rsidRDefault="00A74EF1"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ER12-1155-000</w:t>
            </w:r>
          </w:p>
          <w:p w:rsidR="00A74EF1" w:rsidRPr="00523C7A" w:rsidRDefault="00A74EF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(February 13, 2015)</w:t>
            </w:r>
          </w:p>
        </w:tc>
        <w:tc>
          <w:tcPr>
            <w:tcW w:w="682" w:type="pct"/>
            <w:gridSpan w:val="2"/>
          </w:tcPr>
          <w:p w:rsidR="00A74EF1" w:rsidRPr="00523C7A" w:rsidRDefault="00A74EF1"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Phase 1 complete</w:t>
            </w:r>
          </w:p>
        </w:tc>
      </w:tr>
      <w:tr w:rsidR="00A74EF1"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92</w:t>
            </w:r>
          </w:p>
        </w:tc>
        <w:tc>
          <w:tcPr>
            <w:tcW w:w="1819" w:type="pct"/>
          </w:tcPr>
          <w:p w:rsidR="00A74EF1" w:rsidRDefault="00A74EF1"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Reactive Capability Auditing</w:t>
            </w:r>
          </w:p>
        </w:tc>
        <w:tc>
          <w:tcPr>
            <w:tcW w:w="956" w:type="pct"/>
          </w:tcPr>
          <w:p w:rsidR="00A74EF1" w:rsidRDefault="00A74EF1"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December 1, 2015</w:t>
            </w:r>
          </w:p>
        </w:tc>
        <w:tc>
          <w:tcPr>
            <w:tcW w:w="1025" w:type="pct"/>
          </w:tcPr>
          <w:p w:rsidR="00A74EF1" w:rsidRPr="001104BE" w:rsidRDefault="00A74EF1" w:rsidP="001104BE">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1104BE">
              <w:rPr>
                <w:rFonts w:ascii="Calibri" w:hAnsi="Calibri" w:cs="Arial"/>
                <w:bCs/>
                <w:color w:val="000000"/>
                <w:sz w:val="18"/>
                <w:szCs w:val="18"/>
              </w:rPr>
              <w:t>ER15-2628-000</w:t>
            </w:r>
          </w:p>
          <w:p w:rsidR="00A74EF1" w:rsidRPr="009F779F" w:rsidRDefault="00A74EF1" w:rsidP="001104BE">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1104BE">
              <w:rPr>
                <w:rFonts w:ascii="Calibri" w:hAnsi="Calibri" w:cs="Arial"/>
                <w:bCs/>
                <w:color w:val="000000"/>
                <w:sz w:val="18"/>
                <w:szCs w:val="18"/>
              </w:rPr>
              <w:t>(November 12, 2015)</w:t>
            </w:r>
          </w:p>
        </w:tc>
        <w:tc>
          <w:tcPr>
            <w:tcW w:w="682" w:type="pct"/>
            <w:gridSpan w:val="2"/>
          </w:tcPr>
          <w:p w:rsidR="00A74EF1" w:rsidRDefault="00A74EF1"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27</w:t>
            </w:r>
          </w:p>
        </w:tc>
        <w:tc>
          <w:tcPr>
            <w:tcW w:w="1819" w:type="pct"/>
          </w:tcPr>
          <w:p w:rsidR="00A74EF1" w:rsidRDefault="00A74EF1"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CTS: Self-Funding Tariff</w:t>
            </w:r>
          </w:p>
        </w:tc>
        <w:tc>
          <w:tcPr>
            <w:tcW w:w="956" w:type="pct"/>
          </w:tcPr>
          <w:p w:rsidR="00A74EF1" w:rsidRDefault="00A74EF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December 15, 2015</w:t>
            </w:r>
          </w:p>
        </w:tc>
        <w:tc>
          <w:tcPr>
            <w:tcW w:w="1025" w:type="pct"/>
          </w:tcPr>
          <w:p w:rsidR="00A74EF1" w:rsidRPr="009F779F" w:rsidRDefault="00A74EF1" w:rsidP="005C46F6">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9F779F">
              <w:rPr>
                <w:rFonts w:ascii="Calibri" w:hAnsi="Calibri" w:cs="Arial"/>
                <w:bCs/>
                <w:color w:val="000000"/>
                <w:sz w:val="18"/>
                <w:szCs w:val="18"/>
              </w:rPr>
              <w:t>ER15-2641-000</w:t>
            </w:r>
          </w:p>
          <w:p w:rsidR="00A74EF1" w:rsidRPr="009F779F" w:rsidRDefault="00A74EF1" w:rsidP="009F779F">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9F779F">
              <w:rPr>
                <w:rFonts w:ascii="Calibri" w:hAnsi="Calibri" w:cs="Arial"/>
                <w:bCs/>
                <w:color w:val="000000"/>
                <w:sz w:val="18"/>
                <w:szCs w:val="18"/>
              </w:rPr>
              <w:t>(Novem</w:t>
            </w:r>
            <w:r>
              <w:rPr>
                <w:rFonts w:ascii="Calibri" w:hAnsi="Calibri" w:cs="Arial"/>
                <w:bCs/>
                <w:color w:val="000000"/>
                <w:sz w:val="18"/>
                <w:szCs w:val="18"/>
              </w:rPr>
              <w:t>b</w:t>
            </w:r>
            <w:r w:rsidRPr="009F779F">
              <w:rPr>
                <w:rFonts w:ascii="Calibri" w:hAnsi="Calibri" w:cs="Arial"/>
                <w:bCs/>
                <w:color w:val="000000"/>
                <w:sz w:val="18"/>
                <w:szCs w:val="18"/>
              </w:rPr>
              <w:t>er 9, 2015)</w:t>
            </w:r>
          </w:p>
        </w:tc>
        <w:tc>
          <w:tcPr>
            <w:tcW w:w="682" w:type="pct"/>
            <w:gridSpan w:val="2"/>
          </w:tcPr>
          <w:p w:rsidR="00A74EF1" w:rsidRDefault="00A74EF1"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83</w:t>
            </w:r>
          </w:p>
        </w:tc>
        <w:tc>
          <w:tcPr>
            <w:tcW w:w="1819" w:type="pct"/>
          </w:tcPr>
          <w:p w:rsidR="00A74EF1" w:rsidRDefault="00A74EF1"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CTS: Conforming Changes</w:t>
            </w:r>
          </w:p>
        </w:tc>
        <w:tc>
          <w:tcPr>
            <w:tcW w:w="956" w:type="pct"/>
          </w:tcPr>
          <w:p w:rsidR="00A74EF1" w:rsidRDefault="00A74EF1"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December 15, 2015</w:t>
            </w:r>
          </w:p>
        </w:tc>
        <w:tc>
          <w:tcPr>
            <w:tcW w:w="1025" w:type="pct"/>
          </w:tcPr>
          <w:p w:rsidR="00A74EF1" w:rsidRPr="009F779F" w:rsidRDefault="00A74EF1" w:rsidP="005C46F6">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9F779F">
              <w:rPr>
                <w:rFonts w:ascii="Calibri" w:hAnsi="Calibri" w:cs="Arial"/>
                <w:bCs/>
                <w:color w:val="000000"/>
                <w:sz w:val="18"/>
                <w:szCs w:val="18"/>
              </w:rPr>
              <w:t>ER15-2641-000</w:t>
            </w:r>
          </w:p>
          <w:p w:rsidR="00A74EF1" w:rsidRPr="005C46F6" w:rsidRDefault="00A74EF1" w:rsidP="005C46F6">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9F779F">
              <w:rPr>
                <w:rFonts w:ascii="Calibri" w:hAnsi="Calibri" w:cs="Arial"/>
                <w:bCs/>
                <w:color w:val="000000"/>
                <w:sz w:val="18"/>
                <w:szCs w:val="18"/>
              </w:rPr>
              <w:t>(November 9, 2015)</w:t>
            </w:r>
          </w:p>
        </w:tc>
        <w:tc>
          <w:tcPr>
            <w:tcW w:w="682" w:type="pct"/>
            <w:gridSpan w:val="2"/>
          </w:tcPr>
          <w:p w:rsidR="00A74EF1" w:rsidRDefault="00A74EF1"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523C7A" w:rsidRDefault="00A74EF1"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94</w:t>
            </w:r>
          </w:p>
        </w:tc>
        <w:tc>
          <w:tcPr>
            <w:tcW w:w="1819" w:type="pct"/>
          </w:tcPr>
          <w:p w:rsidR="00A74EF1" w:rsidRPr="00523C7A" w:rsidRDefault="00A74EF1"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Baseline Method Modifications</w:t>
            </w:r>
          </w:p>
        </w:tc>
        <w:tc>
          <w:tcPr>
            <w:tcW w:w="956" w:type="pct"/>
          </w:tcPr>
          <w:p w:rsidR="00A74EF1" w:rsidRPr="00523C7A" w:rsidRDefault="00A74EF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December 31, 2015</w:t>
            </w:r>
          </w:p>
        </w:tc>
        <w:tc>
          <w:tcPr>
            <w:tcW w:w="1025" w:type="pct"/>
          </w:tcPr>
          <w:p w:rsidR="00A74EF1" w:rsidRPr="005C46F6" w:rsidRDefault="00A74EF1" w:rsidP="005C46F6">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C46F6">
              <w:rPr>
                <w:rFonts w:ascii="Calibri" w:hAnsi="Calibri" w:cs="Arial"/>
                <w:bCs/>
                <w:color w:val="000000"/>
                <w:sz w:val="18"/>
                <w:szCs w:val="18"/>
              </w:rPr>
              <w:t>ER16-167-000</w:t>
            </w:r>
          </w:p>
          <w:p w:rsidR="00A74EF1" w:rsidRPr="00523C7A" w:rsidRDefault="00A74EF1" w:rsidP="005C46F6">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C46F6">
              <w:rPr>
                <w:rFonts w:ascii="Calibri" w:hAnsi="Calibri" w:cs="Arial"/>
                <w:bCs/>
                <w:color w:val="000000"/>
                <w:sz w:val="18"/>
                <w:szCs w:val="18"/>
              </w:rPr>
              <w:t>(December 23, 2015)</w:t>
            </w:r>
          </w:p>
        </w:tc>
        <w:tc>
          <w:tcPr>
            <w:tcW w:w="682" w:type="pct"/>
            <w:gridSpan w:val="2"/>
          </w:tcPr>
          <w:p w:rsidR="00A74EF1" w:rsidRPr="00523C7A" w:rsidRDefault="00A74EF1"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523C7A" w:rsidRDefault="00A74EF1" w:rsidP="00523C7A">
            <w:pPr>
              <w:spacing w:before="60" w:after="60" w:line="240" w:lineRule="auto"/>
              <w:ind w:left="-86"/>
              <w:jc w:val="center"/>
              <w:rPr>
                <w:rFonts w:ascii="Calibri" w:hAnsi="Calibri" w:cs="Arial"/>
                <w:bCs w:val="0"/>
                <w:color w:val="000000"/>
                <w:sz w:val="18"/>
                <w:szCs w:val="18"/>
              </w:rPr>
            </w:pPr>
            <w:r>
              <w:rPr>
                <w:rFonts w:ascii="Calibri" w:hAnsi="Calibri" w:cs="Arial"/>
                <w:bCs w:val="0"/>
                <w:color w:val="000000"/>
                <w:sz w:val="18"/>
                <w:szCs w:val="18"/>
              </w:rPr>
              <w:t>96</w:t>
            </w:r>
          </w:p>
        </w:tc>
        <w:tc>
          <w:tcPr>
            <w:tcW w:w="1819" w:type="pct"/>
          </w:tcPr>
          <w:p w:rsidR="00A74EF1" w:rsidRPr="00523C7A" w:rsidRDefault="00A74EF1"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Price Responsive Demand: Implementation Delay</w:t>
            </w:r>
          </w:p>
        </w:tc>
        <w:tc>
          <w:tcPr>
            <w:tcW w:w="956" w:type="pct"/>
          </w:tcPr>
          <w:p w:rsidR="00A74EF1" w:rsidRPr="00523C7A" w:rsidRDefault="00A74EF1"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FC5B8A">
              <w:rPr>
                <w:rFonts w:ascii="Calibri" w:hAnsi="Calibri" w:cs="Arial"/>
                <w:bCs/>
                <w:color w:val="000000"/>
                <w:sz w:val="18"/>
                <w:szCs w:val="18"/>
              </w:rPr>
              <w:t>December 31, 2015</w:t>
            </w:r>
          </w:p>
        </w:tc>
        <w:tc>
          <w:tcPr>
            <w:tcW w:w="1025" w:type="pct"/>
          </w:tcPr>
          <w:p w:rsidR="00A74EF1" w:rsidRDefault="00A74EF1" w:rsidP="001104BE">
            <w:pPr>
              <w:pStyle w:val="ISOTableText-Centered"/>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18"/>
              </w:rPr>
            </w:pPr>
            <w:r w:rsidRPr="0062536F">
              <w:rPr>
                <w:rFonts w:asciiTheme="minorHAnsi" w:hAnsiTheme="minorHAnsi"/>
                <w:color w:val="auto"/>
                <w:szCs w:val="18"/>
              </w:rPr>
              <w:t>ER16-167-000</w:t>
            </w:r>
          </w:p>
          <w:p w:rsidR="00A74EF1" w:rsidRDefault="00A74EF1" w:rsidP="001104BE">
            <w:pPr>
              <w:pStyle w:val="ISOTableText-Centered"/>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18"/>
              </w:rPr>
            </w:pPr>
            <w:r>
              <w:rPr>
                <w:rFonts w:asciiTheme="minorHAnsi" w:eastAsia="Calibri" w:hAnsiTheme="minorHAnsi"/>
                <w:color w:val="auto"/>
                <w:szCs w:val="18"/>
              </w:rPr>
              <w:t>ER16-167-001</w:t>
            </w:r>
          </w:p>
          <w:p w:rsidR="00A74EF1" w:rsidRPr="00523C7A" w:rsidRDefault="00A74EF1"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(December 23, 2015)</w:t>
            </w:r>
          </w:p>
        </w:tc>
        <w:tc>
          <w:tcPr>
            <w:tcW w:w="682" w:type="pct"/>
            <w:gridSpan w:val="2"/>
          </w:tcPr>
          <w:p w:rsidR="00A74EF1" w:rsidRPr="00523C7A" w:rsidRDefault="00A74EF1"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523C7A" w:rsidRDefault="00A74EF1"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68</w:t>
            </w:r>
          </w:p>
        </w:tc>
        <w:tc>
          <w:tcPr>
            <w:tcW w:w="1819" w:type="pct"/>
          </w:tcPr>
          <w:p w:rsidR="00A74EF1" w:rsidRPr="00523C7A" w:rsidRDefault="00A74EF1"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Sloped Demand Curve: Conforming Changes</w:t>
            </w:r>
          </w:p>
        </w:tc>
        <w:tc>
          <w:tcPr>
            <w:tcW w:w="956" w:type="pct"/>
          </w:tcPr>
          <w:p w:rsidR="00A74EF1" w:rsidRPr="00523C7A" w:rsidRDefault="00A74EF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2016</w:t>
            </w:r>
          </w:p>
        </w:tc>
        <w:tc>
          <w:tcPr>
            <w:tcW w:w="1025" w:type="pct"/>
          </w:tcPr>
          <w:p w:rsidR="00A74EF1" w:rsidRPr="00523C7A" w:rsidRDefault="00A74EF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p>
        </w:tc>
        <w:tc>
          <w:tcPr>
            <w:tcW w:w="682" w:type="pct"/>
            <w:gridSpan w:val="2"/>
          </w:tcPr>
          <w:p w:rsidR="00A74EF1" w:rsidRPr="00523C7A" w:rsidRDefault="00A74EF1"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Merged with other project</w:t>
            </w:r>
          </w:p>
        </w:tc>
      </w:tr>
      <w:tr w:rsidR="00A74EF1"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463C98">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95</w:t>
            </w:r>
          </w:p>
        </w:tc>
        <w:tc>
          <w:tcPr>
            <w:tcW w:w="1819" w:type="pct"/>
          </w:tcPr>
          <w:p w:rsidR="00A74EF1" w:rsidRDefault="00A74EF1" w:rsidP="00463C98">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NCPC Modifications</w:t>
            </w:r>
          </w:p>
        </w:tc>
        <w:tc>
          <w:tcPr>
            <w:tcW w:w="956" w:type="pct"/>
          </w:tcPr>
          <w:p w:rsidR="00A74EF1" w:rsidRDefault="00A74EF1" w:rsidP="00463C98">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February 1, 2016</w:t>
            </w:r>
          </w:p>
        </w:tc>
        <w:tc>
          <w:tcPr>
            <w:tcW w:w="1025" w:type="pct"/>
          </w:tcPr>
          <w:p w:rsidR="00A74EF1" w:rsidRPr="001104BE" w:rsidRDefault="00A74EF1" w:rsidP="00EA22F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1104BE">
              <w:rPr>
                <w:rFonts w:asciiTheme="minorHAnsi" w:hAnsiTheme="minorHAnsi" w:cs="Arial"/>
                <w:bCs/>
                <w:color w:val="000000"/>
                <w:sz w:val="18"/>
                <w:szCs w:val="18"/>
              </w:rPr>
              <w:t>ER16-250-000</w:t>
            </w:r>
          </w:p>
          <w:p w:rsidR="00A74EF1" w:rsidRDefault="00A74EF1" w:rsidP="00EA22F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1104BE">
              <w:rPr>
                <w:rFonts w:asciiTheme="minorHAnsi" w:hAnsiTheme="minorHAnsi" w:cs="Arial"/>
                <w:bCs/>
                <w:color w:val="000000"/>
                <w:sz w:val="18"/>
                <w:szCs w:val="18"/>
              </w:rPr>
              <w:t>(December 23, 2015)</w:t>
            </w:r>
          </w:p>
        </w:tc>
        <w:tc>
          <w:tcPr>
            <w:tcW w:w="682" w:type="pct"/>
            <w:gridSpan w:val="2"/>
          </w:tcPr>
          <w:p w:rsidR="00A74EF1" w:rsidRDefault="00A74EF1" w:rsidP="00463C98">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523C7A" w:rsidRDefault="00A74EF1" w:rsidP="00463C98">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97</w:t>
            </w:r>
          </w:p>
        </w:tc>
        <w:tc>
          <w:tcPr>
            <w:tcW w:w="1819" w:type="pct"/>
          </w:tcPr>
          <w:p w:rsidR="00A74EF1" w:rsidRPr="00523C7A" w:rsidRDefault="00A74EF1" w:rsidP="00463C98">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Resource Retirement Reforms</w:t>
            </w:r>
          </w:p>
        </w:tc>
        <w:tc>
          <w:tcPr>
            <w:tcW w:w="956" w:type="pct"/>
          </w:tcPr>
          <w:p w:rsidR="00A74EF1" w:rsidRPr="00523C7A" w:rsidRDefault="00A74EF1" w:rsidP="00463C98">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March 1, 2016</w:t>
            </w:r>
          </w:p>
        </w:tc>
        <w:tc>
          <w:tcPr>
            <w:tcW w:w="1025" w:type="pct"/>
          </w:tcPr>
          <w:p w:rsidR="00A74EF1" w:rsidRDefault="00A74EF1" w:rsidP="00EA22F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ER</w:t>
            </w:r>
            <w:r w:rsidRPr="001D7768">
              <w:rPr>
                <w:rFonts w:asciiTheme="minorHAnsi" w:hAnsiTheme="minorHAnsi" w:cs="Arial"/>
                <w:bCs/>
                <w:color w:val="000000"/>
                <w:sz w:val="18"/>
                <w:szCs w:val="18"/>
              </w:rPr>
              <w:t>16-551-000</w:t>
            </w:r>
          </w:p>
          <w:p w:rsidR="00A74EF1" w:rsidRDefault="00A74EF1" w:rsidP="00EA22F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5946DF">
              <w:rPr>
                <w:rFonts w:asciiTheme="minorHAnsi" w:hAnsiTheme="minorHAnsi" w:cs="Arial"/>
                <w:bCs/>
                <w:color w:val="000000"/>
                <w:sz w:val="18"/>
                <w:szCs w:val="18"/>
              </w:rPr>
              <w:t>ER16-551-001</w:t>
            </w:r>
          </w:p>
          <w:p w:rsidR="00A74EF1" w:rsidRDefault="00A74EF1" w:rsidP="00EA22F2">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 xml:space="preserve">  </w:t>
            </w:r>
            <w:r w:rsidRPr="00E82014">
              <w:rPr>
                <w:rFonts w:asciiTheme="minorHAnsi" w:hAnsiTheme="minorHAnsi" w:cs="Arial"/>
                <w:bCs/>
                <w:color w:val="000000"/>
                <w:sz w:val="18"/>
                <w:szCs w:val="18"/>
              </w:rPr>
              <w:t>ER16-551-002</w:t>
            </w:r>
          </w:p>
          <w:p w:rsidR="00A74EF1" w:rsidRPr="00EA22F2" w:rsidRDefault="00A74EF1" w:rsidP="00463C98">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w:t>
            </w:r>
            <w:r w:rsidRPr="00317BAC">
              <w:rPr>
                <w:rFonts w:asciiTheme="minorHAnsi" w:hAnsiTheme="minorHAnsi" w:cs="Arial"/>
                <w:bCs/>
                <w:color w:val="000000"/>
                <w:sz w:val="18"/>
                <w:szCs w:val="18"/>
              </w:rPr>
              <w:t>April 12, 2016</w:t>
            </w:r>
            <w:r>
              <w:rPr>
                <w:rFonts w:asciiTheme="minorHAnsi" w:hAnsiTheme="minorHAnsi" w:cs="Arial"/>
                <w:bCs/>
                <w:color w:val="000000"/>
                <w:sz w:val="18"/>
                <w:szCs w:val="18"/>
              </w:rPr>
              <w:t>)</w:t>
            </w:r>
          </w:p>
        </w:tc>
        <w:tc>
          <w:tcPr>
            <w:tcW w:w="682" w:type="pct"/>
            <w:gridSpan w:val="2"/>
          </w:tcPr>
          <w:p w:rsidR="00A74EF1" w:rsidRPr="00523C7A" w:rsidRDefault="00A74EF1" w:rsidP="00463C98">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463C98">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463C98">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50</w:t>
            </w:r>
          </w:p>
        </w:tc>
        <w:tc>
          <w:tcPr>
            <w:tcW w:w="1819" w:type="pct"/>
          </w:tcPr>
          <w:p w:rsidR="00A74EF1" w:rsidRDefault="00A74EF1" w:rsidP="00463C98">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Do Not Exceed Real-Time Dispatch</w:t>
            </w:r>
          </w:p>
        </w:tc>
        <w:tc>
          <w:tcPr>
            <w:tcW w:w="956" w:type="pct"/>
          </w:tcPr>
          <w:p w:rsidR="00A74EF1" w:rsidRDefault="00A74EF1" w:rsidP="00463C98">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May 25, 2016</w:t>
            </w:r>
          </w:p>
        </w:tc>
        <w:tc>
          <w:tcPr>
            <w:tcW w:w="1025" w:type="pct"/>
          </w:tcPr>
          <w:p w:rsidR="00A74EF1" w:rsidRPr="009F779F" w:rsidRDefault="00A74EF1" w:rsidP="009F779F">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9F779F">
              <w:rPr>
                <w:rFonts w:asciiTheme="minorHAnsi" w:hAnsiTheme="minorHAnsi" w:cs="Arial"/>
                <w:bCs/>
                <w:color w:val="000000"/>
                <w:sz w:val="18"/>
                <w:szCs w:val="18"/>
              </w:rPr>
              <w:t>ER15-1509-000</w:t>
            </w:r>
          </w:p>
          <w:p w:rsidR="00A74EF1" w:rsidRPr="009F779F" w:rsidRDefault="00A74EF1" w:rsidP="009F779F">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9F779F">
              <w:rPr>
                <w:rFonts w:asciiTheme="minorHAnsi" w:hAnsiTheme="minorHAnsi" w:cs="Arial"/>
                <w:bCs/>
                <w:color w:val="000000"/>
                <w:sz w:val="18"/>
                <w:szCs w:val="18"/>
              </w:rPr>
              <w:t>ER16-870-000</w:t>
            </w:r>
          </w:p>
          <w:p w:rsidR="00A74EF1" w:rsidRDefault="00A74EF1" w:rsidP="009F779F">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rPr>
            </w:pPr>
            <w:r w:rsidRPr="009F779F">
              <w:rPr>
                <w:rFonts w:asciiTheme="minorHAnsi" w:hAnsiTheme="minorHAnsi" w:cs="Arial"/>
                <w:bCs/>
                <w:color w:val="000000"/>
                <w:sz w:val="18"/>
                <w:szCs w:val="18"/>
              </w:rPr>
              <w:t>(July 23, 2015)</w:t>
            </w:r>
          </w:p>
        </w:tc>
        <w:tc>
          <w:tcPr>
            <w:tcW w:w="682" w:type="pct"/>
            <w:gridSpan w:val="2"/>
          </w:tcPr>
          <w:p w:rsidR="00A74EF1" w:rsidRDefault="00A74EF1" w:rsidP="00463C98">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463C98">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463C98">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86</w:t>
            </w:r>
          </w:p>
        </w:tc>
        <w:tc>
          <w:tcPr>
            <w:tcW w:w="1819" w:type="pct"/>
          </w:tcPr>
          <w:p w:rsidR="00A74EF1" w:rsidRDefault="00A74EF1" w:rsidP="00463C98">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FRM Modifications: Offer Cap</w:t>
            </w:r>
          </w:p>
        </w:tc>
        <w:tc>
          <w:tcPr>
            <w:tcW w:w="956" w:type="pct"/>
          </w:tcPr>
          <w:p w:rsidR="00A74EF1" w:rsidRDefault="00A74EF1" w:rsidP="00463C98">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June 1, 2016</w:t>
            </w:r>
          </w:p>
        </w:tc>
        <w:tc>
          <w:tcPr>
            <w:tcW w:w="1025" w:type="pct"/>
          </w:tcPr>
          <w:p w:rsidR="00A74EF1" w:rsidRDefault="00A74EF1" w:rsidP="00463C98">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ER16-921-000</w:t>
            </w:r>
          </w:p>
          <w:p w:rsidR="00A74EF1" w:rsidRDefault="00A74EF1" w:rsidP="00463C98">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bCs/>
                <w:color w:val="000000"/>
                <w:sz w:val="18"/>
                <w:szCs w:val="18"/>
              </w:rPr>
              <w:t>(March 25, 2016)</w:t>
            </w:r>
          </w:p>
        </w:tc>
        <w:tc>
          <w:tcPr>
            <w:tcW w:w="682" w:type="pct"/>
            <w:gridSpan w:val="2"/>
          </w:tcPr>
          <w:p w:rsidR="00A74EF1" w:rsidRDefault="00A74EF1" w:rsidP="00463C98">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463C98">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463C98">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61</w:t>
            </w:r>
          </w:p>
        </w:tc>
        <w:tc>
          <w:tcPr>
            <w:tcW w:w="1819" w:type="pct"/>
          </w:tcPr>
          <w:p w:rsidR="00A74EF1" w:rsidRDefault="00A74EF1" w:rsidP="00463C98">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Simultaneous RTDR and RTEG Audit</w:t>
            </w:r>
          </w:p>
        </w:tc>
        <w:tc>
          <w:tcPr>
            <w:tcW w:w="956" w:type="pct"/>
          </w:tcPr>
          <w:p w:rsidR="00A74EF1" w:rsidRDefault="00A74EF1" w:rsidP="00463C98">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June 1, 2016</w:t>
            </w:r>
          </w:p>
        </w:tc>
        <w:tc>
          <w:tcPr>
            <w:tcW w:w="1025" w:type="pct"/>
          </w:tcPr>
          <w:p w:rsidR="00A74EF1" w:rsidRDefault="00A74EF1" w:rsidP="00463C9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ER16-167-001</w:t>
            </w:r>
          </w:p>
          <w:p w:rsidR="00A74EF1" w:rsidRPr="00FA141F" w:rsidRDefault="00A74EF1" w:rsidP="00463C9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(December 23, 2015)</w:t>
            </w:r>
          </w:p>
        </w:tc>
        <w:tc>
          <w:tcPr>
            <w:tcW w:w="682" w:type="pct"/>
            <w:gridSpan w:val="2"/>
          </w:tcPr>
          <w:p w:rsidR="00A74EF1" w:rsidRDefault="00A74EF1" w:rsidP="00463C98">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463C98">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463C98">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86</w:t>
            </w:r>
          </w:p>
        </w:tc>
        <w:tc>
          <w:tcPr>
            <w:tcW w:w="1819" w:type="pct"/>
          </w:tcPr>
          <w:p w:rsidR="00A74EF1" w:rsidRDefault="00A74EF1" w:rsidP="00463C98">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FRM Modifications: Heat Rate</w:t>
            </w:r>
          </w:p>
        </w:tc>
        <w:tc>
          <w:tcPr>
            <w:tcW w:w="956" w:type="pct"/>
          </w:tcPr>
          <w:p w:rsidR="00A74EF1" w:rsidRDefault="00A74EF1" w:rsidP="00463C98">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June 15, 2016</w:t>
            </w:r>
          </w:p>
        </w:tc>
        <w:tc>
          <w:tcPr>
            <w:tcW w:w="1025" w:type="pct"/>
          </w:tcPr>
          <w:p w:rsidR="00A74EF1" w:rsidRDefault="00A74EF1" w:rsidP="00463C98">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sidRPr="00FA141F">
              <w:rPr>
                <w:rFonts w:asciiTheme="minorHAnsi" w:hAnsiTheme="minorHAnsi"/>
                <w:bCs/>
                <w:color w:val="000000"/>
                <w:sz w:val="18"/>
                <w:szCs w:val="18"/>
              </w:rPr>
              <w:t>ER16-1296-000</w:t>
            </w:r>
          </w:p>
          <w:p w:rsidR="00A74EF1" w:rsidRDefault="00A74EF1" w:rsidP="00463C98">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(May 6, 2016)</w:t>
            </w:r>
          </w:p>
        </w:tc>
        <w:tc>
          <w:tcPr>
            <w:tcW w:w="682" w:type="pct"/>
            <w:gridSpan w:val="2"/>
          </w:tcPr>
          <w:p w:rsidR="00A74EF1" w:rsidRDefault="00A74EF1" w:rsidP="00463C98">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463C98">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523C7A" w:rsidRDefault="00A74EF1" w:rsidP="00463C98">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98</w:t>
            </w:r>
          </w:p>
        </w:tc>
        <w:tc>
          <w:tcPr>
            <w:tcW w:w="1819" w:type="pct"/>
          </w:tcPr>
          <w:p w:rsidR="00A74EF1" w:rsidRPr="00523C7A" w:rsidRDefault="00A74EF1" w:rsidP="00463C98">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Zonal Demand Curves</w:t>
            </w:r>
          </w:p>
        </w:tc>
        <w:tc>
          <w:tcPr>
            <w:tcW w:w="956" w:type="pct"/>
          </w:tcPr>
          <w:p w:rsidR="00A74EF1" w:rsidRPr="00523C7A" w:rsidRDefault="00A74EF1" w:rsidP="00463C98">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Theme="minorHAnsi" w:hAnsiTheme="minorHAnsi" w:cs="Arial"/>
                <w:bCs/>
                <w:color w:val="000000"/>
                <w:sz w:val="18"/>
                <w:szCs w:val="18"/>
              </w:rPr>
              <w:t>June 15, 2016</w:t>
            </w:r>
          </w:p>
        </w:tc>
        <w:tc>
          <w:tcPr>
            <w:tcW w:w="1025" w:type="pct"/>
          </w:tcPr>
          <w:p w:rsidR="00A74EF1" w:rsidRDefault="00A74EF1" w:rsidP="00463C9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ER</w:t>
            </w:r>
            <w:r w:rsidRPr="00FA141F">
              <w:rPr>
                <w:rFonts w:asciiTheme="minorHAnsi" w:hAnsiTheme="minorHAnsi" w:cs="Arial"/>
                <w:bCs/>
                <w:color w:val="000000"/>
                <w:sz w:val="18"/>
                <w:szCs w:val="18"/>
              </w:rPr>
              <w:t>16-1434-000</w:t>
            </w:r>
          </w:p>
          <w:p w:rsidR="00A74EF1" w:rsidRPr="00EA22F2" w:rsidRDefault="00A74EF1" w:rsidP="00463C9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(April 15,2016)</w:t>
            </w:r>
          </w:p>
        </w:tc>
        <w:tc>
          <w:tcPr>
            <w:tcW w:w="682" w:type="pct"/>
            <w:gridSpan w:val="2"/>
          </w:tcPr>
          <w:p w:rsidR="00A74EF1" w:rsidRPr="00523C7A" w:rsidRDefault="00A74EF1" w:rsidP="00463C98">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DD56BF" w:rsidRPr="00523C7A" w:rsidTr="008E1E1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DD56BF" w:rsidRPr="00E55538" w:rsidRDefault="00DD56BF" w:rsidP="00457251">
            <w:pPr>
              <w:spacing w:before="60" w:after="60" w:line="240" w:lineRule="auto"/>
              <w:ind w:left="-86"/>
              <w:jc w:val="center"/>
              <w:rPr>
                <w:rFonts w:asciiTheme="minorHAnsi" w:hAnsiTheme="minorHAnsi"/>
                <w:szCs w:val="18"/>
              </w:rPr>
            </w:pPr>
            <w:r w:rsidRPr="00457251">
              <w:rPr>
                <w:rFonts w:ascii="Calibri" w:hAnsi="Calibri" w:cs="Arial"/>
                <w:color w:val="000000"/>
                <w:sz w:val="18"/>
                <w:szCs w:val="18"/>
              </w:rPr>
              <w:t>101</w:t>
            </w:r>
          </w:p>
        </w:tc>
        <w:tc>
          <w:tcPr>
            <w:tcW w:w="1819" w:type="pct"/>
          </w:tcPr>
          <w:p w:rsidR="00DD56BF" w:rsidRPr="0033359E" w:rsidRDefault="00DD56BF" w:rsidP="00457251">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457251">
              <w:rPr>
                <w:rFonts w:asciiTheme="minorHAnsi" w:hAnsiTheme="minorHAnsi" w:cs="MS Sans Serif"/>
                <w:bCs/>
                <w:color w:val="000000"/>
                <w:sz w:val="18"/>
                <w:szCs w:val="18"/>
              </w:rPr>
              <w:t>Dual-Fuel Auditing NCPC Fixes</w:t>
            </w:r>
          </w:p>
        </w:tc>
        <w:tc>
          <w:tcPr>
            <w:tcW w:w="956" w:type="pct"/>
          </w:tcPr>
          <w:p w:rsidR="00DD56BF" w:rsidRDefault="00DD56BF" w:rsidP="00463C98">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457251">
              <w:rPr>
                <w:rFonts w:asciiTheme="minorHAnsi" w:hAnsiTheme="minorHAnsi"/>
                <w:sz w:val="18"/>
                <w:szCs w:val="18"/>
              </w:rPr>
              <w:t>November 1, 2016</w:t>
            </w:r>
          </w:p>
        </w:tc>
        <w:tc>
          <w:tcPr>
            <w:tcW w:w="1025" w:type="pct"/>
          </w:tcPr>
          <w:p w:rsidR="00DD56BF" w:rsidRPr="00457251" w:rsidRDefault="00DD56BF" w:rsidP="0036720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sidRPr="00457251">
              <w:rPr>
                <w:rFonts w:asciiTheme="minorHAnsi" w:hAnsiTheme="minorHAnsi"/>
                <w:bCs/>
                <w:color w:val="000000"/>
                <w:sz w:val="18"/>
                <w:szCs w:val="18"/>
              </w:rPr>
              <w:t>ER16-2529-000</w:t>
            </w:r>
          </w:p>
          <w:p w:rsidR="00DD56BF" w:rsidRDefault="00DD56BF" w:rsidP="00463C98">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lastRenderedPageBreak/>
              <w:t>(September 1, 2016)</w:t>
            </w:r>
          </w:p>
        </w:tc>
        <w:tc>
          <w:tcPr>
            <w:tcW w:w="682" w:type="pct"/>
            <w:gridSpan w:val="2"/>
          </w:tcPr>
          <w:p w:rsidR="00DD56BF" w:rsidRDefault="00DD56BF" w:rsidP="00463C98">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lastRenderedPageBreak/>
              <w:t>Complete</w:t>
            </w:r>
          </w:p>
        </w:tc>
      </w:tr>
      <w:tr w:rsidR="0036720A" w:rsidRPr="00523C7A" w:rsidTr="008E1E1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62"/>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36720A" w:rsidRPr="00457251" w:rsidRDefault="0036720A" w:rsidP="00457251">
            <w:pPr>
              <w:spacing w:before="60" w:after="60" w:line="240" w:lineRule="auto"/>
              <w:ind w:left="-86"/>
              <w:jc w:val="center"/>
              <w:rPr>
                <w:rFonts w:ascii="Calibri" w:hAnsi="Calibri" w:cs="Arial"/>
                <w:color w:val="000000"/>
                <w:sz w:val="18"/>
                <w:szCs w:val="18"/>
              </w:rPr>
            </w:pPr>
            <w:r w:rsidRPr="00457251">
              <w:rPr>
                <w:rFonts w:ascii="Calibri" w:hAnsi="Calibri" w:cs="Arial"/>
                <w:color w:val="000000"/>
                <w:sz w:val="18"/>
                <w:szCs w:val="18"/>
              </w:rPr>
              <w:t>84</w:t>
            </w:r>
          </w:p>
        </w:tc>
        <w:tc>
          <w:tcPr>
            <w:tcW w:w="1819" w:type="pct"/>
          </w:tcPr>
          <w:p w:rsidR="0036720A" w:rsidRPr="00457251" w:rsidRDefault="0036720A" w:rsidP="00DC57C0">
            <w:pPr>
              <w:spacing w:before="60" w:after="60" w:line="240" w:lineRule="auto"/>
              <w:ind w:left="-86"/>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57251">
              <w:rPr>
                <w:rFonts w:asciiTheme="minorHAnsi" w:hAnsiTheme="minorHAnsi"/>
                <w:sz w:val="18"/>
                <w:szCs w:val="18"/>
              </w:rPr>
              <w:t>Resource Dispatchability Requirements</w:t>
            </w:r>
          </w:p>
        </w:tc>
        <w:tc>
          <w:tcPr>
            <w:tcW w:w="956" w:type="pct"/>
          </w:tcPr>
          <w:p w:rsidR="0036720A" w:rsidRPr="00457251" w:rsidRDefault="00457251" w:rsidP="00457251">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57251">
              <w:rPr>
                <w:rFonts w:asciiTheme="minorHAnsi" w:hAnsiTheme="minorHAnsi"/>
                <w:sz w:val="18"/>
                <w:szCs w:val="18"/>
              </w:rPr>
              <w:t xml:space="preserve">December 12, 2016 </w:t>
            </w:r>
          </w:p>
        </w:tc>
        <w:tc>
          <w:tcPr>
            <w:tcW w:w="1025" w:type="pct"/>
          </w:tcPr>
          <w:p w:rsidR="0036720A" w:rsidRPr="000060EE" w:rsidRDefault="0036720A" w:rsidP="008E1E1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sidRPr="000060EE">
              <w:rPr>
                <w:rFonts w:asciiTheme="minorHAnsi" w:hAnsiTheme="minorHAnsi"/>
                <w:bCs/>
                <w:sz w:val="18"/>
                <w:szCs w:val="18"/>
              </w:rPr>
              <w:t>ER17-68-000</w:t>
            </w:r>
          </w:p>
          <w:p w:rsidR="00457251" w:rsidRDefault="0036720A" w:rsidP="00457251">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sidRPr="000060EE">
              <w:rPr>
                <w:rFonts w:asciiTheme="minorHAnsi" w:hAnsiTheme="minorHAnsi"/>
                <w:bCs/>
                <w:sz w:val="18"/>
                <w:szCs w:val="18"/>
              </w:rPr>
              <w:t>ER17-68-001</w:t>
            </w:r>
            <w:r w:rsidR="00457251" w:rsidRPr="000060EE">
              <w:rPr>
                <w:rFonts w:asciiTheme="minorHAnsi" w:hAnsiTheme="minorHAnsi"/>
                <w:bCs/>
                <w:sz w:val="18"/>
                <w:szCs w:val="18"/>
              </w:rPr>
              <w:t xml:space="preserve"> </w:t>
            </w:r>
          </w:p>
          <w:p w:rsidR="0036720A" w:rsidRPr="008E1E1A" w:rsidRDefault="00457251" w:rsidP="008E1E1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Pr>
                <w:rFonts w:asciiTheme="minorHAnsi" w:hAnsiTheme="minorHAnsi"/>
                <w:bCs/>
                <w:sz w:val="18"/>
                <w:szCs w:val="18"/>
              </w:rPr>
              <w:t>(</w:t>
            </w:r>
            <w:r w:rsidRPr="000060EE">
              <w:rPr>
                <w:rFonts w:asciiTheme="minorHAnsi" w:hAnsiTheme="minorHAnsi"/>
                <w:bCs/>
                <w:sz w:val="18"/>
                <w:szCs w:val="18"/>
              </w:rPr>
              <w:t>December 9, 2016</w:t>
            </w:r>
            <w:r>
              <w:rPr>
                <w:rFonts w:asciiTheme="minorHAnsi" w:hAnsiTheme="minorHAnsi"/>
                <w:bCs/>
                <w:sz w:val="18"/>
                <w:szCs w:val="18"/>
              </w:rPr>
              <w:t>)</w:t>
            </w:r>
          </w:p>
        </w:tc>
        <w:tc>
          <w:tcPr>
            <w:tcW w:w="682" w:type="pct"/>
            <w:gridSpan w:val="2"/>
          </w:tcPr>
          <w:p w:rsidR="0036720A" w:rsidRDefault="00457251" w:rsidP="00463C98">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0060EE">
              <w:rPr>
                <w:rFonts w:asciiTheme="minorHAnsi" w:hAnsiTheme="minorHAnsi"/>
                <w:bCs/>
                <w:sz w:val="18"/>
                <w:szCs w:val="18"/>
              </w:rPr>
              <w:t>Complete</w:t>
            </w:r>
          </w:p>
        </w:tc>
      </w:tr>
      <w:tr w:rsidR="0036720A" w:rsidRPr="00523C7A" w:rsidTr="0036720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36720A" w:rsidRDefault="0036720A" w:rsidP="00523C7A">
            <w:pPr>
              <w:spacing w:before="60" w:after="60" w:line="240" w:lineRule="auto"/>
              <w:ind w:left="-86"/>
              <w:jc w:val="center"/>
              <w:rPr>
                <w:rFonts w:ascii="Calibri" w:hAnsi="Calibri" w:cs="Arial"/>
                <w:color w:val="000000"/>
                <w:sz w:val="18"/>
                <w:szCs w:val="18"/>
              </w:rPr>
            </w:pPr>
            <w:r w:rsidRPr="00457251">
              <w:rPr>
                <w:rFonts w:ascii="Calibri" w:hAnsi="Calibri" w:cs="Arial"/>
                <w:color w:val="000000"/>
                <w:sz w:val="18"/>
                <w:szCs w:val="18"/>
              </w:rPr>
              <w:t>75</w:t>
            </w:r>
          </w:p>
        </w:tc>
        <w:tc>
          <w:tcPr>
            <w:tcW w:w="1819" w:type="pct"/>
          </w:tcPr>
          <w:p w:rsidR="0036720A" w:rsidRDefault="0036720A" w:rsidP="00DC57C0">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cs="MS Sans Serif"/>
                <w:bCs/>
                <w:color w:val="000000"/>
                <w:sz w:val="18"/>
                <w:szCs w:val="18"/>
              </w:rPr>
            </w:pPr>
            <w:r w:rsidRPr="00457251">
              <w:rPr>
                <w:rFonts w:asciiTheme="minorHAnsi" w:hAnsiTheme="minorHAnsi" w:cs="MS Sans Serif"/>
                <w:bCs/>
                <w:color w:val="000000"/>
                <w:sz w:val="18"/>
                <w:szCs w:val="18"/>
              </w:rPr>
              <w:t>FCA Qualification Provisions</w:t>
            </w:r>
            <w:r w:rsidRPr="004A4814">
              <w:rPr>
                <w:rFonts w:asciiTheme="minorHAnsi" w:hAnsiTheme="minorHAnsi"/>
                <w:szCs w:val="18"/>
              </w:rPr>
              <w:t xml:space="preserve"> </w:t>
            </w:r>
          </w:p>
        </w:tc>
        <w:tc>
          <w:tcPr>
            <w:tcW w:w="956" w:type="pct"/>
          </w:tcPr>
          <w:p w:rsidR="0036720A" w:rsidRDefault="0045725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457251">
              <w:rPr>
                <w:rFonts w:asciiTheme="minorHAnsi" w:hAnsiTheme="minorHAnsi"/>
                <w:sz w:val="18"/>
                <w:szCs w:val="18"/>
              </w:rPr>
              <w:t>December 27, 2016</w:t>
            </w:r>
          </w:p>
        </w:tc>
        <w:tc>
          <w:tcPr>
            <w:tcW w:w="1025" w:type="pct"/>
          </w:tcPr>
          <w:p w:rsidR="0036720A" w:rsidRPr="00457251" w:rsidRDefault="0036720A" w:rsidP="00457251">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p>
          <w:p w:rsidR="0036720A" w:rsidRDefault="0036720A" w:rsidP="00457251">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sidRPr="00457251">
              <w:rPr>
                <w:rFonts w:asciiTheme="minorHAnsi" w:hAnsiTheme="minorHAnsi" w:cs="Arial"/>
                <w:bCs/>
                <w:color w:val="000000"/>
                <w:sz w:val="18"/>
                <w:szCs w:val="18"/>
              </w:rPr>
              <w:t>ER16-2126-001</w:t>
            </w:r>
            <w:r w:rsidR="00457251" w:rsidRPr="00457251">
              <w:rPr>
                <w:rFonts w:asciiTheme="minorHAnsi" w:hAnsiTheme="minorHAnsi" w:cs="Arial"/>
                <w:bCs/>
                <w:color w:val="000000"/>
                <w:sz w:val="18"/>
                <w:szCs w:val="18"/>
              </w:rPr>
              <w:t xml:space="preserve"> (December 6, 2016)</w:t>
            </w:r>
          </w:p>
        </w:tc>
        <w:tc>
          <w:tcPr>
            <w:tcW w:w="682" w:type="pct"/>
            <w:gridSpan w:val="2"/>
          </w:tcPr>
          <w:p w:rsidR="0036720A" w:rsidRDefault="0036720A" w:rsidP="0036720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457251">
              <w:rPr>
                <w:rFonts w:ascii="Calibri" w:eastAsia="Calibri" w:hAnsi="Calibri"/>
                <w:bCs/>
                <w:color w:val="000000"/>
                <w:sz w:val="18"/>
                <w:szCs w:val="18"/>
              </w:rPr>
              <w:t xml:space="preserve">Complete </w:t>
            </w:r>
          </w:p>
        </w:tc>
      </w:tr>
      <w:tr w:rsidR="00F80D37" w:rsidRPr="00523C7A" w:rsidTr="0036720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80D37" w:rsidRPr="00457251" w:rsidRDefault="00F80D37"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105</w:t>
            </w:r>
          </w:p>
        </w:tc>
        <w:tc>
          <w:tcPr>
            <w:tcW w:w="1819" w:type="pct"/>
          </w:tcPr>
          <w:p w:rsidR="00F80D37" w:rsidRPr="00457251" w:rsidRDefault="00F80D37" w:rsidP="00DC57C0">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MS Sans Serif"/>
                <w:bCs/>
                <w:color w:val="000000"/>
                <w:sz w:val="18"/>
                <w:szCs w:val="18"/>
              </w:rPr>
            </w:pPr>
            <w:r w:rsidRPr="00E95C90">
              <w:rPr>
                <w:rFonts w:asciiTheme="minorHAnsi" w:hAnsiTheme="minorHAnsi" w:cs="Arial"/>
                <w:bCs/>
                <w:color w:val="000000"/>
                <w:sz w:val="18"/>
                <w:szCs w:val="18"/>
              </w:rPr>
              <w:t>Natural Gas Index Changes</w:t>
            </w:r>
          </w:p>
        </w:tc>
        <w:tc>
          <w:tcPr>
            <w:tcW w:w="956" w:type="pct"/>
          </w:tcPr>
          <w:p w:rsidR="00F80D37" w:rsidRPr="00457251" w:rsidRDefault="00F80D37" w:rsidP="00F80D37">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January 10, 2017</w:t>
            </w:r>
          </w:p>
        </w:tc>
        <w:tc>
          <w:tcPr>
            <w:tcW w:w="1025" w:type="pct"/>
          </w:tcPr>
          <w:p w:rsidR="00F80D37" w:rsidRDefault="00F80D37" w:rsidP="00F80D3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sidRPr="000060EE">
              <w:rPr>
                <w:rFonts w:asciiTheme="minorHAnsi" w:hAnsiTheme="minorHAnsi"/>
                <w:bCs/>
                <w:sz w:val="18"/>
                <w:szCs w:val="18"/>
              </w:rPr>
              <w:t xml:space="preserve">ER17-337-000 </w:t>
            </w:r>
          </w:p>
          <w:p w:rsidR="00F80D37" w:rsidRPr="00F80D37" w:rsidRDefault="00F80D37" w:rsidP="00F80D3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Pr>
                <w:rFonts w:asciiTheme="minorHAnsi" w:hAnsiTheme="minorHAnsi"/>
                <w:bCs/>
                <w:sz w:val="18"/>
                <w:szCs w:val="18"/>
              </w:rPr>
              <w:t>(January 9, 2017)</w:t>
            </w:r>
          </w:p>
        </w:tc>
        <w:tc>
          <w:tcPr>
            <w:tcW w:w="682" w:type="pct"/>
            <w:gridSpan w:val="2"/>
          </w:tcPr>
          <w:p w:rsidR="00F80D37" w:rsidRPr="00457251" w:rsidRDefault="00F80D37" w:rsidP="0036720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F80D37" w:rsidRPr="00523C7A" w:rsidTr="00AA64CC">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80D37" w:rsidRDefault="00F80D37"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110</w:t>
            </w:r>
          </w:p>
        </w:tc>
        <w:tc>
          <w:tcPr>
            <w:tcW w:w="1819" w:type="pct"/>
          </w:tcPr>
          <w:p w:rsidR="00F80D37" w:rsidRPr="00166E12" w:rsidRDefault="00F80D37"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cs="MS Sans Serif"/>
                <w:bCs/>
                <w:color w:val="000000"/>
                <w:sz w:val="18"/>
                <w:szCs w:val="18"/>
              </w:rPr>
            </w:pPr>
            <w:r w:rsidRPr="00166E12">
              <w:rPr>
                <w:rFonts w:asciiTheme="minorHAnsi" w:hAnsiTheme="minorHAnsi"/>
                <w:sz w:val="18"/>
                <w:szCs w:val="18"/>
              </w:rPr>
              <w:t>Deletion of Active Demand Resource Tariff Provisions</w:t>
            </w:r>
          </w:p>
        </w:tc>
        <w:tc>
          <w:tcPr>
            <w:tcW w:w="956" w:type="pct"/>
          </w:tcPr>
          <w:p w:rsidR="00F80D37" w:rsidRPr="000060EE" w:rsidRDefault="00F80D37" w:rsidP="00AA64CC">
            <w:pPr>
              <w:pStyle w:val="ISOTableText-Centered"/>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auto"/>
                <w:szCs w:val="18"/>
              </w:rPr>
            </w:pPr>
            <w:r w:rsidRPr="000060EE">
              <w:rPr>
                <w:rFonts w:asciiTheme="minorHAnsi" w:hAnsiTheme="minorHAnsi" w:cs="Arial"/>
                <w:color w:val="auto"/>
                <w:szCs w:val="18"/>
              </w:rPr>
              <w:t>Part 1: February 24, 2017</w:t>
            </w:r>
          </w:p>
          <w:p w:rsidR="00F80D37" w:rsidRDefault="00F80D37" w:rsidP="00AA64CC">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060EE">
              <w:rPr>
                <w:rFonts w:asciiTheme="minorHAnsi" w:hAnsiTheme="minorHAnsi" w:cs="Arial"/>
                <w:szCs w:val="18"/>
              </w:rPr>
              <w:t>Part 2: June 1, 2018</w:t>
            </w:r>
          </w:p>
        </w:tc>
        <w:tc>
          <w:tcPr>
            <w:tcW w:w="1025" w:type="pct"/>
          </w:tcPr>
          <w:p w:rsidR="00F80D37" w:rsidRDefault="00F80D37" w:rsidP="00F80D37">
            <w:pPr>
              <w:pStyle w:val="ISOTableText-Centered"/>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auto"/>
                <w:szCs w:val="18"/>
              </w:rPr>
            </w:pPr>
            <w:r w:rsidRPr="000060EE">
              <w:rPr>
                <w:rFonts w:asciiTheme="minorHAnsi" w:hAnsiTheme="minorHAnsi" w:cs="Arial"/>
                <w:color w:val="auto"/>
                <w:szCs w:val="18"/>
              </w:rPr>
              <w:t>ER17-925-001</w:t>
            </w:r>
          </w:p>
          <w:p w:rsidR="00F80D37" w:rsidRPr="00F80D37" w:rsidRDefault="00F80D37" w:rsidP="00F80D37">
            <w:pPr>
              <w:pStyle w:val="ISOTableText-Centered"/>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auto"/>
                <w:szCs w:val="18"/>
              </w:rPr>
            </w:pPr>
            <w:r>
              <w:rPr>
                <w:rFonts w:asciiTheme="minorHAnsi" w:hAnsiTheme="minorHAnsi" w:cs="Arial"/>
                <w:color w:val="auto"/>
                <w:szCs w:val="18"/>
              </w:rPr>
              <w:t>(</w:t>
            </w:r>
            <w:r w:rsidRPr="000060EE">
              <w:rPr>
                <w:rFonts w:asciiTheme="minorHAnsi" w:hAnsiTheme="minorHAnsi" w:cs="Arial"/>
                <w:color w:val="auto"/>
                <w:szCs w:val="18"/>
              </w:rPr>
              <w:t>March 15, 2017</w:t>
            </w:r>
            <w:r>
              <w:rPr>
                <w:rFonts w:asciiTheme="minorHAnsi" w:hAnsiTheme="minorHAnsi" w:cs="Arial"/>
                <w:color w:val="auto"/>
                <w:szCs w:val="18"/>
              </w:rPr>
              <w:t>)</w:t>
            </w:r>
          </w:p>
        </w:tc>
        <w:tc>
          <w:tcPr>
            <w:tcW w:w="682" w:type="pct"/>
            <w:gridSpan w:val="2"/>
          </w:tcPr>
          <w:p w:rsidR="00F80D37" w:rsidRDefault="00F80D37"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F80D37"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80D37" w:rsidRPr="00166E12" w:rsidRDefault="00F80D37" w:rsidP="00523C7A">
            <w:pPr>
              <w:spacing w:before="60" w:after="60" w:line="240" w:lineRule="auto"/>
              <w:ind w:left="-86"/>
              <w:jc w:val="center"/>
              <w:rPr>
                <w:rFonts w:ascii="Calibri" w:hAnsi="Calibri" w:cs="Arial"/>
                <w:color w:val="000000"/>
                <w:sz w:val="18"/>
                <w:szCs w:val="18"/>
              </w:rPr>
            </w:pPr>
            <w:r w:rsidRPr="00166E12">
              <w:rPr>
                <w:rFonts w:asciiTheme="minorHAnsi" w:hAnsiTheme="minorHAnsi"/>
                <w:sz w:val="18"/>
                <w:szCs w:val="18"/>
              </w:rPr>
              <w:t>67/75/97</w:t>
            </w:r>
          </w:p>
        </w:tc>
        <w:tc>
          <w:tcPr>
            <w:tcW w:w="1819" w:type="pct"/>
          </w:tcPr>
          <w:p w:rsidR="00F80D37" w:rsidRPr="00166E12" w:rsidRDefault="00F80D37"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MS Sans Serif"/>
                <w:bCs/>
                <w:color w:val="000000"/>
                <w:sz w:val="18"/>
                <w:szCs w:val="18"/>
              </w:rPr>
            </w:pPr>
            <w:r w:rsidRPr="00166E12">
              <w:rPr>
                <w:rFonts w:asciiTheme="minorHAnsi" w:hAnsiTheme="minorHAnsi"/>
                <w:sz w:val="18"/>
                <w:szCs w:val="18"/>
              </w:rPr>
              <w:t>Manual M-20 Conforming Changes</w:t>
            </w:r>
          </w:p>
        </w:tc>
        <w:tc>
          <w:tcPr>
            <w:tcW w:w="956" w:type="pct"/>
          </w:tcPr>
          <w:p w:rsidR="00F80D37" w:rsidRDefault="00F80D37"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March 1, 2017</w:t>
            </w:r>
          </w:p>
        </w:tc>
        <w:tc>
          <w:tcPr>
            <w:tcW w:w="1025" w:type="pct"/>
          </w:tcPr>
          <w:p w:rsidR="00F80D37" w:rsidRPr="00166E12" w:rsidRDefault="00F80D37" w:rsidP="007E01D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rPr>
            </w:pPr>
            <w:r w:rsidRPr="00166E12">
              <w:rPr>
                <w:rFonts w:asciiTheme="minorHAnsi" w:hAnsiTheme="minorHAnsi"/>
                <w:sz w:val="18"/>
                <w:szCs w:val="18"/>
              </w:rPr>
              <w:t>Manual Complete</w:t>
            </w:r>
          </w:p>
        </w:tc>
        <w:tc>
          <w:tcPr>
            <w:tcW w:w="682" w:type="pct"/>
            <w:gridSpan w:val="2"/>
          </w:tcPr>
          <w:p w:rsidR="00F80D37" w:rsidRDefault="00F80D37" w:rsidP="00523C7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DD56BF"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DD56BF" w:rsidRDefault="00DD56BF"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48</w:t>
            </w:r>
          </w:p>
        </w:tc>
        <w:tc>
          <w:tcPr>
            <w:tcW w:w="1819" w:type="pct"/>
          </w:tcPr>
          <w:p w:rsidR="00DD56BF" w:rsidRPr="001D7768" w:rsidRDefault="00DD56BF"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cs="MS Sans Serif"/>
                <w:bCs/>
                <w:color w:val="000000"/>
                <w:sz w:val="18"/>
                <w:szCs w:val="18"/>
              </w:rPr>
            </w:pPr>
            <w:r>
              <w:rPr>
                <w:rFonts w:asciiTheme="minorHAnsi" w:hAnsiTheme="minorHAnsi" w:cs="MS Sans Serif"/>
                <w:bCs/>
                <w:color w:val="000000"/>
                <w:sz w:val="18"/>
                <w:szCs w:val="18"/>
              </w:rPr>
              <w:t>Subhourly Real-Time Settlement</w:t>
            </w:r>
          </w:p>
        </w:tc>
        <w:tc>
          <w:tcPr>
            <w:tcW w:w="956" w:type="pct"/>
          </w:tcPr>
          <w:p w:rsidR="00DD56BF" w:rsidRDefault="00DD56BF"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March 1, 2017</w:t>
            </w:r>
          </w:p>
        </w:tc>
        <w:tc>
          <w:tcPr>
            <w:tcW w:w="1025" w:type="pct"/>
          </w:tcPr>
          <w:p w:rsidR="00DD56BF" w:rsidRDefault="00DD56BF" w:rsidP="007E01DC">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ER</w:t>
            </w:r>
            <w:r w:rsidRPr="004222E5">
              <w:rPr>
                <w:rFonts w:asciiTheme="minorHAnsi" w:hAnsiTheme="minorHAnsi"/>
                <w:bCs/>
                <w:color w:val="000000"/>
                <w:sz w:val="18"/>
                <w:szCs w:val="18"/>
              </w:rPr>
              <w:t>16-1838-000</w:t>
            </w:r>
          </w:p>
          <w:p w:rsidR="00DD56BF" w:rsidRPr="00847B4D" w:rsidRDefault="00DD56BF" w:rsidP="007E01DC">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bCs/>
                <w:color w:val="000000"/>
                <w:sz w:val="18"/>
                <w:szCs w:val="18"/>
              </w:rPr>
              <w:t>(June 2, 2016)</w:t>
            </w:r>
          </w:p>
        </w:tc>
        <w:tc>
          <w:tcPr>
            <w:tcW w:w="682" w:type="pct"/>
            <w:gridSpan w:val="2"/>
          </w:tcPr>
          <w:p w:rsidR="00DD56BF" w:rsidRDefault="00DD56BF"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F80D37"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80D37" w:rsidRDefault="00F80D37"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106</w:t>
            </w:r>
          </w:p>
        </w:tc>
        <w:tc>
          <w:tcPr>
            <w:tcW w:w="1819" w:type="pct"/>
          </w:tcPr>
          <w:p w:rsidR="00F80D37" w:rsidRDefault="00F80D37"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MS Sans Serif"/>
                <w:bCs/>
                <w:color w:val="000000"/>
                <w:sz w:val="18"/>
                <w:szCs w:val="18"/>
              </w:rPr>
            </w:pPr>
            <w:r w:rsidRPr="005F58F7">
              <w:rPr>
                <w:rFonts w:asciiTheme="minorHAnsi" w:hAnsiTheme="minorHAnsi" w:cs="MS Sans Serif"/>
                <w:bCs/>
                <w:color w:val="000000"/>
                <w:sz w:val="18"/>
                <w:szCs w:val="18"/>
              </w:rPr>
              <w:t>NCPC Modifications for Sub-Hourly Settlement</w:t>
            </w:r>
          </w:p>
        </w:tc>
        <w:tc>
          <w:tcPr>
            <w:tcW w:w="956" w:type="pct"/>
          </w:tcPr>
          <w:p w:rsidR="00F80D37" w:rsidRDefault="00F80D37"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March 1, 2017</w:t>
            </w:r>
          </w:p>
        </w:tc>
        <w:tc>
          <w:tcPr>
            <w:tcW w:w="1025" w:type="pct"/>
          </w:tcPr>
          <w:p w:rsidR="00F80D37" w:rsidRPr="000060EE" w:rsidRDefault="00F80D37" w:rsidP="00F80D3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sidRPr="000060EE">
              <w:rPr>
                <w:rFonts w:asciiTheme="minorHAnsi" w:hAnsiTheme="minorHAnsi"/>
                <w:bCs/>
                <w:sz w:val="18"/>
                <w:szCs w:val="18"/>
              </w:rPr>
              <w:t>ER17-680-000</w:t>
            </w:r>
          </w:p>
          <w:p w:rsidR="00F80D37" w:rsidRDefault="00F80D37" w:rsidP="00F80D3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sidRPr="000060EE">
              <w:rPr>
                <w:rFonts w:asciiTheme="minorHAnsi" w:hAnsiTheme="minorHAnsi"/>
                <w:bCs/>
                <w:sz w:val="18"/>
                <w:szCs w:val="18"/>
              </w:rPr>
              <w:t>ER17-680-001</w:t>
            </w:r>
          </w:p>
          <w:p w:rsidR="00F80D37" w:rsidRPr="00F80D37" w:rsidRDefault="00F80D37" w:rsidP="00F80D3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Pr>
                <w:rFonts w:asciiTheme="minorHAnsi" w:hAnsiTheme="minorHAnsi"/>
                <w:bCs/>
                <w:sz w:val="18"/>
                <w:szCs w:val="18"/>
              </w:rPr>
              <w:t>(February 23, 2017)</w:t>
            </w:r>
          </w:p>
        </w:tc>
        <w:tc>
          <w:tcPr>
            <w:tcW w:w="682" w:type="pct"/>
            <w:gridSpan w:val="2"/>
          </w:tcPr>
          <w:p w:rsidR="00F80D37" w:rsidRDefault="00F80D37" w:rsidP="00523C7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3D2CCE"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3D2CCE" w:rsidRDefault="003D2CCE"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100</w:t>
            </w:r>
          </w:p>
        </w:tc>
        <w:tc>
          <w:tcPr>
            <w:tcW w:w="1819" w:type="pct"/>
          </w:tcPr>
          <w:p w:rsidR="003D2CCE" w:rsidRPr="001D7768" w:rsidRDefault="003D2CCE"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cs="MS Sans Serif"/>
                <w:bCs/>
                <w:color w:val="000000"/>
                <w:sz w:val="18"/>
                <w:szCs w:val="18"/>
              </w:rPr>
            </w:pPr>
            <w:r w:rsidRPr="004949B2">
              <w:rPr>
                <w:rFonts w:asciiTheme="minorHAnsi" w:hAnsiTheme="minorHAnsi" w:cs="Arial"/>
                <w:bCs/>
                <w:color w:val="000000"/>
                <w:sz w:val="18"/>
                <w:szCs w:val="18"/>
              </w:rPr>
              <w:t>CONE Recalculation and ORTP Updates</w:t>
            </w:r>
          </w:p>
        </w:tc>
        <w:tc>
          <w:tcPr>
            <w:tcW w:w="956" w:type="pct"/>
          </w:tcPr>
          <w:p w:rsidR="003D2CCE" w:rsidRDefault="003D2CCE"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March 15, 2017</w:t>
            </w:r>
          </w:p>
        </w:tc>
        <w:tc>
          <w:tcPr>
            <w:tcW w:w="1025" w:type="pct"/>
          </w:tcPr>
          <w:p w:rsidR="003D2CCE" w:rsidRDefault="003D2CCE"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18"/>
                <w:szCs w:val="18"/>
              </w:rPr>
            </w:pPr>
            <w:r w:rsidRPr="000060EE">
              <w:rPr>
                <w:rFonts w:asciiTheme="minorHAnsi" w:hAnsiTheme="minorHAnsi" w:cs="Arial"/>
                <w:bCs/>
                <w:sz w:val="18"/>
                <w:szCs w:val="18"/>
              </w:rPr>
              <w:t>ER17-795-000</w:t>
            </w:r>
          </w:p>
          <w:p w:rsidR="003D2CCE" w:rsidRPr="003D2CCE" w:rsidRDefault="003D2CCE"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 xml:space="preserve"> (</w:t>
            </w:r>
            <w:r w:rsidRPr="000060EE">
              <w:rPr>
                <w:rFonts w:asciiTheme="minorHAnsi" w:hAnsiTheme="minorHAnsi" w:cs="Arial"/>
                <w:bCs/>
                <w:sz w:val="18"/>
                <w:szCs w:val="18"/>
              </w:rPr>
              <w:t>January 13, 2017</w:t>
            </w:r>
            <w:r>
              <w:rPr>
                <w:rFonts w:asciiTheme="minorHAnsi" w:hAnsiTheme="minorHAnsi" w:cs="Arial"/>
                <w:bCs/>
                <w:sz w:val="18"/>
                <w:szCs w:val="18"/>
              </w:rPr>
              <w:t>)</w:t>
            </w:r>
          </w:p>
        </w:tc>
        <w:tc>
          <w:tcPr>
            <w:tcW w:w="682" w:type="pct"/>
            <w:gridSpan w:val="2"/>
          </w:tcPr>
          <w:p w:rsidR="003D2CCE" w:rsidRDefault="003D2CCE"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DD56BF"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DD56BF" w:rsidRPr="00523C7A" w:rsidRDefault="00DD56BF"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55</w:t>
            </w:r>
          </w:p>
        </w:tc>
        <w:tc>
          <w:tcPr>
            <w:tcW w:w="1819" w:type="pct"/>
          </w:tcPr>
          <w:p w:rsidR="00DD56BF" w:rsidRPr="00523C7A" w:rsidRDefault="00DD56BF"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1D7768">
              <w:rPr>
                <w:rFonts w:asciiTheme="minorHAnsi" w:hAnsiTheme="minorHAnsi" w:cs="MS Sans Serif"/>
                <w:bCs/>
                <w:color w:val="000000"/>
                <w:sz w:val="18"/>
                <w:szCs w:val="18"/>
              </w:rPr>
              <w:t>D</w:t>
            </w:r>
            <w:r>
              <w:rPr>
                <w:rFonts w:asciiTheme="minorHAnsi" w:hAnsiTheme="minorHAnsi" w:cs="MS Sans Serif"/>
                <w:bCs/>
                <w:color w:val="000000"/>
                <w:sz w:val="18"/>
                <w:szCs w:val="18"/>
              </w:rPr>
              <w:t>ARD</w:t>
            </w:r>
            <w:r w:rsidRPr="001D7768">
              <w:rPr>
                <w:rFonts w:asciiTheme="minorHAnsi" w:hAnsiTheme="minorHAnsi" w:cs="MS Sans Serif"/>
                <w:bCs/>
                <w:color w:val="000000"/>
                <w:sz w:val="18"/>
                <w:szCs w:val="18"/>
              </w:rPr>
              <w:t xml:space="preserve"> Pump </w:t>
            </w:r>
            <w:r>
              <w:rPr>
                <w:rFonts w:asciiTheme="minorHAnsi" w:hAnsiTheme="minorHAnsi" w:cs="MS Sans Serif"/>
                <w:bCs/>
                <w:color w:val="000000"/>
                <w:sz w:val="18"/>
                <w:szCs w:val="18"/>
              </w:rPr>
              <w:t xml:space="preserve">Intertemporal </w:t>
            </w:r>
            <w:r w:rsidRPr="001D7768">
              <w:rPr>
                <w:rFonts w:asciiTheme="minorHAnsi" w:hAnsiTheme="minorHAnsi" w:cs="MS Sans Serif"/>
                <w:bCs/>
                <w:color w:val="000000"/>
                <w:sz w:val="18"/>
                <w:szCs w:val="18"/>
              </w:rPr>
              <w:t>Parameters</w:t>
            </w:r>
          </w:p>
        </w:tc>
        <w:tc>
          <w:tcPr>
            <w:tcW w:w="956" w:type="pct"/>
          </w:tcPr>
          <w:p w:rsidR="00DD56BF" w:rsidRPr="00523C7A" w:rsidRDefault="00DD56BF"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Theme="minorHAnsi" w:hAnsiTheme="minorHAnsi"/>
                <w:sz w:val="18"/>
                <w:szCs w:val="18"/>
              </w:rPr>
              <w:t>March 31, 2017</w:t>
            </w:r>
          </w:p>
        </w:tc>
        <w:tc>
          <w:tcPr>
            <w:tcW w:w="1025" w:type="pct"/>
          </w:tcPr>
          <w:p w:rsidR="00DD56BF" w:rsidRDefault="00DD56BF" w:rsidP="007E01D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847B4D">
              <w:rPr>
                <w:rFonts w:asciiTheme="minorHAnsi" w:hAnsiTheme="minorHAnsi" w:cs="Arial"/>
                <w:bCs/>
                <w:color w:val="000000"/>
                <w:sz w:val="18"/>
                <w:szCs w:val="18"/>
              </w:rPr>
              <w:t>ER16-954-000</w:t>
            </w:r>
          </w:p>
          <w:p w:rsidR="00DD56BF" w:rsidRDefault="00DD56BF" w:rsidP="007E01DC">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317BAC">
              <w:rPr>
                <w:rFonts w:asciiTheme="minorHAnsi" w:hAnsiTheme="minorHAnsi" w:cs="Arial"/>
                <w:bCs/>
                <w:color w:val="000000"/>
                <w:sz w:val="18"/>
                <w:szCs w:val="18"/>
              </w:rPr>
              <w:t>ER16-954-001</w:t>
            </w:r>
          </w:p>
          <w:p w:rsidR="00DD56BF" w:rsidRPr="00523C7A" w:rsidRDefault="00DD56BF" w:rsidP="007E01DC">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Theme="minorHAnsi" w:hAnsiTheme="minorHAnsi" w:cs="Arial"/>
                <w:bCs/>
                <w:color w:val="000000"/>
                <w:sz w:val="18"/>
                <w:szCs w:val="18"/>
              </w:rPr>
              <w:t>(March 22, 2016)</w:t>
            </w:r>
          </w:p>
        </w:tc>
        <w:tc>
          <w:tcPr>
            <w:tcW w:w="682" w:type="pct"/>
            <w:gridSpan w:val="2"/>
          </w:tcPr>
          <w:p w:rsidR="00DD56BF" w:rsidRPr="00523C7A" w:rsidRDefault="00DD56BF" w:rsidP="00523C7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DD56BF"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DD56BF" w:rsidRPr="00523C7A" w:rsidRDefault="00DD56BF"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85</w:t>
            </w:r>
          </w:p>
        </w:tc>
        <w:tc>
          <w:tcPr>
            <w:tcW w:w="1819" w:type="pct"/>
          </w:tcPr>
          <w:p w:rsidR="00DD56BF" w:rsidRPr="00665BD3" w:rsidRDefault="00DD56BF"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665BD3">
              <w:rPr>
                <w:rFonts w:asciiTheme="minorHAnsi" w:hAnsiTheme="minorHAnsi" w:cs="Arial"/>
                <w:bCs/>
                <w:color w:val="000000"/>
                <w:sz w:val="18"/>
                <w:szCs w:val="18"/>
              </w:rPr>
              <w:t>Fast-Start Resource Pricing</w:t>
            </w:r>
          </w:p>
        </w:tc>
        <w:tc>
          <w:tcPr>
            <w:tcW w:w="956" w:type="pct"/>
          </w:tcPr>
          <w:p w:rsidR="00DD56BF" w:rsidRPr="00523C7A" w:rsidRDefault="00DD56BF"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March 31, 2017</w:t>
            </w:r>
          </w:p>
        </w:tc>
        <w:tc>
          <w:tcPr>
            <w:tcW w:w="1025" w:type="pct"/>
          </w:tcPr>
          <w:p w:rsidR="00DD56BF" w:rsidRPr="00463C98" w:rsidRDefault="00DD56BF"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463C98">
              <w:rPr>
                <w:rFonts w:asciiTheme="minorHAnsi" w:hAnsiTheme="minorHAnsi" w:cs="Arial"/>
                <w:bCs/>
                <w:color w:val="000000"/>
                <w:sz w:val="18"/>
                <w:szCs w:val="18"/>
              </w:rPr>
              <w:t>ER15-2716-000</w:t>
            </w:r>
          </w:p>
          <w:p w:rsidR="00DD56BF" w:rsidRPr="00523C7A" w:rsidRDefault="00DD56BF"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463C98">
              <w:rPr>
                <w:rFonts w:asciiTheme="minorHAnsi" w:hAnsiTheme="minorHAnsi" w:cs="Arial"/>
                <w:bCs/>
                <w:color w:val="000000"/>
                <w:sz w:val="18"/>
                <w:szCs w:val="18"/>
              </w:rPr>
              <w:t>(October 19, 2015)</w:t>
            </w:r>
          </w:p>
        </w:tc>
        <w:tc>
          <w:tcPr>
            <w:tcW w:w="682" w:type="pct"/>
            <w:gridSpan w:val="2"/>
          </w:tcPr>
          <w:p w:rsidR="00DD56BF" w:rsidRPr="00523C7A" w:rsidRDefault="00DD56BF"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F80D37"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80D37" w:rsidRDefault="00F80D37" w:rsidP="00523C7A">
            <w:pPr>
              <w:spacing w:before="60" w:after="60" w:line="240" w:lineRule="auto"/>
              <w:ind w:left="-86"/>
              <w:jc w:val="center"/>
              <w:rPr>
                <w:rFonts w:ascii="Calibri" w:hAnsi="Calibri" w:cs="Arial"/>
                <w:color w:val="000000"/>
                <w:sz w:val="18"/>
                <w:szCs w:val="18"/>
              </w:rPr>
            </w:pPr>
            <w:r>
              <w:rPr>
                <w:rFonts w:asciiTheme="minorHAnsi" w:hAnsiTheme="minorHAnsi" w:cs="Arial"/>
                <w:bCs w:val="0"/>
                <w:color w:val="000000"/>
                <w:sz w:val="18"/>
                <w:szCs w:val="18"/>
              </w:rPr>
              <w:t>84</w:t>
            </w:r>
          </w:p>
        </w:tc>
        <w:tc>
          <w:tcPr>
            <w:tcW w:w="1819" w:type="pct"/>
          </w:tcPr>
          <w:p w:rsidR="00F80D37" w:rsidRDefault="00F80D37"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853EDB">
              <w:rPr>
                <w:rFonts w:asciiTheme="minorHAnsi" w:hAnsiTheme="minorHAnsi" w:cs="Arial"/>
                <w:bCs/>
                <w:color w:val="000000"/>
                <w:sz w:val="18"/>
                <w:szCs w:val="18"/>
              </w:rPr>
              <w:t>Resource Dispatchability Requirements: Conforming Manual M-11 Changes</w:t>
            </w:r>
          </w:p>
        </w:tc>
        <w:tc>
          <w:tcPr>
            <w:tcW w:w="956" w:type="pct"/>
          </w:tcPr>
          <w:p w:rsidR="00F80D37" w:rsidRDefault="00F80D37"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May 5, 2017</w:t>
            </w:r>
          </w:p>
        </w:tc>
        <w:tc>
          <w:tcPr>
            <w:tcW w:w="1025" w:type="pct"/>
          </w:tcPr>
          <w:p w:rsidR="00F80D37" w:rsidRPr="00463C98" w:rsidRDefault="00F80D37" w:rsidP="00523C7A">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Manual Complete</w:t>
            </w:r>
          </w:p>
        </w:tc>
        <w:tc>
          <w:tcPr>
            <w:tcW w:w="682" w:type="pct"/>
            <w:gridSpan w:val="2"/>
          </w:tcPr>
          <w:p w:rsidR="00F80D37" w:rsidRDefault="00F80D37" w:rsidP="00523C7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104CBA" w:rsidRPr="00523C7A" w:rsidTr="00104CB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104CBA" w:rsidRPr="00104CBA" w:rsidRDefault="00104CBA" w:rsidP="00523C7A">
            <w:pPr>
              <w:spacing w:before="60" w:after="60" w:line="240" w:lineRule="auto"/>
              <w:ind w:left="-86"/>
              <w:jc w:val="center"/>
              <w:rPr>
                <w:rFonts w:ascii="Calibri" w:hAnsi="Calibri" w:cs="Arial"/>
                <w:color w:val="000000"/>
                <w:sz w:val="18"/>
                <w:szCs w:val="18"/>
              </w:rPr>
            </w:pPr>
            <w:r w:rsidRPr="00765C98">
              <w:rPr>
                <w:rFonts w:ascii="Calibri" w:hAnsi="Calibri" w:cs="Arial"/>
                <w:color w:val="000000"/>
                <w:sz w:val="18"/>
                <w:szCs w:val="18"/>
              </w:rPr>
              <w:t>114</w:t>
            </w:r>
          </w:p>
        </w:tc>
        <w:tc>
          <w:tcPr>
            <w:tcW w:w="1819" w:type="pct"/>
          </w:tcPr>
          <w:p w:rsidR="00104CBA" w:rsidRPr="00853EDB" w:rsidRDefault="00104CB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104CBA">
              <w:rPr>
                <w:rFonts w:asciiTheme="minorHAnsi" w:hAnsiTheme="minorHAnsi" w:cs="Arial"/>
                <w:bCs/>
                <w:color w:val="000000"/>
                <w:sz w:val="18"/>
                <w:szCs w:val="18"/>
              </w:rPr>
              <w:t>Capping Adjusted Energy Offers For Use In Fast Start Pricing</w:t>
            </w:r>
          </w:p>
        </w:tc>
        <w:tc>
          <w:tcPr>
            <w:tcW w:w="956" w:type="pct"/>
          </w:tcPr>
          <w:p w:rsidR="00104CBA" w:rsidRDefault="00104CB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104CBA">
              <w:rPr>
                <w:rFonts w:ascii="Calibri" w:hAnsi="Calibri" w:cs="Arial"/>
                <w:bCs/>
                <w:color w:val="000000"/>
                <w:sz w:val="18"/>
                <w:szCs w:val="18"/>
              </w:rPr>
              <w:t>July 3, 2017</w:t>
            </w:r>
          </w:p>
        </w:tc>
        <w:tc>
          <w:tcPr>
            <w:tcW w:w="1025" w:type="pct"/>
          </w:tcPr>
          <w:p w:rsidR="00104CBA" w:rsidRPr="00104CBA" w:rsidRDefault="00104CBA" w:rsidP="00104CB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104CBA">
              <w:rPr>
                <w:rFonts w:asciiTheme="minorHAnsi" w:hAnsiTheme="minorHAnsi" w:cs="Arial"/>
                <w:bCs/>
                <w:color w:val="000000"/>
                <w:sz w:val="18"/>
                <w:szCs w:val="18"/>
              </w:rPr>
              <w:t>ER17-1542-000</w:t>
            </w:r>
          </w:p>
          <w:p w:rsidR="00104CBA" w:rsidRPr="00104CBA" w:rsidRDefault="00104CBA" w:rsidP="00104CB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104CBA">
              <w:rPr>
                <w:rFonts w:asciiTheme="minorHAnsi" w:hAnsiTheme="minorHAnsi" w:cs="Arial"/>
                <w:bCs/>
                <w:color w:val="000000"/>
                <w:sz w:val="18"/>
                <w:szCs w:val="18"/>
              </w:rPr>
              <w:t>(June 30, 2017)</w:t>
            </w:r>
          </w:p>
        </w:tc>
        <w:tc>
          <w:tcPr>
            <w:tcW w:w="682" w:type="pct"/>
            <w:gridSpan w:val="2"/>
          </w:tcPr>
          <w:p w:rsidR="00104CBA" w:rsidRDefault="00104CBA"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765C98">
              <w:rPr>
                <w:rFonts w:ascii="Calibri" w:eastAsia="Calibri" w:hAnsi="Calibri" w:cstheme="minorBidi"/>
                <w:bCs/>
                <w:color w:val="000000"/>
                <w:sz w:val="18"/>
                <w:szCs w:val="18"/>
              </w:rPr>
              <w:t>Complete</w:t>
            </w:r>
          </w:p>
        </w:tc>
      </w:tr>
      <w:tr w:rsidR="00104CBA" w:rsidRPr="00523C7A" w:rsidTr="00104CB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104CBA" w:rsidRPr="00813A75" w:rsidRDefault="00104CBA" w:rsidP="00813A75">
            <w:pPr>
              <w:spacing w:before="60" w:after="60" w:line="240" w:lineRule="auto"/>
              <w:ind w:left="-86"/>
              <w:jc w:val="center"/>
              <w:rPr>
                <w:rFonts w:ascii="Calibri" w:hAnsi="Calibri" w:cs="Arial"/>
                <w:color w:val="000000"/>
                <w:sz w:val="18"/>
                <w:szCs w:val="18"/>
              </w:rPr>
            </w:pPr>
            <w:bookmarkStart w:id="6" w:name="_GoBack" w:colFirst="0" w:colLast="5"/>
            <w:r w:rsidRPr="00813A75">
              <w:rPr>
                <w:rFonts w:ascii="Calibri" w:hAnsi="Calibri" w:cs="Arial"/>
                <w:color w:val="000000"/>
                <w:sz w:val="18"/>
                <w:szCs w:val="18"/>
              </w:rPr>
              <w:t>113</w:t>
            </w:r>
          </w:p>
        </w:tc>
        <w:tc>
          <w:tcPr>
            <w:tcW w:w="1819" w:type="pct"/>
          </w:tcPr>
          <w:p w:rsidR="00104CBA" w:rsidRPr="002A520D" w:rsidRDefault="00104CBA" w:rsidP="00813A75">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2A520D">
              <w:rPr>
                <w:rFonts w:asciiTheme="minorHAnsi" w:hAnsiTheme="minorHAnsi" w:cs="Arial"/>
                <w:bCs/>
                <w:sz w:val="18"/>
                <w:szCs w:val="18"/>
              </w:rPr>
              <w:t>Coordination Agreement Clean-up</w:t>
            </w:r>
          </w:p>
        </w:tc>
        <w:tc>
          <w:tcPr>
            <w:tcW w:w="956" w:type="pct"/>
          </w:tcPr>
          <w:p w:rsidR="00104CBA" w:rsidRPr="000060EE" w:rsidRDefault="00104CBA" w:rsidP="00813A75">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Pr>
                <w:rFonts w:asciiTheme="minorHAnsi" w:hAnsiTheme="minorHAnsi" w:cs="Arial"/>
                <w:bCs/>
                <w:sz w:val="18"/>
                <w:szCs w:val="18"/>
              </w:rPr>
              <w:t>August 1, 2017</w:t>
            </w:r>
          </w:p>
        </w:tc>
        <w:tc>
          <w:tcPr>
            <w:tcW w:w="1025" w:type="pct"/>
          </w:tcPr>
          <w:p w:rsidR="00104CBA" w:rsidRDefault="00104CBA" w:rsidP="00104CB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sidRPr="000060EE">
              <w:rPr>
                <w:rFonts w:asciiTheme="minorHAnsi" w:hAnsiTheme="minorHAnsi"/>
                <w:bCs/>
                <w:sz w:val="18"/>
                <w:szCs w:val="18"/>
              </w:rPr>
              <w:t>ER17-1625-000</w:t>
            </w:r>
          </w:p>
          <w:p w:rsidR="00104CBA" w:rsidRPr="000060EE" w:rsidRDefault="00104CBA" w:rsidP="00104CB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Pr>
                <w:rFonts w:asciiTheme="minorHAnsi" w:hAnsiTheme="minorHAnsi"/>
                <w:bCs/>
                <w:sz w:val="18"/>
                <w:szCs w:val="18"/>
              </w:rPr>
              <w:t xml:space="preserve"> (June 16, 2017)</w:t>
            </w:r>
          </w:p>
        </w:tc>
        <w:tc>
          <w:tcPr>
            <w:tcW w:w="682" w:type="pct"/>
            <w:gridSpan w:val="2"/>
          </w:tcPr>
          <w:p w:rsidR="00104CBA" w:rsidRPr="000060EE" w:rsidRDefault="00104CBA" w:rsidP="00813A75">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0060EE">
              <w:rPr>
                <w:rFonts w:asciiTheme="minorHAnsi" w:hAnsiTheme="minorHAnsi"/>
                <w:bCs/>
                <w:sz w:val="18"/>
                <w:szCs w:val="18"/>
              </w:rPr>
              <w:t>Complete</w:t>
            </w:r>
          </w:p>
        </w:tc>
      </w:tr>
      <w:bookmarkEnd w:id="6"/>
      <w:tr w:rsidR="00104CBA" w:rsidRPr="00523C7A" w:rsidTr="00104CB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104CBA" w:rsidRPr="00813A75" w:rsidRDefault="00104CBA" w:rsidP="00813A75">
            <w:pPr>
              <w:spacing w:before="60" w:after="60" w:line="240" w:lineRule="auto"/>
              <w:ind w:left="-86"/>
              <w:jc w:val="center"/>
              <w:rPr>
                <w:rFonts w:ascii="Calibri" w:hAnsi="Calibri" w:cs="Arial"/>
                <w:color w:val="000000"/>
                <w:sz w:val="18"/>
                <w:szCs w:val="18"/>
              </w:rPr>
            </w:pPr>
            <w:r w:rsidRPr="00813A75">
              <w:rPr>
                <w:rFonts w:ascii="Calibri" w:hAnsi="Calibri" w:cs="Arial"/>
                <w:color w:val="000000"/>
                <w:sz w:val="18"/>
                <w:szCs w:val="18"/>
              </w:rPr>
              <w:t>115</w:t>
            </w:r>
          </w:p>
        </w:tc>
        <w:tc>
          <w:tcPr>
            <w:tcW w:w="1819" w:type="pct"/>
          </w:tcPr>
          <w:p w:rsidR="00104CBA" w:rsidRPr="002A520D" w:rsidRDefault="00104CBA" w:rsidP="00813A75">
            <w:pPr>
              <w:pStyle w:val="ISOTableText-Righ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520D">
              <w:rPr>
                <w:rFonts w:asciiTheme="minorHAnsi" w:hAnsiTheme="minorHAnsi"/>
                <w:szCs w:val="18"/>
              </w:rPr>
              <w:t>Enable Subhourly Revenue Quality Metering Submittals</w:t>
            </w:r>
          </w:p>
        </w:tc>
        <w:tc>
          <w:tcPr>
            <w:tcW w:w="956" w:type="pct"/>
          </w:tcPr>
          <w:p w:rsidR="00104CBA" w:rsidRPr="000060EE" w:rsidRDefault="00104CBA" w:rsidP="00813A75">
            <w:pPr>
              <w:pStyle w:val="ISOTableText-Centered"/>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auto"/>
                <w:szCs w:val="18"/>
              </w:rPr>
            </w:pPr>
            <w:r w:rsidRPr="000060EE">
              <w:rPr>
                <w:rFonts w:asciiTheme="minorHAnsi" w:hAnsiTheme="minorHAnsi" w:cs="Arial"/>
                <w:color w:val="auto"/>
                <w:szCs w:val="18"/>
              </w:rPr>
              <w:t>August</w:t>
            </w:r>
            <w:r>
              <w:rPr>
                <w:rFonts w:asciiTheme="minorHAnsi" w:hAnsiTheme="minorHAnsi" w:cs="Arial"/>
                <w:color w:val="auto"/>
                <w:szCs w:val="18"/>
              </w:rPr>
              <w:t xml:space="preserve"> 1,</w:t>
            </w:r>
            <w:r w:rsidRPr="000060EE">
              <w:rPr>
                <w:rFonts w:asciiTheme="minorHAnsi" w:hAnsiTheme="minorHAnsi" w:cs="Arial"/>
                <w:color w:val="auto"/>
                <w:szCs w:val="18"/>
              </w:rPr>
              <w:t xml:space="preserve"> 2017</w:t>
            </w:r>
          </w:p>
        </w:tc>
        <w:tc>
          <w:tcPr>
            <w:tcW w:w="1025" w:type="pct"/>
          </w:tcPr>
          <w:p w:rsidR="00813A75" w:rsidRDefault="00104CBA" w:rsidP="00813A75">
            <w:pPr>
              <w:pStyle w:val="ISOTableText-Centered"/>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auto"/>
                <w:szCs w:val="18"/>
              </w:rPr>
            </w:pPr>
            <w:r>
              <w:rPr>
                <w:rFonts w:asciiTheme="minorHAnsi" w:hAnsiTheme="minorHAnsi" w:cs="Arial"/>
                <w:color w:val="auto"/>
                <w:szCs w:val="18"/>
              </w:rPr>
              <w:t>ER17-1706-000</w:t>
            </w:r>
            <w:r w:rsidR="00813A75">
              <w:rPr>
                <w:rFonts w:asciiTheme="minorHAnsi" w:hAnsiTheme="minorHAnsi" w:cs="Arial"/>
                <w:color w:val="auto"/>
                <w:szCs w:val="18"/>
              </w:rPr>
              <w:t xml:space="preserve"> </w:t>
            </w:r>
          </w:p>
          <w:p w:rsidR="00104CBA" w:rsidRPr="000060EE" w:rsidRDefault="00813A75" w:rsidP="00813A75">
            <w:pPr>
              <w:pStyle w:val="ISOTableText-Centered"/>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auto"/>
                <w:szCs w:val="18"/>
              </w:rPr>
            </w:pPr>
            <w:r>
              <w:rPr>
                <w:rFonts w:asciiTheme="minorHAnsi" w:hAnsiTheme="minorHAnsi" w:cs="Arial"/>
                <w:color w:val="auto"/>
                <w:szCs w:val="18"/>
              </w:rPr>
              <w:t>(July 7, 2017)</w:t>
            </w:r>
          </w:p>
        </w:tc>
        <w:tc>
          <w:tcPr>
            <w:tcW w:w="682" w:type="pct"/>
            <w:gridSpan w:val="2"/>
          </w:tcPr>
          <w:p w:rsidR="00104CBA" w:rsidRPr="000060EE" w:rsidRDefault="00104CBA" w:rsidP="00813A75">
            <w:pPr>
              <w:pStyle w:val="ISOTableText-Centered"/>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auto"/>
                <w:szCs w:val="18"/>
              </w:rPr>
            </w:pPr>
            <w:r>
              <w:rPr>
                <w:rFonts w:asciiTheme="minorHAnsi" w:hAnsiTheme="minorHAnsi" w:cs="Arial"/>
                <w:color w:val="auto"/>
                <w:szCs w:val="18"/>
              </w:rPr>
              <w:t>Complete</w:t>
            </w:r>
          </w:p>
        </w:tc>
      </w:tr>
      <w:tr w:rsidR="00104CBA" w:rsidRPr="00523C7A" w:rsidTr="00104CB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104CBA" w:rsidRDefault="00104CBA" w:rsidP="00523C7A">
            <w:pPr>
              <w:spacing w:before="60" w:after="60" w:line="240" w:lineRule="auto"/>
              <w:ind w:left="-86"/>
              <w:jc w:val="center"/>
              <w:rPr>
                <w:rFonts w:ascii="Calibri" w:hAnsi="Calibri" w:cs="Arial"/>
                <w:color w:val="000000"/>
                <w:sz w:val="18"/>
                <w:szCs w:val="18"/>
              </w:rPr>
            </w:pPr>
            <w:r w:rsidRPr="00104CBA">
              <w:rPr>
                <w:rFonts w:ascii="Calibri" w:hAnsi="Calibri" w:cs="Arial"/>
                <w:color w:val="000000"/>
                <w:sz w:val="18"/>
                <w:szCs w:val="18"/>
              </w:rPr>
              <w:t>108</w:t>
            </w:r>
          </w:p>
        </w:tc>
        <w:tc>
          <w:tcPr>
            <w:tcW w:w="1819" w:type="pct"/>
          </w:tcPr>
          <w:p w:rsidR="00104CBA" w:rsidRPr="00E95C90" w:rsidRDefault="00104CB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104CBA">
              <w:rPr>
                <w:rFonts w:asciiTheme="minorHAnsi" w:hAnsiTheme="minorHAnsi" w:cs="Arial"/>
                <w:bCs/>
                <w:color w:val="000000"/>
                <w:sz w:val="18"/>
                <w:szCs w:val="18"/>
              </w:rPr>
              <w:t>Clarifying Revisions to Force Majeure</w:t>
            </w:r>
          </w:p>
        </w:tc>
        <w:tc>
          <w:tcPr>
            <w:tcW w:w="956" w:type="pct"/>
          </w:tcPr>
          <w:p w:rsidR="00104CBA" w:rsidRDefault="00104CBA" w:rsidP="00104CB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104CBA">
              <w:rPr>
                <w:rFonts w:ascii="Calibri" w:hAnsi="Calibri" w:cs="Arial"/>
                <w:bCs/>
                <w:color w:val="000000"/>
                <w:sz w:val="18"/>
                <w:szCs w:val="18"/>
              </w:rPr>
              <w:t>November 21, 2017</w:t>
            </w:r>
          </w:p>
        </w:tc>
        <w:tc>
          <w:tcPr>
            <w:tcW w:w="1025" w:type="pct"/>
          </w:tcPr>
          <w:p w:rsidR="00104CBA" w:rsidRPr="00104CBA" w:rsidRDefault="00104CBA" w:rsidP="00104CBA">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104CBA">
              <w:rPr>
                <w:rFonts w:asciiTheme="minorHAnsi" w:hAnsiTheme="minorHAnsi" w:cs="Arial"/>
                <w:bCs/>
                <w:color w:val="000000"/>
                <w:sz w:val="18"/>
                <w:szCs w:val="18"/>
              </w:rPr>
              <w:t>ER17-2533-000</w:t>
            </w:r>
          </w:p>
          <w:p w:rsidR="00104CBA" w:rsidRPr="00104CBA" w:rsidRDefault="00104CBA" w:rsidP="00104CBA">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104CBA">
              <w:rPr>
                <w:rFonts w:asciiTheme="minorHAnsi" w:hAnsiTheme="minorHAnsi" w:cs="Arial"/>
                <w:bCs/>
                <w:color w:val="000000"/>
                <w:sz w:val="18"/>
                <w:szCs w:val="18"/>
              </w:rPr>
              <w:t>(October 24, 2017)</w:t>
            </w:r>
          </w:p>
        </w:tc>
        <w:tc>
          <w:tcPr>
            <w:tcW w:w="682" w:type="pct"/>
            <w:gridSpan w:val="2"/>
          </w:tcPr>
          <w:p w:rsidR="00104CBA" w:rsidRDefault="00104CBA" w:rsidP="00523C7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104CBA">
              <w:rPr>
                <w:rFonts w:ascii="Calibri" w:eastAsia="Calibri" w:hAnsi="Calibri"/>
                <w:bCs/>
                <w:color w:val="000000"/>
                <w:sz w:val="18"/>
                <w:szCs w:val="18"/>
              </w:rPr>
              <w:t>Complete</w:t>
            </w:r>
          </w:p>
        </w:tc>
      </w:tr>
      <w:tr w:rsidR="00104CB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104CBA" w:rsidRDefault="00104CBA"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107</w:t>
            </w:r>
          </w:p>
        </w:tc>
        <w:tc>
          <w:tcPr>
            <w:tcW w:w="1819" w:type="pct"/>
          </w:tcPr>
          <w:p w:rsidR="00104CBA" w:rsidRPr="00813A75" w:rsidRDefault="00104CB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E95C90">
              <w:rPr>
                <w:rFonts w:asciiTheme="minorHAnsi" w:hAnsiTheme="minorHAnsi" w:cs="Arial"/>
                <w:bCs/>
                <w:color w:val="000000"/>
                <w:sz w:val="18"/>
                <w:szCs w:val="18"/>
              </w:rPr>
              <w:t>Order 825 Compliance</w:t>
            </w:r>
            <w:r>
              <w:rPr>
                <w:rFonts w:asciiTheme="minorHAnsi" w:hAnsiTheme="minorHAnsi" w:cs="Arial"/>
                <w:bCs/>
                <w:color w:val="000000"/>
                <w:sz w:val="18"/>
                <w:szCs w:val="18"/>
              </w:rPr>
              <w:t>: Settlement Interval Requirements</w:t>
            </w:r>
          </w:p>
        </w:tc>
        <w:tc>
          <w:tcPr>
            <w:tcW w:w="956" w:type="pct"/>
          </w:tcPr>
          <w:p w:rsidR="00104CBA" w:rsidRPr="00813A75" w:rsidRDefault="00104CB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813A75">
              <w:rPr>
                <w:rFonts w:asciiTheme="minorHAnsi" w:hAnsiTheme="minorHAnsi" w:cs="Arial"/>
                <w:bCs/>
                <w:color w:val="000000"/>
                <w:sz w:val="18"/>
                <w:szCs w:val="18"/>
              </w:rPr>
              <w:t>December 1, 2017</w:t>
            </w:r>
          </w:p>
        </w:tc>
        <w:tc>
          <w:tcPr>
            <w:tcW w:w="1025" w:type="pct"/>
          </w:tcPr>
          <w:p w:rsidR="00104CBA" w:rsidRPr="00813A75" w:rsidRDefault="00104CBA"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813A75">
              <w:rPr>
                <w:rFonts w:asciiTheme="minorHAnsi" w:hAnsiTheme="minorHAnsi" w:cs="Arial"/>
                <w:bCs/>
                <w:color w:val="000000"/>
                <w:sz w:val="18"/>
                <w:szCs w:val="18"/>
              </w:rPr>
              <w:t xml:space="preserve">ER17-774-000 </w:t>
            </w:r>
          </w:p>
          <w:p w:rsidR="00104CBA" w:rsidRPr="00813A75" w:rsidRDefault="00104CBA"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813A75">
              <w:rPr>
                <w:rFonts w:asciiTheme="minorHAnsi" w:hAnsiTheme="minorHAnsi" w:cs="Arial"/>
                <w:bCs/>
                <w:color w:val="000000"/>
                <w:sz w:val="18"/>
                <w:szCs w:val="18"/>
              </w:rPr>
              <w:lastRenderedPageBreak/>
              <w:t>(February 24, 2017)</w:t>
            </w:r>
          </w:p>
        </w:tc>
        <w:tc>
          <w:tcPr>
            <w:tcW w:w="682" w:type="pct"/>
            <w:gridSpan w:val="2"/>
          </w:tcPr>
          <w:p w:rsidR="00104CBA" w:rsidRDefault="00104CBA"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lastRenderedPageBreak/>
              <w:t>Complete</w:t>
            </w:r>
          </w:p>
        </w:tc>
      </w:tr>
      <w:tr w:rsidR="00813A75" w:rsidRPr="00523C7A" w:rsidTr="00813A75">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BB5A15" w:rsidRDefault="00813A75" w:rsidP="00813A75">
            <w:pPr>
              <w:spacing w:before="60" w:after="60" w:line="240" w:lineRule="auto"/>
              <w:ind w:left="-86"/>
              <w:jc w:val="center"/>
              <w:rPr>
                <w:rFonts w:ascii="Calibri" w:hAnsi="Calibri" w:cs="Arial"/>
                <w:bCs w:val="0"/>
                <w:color w:val="000000"/>
                <w:sz w:val="18"/>
                <w:szCs w:val="18"/>
              </w:rPr>
            </w:pPr>
            <w:r w:rsidRPr="00813A75">
              <w:rPr>
                <w:rFonts w:ascii="Calibri" w:hAnsi="Calibri" w:cs="Arial"/>
                <w:bCs w:val="0"/>
                <w:color w:val="000000"/>
                <w:sz w:val="18"/>
                <w:szCs w:val="18"/>
              </w:rPr>
              <w:t>118</w:t>
            </w:r>
          </w:p>
        </w:tc>
        <w:tc>
          <w:tcPr>
            <w:tcW w:w="1819" w:type="pct"/>
          </w:tcPr>
          <w:p w:rsidR="00813A75" w:rsidRPr="002A520D" w:rsidRDefault="00813A75" w:rsidP="00813A75">
            <w:pPr>
              <w:pStyle w:val="ISOTableText-Righ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520D">
              <w:rPr>
                <w:rFonts w:asciiTheme="minorHAnsi" w:hAnsiTheme="minorHAnsi"/>
                <w:szCs w:val="18"/>
              </w:rPr>
              <w:t>NCPC Modifications for Ramp Constrained Resources</w:t>
            </w:r>
          </w:p>
        </w:tc>
        <w:tc>
          <w:tcPr>
            <w:tcW w:w="956" w:type="pct"/>
          </w:tcPr>
          <w:p w:rsidR="00813A75" w:rsidRPr="000060EE" w:rsidRDefault="00813A75" w:rsidP="00813A75">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Pr>
                <w:rFonts w:asciiTheme="minorHAnsi" w:hAnsiTheme="minorHAnsi" w:cs="Arial"/>
                <w:bCs/>
                <w:sz w:val="18"/>
                <w:szCs w:val="18"/>
              </w:rPr>
              <w:t>December 1, 2017</w:t>
            </w:r>
          </w:p>
        </w:tc>
        <w:tc>
          <w:tcPr>
            <w:tcW w:w="1025" w:type="pct"/>
          </w:tcPr>
          <w:p w:rsidR="00813A75" w:rsidRPr="000060EE" w:rsidRDefault="00813A75" w:rsidP="00813A75">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Pr>
                <w:rFonts w:asciiTheme="minorHAnsi" w:hAnsiTheme="minorHAnsi"/>
                <w:bCs/>
                <w:sz w:val="18"/>
                <w:szCs w:val="18"/>
              </w:rPr>
              <w:t>ER17-2569-000 (November 2, 2017)</w:t>
            </w:r>
          </w:p>
        </w:tc>
        <w:tc>
          <w:tcPr>
            <w:tcW w:w="682" w:type="pct"/>
            <w:gridSpan w:val="2"/>
          </w:tcPr>
          <w:p w:rsidR="00813A75" w:rsidRPr="000060EE" w:rsidRDefault="00813A75" w:rsidP="00813A75">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bCs/>
                <w:sz w:val="18"/>
                <w:szCs w:val="18"/>
              </w:rPr>
              <w:t>Complete</w:t>
            </w:r>
          </w:p>
        </w:tc>
      </w:tr>
      <w:tr w:rsidR="00813A75" w:rsidRPr="00523C7A" w:rsidTr="00813A75">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BB5A15" w:rsidRDefault="00813A75" w:rsidP="00BB5A15">
            <w:pPr>
              <w:spacing w:before="60" w:after="60" w:line="240" w:lineRule="auto"/>
              <w:ind w:left="-86"/>
              <w:jc w:val="center"/>
              <w:rPr>
                <w:rFonts w:ascii="Calibri" w:hAnsi="Calibri" w:cs="Arial"/>
                <w:bCs w:val="0"/>
                <w:color w:val="000000"/>
                <w:sz w:val="18"/>
                <w:szCs w:val="18"/>
              </w:rPr>
            </w:pPr>
            <w:r w:rsidRPr="00BB5A15">
              <w:rPr>
                <w:rFonts w:ascii="Calibri" w:hAnsi="Calibri" w:cs="Arial"/>
                <w:bCs w:val="0"/>
                <w:color w:val="000000"/>
                <w:sz w:val="18"/>
                <w:szCs w:val="18"/>
              </w:rPr>
              <w:t>120</w:t>
            </w:r>
          </w:p>
        </w:tc>
        <w:tc>
          <w:tcPr>
            <w:tcW w:w="1819" w:type="pct"/>
          </w:tcPr>
          <w:p w:rsidR="00813A75" w:rsidRPr="00DA3F12" w:rsidRDefault="00813A75" w:rsidP="00813A75">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DA3F12">
              <w:rPr>
                <w:rFonts w:asciiTheme="minorHAnsi" w:hAnsiTheme="minorHAnsi" w:cs="Arial"/>
                <w:bCs/>
                <w:color w:val="000000"/>
                <w:sz w:val="18"/>
                <w:szCs w:val="18"/>
              </w:rPr>
              <w:t>Small Generator Modeling Options</w:t>
            </w:r>
          </w:p>
        </w:tc>
        <w:tc>
          <w:tcPr>
            <w:tcW w:w="956" w:type="pct"/>
          </w:tcPr>
          <w:p w:rsidR="00813A75" w:rsidRDefault="00813A75" w:rsidP="00813A75">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18"/>
                <w:szCs w:val="18"/>
              </w:rPr>
            </w:pPr>
            <w:r>
              <w:rPr>
                <w:rFonts w:asciiTheme="minorHAnsi" w:hAnsiTheme="minorHAnsi" w:cs="Arial"/>
                <w:bCs/>
                <w:sz w:val="18"/>
                <w:szCs w:val="18"/>
              </w:rPr>
              <w:t>December 20, 2017</w:t>
            </w:r>
          </w:p>
        </w:tc>
        <w:tc>
          <w:tcPr>
            <w:tcW w:w="1025" w:type="pct"/>
          </w:tcPr>
          <w:p w:rsidR="00813A75" w:rsidRDefault="00813A75" w:rsidP="00813A75">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18"/>
                <w:szCs w:val="18"/>
              </w:rPr>
            </w:pPr>
            <w:r>
              <w:rPr>
                <w:rFonts w:asciiTheme="minorHAnsi" w:hAnsiTheme="minorHAnsi"/>
                <w:bCs/>
                <w:sz w:val="18"/>
                <w:szCs w:val="18"/>
              </w:rPr>
              <w:t>ER18-122-000</w:t>
            </w:r>
          </w:p>
          <w:p w:rsidR="00813A75" w:rsidRPr="000060EE" w:rsidRDefault="00813A75" w:rsidP="00813A75">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18"/>
                <w:szCs w:val="18"/>
              </w:rPr>
            </w:pPr>
            <w:r>
              <w:rPr>
                <w:rFonts w:asciiTheme="minorHAnsi" w:hAnsiTheme="minorHAnsi"/>
                <w:bCs/>
                <w:sz w:val="18"/>
                <w:szCs w:val="18"/>
              </w:rPr>
              <w:t>(November 22, 2017)</w:t>
            </w:r>
          </w:p>
        </w:tc>
        <w:tc>
          <w:tcPr>
            <w:tcW w:w="682" w:type="pct"/>
            <w:gridSpan w:val="2"/>
          </w:tcPr>
          <w:p w:rsidR="00813A75" w:rsidRDefault="00813A75" w:rsidP="00813A75">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18"/>
                <w:szCs w:val="18"/>
              </w:rPr>
            </w:pPr>
            <w:r>
              <w:rPr>
                <w:rFonts w:asciiTheme="minorHAnsi" w:hAnsiTheme="minorHAnsi"/>
                <w:bCs/>
                <w:sz w:val="18"/>
                <w:szCs w:val="18"/>
              </w:rPr>
              <w:t>Complete</w:t>
            </w:r>
          </w:p>
        </w:tc>
      </w:tr>
      <w:tr w:rsidR="00813A75" w:rsidRPr="00523C7A" w:rsidTr="00813A75">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Default="00813A75" w:rsidP="00813A75">
            <w:pPr>
              <w:spacing w:before="60" w:after="60" w:line="240" w:lineRule="auto"/>
              <w:ind w:left="-86"/>
              <w:jc w:val="center"/>
              <w:rPr>
                <w:rFonts w:asciiTheme="minorHAnsi" w:hAnsiTheme="minorHAnsi" w:cs="Arial"/>
                <w:bCs w:val="0"/>
                <w:color w:val="000000"/>
                <w:sz w:val="18"/>
                <w:szCs w:val="18"/>
              </w:rPr>
            </w:pPr>
            <w:r w:rsidRPr="00813A75">
              <w:rPr>
                <w:rFonts w:ascii="Calibri" w:hAnsi="Calibri" w:cs="Arial"/>
                <w:bCs w:val="0"/>
                <w:color w:val="000000"/>
                <w:sz w:val="18"/>
                <w:szCs w:val="18"/>
              </w:rPr>
              <w:t>69</w:t>
            </w:r>
          </w:p>
        </w:tc>
        <w:tc>
          <w:tcPr>
            <w:tcW w:w="1819" w:type="pct"/>
          </w:tcPr>
          <w:p w:rsidR="00813A75" w:rsidRDefault="009663C1" w:rsidP="00813A75">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hyperlink r:id="rId20" w:history="1">
              <w:r w:rsidR="00813A75" w:rsidRPr="00813A75">
                <w:rPr>
                  <w:rFonts w:asciiTheme="minorHAnsi" w:hAnsiTheme="minorHAnsi" w:cs="Arial"/>
                  <w:bCs/>
                  <w:color w:val="000000"/>
                  <w:sz w:val="18"/>
                  <w:szCs w:val="18"/>
                </w:rPr>
                <w:t>PRD Conforming Changes: Self-Funding Tariff</w:t>
              </w:r>
            </w:hyperlink>
          </w:p>
        </w:tc>
        <w:tc>
          <w:tcPr>
            <w:tcW w:w="956" w:type="pct"/>
          </w:tcPr>
          <w:p w:rsidR="00813A75" w:rsidRPr="00813A75" w:rsidRDefault="00813A75" w:rsidP="00813A75">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813A75">
              <w:rPr>
                <w:rFonts w:asciiTheme="minorHAnsi" w:hAnsiTheme="minorHAnsi" w:cs="Arial"/>
                <w:bCs/>
                <w:color w:val="000000"/>
                <w:sz w:val="18"/>
                <w:szCs w:val="18"/>
              </w:rPr>
              <w:t>January 1, 2018</w:t>
            </w:r>
          </w:p>
        </w:tc>
        <w:tc>
          <w:tcPr>
            <w:tcW w:w="1025" w:type="pct"/>
          </w:tcPr>
          <w:p w:rsidR="00813A75" w:rsidRPr="00813A75" w:rsidRDefault="00813A75" w:rsidP="00813A75">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813A75">
              <w:rPr>
                <w:rFonts w:asciiTheme="minorHAnsi" w:hAnsiTheme="minorHAnsi" w:cs="Arial"/>
                <w:bCs/>
                <w:color w:val="000000"/>
                <w:sz w:val="18"/>
                <w:szCs w:val="18"/>
              </w:rPr>
              <w:t>ER18-77-000</w:t>
            </w:r>
          </w:p>
          <w:p w:rsidR="00813A75" w:rsidRPr="00813A75" w:rsidRDefault="00813A75" w:rsidP="00813A75">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813A75">
              <w:rPr>
                <w:rFonts w:asciiTheme="minorHAnsi" w:hAnsiTheme="minorHAnsi" w:cs="Arial"/>
                <w:bCs/>
                <w:color w:val="000000"/>
                <w:sz w:val="18"/>
                <w:szCs w:val="18"/>
              </w:rPr>
              <w:t xml:space="preserve"> (December 6, 2017)</w:t>
            </w:r>
          </w:p>
        </w:tc>
        <w:tc>
          <w:tcPr>
            <w:tcW w:w="682" w:type="pct"/>
            <w:gridSpan w:val="2"/>
          </w:tcPr>
          <w:p w:rsidR="00813A75" w:rsidRPr="000060EE" w:rsidRDefault="00813A75" w:rsidP="00813A75">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bCs/>
                <w:sz w:val="18"/>
                <w:szCs w:val="18"/>
              </w:rPr>
              <w:t>Complete</w:t>
            </w:r>
          </w:p>
        </w:tc>
      </w:tr>
      <w:tr w:rsidR="00813A75"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35</w:t>
            </w:r>
          </w:p>
        </w:tc>
        <w:tc>
          <w:tcPr>
            <w:tcW w:w="1819" w:type="pct"/>
          </w:tcPr>
          <w:p w:rsidR="00813A75" w:rsidRPr="00665BD3" w:rsidRDefault="00813A75"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665BD3">
              <w:rPr>
                <w:rFonts w:asciiTheme="minorHAnsi" w:hAnsiTheme="minorHAnsi" w:cs="Arial"/>
                <w:bCs/>
                <w:color w:val="000000"/>
                <w:sz w:val="18"/>
                <w:szCs w:val="18"/>
              </w:rPr>
              <w:t xml:space="preserve">FCM Performance Incentives </w:t>
            </w:r>
          </w:p>
        </w:tc>
        <w:tc>
          <w:tcPr>
            <w:tcW w:w="956" w:type="pct"/>
          </w:tcPr>
          <w:p w:rsidR="00813A75" w:rsidRPr="00523C7A" w:rsidRDefault="00813A75"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1, 2018</w:t>
            </w:r>
          </w:p>
        </w:tc>
        <w:tc>
          <w:tcPr>
            <w:tcW w:w="1025" w:type="pct"/>
          </w:tcPr>
          <w:p w:rsidR="00813A75" w:rsidRPr="00523C7A" w:rsidRDefault="00813A75"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ER14-1050-000</w:t>
            </w:r>
          </w:p>
          <w:p w:rsidR="00813A75" w:rsidRPr="00523C7A" w:rsidRDefault="00813A75"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ER14-1050-001</w:t>
            </w:r>
          </w:p>
          <w:p w:rsidR="00813A75" w:rsidRPr="00523C7A" w:rsidRDefault="00813A75"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EL14-52-000</w:t>
            </w:r>
          </w:p>
          <w:p w:rsidR="00813A75" w:rsidRPr="00523C7A" w:rsidRDefault="00813A75"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17, 2014)</w:t>
            </w:r>
          </w:p>
        </w:tc>
        <w:tc>
          <w:tcPr>
            <w:tcW w:w="682" w:type="pct"/>
            <w:gridSpan w:val="2"/>
          </w:tcPr>
          <w:p w:rsidR="00813A75" w:rsidRPr="00523C7A" w:rsidRDefault="00813A75"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Phase 1 Complete</w:t>
            </w:r>
          </w:p>
        </w:tc>
      </w:tr>
      <w:tr w:rsidR="00813A75"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813A75" w:rsidRDefault="00813A75" w:rsidP="00813A75">
            <w:pPr>
              <w:spacing w:before="60" w:after="60" w:line="240" w:lineRule="auto"/>
              <w:ind w:left="-86"/>
              <w:jc w:val="center"/>
              <w:rPr>
                <w:rFonts w:ascii="Calibri" w:hAnsi="Calibri" w:cs="Arial"/>
                <w:bCs w:val="0"/>
                <w:color w:val="000000"/>
                <w:sz w:val="18"/>
                <w:szCs w:val="18"/>
              </w:rPr>
            </w:pPr>
            <w:r w:rsidRPr="00813A75">
              <w:rPr>
                <w:rFonts w:ascii="Calibri" w:hAnsi="Calibri" w:cs="Arial"/>
                <w:bCs w:val="0"/>
                <w:color w:val="000000"/>
                <w:sz w:val="18"/>
                <w:szCs w:val="18"/>
              </w:rPr>
              <w:t>21</w:t>
            </w:r>
          </w:p>
        </w:tc>
        <w:tc>
          <w:tcPr>
            <w:tcW w:w="1819" w:type="pct"/>
          </w:tcPr>
          <w:p w:rsidR="00813A75" w:rsidRPr="00665BD3" w:rsidRDefault="009663C1" w:rsidP="00665BD3">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hyperlink r:id="rId21" w:history="1">
              <w:r w:rsidR="00813A75" w:rsidRPr="00665BD3">
                <w:rPr>
                  <w:rFonts w:asciiTheme="minorHAnsi" w:hAnsiTheme="minorHAnsi" w:cs="Arial"/>
                  <w:bCs/>
                  <w:color w:val="000000"/>
                  <w:sz w:val="18"/>
                  <w:szCs w:val="18"/>
                </w:rPr>
                <w:t>Price-Responsive Demand: Energy Market (Order 745)</w:t>
              </w:r>
            </w:hyperlink>
          </w:p>
        </w:tc>
        <w:tc>
          <w:tcPr>
            <w:tcW w:w="956" w:type="pct"/>
          </w:tcPr>
          <w:p w:rsidR="00813A75" w:rsidRPr="00523C7A" w:rsidRDefault="00813A75"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June 1, 2018</w:t>
            </w:r>
          </w:p>
        </w:tc>
        <w:tc>
          <w:tcPr>
            <w:tcW w:w="1025" w:type="pct"/>
          </w:tcPr>
          <w:p w:rsidR="00813A75" w:rsidRPr="00523C7A" w:rsidRDefault="00813A75" w:rsidP="0068284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ER11-4336-000</w:t>
            </w:r>
          </w:p>
          <w:p w:rsidR="00813A75" w:rsidRPr="00523C7A" w:rsidRDefault="00813A75" w:rsidP="0068284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ER11-4336-001</w:t>
            </w:r>
          </w:p>
          <w:p w:rsidR="00813A75" w:rsidRDefault="00813A75" w:rsidP="00682847">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 xml:space="preserve">  </w:t>
            </w:r>
            <w:r w:rsidRPr="00523C7A">
              <w:rPr>
                <w:rFonts w:ascii="Calibri" w:eastAsia="Calibri" w:hAnsi="Calibri"/>
                <w:bCs/>
                <w:color w:val="000000"/>
                <w:sz w:val="18"/>
                <w:szCs w:val="18"/>
              </w:rPr>
              <w:t>ER11-4336-002</w:t>
            </w:r>
          </w:p>
          <w:p w:rsidR="00813A75" w:rsidRPr="007E01DC" w:rsidRDefault="00813A75" w:rsidP="0068284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w:t>
            </w:r>
            <w:r w:rsidRPr="00523C7A">
              <w:rPr>
                <w:rFonts w:ascii="Calibri" w:eastAsia="Calibri" w:hAnsi="Calibri"/>
                <w:bCs/>
                <w:color w:val="000000"/>
                <w:sz w:val="18"/>
                <w:szCs w:val="18"/>
              </w:rPr>
              <w:t>January 19, 2012</w:t>
            </w:r>
            <w:r>
              <w:rPr>
                <w:rFonts w:ascii="Calibri" w:eastAsia="Calibri" w:hAnsi="Calibri"/>
                <w:bCs/>
                <w:color w:val="000000"/>
                <w:sz w:val="18"/>
                <w:szCs w:val="18"/>
              </w:rPr>
              <w:t>)</w:t>
            </w:r>
          </w:p>
        </w:tc>
        <w:tc>
          <w:tcPr>
            <w:tcW w:w="682" w:type="pct"/>
            <w:gridSpan w:val="2"/>
          </w:tcPr>
          <w:p w:rsidR="00813A75" w:rsidRPr="00523C7A" w:rsidRDefault="00813A75" w:rsidP="00523C7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813A75" w:rsidRPr="00523C7A" w:rsidTr="00813A75">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813A75" w:rsidRDefault="00813A75" w:rsidP="00813A75">
            <w:pPr>
              <w:spacing w:before="60" w:after="60" w:line="240" w:lineRule="auto"/>
              <w:ind w:left="-86"/>
              <w:jc w:val="center"/>
              <w:rPr>
                <w:rFonts w:ascii="Calibri" w:hAnsi="Calibri" w:cs="Arial"/>
                <w:bCs w:val="0"/>
                <w:color w:val="000000"/>
                <w:sz w:val="18"/>
                <w:szCs w:val="18"/>
              </w:rPr>
            </w:pPr>
            <w:r w:rsidRPr="00813A75">
              <w:rPr>
                <w:rFonts w:ascii="Calibri" w:hAnsi="Calibri" w:cs="Arial"/>
                <w:bCs w:val="0"/>
                <w:color w:val="000000"/>
                <w:sz w:val="18"/>
                <w:szCs w:val="18"/>
              </w:rPr>
              <w:t>69</w:t>
            </w:r>
          </w:p>
        </w:tc>
        <w:tc>
          <w:tcPr>
            <w:tcW w:w="1819" w:type="pct"/>
          </w:tcPr>
          <w:p w:rsidR="00813A75" w:rsidRDefault="009663C1" w:rsidP="00813A75">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hyperlink r:id="rId22" w:history="1">
              <w:r w:rsidR="00813A75" w:rsidRPr="00813A75">
                <w:rPr>
                  <w:rFonts w:asciiTheme="minorHAnsi" w:hAnsiTheme="minorHAnsi" w:cs="Arial"/>
                  <w:bCs/>
                  <w:color w:val="000000"/>
                  <w:sz w:val="18"/>
                  <w:szCs w:val="18"/>
                </w:rPr>
                <w:t>Price Responsive Demand (PRD): Conforming Changes</w:t>
              </w:r>
            </w:hyperlink>
          </w:p>
        </w:tc>
        <w:tc>
          <w:tcPr>
            <w:tcW w:w="956" w:type="pct"/>
          </w:tcPr>
          <w:p w:rsidR="00813A75" w:rsidRPr="000060EE" w:rsidRDefault="00813A75" w:rsidP="00813A75">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18"/>
                <w:szCs w:val="18"/>
              </w:rPr>
            </w:pPr>
            <w:r w:rsidRPr="000060EE">
              <w:rPr>
                <w:rFonts w:asciiTheme="minorHAnsi" w:hAnsiTheme="minorHAnsi" w:cs="Arial"/>
                <w:bCs/>
                <w:sz w:val="18"/>
                <w:szCs w:val="18"/>
              </w:rPr>
              <w:t>June 1, 2018</w:t>
            </w:r>
          </w:p>
        </w:tc>
        <w:tc>
          <w:tcPr>
            <w:tcW w:w="1025" w:type="pct"/>
          </w:tcPr>
          <w:p w:rsidR="00813A75" w:rsidRPr="000060EE" w:rsidRDefault="00813A75" w:rsidP="00813A75">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18"/>
                <w:szCs w:val="18"/>
              </w:rPr>
            </w:pPr>
            <w:r>
              <w:rPr>
                <w:rFonts w:asciiTheme="minorHAnsi" w:hAnsiTheme="minorHAnsi"/>
                <w:bCs/>
                <w:sz w:val="18"/>
                <w:szCs w:val="18"/>
              </w:rPr>
              <w:t>ER17-2164-000 (October 17, 2017)</w:t>
            </w:r>
          </w:p>
        </w:tc>
        <w:tc>
          <w:tcPr>
            <w:tcW w:w="682" w:type="pct"/>
            <w:gridSpan w:val="2"/>
          </w:tcPr>
          <w:p w:rsidR="00813A75" w:rsidRPr="000060EE" w:rsidRDefault="00813A75" w:rsidP="00813A75">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18"/>
                <w:szCs w:val="18"/>
              </w:rPr>
            </w:pPr>
            <w:r>
              <w:rPr>
                <w:rFonts w:asciiTheme="minorHAnsi" w:hAnsiTheme="minorHAnsi"/>
                <w:bCs/>
                <w:sz w:val="18"/>
                <w:szCs w:val="18"/>
              </w:rPr>
              <w:t>Complete</w:t>
            </w:r>
          </w:p>
        </w:tc>
      </w:tr>
      <w:tr w:rsidR="00C451F6" w:rsidRPr="00523C7A" w:rsidTr="00F024E4">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C451F6" w:rsidDel="00EB11AB" w:rsidRDefault="00C451F6" w:rsidP="00633A70">
            <w:pPr>
              <w:pStyle w:val="ISOTableText-Right"/>
              <w:ind w:left="-205" w:right="-239"/>
              <w:jc w:val="center"/>
              <w:rPr>
                <w:rFonts w:asciiTheme="minorHAnsi" w:hAnsiTheme="minorHAnsi"/>
                <w:szCs w:val="18"/>
              </w:rPr>
            </w:pPr>
            <w:r>
              <w:rPr>
                <w:rFonts w:asciiTheme="minorHAnsi" w:hAnsiTheme="minorHAnsi"/>
                <w:szCs w:val="18"/>
              </w:rPr>
              <w:t>111</w:t>
            </w:r>
          </w:p>
        </w:tc>
        <w:tc>
          <w:tcPr>
            <w:tcW w:w="1819" w:type="pct"/>
          </w:tcPr>
          <w:p w:rsidR="00C451F6" w:rsidRPr="004A4814" w:rsidDel="00EB11AB" w:rsidRDefault="00C451F6" w:rsidP="00633A70">
            <w:pPr>
              <w:pStyle w:val="ISOTableText-Righ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4A4814">
              <w:rPr>
                <w:rFonts w:asciiTheme="minorHAnsi" w:hAnsiTheme="minorHAnsi"/>
                <w:szCs w:val="18"/>
              </w:rPr>
              <w:t>FERC Order 831: Offer Caps in Markets Operated by RTOs and ISOs</w:t>
            </w:r>
          </w:p>
        </w:tc>
        <w:tc>
          <w:tcPr>
            <w:tcW w:w="956" w:type="pct"/>
          </w:tcPr>
          <w:p w:rsidR="00C451F6" w:rsidRPr="000060EE" w:rsidDel="00EB11AB" w:rsidRDefault="00C451F6" w:rsidP="00C451F6">
            <w:pPr>
              <w:pStyle w:val="ISOTableText-Centered"/>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rPr>
            </w:pPr>
            <w:r w:rsidRPr="000060EE">
              <w:rPr>
                <w:rFonts w:asciiTheme="minorHAnsi" w:hAnsiTheme="minorHAnsi" w:cs="Arial"/>
                <w:color w:val="auto"/>
                <w:szCs w:val="18"/>
              </w:rPr>
              <w:t>October 1, 2019</w:t>
            </w:r>
          </w:p>
        </w:tc>
        <w:tc>
          <w:tcPr>
            <w:tcW w:w="1025" w:type="pct"/>
          </w:tcPr>
          <w:p w:rsidR="00C451F6" w:rsidRPr="000060EE" w:rsidDel="00EB11AB" w:rsidRDefault="00C451F6" w:rsidP="00C451F6">
            <w:pPr>
              <w:pStyle w:val="ISOTableText-Centered"/>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rPr>
            </w:pPr>
            <w:r w:rsidRPr="000060EE">
              <w:rPr>
                <w:rFonts w:asciiTheme="minorHAnsi" w:hAnsiTheme="minorHAnsi" w:cs="Arial"/>
                <w:color w:val="auto"/>
                <w:szCs w:val="18"/>
              </w:rPr>
              <w:t>ER17-1565-000</w:t>
            </w:r>
            <w:r>
              <w:rPr>
                <w:rFonts w:asciiTheme="minorHAnsi" w:hAnsiTheme="minorHAnsi" w:cs="Arial"/>
                <w:color w:val="auto"/>
                <w:szCs w:val="18"/>
              </w:rPr>
              <w:t xml:space="preserve"> (November 9, 2017)</w:t>
            </w:r>
          </w:p>
        </w:tc>
        <w:tc>
          <w:tcPr>
            <w:tcW w:w="682" w:type="pct"/>
            <w:gridSpan w:val="2"/>
          </w:tcPr>
          <w:p w:rsidR="00C451F6" w:rsidRPr="000060EE" w:rsidDel="00EB11AB" w:rsidRDefault="00C451F6" w:rsidP="00633A70">
            <w:pPr>
              <w:pStyle w:val="ISOTableText-Centered"/>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18"/>
              </w:rPr>
            </w:pPr>
            <w:r w:rsidRPr="000060EE">
              <w:rPr>
                <w:rFonts w:asciiTheme="minorHAnsi" w:hAnsiTheme="minorHAnsi" w:cs="Arial"/>
                <w:color w:val="auto"/>
                <w:szCs w:val="18"/>
              </w:rPr>
              <w:t>Complete</w:t>
            </w:r>
          </w:p>
        </w:tc>
      </w:tr>
      <w:tr w:rsidR="00813A75"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3D2CCE">
            <w:pPr>
              <w:spacing w:before="60" w:after="60" w:line="240" w:lineRule="auto"/>
              <w:ind w:left="-86"/>
              <w:jc w:val="center"/>
              <w:rPr>
                <w:rFonts w:cs="Arial"/>
                <w:bCs w:val="0"/>
                <w:color w:val="000000"/>
                <w:sz w:val="18"/>
                <w:szCs w:val="18"/>
              </w:rPr>
            </w:pPr>
            <w:r w:rsidRPr="00523C7A">
              <w:rPr>
                <w:rFonts w:ascii="Calibri" w:hAnsi="Calibri" w:cs="Arial"/>
                <w:bCs w:val="0"/>
                <w:color w:val="000000"/>
                <w:sz w:val="18"/>
                <w:szCs w:val="18"/>
              </w:rPr>
              <w:t>59</w:t>
            </w:r>
          </w:p>
        </w:tc>
        <w:tc>
          <w:tcPr>
            <w:tcW w:w="1819" w:type="pct"/>
          </w:tcPr>
          <w:p w:rsidR="00813A75" w:rsidRPr="00523C7A" w:rsidRDefault="00813A75" w:rsidP="003D2CCE">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Regulation Market: Improved Resource Modeling and Automatic Generation Control (AGC) Dispatch Coordination</w:t>
            </w:r>
          </w:p>
        </w:tc>
        <w:tc>
          <w:tcPr>
            <w:tcW w:w="956" w:type="pct"/>
          </w:tcPr>
          <w:p w:rsidR="00813A75" w:rsidRPr="00523C7A" w:rsidRDefault="00813A75" w:rsidP="003D2CCE">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N/A</w:t>
            </w:r>
          </w:p>
        </w:tc>
        <w:tc>
          <w:tcPr>
            <w:tcW w:w="1025" w:type="pct"/>
          </w:tcPr>
          <w:p w:rsidR="00813A75" w:rsidRPr="00523C7A" w:rsidRDefault="00813A75" w:rsidP="003D2CCE">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ER14-584-000</w:t>
            </w:r>
            <w:r w:rsidRPr="00523C7A">
              <w:rPr>
                <w:rFonts w:ascii="Calibri" w:hAnsi="Calibri" w:cs="Arial"/>
                <w:bCs/>
                <w:color w:val="000000"/>
                <w:sz w:val="18"/>
                <w:szCs w:val="18"/>
              </w:rPr>
              <w:br/>
              <w:t>(March 20, 2014)</w:t>
            </w:r>
          </w:p>
        </w:tc>
        <w:tc>
          <w:tcPr>
            <w:tcW w:w="682" w:type="pct"/>
            <w:gridSpan w:val="2"/>
          </w:tcPr>
          <w:p w:rsidR="00813A75" w:rsidRPr="00523C7A" w:rsidRDefault="00813A75" w:rsidP="003D2CCE">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No action taken</w:t>
            </w:r>
          </w:p>
        </w:tc>
      </w:tr>
      <w:tr w:rsidR="00813A75"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71</w:t>
            </w:r>
          </w:p>
        </w:tc>
        <w:tc>
          <w:tcPr>
            <w:tcW w:w="1819" w:type="pct"/>
          </w:tcPr>
          <w:p w:rsidR="00813A75" w:rsidRPr="00523C7A" w:rsidRDefault="00813A75"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FCM Peak Energy Rent Modifications </w:t>
            </w:r>
            <w:r w:rsidRPr="00523C7A">
              <w:rPr>
                <w:rFonts w:ascii="Calibri" w:hAnsi="Calibri" w:cs="Arial"/>
                <w:bCs/>
                <w:color w:val="000000"/>
                <w:sz w:val="18"/>
                <w:szCs w:val="18"/>
              </w:rPr>
              <w:br/>
              <w:t>(CCP 5-8)</w:t>
            </w:r>
          </w:p>
        </w:tc>
        <w:tc>
          <w:tcPr>
            <w:tcW w:w="956" w:type="pct"/>
          </w:tcPr>
          <w:p w:rsidR="00813A75" w:rsidRPr="00523C7A" w:rsidRDefault="00813A75"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1025" w:type="pct"/>
          </w:tcPr>
          <w:p w:rsidR="00813A75" w:rsidRPr="00523C7A" w:rsidRDefault="00813A75"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p>
        </w:tc>
        <w:tc>
          <w:tcPr>
            <w:tcW w:w="682" w:type="pct"/>
            <w:gridSpan w:val="2"/>
          </w:tcPr>
          <w:p w:rsidR="00813A75" w:rsidRPr="00523C7A" w:rsidRDefault="00813A75"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No action taken</w:t>
            </w:r>
          </w:p>
        </w:tc>
      </w:tr>
      <w:tr w:rsidR="00813A75"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49</w:t>
            </w:r>
          </w:p>
        </w:tc>
        <w:tc>
          <w:tcPr>
            <w:tcW w:w="1819" w:type="pct"/>
          </w:tcPr>
          <w:p w:rsidR="00813A75" w:rsidRPr="00523C7A" w:rsidRDefault="00813A75"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Treatment of Resources Retained for Reliability</w:t>
            </w:r>
          </w:p>
        </w:tc>
        <w:tc>
          <w:tcPr>
            <w:tcW w:w="956" w:type="pct"/>
          </w:tcPr>
          <w:p w:rsidR="00813A75" w:rsidRPr="00523C7A" w:rsidRDefault="00813A75"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1025" w:type="pct"/>
          </w:tcPr>
          <w:p w:rsidR="00813A75" w:rsidRPr="00523C7A" w:rsidRDefault="00813A75"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p>
        </w:tc>
        <w:tc>
          <w:tcPr>
            <w:tcW w:w="682" w:type="pct"/>
            <w:gridSpan w:val="2"/>
          </w:tcPr>
          <w:p w:rsidR="00813A75" w:rsidRPr="00523C7A" w:rsidRDefault="00813A75"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No action taken</w:t>
            </w:r>
            <w:r>
              <w:rPr>
                <w:rFonts w:ascii="Calibri" w:hAnsi="Calibri" w:cs="Arial"/>
                <w:bCs/>
                <w:color w:val="000000"/>
                <w:sz w:val="18"/>
                <w:szCs w:val="18"/>
              </w:rPr>
              <w:t xml:space="preserve"> at this time</w:t>
            </w:r>
          </w:p>
        </w:tc>
      </w:tr>
      <w:tr w:rsidR="00813A75"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33</w:t>
            </w:r>
          </w:p>
        </w:tc>
        <w:tc>
          <w:tcPr>
            <w:tcW w:w="1819" w:type="pct"/>
          </w:tcPr>
          <w:p w:rsidR="00813A75" w:rsidRPr="00523C7A" w:rsidRDefault="00813A75"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Cost Allocation and Load Reconstitution</w:t>
            </w:r>
          </w:p>
        </w:tc>
        <w:tc>
          <w:tcPr>
            <w:tcW w:w="956" w:type="pct"/>
          </w:tcPr>
          <w:p w:rsidR="00813A75" w:rsidRPr="00523C7A" w:rsidRDefault="00813A75"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N/A</w:t>
            </w:r>
          </w:p>
        </w:tc>
        <w:tc>
          <w:tcPr>
            <w:tcW w:w="1025" w:type="pct"/>
          </w:tcPr>
          <w:p w:rsidR="00813A75" w:rsidRPr="00523C7A" w:rsidRDefault="00813A75"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p>
        </w:tc>
        <w:tc>
          <w:tcPr>
            <w:tcW w:w="682" w:type="pct"/>
            <w:gridSpan w:val="2"/>
          </w:tcPr>
          <w:p w:rsidR="00813A75" w:rsidRPr="00523C7A" w:rsidRDefault="00813A75"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No action taken</w:t>
            </w:r>
          </w:p>
        </w:tc>
      </w:tr>
      <w:tr w:rsidR="00813A75" w:rsidRPr="00523C7A" w:rsidTr="003D2CCE">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3D2CCE">
            <w:pPr>
              <w:spacing w:before="60" w:after="60" w:line="240" w:lineRule="auto"/>
              <w:jc w:val="center"/>
              <w:rPr>
                <w:rFonts w:cs="Arial"/>
                <w:bCs w:val="0"/>
                <w:color w:val="000000"/>
                <w:sz w:val="18"/>
                <w:szCs w:val="18"/>
              </w:rPr>
            </w:pPr>
            <w:r w:rsidRPr="00523C7A">
              <w:rPr>
                <w:rFonts w:ascii="Calibri" w:hAnsi="Calibri" w:cs="Arial"/>
                <w:bCs w:val="0"/>
                <w:color w:val="000000"/>
                <w:sz w:val="18"/>
                <w:szCs w:val="18"/>
              </w:rPr>
              <w:t>53</w:t>
            </w:r>
          </w:p>
        </w:tc>
        <w:tc>
          <w:tcPr>
            <w:tcW w:w="1819" w:type="pct"/>
          </w:tcPr>
          <w:p w:rsidR="00813A75" w:rsidRPr="00523C7A" w:rsidRDefault="00813A75" w:rsidP="003D2CCE">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Monthly Forward Reserve Market Auction</w:t>
            </w:r>
          </w:p>
        </w:tc>
        <w:tc>
          <w:tcPr>
            <w:tcW w:w="956" w:type="pct"/>
          </w:tcPr>
          <w:p w:rsidR="00813A75" w:rsidRPr="00523C7A" w:rsidRDefault="00813A75"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rPr>
              <w:t>N/A</w:t>
            </w:r>
          </w:p>
        </w:tc>
        <w:tc>
          <w:tcPr>
            <w:tcW w:w="1025" w:type="pct"/>
          </w:tcPr>
          <w:p w:rsidR="00813A75" w:rsidRPr="00523C7A" w:rsidRDefault="00813A75"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N/A</w:t>
            </w:r>
          </w:p>
        </w:tc>
        <w:tc>
          <w:tcPr>
            <w:tcW w:w="682" w:type="pct"/>
            <w:gridSpan w:val="2"/>
          </w:tcPr>
          <w:p w:rsidR="00813A75" w:rsidRPr="00523C7A" w:rsidRDefault="00813A75"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No action taken</w:t>
            </w:r>
          </w:p>
        </w:tc>
      </w:tr>
      <w:tr w:rsidR="00813A75"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3D2CCE">
            <w:pPr>
              <w:spacing w:before="60" w:after="60" w:line="240" w:lineRule="auto"/>
              <w:jc w:val="center"/>
              <w:rPr>
                <w:rFonts w:cs="Arial"/>
                <w:bCs w:val="0"/>
                <w:color w:val="000000"/>
                <w:sz w:val="18"/>
                <w:szCs w:val="18"/>
              </w:rPr>
            </w:pPr>
            <w:r w:rsidRPr="00523C7A">
              <w:rPr>
                <w:rFonts w:ascii="Calibri" w:hAnsi="Calibri" w:cs="Arial"/>
                <w:bCs w:val="0"/>
                <w:color w:val="000000"/>
                <w:sz w:val="18"/>
                <w:szCs w:val="18"/>
              </w:rPr>
              <w:t>9</w:t>
            </w:r>
          </w:p>
        </w:tc>
        <w:tc>
          <w:tcPr>
            <w:tcW w:w="1819" w:type="pct"/>
          </w:tcPr>
          <w:p w:rsidR="00813A75" w:rsidRPr="00523C7A" w:rsidRDefault="00813A75" w:rsidP="003D2CCE">
            <w:pPr>
              <w:spacing w:after="0" w:line="240" w:lineRule="auto"/>
              <w:ind w:left="42"/>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Demand-Resource Asset-Transfer Rules</w:t>
            </w:r>
          </w:p>
        </w:tc>
        <w:tc>
          <w:tcPr>
            <w:tcW w:w="956" w:type="pct"/>
          </w:tcPr>
          <w:p w:rsidR="00813A75" w:rsidRPr="00523C7A" w:rsidRDefault="00813A75" w:rsidP="003D2CCE">
            <w:pPr>
              <w:spacing w:after="0" w:line="240" w:lineRule="auto"/>
              <w:ind w:left="-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N/A</w:t>
            </w:r>
          </w:p>
        </w:tc>
        <w:tc>
          <w:tcPr>
            <w:tcW w:w="1025" w:type="pct"/>
          </w:tcPr>
          <w:p w:rsidR="00813A75" w:rsidRPr="00523C7A" w:rsidRDefault="00813A75" w:rsidP="003D2CCE">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N/A</w:t>
            </w:r>
          </w:p>
        </w:tc>
        <w:tc>
          <w:tcPr>
            <w:tcW w:w="682" w:type="pct"/>
            <w:gridSpan w:val="2"/>
          </w:tcPr>
          <w:p w:rsidR="00813A75" w:rsidRPr="00523C7A" w:rsidRDefault="00813A75" w:rsidP="003D2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szCs w:val="18"/>
              </w:rPr>
              <w:t>No action taken</w:t>
            </w:r>
          </w:p>
        </w:tc>
      </w:tr>
      <w:tr w:rsidR="00813A75" w:rsidRPr="00523C7A" w:rsidTr="003D2CCE">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3D2CCE">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52</w:t>
            </w:r>
          </w:p>
        </w:tc>
        <w:tc>
          <w:tcPr>
            <w:tcW w:w="1819" w:type="pct"/>
          </w:tcPr>
          <w:p w:rsidR="00813A75" w:rsidRPr="00523C7A" w:rsidRDefault="00813A75" w:rsidP="003D2CCE">
            <w:pPr>
              <w:spacing w:after="0" w:line="240" w:lineRule="auto"/>
              <w:ind w:left="42"/>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Winter 2014/2015 Solution</w:t>
            </w:r>
            <w:r w:rsidRPr="00523C7A">
              <w:rPr>
                <w:rFonts w:ascii="Calibri" w:hAnsi="Calibri" w:cs="Arial"/>
                <w:bCs/>
                <w:color w:val="000000"/>
                <w:sz w:val="18"/>
                <w:szCs w:val="18"/>
                <w:vertAlign w:val="superscript"/>
              </w:rPr>
              <w:t xml:space="preserve"> </w:t>
            </w:r>
          </w:p>
        </w:tc>
        <w:tc>
          <w:tcPr>
            <w:tcW w:w="956" w:type="pct"/>
          </w:tcPr>
          <w:p w:rsidR="00813A75" w:rsidRPr="00523C7A" w:rsidRDefault="00813A75" w:rsidP="003D2CCE">
            <w:pPr>
              <w:spacing w:after="0" w:line="240" w:lineRule="auto"/>
              <w:ind w:left="-1"/>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1025" w:type="pct"/>
          </w:tcPr>
          <w:p w:rsidR="00813A75" w:rsidRPr="00523C7A" w:rsidRDefault="00813A75" w:rsidP="003D2CCE">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682" w:type="pct"/>
            <w:gridSpan w:val="2"/>
          </w:tcPr>
          <w:p w:rsidR="00813A75" w:rsidRPr="00523C7A" w:rsidRDefault="00813A75" w:rsidP="003D2CC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No action taken</w:t>
            </w:r>
          </w:p>
        </w:tc>
      </w:tr>
      <w:tr w:rsidR="00813A75" w:rsidRPr="00523C7A" w:rsidTr="003D2CCE">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3D2CCE">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63</w:t>
            </w:r>
          </w:p>
        </w:tc>
        <w:tc>
          <w:tcPr>
            <w:tcW w:w="1819" w:type="pct"/>
          </w:tcPr>
          <w:p w:rsidR="00813A75" w:rsidRPr="00523C7A" w:rsidRDefault="00813A75" w:rsidP="003D2CCE">
            <w:pPr>
              <w:spacing w:after="0" w:line="240" w:lineRule="auto"/>
              <w:ind w:left="42"/>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Sloped Demand Curve: Local Curve</w:t>
            </w:r>
          </w:p>
        </w:tc>
        <w:tc>
          <w:tcPr>
            <w:tcW w:w="956" w:type="pct"/>
          </w:tcPr>
          <w:p w:rsidR="00813A75" w:rsidRPr="00523C7A" w:rsidRDefault="00813A75" w:rsidP="003D2CCE">
            <w:pPr>
              <w:spacing w:after="0" w:line="240" w:lineRule="auto"/>
              <w:ind w:left="-1"/>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1025" w:type="pct"/>
          </w:tcPr>
          <w:p w:rsidR="00813A75" w:rsidRPr="00523C7A" w:rsidRDefault="00813A75" w:rsidP="003D2CCE">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682" w:type="pct"/>
            <w:gridSpan w:val="2"/>
          </w:tcPr>
          <w:p w:rsidR="00813A75" w:rsidRPr="00523C7A" w:rsidRDefault="00813A75" w:rsidP="003D2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No action taken</w:t>
            </w:r>
          </w:p>
        </w:tc>
      </w:tr>
      <w:tr w:rsidR="00813A75" w:rsidRPr="00523C7A" w:rsidTr="003D2CCE">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3D2CCE">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39</w:t>
            </w:r>
          </w:p>
        </w:tc>
        <w:tc>
          <w:tcPr>
            <w:tcW w:w="1819" w:type="pct"/>
          </w:tcPr>
          <w:p w:rsidR="00813A75" w:rsidRPr="00523C7A" w:rsidRDefault="00813A75" w:rsidP="003D2CCE">
            <w:pPr>
              <w:spacing w:after="0" w:line="240" w:lineRule="auto"/>
              <w:ind w:left="42"/>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NCPC Cost Allocation</w:t>
            </w:r>
          </w:p>
        </w:tc>
        <w:tc>
          <w:tcPr>
            <w:tcW w:w="956" w:type="pct"/>
          </w:tcPr>
          <w:p w:rsidR="00813A75" w:rsidRPr="00523C7A" w:rsidRDefault="00813A75" w:rsidP="003D2CCE">
            <w:pPr>
              <w:spacing w:after="0" w:line="240" w:lineRule="auto"/>
              <w:ind w:left="-1"/>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1025" w:type="pct"/>
          </w:tcPr>
          <w:p w:rsidR="00813A75" w:rsidRPr="00523C7A" w:rsidRDefault="00813A75" w:rsidP="003D2CCE">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682" w:type="pct"/>
            <w:gridSpan w:val="2"/>
          </w:tcPr>
          <w:p w:rsidR="00813A75" w:rsidRPr="00523C7A" w:rsidRDefault="00813A75" w:rsidP="003D2CC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Phase 1</w:t>
            </w:r>
          </w:p>
          <w:p w:rsidR="00813A75" w:rsidRPr="00523C7A" w:rsidRDefault="00813A75" w:rsidP="003D2CC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no action taken</w:t>
            </w:r>
          </w:p>
        </w:tc>
      </w:tr>
      <w:tr w:rsidR="00813A75" w:rsidRPr="00523C7A" w:rsidTr="003D2CCE">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3D2CCE">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lastRenderedPageBreak/>
              <w:t>15</w:t>
            </w:r>
          </w:p>
        </w:tc>
        <w:tc>
          <w:tcPr>
            <w:tcW w:w="1819" w:type="pct"/>
          </w:tcPr>
          <w:p w:rsidR="00813A75" w:rsidRPr="00523C7A" w:rsidRDefault="00813A75" w:rsidP="003D2CCE">
            <w:pPr>
              <w:spacing w:after="0" w:line="240" w:lineRule="auto"/>
              <w:ind w:left="42"/>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Financial Transmission Rights Auction Enhancement Language Restructuring</w:t>
            </w:r>
          </w:p>
        </w:tc>
        <w:tc>
          <w:tcPr>
            <w:tcW w:w="956" w:type="pct"/>
          </w:tcPr>
          <w:p w:rsidR="00813A75" w:rsidRPr="00523C7A" w:rsidRDefault="00813A75" w:rsidP="003D2CCE">
            <w:pPr>
              <w:spacing w:after="0" w:line="240" w:lineRule="auto"/>
              <w:ind w:left="-1"/>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N/A</w:t>
            </w:r>
          </w:p>
        </w:tc>
        <w:tc>
          <w:tcPr>
            <w:tcW w:w="1025" w:type="pct"/>
          </w:tcPr>
          <w:p w:rsidR="00813A75" w:rsidRPr="00523C7A" w:rsidRDefault="00813A75" w:rsidP="003D2CCE">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N/A</w:t>
            </w:r>
          </w:p>
        </w:tc>
        <w:tc>
          <w:tcPr>
            <w:tcW w:w="682" w:type="pct"/>
            <w:gridSpan w:val="2"/>
          </w:tcPr>
          <w:p w:rsidR="00813A75" w:rsidRPr="00523C7A" w:rsidRDefault="00813A75" w:rsidP="003D2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No Action Taken</w:t>
            </w:r>
          </w:p>
        </w:tc>
      </w:tr>
      <w:tr w:rsidR="00813A75" w:rsidRPr="00523C7A" w:rsidTr="003D2CCE">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1D7768" w:rsidRDefault="00813A75" w:rsidP="003D2CCE">
            <w:pPr>
              <w:spacing w:before="60" w:after="60" w:line="240" w:lineRule="auto"/>
              <w:ind w:left="-205" w:right="-239"/>
              <w:jc w:val="center"/>
              <w:rPr>
                <w:rFonts w:asciiTheme="minorHAnsi" w:hAnsiTheme="minorHAnsi" w:cs="Arial"/>
                <w:bCs w:val="0"/>
                <w:color w:val="000000"/>
                <w:sz w:val="18"/>
                <w:szCs w:val="18"/>
              </w:rPr>
            </w:pPr>
            <w:r w:rsidRPr="001D7768">
              <w:rPr>
                <w:rFonts w:asciiTheme="minorHAnsi" w:hAnsiTheme="minorHAnsi" w:cs="Arial"/>
                <w:color w:val="000000"/>
                <w:sz w:val="18"/>
                <w:szCs w:val="18"/>
              </w:rPr>
              <w:t>54</w:t>
            </w:r>
          </w:p>
        </w:tc>
        <w:tc>
          <w:tcPr>
            <w:tcW w:w="1819" w:type="pct"/>
          </w:tcPr>
          <w:p w:rsidR="00813A75" w:rsidRPr="001D7768" w:rsidRDefault="00813A75" w:rsidP="003D2CCE">
            <w:pPr>
              <w:spacing w:before="60" w:after="6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1D7768">
              <w:rPr>
                <w:rFonts w:asciiTheme="minorHAnsi" w:hAnsiTheme="minorHAnsi" w:cs="Arial"/>
                <w:bCs/>
                <w:color w:val="000000"/>
                <w:sz w:val="18"/>
                <w:szCs w:val="18"/>
              </w:rPr>
              <w:t>Submission of FTRs for Clearing</w:t>
            </w:r>
          </w:p>
        </w:tc>
        <w:tc>
          <w:tcPr>
            <w:tcW w:w="956" w:type="pct"/>
          </w:tcPr>
          <w:p w:rsidR="00813A75" w:rsidRPr="001D7768" w:rsidRDefault="00813A75"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N/A</w:t>
            </w:r>
          </w:p>
        </w:tc>
        <w:tc>
          <w:tcPr>
            <w:tcW w:w="1025" w:type="pct"/>
          </w:tcPr>
          <w:p w:rsidR="00813A75" w:rsidRPr="001D7768" w:rsidRDefault="00813A75"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N/A</w:t>
            </w:r>
          </w:p>
        </w:tc>
        <w:tc>
          <w:tcPr>
            <w:tcW w:w="682" w:type="pct"/>
            <w:gridSpan w:val="2"/>
          </w:tcPr>
          <w:p w:rsidR="00813A75" w:rsidRPr="00B12584" w:rsidRDefault="00813A75"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No Action Taken</w:t>
            </w:r>
          </w:p>
        </w:tc>
      </w:tr>
      <w:tr w:rsidR="00813A75" w:rsidRPr="00523C7A" w:rsidTr="003D2CCE">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E55538" w:rsidRDefault="00813A75" w:rsidP="003D2CCE">
            <w:pPr>
              <w:pStyle w:val="ISOTableText-Right"/>
              <w:ind w:left="-205" w:right="-239"/>
              <w:jc w:val="center"/>
              <w:rPr>
                <w:rFonts w:asciiTheme="minorHAnsi" w:hAnsiTheme="minorHAnsi"/>
                <w:szCs w:val="18"/>
              </w:rPr>
            </w:pPr>
            <w:r>
              <w:rPr>
                <w:rFonts w:asciiTheme="minorHAnsi" w:hAnsiTheme="minorHAnsi"/>
                <w:szCs w:val="18"/>
              </w:rPr>
              <w:t>99</w:t>
            </w:r>
          </w:p>
        </w:tc>
        <w:tc>
          <w:tcPr>
            <w:tcW w:w="1819" w:type="pct"/>
          </w:tcPr>
          <w:p w:rsidR="00813A75" w:rsidRPr="003B2F29" w:rsidRDefault="00813A75" w:rsidP="003D2CCE">
            <w:pPr>
              <w:pStyle w:val="ISOTableText-Right"/>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3B2F29">
              <w:rPr>
                <w:rFonts w:asciiTheme="minorHAnsi" w:hAnsiTheme="minorHAnsi"/>
                <w:szCs w:val="18"/>
              </w:rPr>
              <w:t>Uncleared ARA3 Demand Bids</w:t>
            </w:r>
          </w:p>
        </w:tc>
        <w:tc>
          <w:tcPr>
            <w:tcW w:w="956" w:type="pct"/>
          </w:tcPr>
          <w:p w:rsidR="00813A75" w:rsidRPr="001D7768" w:rsidRDefault="00813A75" w:rsidP="003D2CC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N/A</w:t>
            </w:r>
          </w:p>
        </w:tc>
        <w:tc>
          <w:tcPr>
            <w:tcW w:w="1025" w:type="pct"/>
          </w:tcPr>
          <w:p w:rsidR="00813A75" w:rsidRPr="001D7768" w:rsidRDefault="00813A75" w:rsidP="003D2CC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N/A</w:t>
            </w:r>
          </w:p>
        </w:tc>
        <w:tc>
          <w:tcPr>
            <w:tcW w:w="682" w:type="pct"/>
            <w:gridSpan w:val="2"/>
          </w:tcPr>
          <w:p w:rsidR="00813A75" w:rsidRPr="00B12584" w:rsidRDefault="00813A75" w:rsidP="003D2CC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No Action Taken</w:t>
            </w:r>
          </w:p>
        </w:tc>
      </w:tr>
      <w:tr w:rsidR="00813A75" w:rsidRPr="00523C7A" w:rsidTr="00555131">
        <w:trPr>
          <w:cnfStyle w:val="000000010000" w:firstRow="0" w:lastRow="0" w:firstColumn="0" w:lastColumn="0" w:oddVBand="0" w:evenVBand="0" w:oddHBand="0" w:evenHBand="1" w:firstRowFirstColumn="0" w:firstRowLastColumn="0" w:lastRowFirstColumn="0" w:lastRowLastColumn="0"/>
          <w:trHeight w:val="503"/>
          <w:jc w:val="center"/>
        </w:trPr>
        <w:tc>
          <w:tcPr>
            <w:tcW w:w="517" w:type="pct"/>
            <w:gridSpan w:val="2"/>
            <w:shd w:val="clear" w:color="auto" w:fill="auto"/>
            <w:vAlign w:val="center"/>
          </w:tcPr>
          <w:p w:rsidR="00813A75" w:rsidRPr="00555131" w:rsidRDefault="00813A75" w:rsidP="002D7E1B">
            <w:pPr>
              <w:spacing w:after="0" w:line="240" w:lineRule="auto"/>
              <w:jc w:val="center"/>
              <w:rPr>
                <w:rFonts w:ascii="Calibri" w:hAnsi="Calibri" w:cs="Arial"/>
                <w:bCs/>
                <w:color w:val="000000"/>
                <w:sz w:val="18"/>
                <w:szCs w:val="18"/>
              </w:rPr>
            </w:pPr>
            <w:r w:rsidRPr="00555131">
              <w:rPr>
                <w:rFonts w:cs="Arial"/>
                <w:bCs/>
                <w:color w:val="000000"/>
                <w:sz w:val="18"/>
                <w:szCs w:val="18"/>
              </w:rPr>
              <w:t>―</w:t>
            </w:r>
          </w:p>
        </w:tc>
        <w:tc>
          <w:tcPr>
            <w:tcW w:w="1819" w:type="pct"/>
            <w:shd w:val="clear" w:color="auto" w:fill="auto"/>
            <w:vAlign w:val="center"/>
          </w:tcPr>
          <w:p w:rsidR="00813A75" w:rsidRPr="00555131" w:rsidRDefault="00813A75" w:rsidP="002D7E1B">
            <w:pPr>
              <w:spacing w:after="0" w:line="240" w:lineRule="auto"/>
              <w:jc w:val="left"/>
              <w:rPr>
                <w:rFonts w:ascii="Calibri" w:hAnsi="Calibri" w:cs="Arial"/>
                <w:bCs/>
                <w:color w:val="000000"/>
                <w:sz w:val="18"/>
                <w:szCs w:val="18"/>
              </w:rPr>
            </w:pPr>
            <w:r w:rsidRPr="00555131">
              <w:rPr>
                <w:rFonts w:ascii="Calibri" w:hAnsi="Calibri" w:cs="Arial"/>
                <w:bCs/>
                <w:color w:val="000000"/>
                <w:sz w:val="18"/>
                <w:szCs w:val="18"/>
              </w:rPr>
              <w:t>Regulation Market (Order 755)</w:t>
            </w:r>
          </w:p>
        </w:tc>
        <w:tc>
          <w:tcPr>
            <w:tcW w:w="956" w:type="pct"/>
            <w:shd w:val="clear" w:color="auto" w:fill="auto"/>
            <w:vAlign w:val="center"/>
          </w:tcPr>
          <w:p w:rsidR="00813A75" w:rsidRPr="00555131" w:rsidRDefault="00813A75" w:rsidP="002D7E1B">
            <w:pPr>
              <w:spacing w:after="0" w:line="240" w:lineRule="auto"/>
              <w:jc w:val="center"/>
              <w:rPr>
                <w:rFonts w:ascii="Calibri" w:eastAsia="Calibri" w:hAnsi="Calibri"/>
                <w:bCs/>
                <w:color w:val="000000"/>
                <w:sz w:val="18"/>
                <w:szCs w:val="18"/>
              </w:rPr>
            </w:pPr>
            <w:r w:rsidRPr="00555131">
              <w:rPr>
                <w:rFonts w:ascii="Calibri" w:eastAsia="Calibri" w:hAnsi="Calibri"/>
                <w:bCs/>
                <w:color w:val="000000"/>
                <w:sz w:val="18"/>
                <w:szCs w:val="18"/>
              </w:rPr>
              <w:t>N/A</w:t>
            </w:r>
          </w:p>
        </w:tc>
        <w:tc>
          <w:tcPr>
            <w:tcW w:w="1025" w:type="pct"/>
            <w:shd w:val="clear" w:color="auto" w:fill="auto"/>
            <w:vAlign w:val="center"/>
          </w:tcPr>
          <w:p w:rsidR="00813A75" w:rsidRPr="00555131" w:rsidRDefault="00813A75" w:rsidP="002D7E1B">
            <w:pPr>
              <w:spacing w:after="0" w:line="240" w:lineRule="auto"/>
              <w:jc w:val="center"/>
              <w:rPr>
                <w:rFonts w:ascii="Calibri" w:eastAsia="Calibri" w:hAnsi="Calibri"/>
                <w:bCs/>
                <w:color w:val="000000"/>
                <w:sz w:val="18"/>
                <w:szCs w:val="18"/>
              </w:rPr>
            </w:pPr>
            <w:r w:rsidRPr="00555131">
              <w:rPr>
                <w:rFonts w:ascii="Calibri" w:eastAsia="Calibri" w:hAnsi="Calibri"/>
                <w:bCs/>
                <w:color w:val="000000"/>
                <w:sz w:val="18"/>
                <w:szCs w:val="18"/>
              </w:rPr>
              <w:t>ER12-1643-000</w:t>
            </w:r>
          </w:p>
          <w:p w:rsidR="00813A75" w:rsidRPr="00555131" w:rsidRDefault="00813A75" w:rsidP="002D7E1B">
            <w:pPr>
              <w:spacing w:after="0" w:line="240" w:lineRule="auto"/>
              <w:jc w:val="center"/>
              <w:rPr>
                <w:rFonts w:ascii="Calibri" w:eastAsia="Calibri" w:hAnsi="Calibri"/>
                <w:bCs/>
                <w:color w:val="000000"/>
                <w:sz w:val="18"/>
                <w:szCs w:val="18"/>
              </w:rPr>
            </w:pPr>
            <w:r w:rsidRPr="00555131">
              <w:rPr>
                <w:rFonts w:ascii="Calibri" w:eastAsia="Calibri" w:hAnsi="Calibri"/>
                <w:bCs/>
                <w:color w:val="000000"/>
                <w:sz w:val="18"/>
                <w:szCs w:val="18"/>
              </w:rPr>
              <w:t>(April 30, 2012)</w:t>
            </w:r>
          </w:p>
        </w:tc>
        <w:tc>
          <w:tcPr>
            <w:tcW w:w="682" w:type="pct"/>
            <w:gridSpan w:val="2"/>
            <w:shd w:val="clear" w:color="auto" w:fill="auto"/>
            <w:vAlign w:val="center"/>
          </w:tcPr>
          <w:p w:rsidR="00813A75" w:rsidRPr="00555131" w:rsidRDefault="00813A75" w:rsidP="002D7E1B">
            <w:pPr>
              <w:spacing w:after="0" w:line="240" w:lineRule="auto"/>
              <w:jc w:val="center"/>
              <w:rPr>
                <w:rFonts w:ascii="Calibri" w:eastAsia="Calibri" w:hAnsi="Calibri"/>
                <w:bCs/>
                <w:color w:val="000000"/>
                <w:sz w:val="18"/>
                <w:szCs w:val="18"/>
              </w:rPr>
            </w:pPr>
            <w:r w:rsidRPr="00555131">
              <w:rPr>
                <w:rFonts w:ascii="Calibri" w:eastAsia="Calibri" w:hAnsi="Calibri"/>
                <w:bCs/>
                <w:color w:val="000000"/>
                <w:sz w:val="18"/>
              </w:rPr>
              <w:t>Merged with other project</w:t>
            </w:r>
          </w:p>
        </w:tc>
      </w:tr>
      <w:tr w:rsidR="00813A75" w:rsidRPr="00523C7A" w:rsidTr="002D7E1B">
        <w:trPr>
          <w:cnfStyle w:val="000000100000" w:firstRow="0" w:lastRow="0" w:firstColumn="0" w:lastColumn="0" w:oddVBand="0" w:evenVBand="0" w:oddHBand="1" w:evenHBand="0" w:firstRowFirstColumn="0" w:firstRowLastColumn="0" w:lastRowFirstColumn="0" w:lastRowLastColumn="0"/>
          <w:trHeight w:val="503"/>
          <w:jc w:val="center"/>
        </w:trPr>
        <w:tc>
          <w:tcPr>
            <w:tcW w:w="517" w:type="pct"/>
            <w:gridSpan w:val="2"/>
            <w:vAlign w:val="center"/>
          </w:tcPr>
          <w:p w:rsidR="00813A75" w:rsidRDefault="00813A75" w:rsidP="003D2CCE">
            <w:pPr>
              <w:spacing w:before="60" w:after="60" w:line="240" w:lineRule="auto"/>
              <w:ind w:left="-205" w:right="-239"/>
              <w:jc w:val="center"/>
              <w:rPr>
                <w:rFonts w:asciiTheme="minorHAnsi" w:hAnsiTheme="minorHAnsi" w:cs="Arial"/>
                <w:bCs/>
                <w:color w:val="000000"/>
                <w:sz w:val="18"/>
                <w:szCs w:val="18"/>
              </w:rPr>
            </w:pPr>
            <w:r w:rsidRPr="00523C7A">
              <w:rPr>
                <w:rFonts w:cs="Arial"/>
                <w:bCs/>
                <w:color w:val="000000"/>
                <w:sz w:val="18"/>
                <w:szCs w:val="18"/>
              </w:rPr>
              <w:t>―</w:t>
            </w:r>
          </w:p>
        </w:tc>
        <w:tc>
          <w:tcPr>
            <w:tcW w:w="1819" w:type="pct"/>
            <w:vAlign w:val="center"/>
          </w:tcPr>
          <w:p w:rsidR="00813A75" w:rsidRPr="001D7768" w:rsidRDefault="00813A75" w:rsidP="003D2CCE">
            <w:pPr>
              <w:spacing w:before="60" w:after="60" w:line="240" w:lineRule="auto"/>
              <w:rPr>
                <w:rFonts w:asciiTheme="minorHAnsi" w:hAnsiTheme="minorHAnsi" w:cs="Arial"/>
                <w:bCs/>
                <w:color w:val="000000"/>
                <w:sz w:val="18"/>
                <w:szCs w:val="18"/>
              </w:rPr>
            </w:pPr>
            <w:r>
              <w:rPr>
                <w:rFonts w:asciiTheme="minorHAnsi" w:hAnsiTheme="minorHAnsi" w:cs="Arial"/>
                <w:bCs/>
                <w:color w:val="000000"/>
                <w:sz w:val="18"/>
                <w:szCs w:val="18"/>
              </w:rPr>
              <w:t>Day-Ahead Reserve Markets Enhancements Assessment</w:t>
            </w:r>
          </w:p>
        </w:tc>
        <w:tc>
          <w:tcPr>
            <w:tcW w:w="956" w:type="pct"/>
            <w:vAlign w:val="center"/>
          </w:tcPr>
          <w:p w:rsidR="00813A75" w:rsidRPr="000060EE" w:rsidRDefault="00813A75" w:rsidP="003D2CCE">
            <w:pPr>
              <w:spacing w:before="60" w:after="60" w:line="240" w:lineRule="auto"/>
              <w:jc w:val="center"/>
              <w:rPr>
                <w:rFonts w:asciiTheme="minorHAnsi" w:hAnsiTheme="minorHAnsi"/>
                <w:bCs/>
                <w:sz w:val="18"/>
                <w:szCs w:val="18"/>
              </w:rPr>
            </w:pPr>
            <w:r>
              <w:rPr>
                <w:rFonts w:asciiTheme="minorHAnsi" w:hAnsiTheme="minorHAnsi"/>
                <w:bCs/>
                <w:sz w:val="18"/>
                <w:szCs w:val="18"/>
              </w:rPr>
              <w:t>N/A</w:t>
            </w:r>
          </w:p>
        </w:tc>
        <w:tc>
          <w:tcPr>
            <w:tcW w:w="1025" w:type="pct"/>
            <w:vAlign w:val="center"/>
          </w:tcPr>
          <w:p w:rsidR="00813A75" w:rsidRPr="000060EE" w:rsidRDefault="00813A75" w:rsidP="003D2CCE">
            <w:pPr>
              <w:spacing w:before="60" w:after="60" w:line="240" w:lineRule="auto"/>
              <w:jc w:val="center"/>
              <w:rPr>
                <w:rFonts w:asciiTheme="minorHAnsi" w:hAnsiTheme="minorHAnsi"/>
                <w:bCs/>
                <w:sz w:val="18"/>
                <w:szCs w:val="18"/>
              </w:rPr>
            </w:pPr>
            <w:r>
              <w:rPr>
                <w:rFonts w:asciiTheme="minorHAnsi" w:hAnsiTheme="minorHAnsi"/>
                <w:bCs/>
                <w:sz w:val="18"/>
                <w:szCs w:val="18"/>
              </w:rPr>
              <w:t>N/A</w:t>
            </w:r>
          </w:p>
        </w:tc>
        <w:tc>
          <w:tcPr>
            <w:tcW w:w="682" w:type="pct"/>
            <w:gridSpan w:val="2"/>
            <w:vAlign w:val="center"/>
          </w:tcPr>
          <w:p w:rsidR="00813A75" w:rsidRPr="000060EE" w:rsidRDefault="00813A75" w:rsidP="003D2CCE">
            <w:pPr>
              <w:spacing w:before="60" w:after="60" w:line="240" w:lineRule="auto"/>
              <w:jc w:val="center"/>
              <w:rPr>
                <w:rFonts w:asciiTheme="minorHAnsi" w:hAnsiTheme="minorHAnsi" w:cs="Arial"/>
                <w:bCs/>
                <w:sz w:val="18"/>
                <w:szCs w:val="18"/>
              </w:rPr>
            </w:pPr>
            <w:r>
              <w:rPr>
                <w:rFonts w:asciiTheme="minorHAnsi" w:hAnsiTheme="minorHAnsi" w:cs="Arial"/>
                <w:bCs/>
                <w:sz w:val="18"/>
                <w:szCs w:val="18"/>
              </w:rPr>
              <w:t>No action taken at this time</w:t>
            </w:r>
          </w:p>
        </w:tc>
      </w:tr>
      <w:tr w:rsidR="00813A75" w:rsidRPr="00523C7A" w:rsidTr="002D7E1B">
        <w:trPr>
          <w:cnfStyle w:val="000000010000" w:firstRow="0" w:lastRow="0" w:firstColumn="0" w:lastColumn="0" w:oddVBand="0" w:evenVBand="0" w:oddHBand="0" w:evenHBand="1" w:firstRowFirstColumn="0" w:firstRowLastColumn="0" w:lastRowFirstColumn="0" w:lastRowLastColumn="0"/>
          <w:trHeight w:val="503"/>
          <w:jc w:val="center"/>
        </w:trPr>
        <w:tc>
          <w:tcPr>
            <w:tcW w:w="517" w:type="pct"/>
            <w:gridSpan w:val="2"/>
            <w:vAlign w:val="center"/>
          </w:tcPr>
          <w:p w:rsidR="00813A75" w:rsidRPr="00523C7A" w:rsidRDefault="00813A75" w:rsidP="002D7E1B">
            <w:pPr>
              <w:spacing w:after="0" w:line="240" w:lineRule="auto"/>
              <w:jc w:val="center"/>
              <w:rPr>
                <w:rFonts w:cs="Arial"/>
                <w:bCs/>
                <w:color w:val="000000"/>
                <w:sz w:val="18"/>
                <w:szCs w:val="18"/>
              </w:rPr>
            </w:pPr>
            <w:r w:rsidRPr="00523C7A">
              <w:rPr>
                <w:rFonts w:cs="Arial"/>
                <w:bCs/>
                <w:color w:val="000000"/>
                <w:sz w:val="18"/>
                <w:szCs w:val="18"/>
              </w:rPr>
              <w:t>―</w:t>
            </w:r>
          </w:p>
        </w:tc>
        <w:tc>
          <w:tcPr>
            <w:tcW w:w="1819" w:type="pct"/>
            <w:vAlign w:val="center"/>
          </w:tcPr>
          <w:p w:rsidR="00813A75" w:rsidRPr="00523C7A" w:rsidRDefault="00813A75" w:rsidP="002D7E1B">
            <w:pPr>
              <w:spacing w:after="0" w:line="240" w:lineRule="auto"/>
              <w:ind w:left="42"/>
              <w:jc w:val="left"/>
              <w:rPr>
                <w:rFonts w:ascii="Calibri" w:hAnsi="Calibri" w:cs="Arial"/>
                <w:bCs/>
                <w:color w:val="000000"/>
                <w:sz w:val="18"/>
                <w:szCs w:val="18"/>
              </w:rPr>
            </w:pPr>
            <w:r>
              <w:rPr>
                <w:rFonts w:ascii="Calibri" w:hAnsi="Calibri" w:cs="Arial"/>
                <w:bCs/>
                <w:color w:val="000000"/>
                <w:sz w:val="18"/>
                <w:szCs w:val="18"/>
              </w:rPr>
              <w:t>FCA Format Assessment</w:t>
            </w:r>
          </w:p>
        </w:tc>
        <w:tc>
          <w:tcPr>
            <w:tcW w:w="956" w:type="pct"/>
            <w:vAlign w:val="center"/>
          </w:tcPr>
          <w:p w:rsidR="00813A75" w:rsidRPr="00523C7A" w:rsidRDefault="00813A75" w:rsidP="002D7E1B">
            <w:pPr>
              <w:spacing w:after="0" w:line="240" w:lineRule="auto"/>
              <w:jc w:val="center"/>
              <w:rPr>
                <w:rFonts w:ascii="Calibri" w:eastAsia="Calibri" w:hAnsi="Calibri"/>
                <w:bCs/>
                <w:color w:val="000000"/>
                <w:sz w:val="18"/>
                <w:szCs w:val="18"/>
              </w:rPr>
            </w:pPr>
            <w:r>
              <w:rPr>
                <w:rFonts w:ascii="Calibri" w:eastAsia="Calibri" w:hAnsi="Calibri"/>
                <w:bCs/>
                <w:color w:val="000000"/>
                <w:sz w:val="18"/>
                <w:szCs w:val="18"/>
              </w:rPr>
              <w:t>N/A</w:t>
            </w:r>
          </w:p>
        </w:tc>
        <w:tc>
          <w:tcPr>
            <w:tcW w:w="1025" w:type="pct"/>
            <w:vAlign w:val="center"/>
          </w:tcPr>
          <w:p w:rsidR="00813A75" w:rsidRPr="00523C7A" w:rsidRDefault="00813A75" w:rsidP="002D7E1B">
            <w:pPr>
              <w:spacing w:after="0" w:line="240" w:lineRule="auto"/>
              <w:jc w:val="center"/>
              <w:rPr>
                <w:rFonts w:ascii="Calibri" w:eastAsia="Calibri" w:hAnsi="Calibri"/>
                <w:bCs/>
                <w:color w:val="000000"/>
                <w:sz w:val="18"/>
                <w:szCs w:val="18"/>
              </w:rPr>
            </w:pPr>
            <w:r>
              <w:rPr>
                <w:rFonts w:ascii="Calibri" w:eastAsia="Calibri" w:hAnsi="Calibri"/>
                <w:bCs/>
                <w:color w:val="000000"/>
                <w:sz w:val="18"/>
                <w:szCs w:val="18"/>
              </w:rPr>
              <w:t>N/A</w:t>
            </w:r>
          </w:p>
        </w:tc>
        <w:tc>
          <w:tcPr>
            <w:tcW w:w="682" w:type="pct"/>
            <w:gridSpan w:val="2"/>
            <w:vAlign w:val="center"/>
          </w:tcPr>
          <w:p w:rsidR="00813A75" w:rsidRPr="00523C7A" w:rsidRDefault="00813A75" w:rsidP="002D7E1B">
            <w:pPr>
              <w:spacing w:after="0" w:line="240" w:lineRule="auto"/>
              <w:jc w:val="center"/>
              <w:rPr>
                <w:rFonts w:ascii="Calibri" w:eastAsia="Calibri" w:hAnsi="Calibri"/>
                <w:bCs/>
                <w:color w:val="000000"/>
                <w:sz w:val="18"/>
                <w:szCs w:val="18"/>
              </w:rPr>
            </w:pPr>
            <w:r>
              <w:rPr>
                <w:rFonts w:ascii="Calibri" w:eastAsia="Calibri" w:hAnsi="Calibri"/>
                <w:bCs/>
                <w:color w:val="000000"/>
                <w:sz w:val="18"/>
                <w:szCs w:val="18"/>
              </w:rPr>
              <w:t>No action taken</w:t>
            </w:r>
          </w:p>
        </w:tc>
      </w:tr>
      <w:tr w:rsidR="00813A75" w:rsidRPr="00523C7A" w:rsidTr="00682847">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3D2CCE">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813A75" w:rsidRPr="00523C7A" w:rsidRDefault="00813A75" w:rsidP="003D2CCE">
            <w:pPr>
              <w:spacing w:after="0" w:line="240" w:lineRule="auto"/>
              <w:ind w:left="42"/>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Demand-Resource Reliability-Only Product</w:t>
            </w:r>
          </w:p>
        </w:tc>
        <w:tc>
          <w:tcPr>
            <w:tcW w:w="956" w:type="pct"/>
          </w:tcPr>
          <w:p w:rsidR="00813A75" w:rsidRPr="00523C7A" w:rsidRDefault="00813A75" w:rsidP="003D2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N/A</w:t>
            </w:r>
          </w:p>
        </w:tc>
        <w:tc>
          <w:tcPr>
            <w:tcW w:w="1025" w:type="pct"/>
          </w:tcPr>
          <w:p w:rsidR="00813A75" w:rsidRPr="00523C7A" w:rsidRDefault="00813A75" w:rsidP="003D2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N/A</w:t>
            </w:r>
          </w:p>
        </w:tc>
        <w:tc>
          <w:tcPr>
            <w:tcW w:w="682" w:type="pct"/>
            <w:gridSpan w:val="2"/>
          </w:tcPr>
          <w:p w:rsidR="00813A75" w:rsidRPr="00523C7A" w:rsidRDefault="00813A75" w:rsidP="003D2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No action taken</w:t>
            </w:r>
          </w:p>
        </w:tc>
      </w:tr>
      <w:tr w:rsidR="00813A75" w:rsidRPr="00523C7A" w:rsidTr="003D2CCE">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3D2CCE">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813A75" w:rsidRPr="00523C7A" w:rsidRDefault="00813A75" w:rsidP="00555131">
            <w:pPr>
              <w:spacing w:before="60" w:after="60" w:line="240" w:lineRule="auto"/>
              <w:jc w:val="left"/>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Peak Energy Rent (PER) Review</w:t>
            </w:r>
          </w:p>
        </w:tc>
        <w:tc>
          <w:tcPr>
            <w:tcW w:w="956" w:type="pct"/>
          </w:tcPr>
          <w:p w:rsidR="00813A75" w:rsidRPr="00523C7A" w:rsidRDefault="00813A75"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N/A</w:t>
            </w:r>
          </w:p>
        </w:tc>
        <w:tc>
          <w:tcPr>
            <w:tcW w:w="1025" w:type="pct"/>
          </w:tcPr>
          <w:p w:rsidR="00813A75" w:rsidRPr="00523C7A" w:rsidRDefault="00813A75"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N/A</w:t>
            </w:r>
          </w:p>
        </w:tc>
        <w:tc>
          <w:tcPr>
            <w:tcW w:w="682" w:type="pct"/>
            <w:gridSpan w:val="2"/>
          </w:tcPr>
          <w:p w:rsidR="00813A75" w:rsidRPr="00523C7A" w:rsidRDefault="00813A75"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No action taken</w:t>
            </w:r>
          </w:p>
        </w:tc>
      </w:tr>
      <w:tr w:rsidR="00813A75"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3D2CCE">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813A75" w:rsidRPr="00523C7A" w:rsidRDefault="00813A75" w:rsidP="003D2CCE">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Negative Incremental Energy Offers</w:t>
            </w:r>
          </w:p>
        </w:tc>
        <w:tc>
          <w:tcPr>
            <w:tcW w:w="956" w:type="pct"/>
          </w:tcPr>
          <w:p w:rsidR="00813A75" w:rsidRPr="00523C7A" w:rsidRDefault="00813A75" w:rsidP="003D2CC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1025" w:type="pct"/>
          </w:tcPr>
          <w:p w:rsidR="00813A75" w:rsidRPr="00523C7A" w:rsidRDefault="00813A75" w:rsidP="003D2CC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rPr>
              <w:t>N/A</w:t>
            </w:r>
          </w:p>
        </w:tc>
        <w:tc>
          <w:tcPr>
            <w:tcW w:w="682" w:type="pct"/>
            <w:gridSpan w:val="2"/>
          </w:tcPr>
          <w:p w:rsidR="00813A75" w:rsidRPr="00523C7A" w:rsidRDefault="00813A75" w:rsidP="003D2CC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Merged with other project</w:t>
            </w:r>
          </w:p>
        </w:tc>
      </w:tr>
      <w:tr w:rsidR="00813A75"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813A75" w:rsidRPr="00523C7A" w:rsidRDefault="00813A75" w:rsidP="00523C7A">
            <w:pPr>
              <w:spacing w:after="0" w:line="240" w:lineRule="auto"/>
              <w:ind w:left="42"/>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Resource Modifications and Interconnection Terms </w:t>
            </w:r>
          </w:p>
        </w:tc>
        <w:tc>
          <w:tcPr>
            <w:tcW w:w="956" w:type="pct"/>
          </w:tcPr>
          <w:p w:rsidR="00813A75" w:rsidRPr="00523C7A" w:rsidRDefault="00813A75" w:rsidP="00523C7A">
            <w:pPr>
              <w:spacing w:after="0" w:line="240" w:lineRule="auto"/>
              <w:ind w:left="-1"/>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N/A</w:t>
            </w:r>
          </w:p>
        </w:tc>
        <w:tc>
          <w:tcPr>
            <w:tcW w:w="1025" w:type="pct"/>
          </w:tcPr>
          <w:p w:rsidR="00813A75" w:rsidRPr="00523C7A" w:rsidRDefault="00813A75"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N/A</w:t>
            </w:r>
          </w:p>
        </w:tc>
        <w:tc>
          <w:tcPr>
            <w:tcW w:w="682" w:type="pct"/>
            <w:gridSpan w:val="2"/>
          </w:tcPr>
          <w:p w:rsidR="00813A75" w:rsidRPr="00523C7A" w:rsidRDefault="00813A75"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No action taken</w:t>
            </w:r>
          </w:p>
        </w:tc>
      </w:tr>
      <w:tr w:rsidR="00813A75"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813A75" w:rsidRPr="00523C7A" w:rsidRDefault="00813A75" w:rsidP="00523C7A">
            <w:pPr>
              <w:spacing w:after="0" w:line="240" w:lineRule="auto"/>
              <w:jc w:val="center"/>
              <w:rPr>
                <w:rFonts w:cs="Arial"/>
                <w:bCs w:val="0"/>
                <w:color w:val="000000"/>
                <w:sz w:val="18"/>
                <w:szCs w:val="18"/>
              </w:rPr>
            </w:pPr>
            <w:r w:rsidRPr="00523C7A">
              <w:rPr>
                <w:rFonts w:cs="Arial"/>
                <w:bCs w:val="0"/>
                <w:color w:val="000000"/>
                <w:sz w:val="18"/>
                <w:szCs w:val="18"/>
              </w:rPr>
              <w:t>―</w:t>
            </w:r>
          </w:p>
        </w:tc>
        <w:tc>
          <w:tcPr>
            <w:tcW w:w="1819" w:type="pct"/>
          </w:tcPr>
          <w:p w:rsidR="00813A75" w:rsidRPr="00523C7A" w:rsidRDefault="00813A75" w:rsidP="00523C7A">
            <w:pPr>
              <w:spacing w:after="0" w:line="240" w:lineRule="auto"/>
              <w:ind w:left="42"/>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Review of Defined Terms for Offers and Parameters in Energy Markets</w:t>
            </w:r>
          </w:p>
        </w:tc>
        <w:tc>
          <w:tcPr>
            <w:tcW w:w="956" w:type="pct"/>
          </w:tcPr>
          <w:p w:rsidR="00813A75" w:rsidRPr="00523C7A" w:rsidRDefault="00813A75" w:rsidP="00523C7A">
            <w:pPr>
              <w:spacing w:after="0" w:line="240" w:lineRule="auto"/>
              <w:ind w:left="-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rPr>
              <w:t>N/A</w:t>
            </w:r>
          </w:p>
        </w:tc>
        <w:tc>
          <w:tcPr>
            <w:tcW w:w="1025" w:type="pct"/>
          </w:tcPr>
          <w:p w:rsidR="00813A75" w:rsidRPr="00523C7A" w:rsidRDefault="00813A75" w:rsidP="00523C7A">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rPr>
              <w:t>N/A</w:t>
            </w:r>
          </w:p>
        </w:tc>
        <w:tc>
          <w:tcPr>
            <w:tcW w:w="682" w:type="pct"/>
            <w:gridSpan w:val="2"/>
          </w:tcPr>
          <w:p w:rsidR="00813A75" w:rsidRPr="00523C7A" w:rsidRDefault="00813A75"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rPr>
              <w:t>Merged with other project</w:t>
            </w:r>
          </w:p>
        </w:tc>
      </w:tr>
    </w:tbl>
    <w:p w:rsidR="00523C7A" w:rsidRPr="00665BD3" w:rsidRDefault="00523C7A" w:rsidP="00523C7A">
      <w:pPr>
        <w:spacing w:after="0" w:line="240" w:lineRule="auto"/>
        <w:rPr>
          <w:rFonts w:asciiTheme="minorHAnsi" w:eastAsia="Calibri" w:hAnsiTheme="minorHAnsi" w:cs="Times New Roman"/>
          <w:sz w:val="20"/>
        </w:rPr>
      </w:pPr>
      <w:bookmarkStart w:id="7" w:name="OLE_LINK4"/>
      <w:bookmarkStart w:id="8" w:name="_Toc347911699"/>
      <w:bookmarkStart w:id="9" w:name="_Toc391979332"/>
      <w:bookmarkEnd w:id="7"/>
      <w:bookmarkEnd w:id="8"/>
      <w:bookmarkEnd w:id="9"/>
    </w:p>
    <w:p w:rsidR="003055AD" w:rsidRDefault="003055AD" w:rsidP="007762F3">
      <w:pPr>
        <w:pStyle w:val="NoSpacing"/>
        <w:spacing w:after="240"/>
        <w:outlineLvl w:val="0"/>
        <w:rPr>
          <w:rFonts w:cs="Times New Roman"/>
          <w:b/>
          <w:color w:val="0070C0"/>
          <w:sz w:val="36"/>
          <w:szCs w:val="36"/>
        </w:rPr>
      </w:pPr>
    </w:p>
    <w:bookmarkEnd w:id="3"/>
    <w:p w:rsidR="003055AD" w:rsidRDefault="003055AD">
      <w:pPr>
        <w:spacing w:after="200" w:line="276" w:lineRule="auto"/>
        <w:rPr>
          <w:rFonts w:asciiTheme="minorHAnsi" w:hAnsiTheme="minorHAnsi" w:cs="Times New Roman"/>
          <w:b/>
          <w:color w:val="0070C0"/>
          <w:sz w:val="36"/>
          <w:szCs w:val="36"/>
        </w:rPr>
      </w:pPr>
    </w:p>
    <w:sectPr w:rsidR="003055AD" w:rsidSect="00BF5698">
      <w:footerReference w:type="default" r:id="rId23"/>
      <w:footerReference w:type="first" r:id="rId24"/>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C1" w:rsidRDefault="009663C1" w:rsidP="00C65AF6">
      <w:pPr>
        <w:spacing w:after="0" w:line="240" w:lineRule="auto"/>
      </w:pPr>
      <w:r>
        <w:separator/>
      </w:r>
    </w:p>
  </w:endnote>
  <w:endnote w:type="continuationSeparator" w:id="0">
    <w:p w:rsidR="009663C1" w:rsidRDefault="009663C1" w:rsidP="00C6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Book">
    <w:altName w:val="Whitney Book"/>
    <w:panose1 w:val="00000000000000000000"/>
    <w:charset w:val="4D"/>
    <w:family w:val="auto"/>
    <w:notTrueType/>
    <w:pitch w:val="default"/>
    <w:sig w:usb0="00000003" w:usb1="00000000" w:usb2="00000000" w:usb3="00000000" w:csb0="00000001" w:csb1="00000000"/>
  </w:font>
  <w:font w:name="OpenSans-Bold">
    <w:altName w:val="Open Sans"/>
    <w:panose1 w:val="00000000000000000000"/>
    <w:charset w:val="4D"/>
    <w:family w:val="auto"/>
    <w:notTrueType/>
    <w:pitch w:val="default"/>
    <w:sig w:usb0="00000003" w:usb1="00000000" w:usb2="00000000" w:usb3="00000000" w:csb0="00000001" w:csb1="00000000"/>
  </w:font>
  <w:font w:name="MS Sans Serif">
    <w:panose1 w:val="00000000000000000000"/>
    <w:charset w:val="00"/>
    <w:family w:val="swiss"/>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75" w:rsidRDefault="0081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75" w:rsidRDefault="00813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417521"/>
      <w:docPartObj>
        <w:docPartGallery w:val="Page Numbers (Bottom of Page)"/>
        <w:docPartUnique/>
      </w:docPartObj>
    </w:sdtPr>
    <w:sdtEndPr>
      <w:rPr>
        <w:noProof/>
      </w:rPr>
    </w:sdtEndPr>
    <w:sdtContent>
      <w:p w:rsidR="00813A75" w:rsidRPr="00BC4B12" w:rsidRDefault="00813A75" w:rsidP="00714A6D">
        <w:pPr>
          <w:tabs>
            <w:tab w:val="center" w:pos="4680"/>
            <w:tab w:val="right" w:pos="9360"/>
          </w:tabs>
          <w:spacing w:after="0" w:line="240" w:lineRule="auto"/>
          <w:rPr>
            <w:noProof/>
            <w:sz w:val="16"/>
            <w:szCs w:val="16"/>
          </w:rPr>
        </w:pPr>
        <w:r>
          <w:rPr>
            <w:i/>
            <w:sz w:val="16"/>
            <w:szCs w:val="16"/>
          </w:rPr>
          <w:t xml:space="preserve">Closed Market Design Projects </w:t>
        </w:r>
        <w:r w:rsidRPr="00BC4B12">
          <w:rPr>
            <w:i/>
            <w:sz w:val="16"/>
            <w:szCs w:val="16"/>
          </w:rPr>
          <w:tab/>
        </w:r>
        <w:r w:rsidRPr="00BC4B12">
          <w:rPr>
            <w:i/>
            <w:sz w:val="16"/>
            <w:szCs w:val="16"/>
          </w:rPr>
          <w:tab/>
        </w:r>
        <w:r w:rsidRPr="00BC4B12">
          <w:rPr>
            <w:sz w:val="16"/>
            <w:szCs w:val="16"/>
          </w:rPr>
          <w:t xml:space="preserve">page </w:t>
        </w:r>
        <w:r w:rsidRPr="00BC4B12">
          <w:rPr>
            <w:sz w:val="16"/>
            <w:szCs w:val="16"/>
          </w:rPr>
          <w:fldChar w:fldCharType="begin"/>
        </w:r>
        <w:r w:rsidRPr="00BC4B12">
          <w:rPr>
            <w:sz w:val="16"/>
            <w:szCs w:val="16"/>
          </w:rPr>
          <w:instrText xml:space="preserve"> PAGE   \* MERGEFORMAT </w:instrText>
        </w:r>
        <w:r w:rsidRPr="00BC4B12">
          <w:rPr>
            <w:sz w:val="16"/>
            <w:szCs w:val="16"/>
          </w:rPr>
          <w:fldChar w:fldCharType="separate"/>
        </w:r>
        <w:r w:rsidR="00C07C65">
          <w:rPr>
            <w:noProof/>
            <w:sz w:val="16"/>
            <w:szCs w:val="16"/>
          </w:rPr>
          <w:t>ii</w:t>
        </w:r>
        <w:r w:rsidRPr="00BC4B12">
          <w:rPr>
            <w:noProof/>
            <w:sz w:val="16"/>
            <w:szCs w:val="16"/>
          </w:rPr>
          <w:fldChar w:fldCharType="end"/>
        </w:r>
      </w:p>
      <w:p w:rsidR="00813A75" w:rsidRDefault="00813A75" w:rsidP="00714A6D">
        <w:pPr>
          <w:tabs>
            <w:tab w:val="center" w:pos="4680"/>
            <w:tab w:val="right" w:pos="9360"/>
          </w:tabs>
          <w:spacing w:after="0" w:line="240" w:lineRule="auto"/>
          <w:jc w:val="center"/>
          <w:rPr>
            <w:sz w:val="16"/>
            <w:szCs w:val="16"/>
          </w:rPr>
        </w:pPr>
        <w:r w:rsidRPr="00BC4B12">
          <w:rPr>
            <w:sz w:val="16"/>
            <w:szCs w:val="16"/>
          </w:rPr>
          <w:t>ISO-NE PUBLIC</w:t>
        </w:r>
      </w:p>
      <w:p w:rsidR="00813A75" w:rsidRDefault="009663C1">
        <w:pPr>
          <w:pStyle w:val="Footer"/>
          <w:jc w:val="right"/>
        </w:pPr>
      </w:p>
    </w:sdtContent>
  </w:sdt>
  <w:p w:rsidR="00813A75" w:rsidRDefault="00813A75" w:rsidP="00CB0B4C">
    <w:pPr>
      <w:tabs>
        <w:tab w:val="center" w:pos="4680"/>
        <w:tab w:val="right" w:pos="9360"/>
      </w:tabs>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75" w:rsidRDefault="00813A75" w:rsidP="00121D2A">
    <w:pPr>
      <w:pStyle w:val="Footer"/>
      <w:rPr>
        <w:rFonts w:asciiTheme="majorHAnsi" w:hAnsiTheme="majorHAnsi"/>
        <w:i/>
        <w:sz w:val="18"/>
        <w:szCs w:val="18"/>
      </w:rPr>
    </w:pPr>
  </w:p>
  <w:p w:rsidR="00813A75" w:rsidRPr="00EC5A3F" w:rsidRDefault="00813A75" w:rsidP="00121D2A">
    <w:pPr>
      <w:pStyle w:val="Footer"/>
      <w:rPr>
        <w:rFonts w:asciiTheme="majorHAnsi" w:hAnsiTheme="majorHAnsi"/>
        <w:i/>
        <w:sz w:val="18"/>
        <w:szCs w:val="18"/>
      </w:rPr>
    </w:pPr>
    <w:r w:rsidRPr="00255979">
      <w:rPr>
        <w:rFonts w:asciiTheme="majorHAnsi" w:hAnsiTheme="majorHAnsi"/>
        <w:i/>
        <w:sz w:val="18"/>
        <w:szCs w:val="18"/>
      </w:rPr>
      <w:t>Wholesale Markets Project Plan</w:t>
    </w:r>
    <w:sdt>
      <w:sdtPr>
        <w:id w:val="822942195"/>
        <w:docPartObj>
          <w:docPartGallery w:val="Page Numbers (Bottom of Page)"/>
          <w:docPartUnique/>
        </w:docPartObj>
      </w:sdtPr>
      <w:sdtEndPr/>
      <w:sdtContent>
        <w:r>
          <w:tab/>
        </w:r>
        <w:r>
          <w:fldChar w:fldCharType="begin"/>
        </w:r>
        <w:r>
          <w:instrText xml:space="preserve"> PAGE   \* MERGEFORMAT </w:instrText>
        </w:r>
        <w:r>
          <w:fldChar w:fldCharType="separate"/>
        </w:r>
        <w:r>
          <w:rPr>
            <w:noProof/>
          </w:rPr>
          <w:t>6</w:t>
        </w:r>
        <w:r>
          <w:rPr>
            <w:noProof/>
          </w:rPr>
          <w:fldChar w:fldCharType="end"/>
        </w:r>
        <w:r>
          <w:tab/>
        </w:r>
        <w:r w:rsidRPr="00255979">
          <w:rPr>
            <w:rFonts w:asciiTheme="majorHAnsi" w:hAnsiTheme="majorHAnsi"/>
            <w:sz w:val="18"/>
            <w:szCs w:val="18"/>
          </w:rPr>
          <w:sym w:font="Symbol" w:char="F0D3"/>
        </w:r>
        <w:r w:rsidRPr="00255979">
          <w:rPr>
            <w:rFonts w:asciiTheme="majorHAnsi" w:hAnsiTheme="majorHAnsi"/>
            <w:sz w:val="18"/>
            <w:szCs w:val="18"/>
          </w:rPr>
          <w:t>ISO New England Inc.</w:t>
        </w:r>
        <w:r>
          <w:rPr>
            <w:rFonts w:asciiTheme="majorHAnsi" w:hAnsiTheme="majorHAnsi"/>
            <w:sz w:val="18"/>
            <w:szCs w:val="18"/>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60878"/>
      <w:docPartObj>
        <w:docPartGallery w:val="Page Numbers (Bottom of Page)"/>
        <w:docPartUnique/>
      </w:docPartObj>
    </w:sdtPr>
    <w:sdtEndPr>
      <w:rPr>
        <w:noProof/>
        <w:color w:val="FF0000"/>
      </w:rPr>
    </w:sdtEndPr>
    <w:sdtContent>
      <w:p w:rsidR="00813A75" w:rsidRDefault="00813A75" w:rsidP="00714A6D">
        <w:pPr>
          <w:pStyle w:val="Footer"/>
        </w:pPr>
      </w:p>
      <w:p w:rsidR="00813A75" w:rsidRDefault="00813A75" w:rsidP="00714A6D">
        <w:pPr>
          <w:tabs>
            <w:tab w:val="center" w:pos="4680"/>
            <w:tab w:val="right" w:pos="9360"/>
          </w:tabs>
          <w:spacing w:after="0" w:line="240" w:lineRule="auto"/>
          <w:rPr>
            <w:i/>
            <w:sz w:val="16"/>
            <w:szCs w:val="16"/>
          </w:rPr>
        </w:pPr>
      </w:p>
      <w:p w:rsidR="00813A75" w:rsidRPr="00BC4B12" w:rsidRDefault="00813A75" w:rsidP="00714A6D">
        <w:pPr>
          <w:tabs>
            <w:tab w:val="center" w:pos="4680"/>
            <w:tab w:val="right" w:pos="9360"/>
          </w:tabs>
          <w:spacing w:after="0" w:line="240" w:lineRule="auto"/>
          <w:rPr>
            <w:noProof/>
            <w:sz w:val="16"/>
            <w:szCs w:val="16"/>
          </w:rPr>
        </w:pPr>
        <w:r>
          <w:rPr>
            <w:i/>
            <w:sz w:val="16"/>
            <w:szCs w:val="16"/>
          </w:rPr>
          <w:t xml:space="preserve">Closed Market Design Projects </w:t>
        </w:r>
        <w:r w:rsidRPr="00BC4B12">
          <w:rPr>
            <w:i/>
            <w:sz w:val="16"/>
            <w:szCs w:val="16"/>
          </w:rPr>
          <w:tab/>
        </w:r>
        <w:r w:rsidRPr="00BC4B12">
          <w:rPr>
            <w:i/>
            <w:sz w:val="16"/>
            <w:szCs w:val="16"/>
          </w:rPr>
          <w:tab/>
        </w:r>
        <w:r w:rsidRPr="00BC4B12">
          <w:rPr>
            <w:sz w:val="16"/>
            <w:szCs w:val="16"/>
          </w:rPr>
          <w:t xml:space="preserve">page </w:t>
        </w:r>
        <w:r w:rsidRPr="00BC4B12">
          <w:rPr>
            <w:sz w:val="16"/>
            <w:szCs w:val="16"/>
          </w:rPr>
          <w:fldChar w:fldCharType="begin"/>
        </w:r>
        <w:r w:rsidRPr="00BC4B12">
          <w:rPr>
            <w:sz w:val="16"/>
            <w:szCs w:val="16"/>
          </w:rPr>
          <w:instrText xml:space="preserve"> PAGE   \* MERGEFORMAT </w:instrText>
        </w:r>
        <w:r w:rsidRPr="00BC4B12">
          <w:rPr>
            <w:sz w:val="16"/>
            <w:szCs w:val="16"/>
          </w:rPr>
          <w:fldChar w:fldCharType="separate"/>
        </w:r>
        <w:r w:rsidR="00290F09">
          <w:rPr>
            <w:noProof/>
            <w:sz w:val="16"/>
            <w:szCs w:val="16"/>
          </w:rPr>
          <w:t>ii</w:t>
        </w:r>
        <w:r w:rsidRPr="00BC4B12">
          <w:rPr>
            <w:noProof/>
            <w:sz w:val="16"/>
            <w:szCs w:val="16"/>
          </w:rPr>
          <w:fldChar w:fldCharType="end"/>
        </w:r>
      </w:p>
      <w:p w:rsidR="00813A75" w:rsidRDefault="00813A75" w:rsidP="00714A6D">
        <w:pPr>
          <w:tabs>
            <w:tab w:val="center" w:pos="4680"/>
            <w:tab w:val="right" w:pos="9360"/>
          </w:tabs>
          <w:spacing w:after="0" w:line="240" w:lineRule="auto"/>
          <w:jc w:val="center"/>
          <w:rPr>
            <w:sz w:val="16"/>
            <w:szCs w:val="16"/>
          </w:rPr>
        </w:pPr>
        <w:r w:rsidRPr="00BC4B12">
          <w:rPr>
            <w:sz w:val="16"/>
            <w:szCs w:val="16"/>
          </w:rPr>
          <w:t>ISO-NE PUBLIC</w:t>
        </w:r>
      </w:p>
      <w:p w:rsidR="00813A75" w:rsidRPr="00BF5698" w:rsidRDefault="009663C1" w:rsidP="00714A6D">
        <w:pPr>
          <w:tabs>
            <w:tab w:val="center" w:pos="4680"/>
            <w:tab w:val="right" w:pos="9360"/>
          </w:tabs>
          <w:spacing w:after="0" w:line="240" w:lineRule="auto"/>
          <w:jc w:val="center"/>
          <w:rPr>
            <w:color w:val="FF0000"/>
            <w:sz w:val="16"/>
            <w:szCs w:val="16"/>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75" w:rsidRPr="00BC4B12" w:rsidRDefault="00813A75" w:rsidP="00E45A44">
    <w:pPr>
      <w:tabs>
        <w:tab w:val="center" w:pos="4680"/>
        <w:tab w:val="right" w:pos="9360"/>
      </w:tabs>
      <w:spacing w:after="0" w:line="240" w:lineRule="auto"/>
      <w:rPr>
        <w:noProof/>
        <w:sz w:val="16"/>
        <w:szCs w:val="16"/>
      </w:rPr>
    </w:pPr>
    <w:r>
      <w:rPr>
        <w:i/>
        <w:sz w:val="16"/>
        <w:szCs w:val="16"/>
      </w:rPr>
      <w:t xml:space="preserve">Closed Market Design Projects </w:t>
    </w:r>
    <w:r w:rsidRPr="00BC4B12">
      <w:rPr>
        <w:i/>
        <w:sz w:val="16"/>
        <w:szCs w:val="16"/>
      </w:rPr>
      <w:tab/>
    </w:r>
    <w:r w:rsidRPr="00BC4B12">
      <w:rPr>
        <w:i/>
        <w:sz w:val="16"/>
        <w:szCs w:val="16"/>
      </w:rPr>
      <w:tab/>
    </w:r>
    <w:r w:rsidRPr="00BC4B12">
      <w:rPr>
        <w:sz w:val="16"/>
        <w:szCs w:val="16"/>
      </w:rPr>
      <w:t xml:space="preserve">page </w:t>
    </w:r>
    <w:r w:rsidRPr="00BC4B12">
      <w:rPr>
        <w:sz w:val="16"/>
        <w:szCs w:val="16"/>
      </w:rPr>
      <w:fldChar w:fldCharType="begin"/>
    </w:r>
    <w:r w:rsidRPr="00BC4B12">
      <w:rPr>
        <w:sz w:val="16"/>
        <w:szCs w:val="16"/>
      </w:rPr>
      <w:instrText xml:space="preserve"> PAGE   \* MERGEFORMAT </w:instrText>
    </w:r>
    <w:r w:rsidRPr="00BC4B12">
      <w:rPr>
        <w:sz w:val="16"/>
        <w:szCs w:val="16"/>
      </w:rPr>
      <w:fldChar w:fldCharType="separate"/>
    </w:r>
    <w:r w:rsidR="00C07C65">
      <w:rPr>
        <w:noProof/>
        <w:sz w:val="16"/>
        <w:szCs w:val="16"/>
      </w:rPr>
      <w:t>xi</w:t>
    </w:r>
    <w:r w:rsidRPr="00BC4B12">
      <w:rPr>
        <w:noProof/>
        <w:sz w:val="16"/>
        <w:szCs w:val="16"/>
      </w:rPr>
      <w:fldChar w:fldCharType="end"/>
    </w:r>
  </w:p>
  <w:p w:rsidR="00813A75" w:rsidRPr="00BC4B12" w:rsidRDefault="00813A75" w:rsidP="00EA773B">
    <w:pPr>
      <w:tabs>
        <w:tab w:val="center" w:pos="4680"/>
        <w:tab w:val="right" w:pos="9360"/>
      </w:tabs>
      <w:spacing w:after="0" w:line="240" w:lineRule="auto"/>
      <w:jc w:val="center"/>
      <w:rPr>
        <w:sz w:val="16"/>
        <w:szCs w:val="16"/>
      </w:rPr>
    </w:pPr>
    <w:r w:rsidRPr="00BC4B12">
      <w:rPr>
        <w:sz w:val="16"/>
        <w:szCs w:val="16"/>
      </w:rPr>
      <w:t>ISO-NE PUBLIC</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75" w:rsidRDefault="00813A75" w:rsidP="00714A6D">
    <w:pPr>
      <w:tabs>
        <w:tab w:val="center" w:pos="4680"/>
        <w:tab w:val="right" w:pos="9360"/>
      </w:tabs>
      <w:spacing w:after="0" w:line="240" w:lineRule="auto"/>
      <w:rPr>
        <w:i/>
        <w:sz w:val="16"/>
        <w:szCs w:val="16"/>
      </w:rPr>
    </w:pPr>
  </w:p>
  <w:p w:rsidR="00813A75" w:rsidRDefault="00813A75" w:rsidP="00714A6D">
    <w:pPr>
      <w:tabs>
        <w:tab w:val="center" w:pos="4680"/>
        <w:tab w:val="right" w:pos="9360"/>
      </w:tabs>
      <w:spacing w:after="0" w:line="240" w:lineRule="auto"/>
      <w:rPr>
        <w:i/>
        <w:sz w:val="16"/>
        <w:szCs w:val="16"/>
      </w:rPr>
    </w:pPr>
  </w:p>
  <w:p w:rsidR="00813A75" w:rsidRPr="00BC4B12" w:rsidRDefault="00813A75" w:rsidP="00714A6D">
    <w:pPr>
      <w:tabs>
        <w:tab w:val="center" w:pos="4680"/>
        <w:tab w:val="right" w:pos="9360"/>
      </w:tabs>
      <w:spacing w:after="0" w:line="240" w:lineRule="auto"/>
      <w:rPr>
        <w:noProof/>
        <w:sz w:val="16"/>
        <w:szCs w:val="16"/>
      </w:rPr>
    </w:pPr>
    <w:r>
      <w:rPr>
        <w:i/>
        <w:sz w:val="16"/>
        <w:szCs w:val="16"/>
      </w:rPr>
      <w:t xml:space="preserve">Closed Market Design Projects </w:t>
    </w:r>
    <w:r w:rsidRPr="00BC4B12">
      <w:rPr>
        <w:i/>
        <w:sz w:val="16"/>
        <w:szCs w:val="16"/>
      </w:rPr>
      <w:tab/>
    </w:r>
    <w:r w:rsidRPr="00BC4B12">
      <w:rPr>
        <w:i/>
        <w:sz w:val="16"/>
        <w:szCs w:val="16"/>
      </w:rPr>
      <w:tab/>
    </w:r>
    <w:r w:rsidRPr="00BC4B12">
      <w:rPr>
        <w:sz w:val="16"/>
        <w:szCs w:val="16"/>
      </w:rPr>
      <w:t xml:space="preserve">page </w:t>
    </w:r>
    <w:r w:rsidRPr="00BC4B12">
      <w:rPr>
        <w:sz w:val="16"/>
        <w:szCs w:val="16"/>
      </w:rPr>
      <w:fldChar w:fldCharType="begin"/>
    </w:r>
    <w:r w:rsidRPr="00BC4B12">
      <w:rPr>
        <w:sz w:val="16"/>
        <w:szCs w:val="16"/>
      </w:rPr>
      <w:instrText xml:space="preserve"> PAGE   \* MERGEFORMAT </w:instrText>
    </w:r>
    <w:r w:rsidRPr="00BC4B12">
      <w:rPr>
        <w:sz w:val="16"/>
        <w:szCs w:val="16"/>
      </w:rPr>
      <w:fldChar w:fldCharType="separate"/>
    </w:r>
    <w:r w:rsidR="00290F09">
      <w:rPr>
        <w:noProof/>
        <w:sz w:val="16"/>
        <w:szCs w:val="16"/>
      </w:rPr>
      <w:t>iii</w:t>
    </w:r>
    <w:r w:rsidRPr="00BC4B12">
      <w:rPr>
        <w:noProof/>
        <w:sz w:val="16"/>
        <w:szCs w:val="16"/>
      </w:rPr>
      <w:fldChar w:fldCharType="end"/>
    </w:r>
  </w:p>
  <w:p w:rsidR="00813A75" w:rsidRPr="00BC4B12" w:rsidRDefault="00813A75" w:rsidP="00714A6D">
    <w:pPr>
      <w:tabs>
        <w:tab w:val="center" w:pos="4680"/>
        <w:tab w:val="right" w:pos="9360"/>
      </w:tabs>
      <w:spacing w:after="0" w:line="240" w:lineRule="auto"/>
      <w:jc w:val="center"/>
      <w:rPr>
        <w:sz w:val="16"/>
        <w:szCs w:val="16"/>
      </w:rPr>
    </w:pPr>
    <w:r w:rsidRPr="00BC4B12">
      <w:rPr>
        <w:sz w:val="16"/>
        <w:szCs w:val="16"/>
      </w:rPr>
      <w:t>ISO-NE 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C1" w:rsidRDefault="009663C1" w:rsidP="00C65AF6">
      <w:pPr>
        <w:spacing w:after="0" w:line="240" w:lineRule="auto"/>
      </w:pPr>
      <w:r>
        <w:separator/>
      </w:r>
    </w:p>
  </w:footnote>
  <w:footnote w:type="continuationSeparator" w:id="0">
    <w:p w:rsidR="009663C1" w:rsidRDefault="009663C1" w:rsidP="00C65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75" w:rsidRDefault="00813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75" w:rsidRDefault="00813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75" w:rsidRDefault="00813A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6055"/>
    <w:multiLevelType w:val="hybridMultilevel"/>
    <w:tmpl w:val="91F4EA00"/>
    <w:lvl w:ilvl="0" w:tplc="C4B6F320">
      <w:start w:val="1"/>
      <w:numFmt w:val="bullet"/>
      <w:pStyle w:val="Bullet-Solid"/>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865F8"/>
    <w:multiLevelType w:val="hybridMultilevel"/>
    <w:tmpl w:val="5222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5B3B90"/>
    <w:multiLevelType w:val="hybridMultilevel"/>
    <w:tmpl w:val="AA66AB30"/>
    <w:lvl w:ilvl="0" w:tplc="EC96FB2E">
      <w:start w:val="1"/>
      <w:numFmt w:val="bullet"/>
      <w:lvlText w:val="•"/>
      <w:lvlJc w:val="left"/>
      <w:pPr>
        <w:tabs>
          <w:tab w:val="num" w:pos="720"/>
        </w:tabs>
        <w:ind w:left="720" w:hanging="360"/>
      </w:pPr>
      <w:rPr>
        <w:rFonts w:ascii="Arial" w:hAnsi="Arial" w:hint="default"/>
      </w:rPr>
    </w:lvl>
    <w:lvl w:ilvl="1" w:tplc="D6263132" w:tentative="1">
      <w:start w:val="1"/>
      <w:numFmt w:val="bullet"/>
      <w:lvlText w:val="•"/>
      <w:lvlJc w:val="left"/>
      <w:pPr>
        <w:tabs>
          <w:tab w:val="num" w:pos="1440"/>
        </w:tabs>
        <w:ind w:left="1440" w:hanging="360"/>
      </w:pPr>
      <w:rPr>
        <w:rFonts w:ascii="Arial" w:hAnsi="Arial" w:hint="default"/>
      </w:rPr>
    </w:lvl>
    <w:lvl w:ilvl="2" w:tplc="A1EED8E6" w:tentative="1">
      <w:start w:val="1"/>
      <w:numFmt w:val="bullet"/>
      <w:lvlText w:val="•"/>
      <w:lvlJc w:val="left"/>
      <w:pPr>
        <w:tabs>
          <w:tab w:val="num" w:pos="2160"/>
        </w:tabs>
        <w:ind w:left="2160" w:hanging="360"/>
      </w:pPr>
      <w:rPr>
        <w:rFonts w:ascii="Arial" w:hAnsi="Arial" w:hint="default"/>
      </w:rPr>
    </w:lvl>
    <w:lvl w:ilvl="3" w:tplc="9508F8CE" w:tentative="1">
      <w:start w:val="1"/>
      <w:numFmt w:val="bullet"/>
      <w:lvlText w:val="•"/>
      <w:lvlJc w:val="left"/>
      <w:pPr>
        <w:tabs>
          <w:tab w:val="num" w:pos="2880"/>
        </w:tabs>
        <w:ind w:left="2880" w:hanging="360"/>
      </w:pPr>
      <w:rPr>
        <w:rFonts w:ascii="Arial" w:hAnsi="Arial" w:hint="default"/>
      </w:rPr>
    </w:lvl>
    <w:lvl w:ilvl="4" w:tplc="7FE61814" w:tentative="1">
      <w:start w:val="1"/>
      <w:numFmt w:val="bullet"/>
      <w:lvlText w:val="•"/>
      <w:lvlJc w:val="left"/>
      <w:pPr>
        <w:tabs>
          <w:tab w:val="num" w:pos="3600"/>
        </w:tabs>
        <w:ind w:left="3600" w:hanging="360"/>
      </w:pPr>
      <w:rPr>
        <w:rFonts w:ascii="Arial" w:hAnsi="Arial" w:hint="default"/>
      </w:rPr>
    </w:lvl>
    <w:lvl w:ilvl="5" w:tplc="168EAC90" w:tentative="1">
      <w:start w:val="1"/>
      <w:numFmt w:val="bullet"/>
      <w:lvlText w:val="•"/>
      <w:lvlJc w:val="left"/>
      <w:pPr>
        <w:tabs>
          <w:tab w:val="num" w:pos="4320"/>
        </w:tabs>
        <w:ind w:left="4320" w:hanging="360"/>
      </w:pPr>
      <w:rPr>
        <w:rFonts w:ascii="Arial" w:hAnsi="Arial" w:hint="default"/>
      </w:rPr>
    </w:lvl>
    <w:lvl w:ilvl="6" w:tplc="7B6C7B6A" w:tentative="1">
      <w:start w:val="1"/>
      <w:numFmt w:val="bullet"/>
      <w:lvlText w:val="•"/>
      <w:lvlJc w:val="left"/>
      <w:pPr>
        <w:tabs>
          <w:tab w:val="num" w:pos="5040"/>
        </w:tabs>
        <w:ind w:left="5040" w:hanging="360"/>
      </w:pPr>
      <w:rPr>
        <w:rFonts w:ascii="Arial" w:hAnsi="Arial" w:hint="default"/>
      </w:rPr>
    </w:lvl>
    <w:lvl w:ilvl="7" w:tplc="044671A2" w:tentative="1">
      <w:start w:val="1"/>
      <w:numFmt w:val="bullet"/>
      <w:lvlText w:val="•"/>
      <w:lvlJc w:val="left"/>
      <w:pPr>
        <w:tabs>
          <w:tab w:val="num" w:pos="5760"/>
        </w:tabs>
        <w:ind w:left="5760" w:hanging="360"/>
      </w:pPr>
      <w:rPr>
        <w:rFonts w:ascii="Arial" w:hAnsi="Arial" w:hint="default"/>
      </w:rPr>
    </w:lvl>
    <w:lvl w:ilvl="8" w:tplc="C0F897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E57BD9"/>
    <w:multiLevelType w:val="hybridMultilevel"/>
    <w:tmpl w:val="227A2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6D22"/>
    <w:multiLevelType w:val="hybridMultilevel"/>
    <w:tmpl w:val="04E6261A"/>
    <w:lvl w:ilvl="0" w:tplc="2DF8F15E">
      <w:start w:val="1"/>
      <w:numFmt w:val="bullet"/>
      <w:lvlText w:val="•"/>
      <w:lvlJc w:val="left"/>
      <w:pPr>
        <w:tabs>
          <w:tab w:val="num" w:pos="720"/>
        </w:tabs>
        <w:ind w:left="720" w:hanging="360"/>
      </w:pPr>
      <w:rPr>
        <w:rFonts w:ascii="Arial" w:hAnsi="Arial" w:hint="default"/>
      </w:rPr>
    </w:lvl>
    <w:lvl w:ilvl="1" w:tplc="4FEEECAE" w:tentative="1">
      <w:start w:val="1"/>
      <w:numFmt w:val="bullet"/>
      <w:lvlText w:val="•"/>
      <w:lvlJc w:val="left"/>
      <w:pPr>
        <w:tabs>
          <w:tab w:val="num" w:pos="1440"/>
        </w:tabs>
        <w:ind w:left="1440" w:hanging="360"/>
      </w:pPr>
      <w:rPr>
        <w:rFonts w:ascii="Arial" w:hAnsi="Arial" w:hint="default"/>
      </w:rPr>
    </w:lvl>
    <w:lvl w:ilvl="2" w:tplc="663EC872" w:tentative="1">
      <w:start w:val="1"/>
      <w:numFmt w:val="bullet"/>
      <w:lvlText w:val="•"/>
      <w:lvlJc w:val="left"/>
      <w:pPr>
        <w:tabs>
          <w:tab w:val="num" w:pos="2160"/>
        </w:tabs>
        <w:ind w:left="2160" w:hanging="360"/>
      </w:pPr>
      <w:rPr>
        <w:rFonts w:ascii="Arial" w:hAnsi="Arial" w:hint="default"/>
      </w:rPr>
    </w:lvl>
    <w:lvl w:ilvl="3" w:tplc="546C29E4" w:tentative="1">
      <w:start w:val="1"/>
      <w:numFmt w:val="bullet"/>
      <w:lvlText w:val="•"/>
      <w:lvlJc w:val="left"/>
      <w:pPr>
        <w:tabs>
          <w:tab w:val="num" w:pos="2880"/>
        </w:tabs>
        <w:ind w:left="2880" w:hanging="360"/>
      </w:pPr>
      <w:rPr>
        <w:rFonts w:ascii="Arial" w:hAnsi="Arial" w:hint="default"/>
      </w:rPr>
    </w:lvl>
    <w:lvl w:ilvl="4" w:tplc="95B010BE" w:tentative="1">
      <w:start w:val="1"/>
      <w:numFmt w:val="bullet"/>
      <w:lvlText w:val="•"/>
      <w:lvlJc w:val="left"/>
      <w:pPr>
        <w:tabs>
          <w:tab w:val="num" w:pos="3600"/>
        </w:tabs>
        <w:ind w:left="3600" w:hanging="360"/>
      </w:pPr>
      <w:rPr>
        <w:rFonts w:ascii="Arial" w:hAnsi="Arial" w:hint="default"/>
      </w:rPr>
    </w:lvl>
    <w:lvl w:ilvl="5" w:tplc="BB3ED9A8" w:tentative="1">
      <w:start w:val="1"/>
      <w:numFmt w:val="bullet"/>
      <w:lvlText w:val="•"/>
      <w:lvlJc w:val="left"/>
      <w:pPr>
        <w:tabs>
          <w:tab w:val="num" w:pos="4320"/>
        </w:tabs>
        <w:ind w:left="4320" w:hanging="360"/>
      </w:pPr>
      <w:rPr>
        <w:rFonts w:ascii="Arial" w:hAnsi="Arial" w:hint="default"/>
      </w:rPr>
    </w:lvl>
    <w:lvl w:ilvl="6" w:tplc="9D4A9966" w:tentative="1">
      <w:start w:val="1"/>
      <w:numFmt w:val="bullet"/>
      <w:lvlText w:val="•"/>
      <w:lvlJc w:val="left"/>
      <w:pPr>
        <w:tabs>
          <w:tab w:val="num" w:pos="5040"/>
        </w:tabs>
        <w:ind w:left="5040" w:hanging="360"/>
      </w:pPr>
      <w:rPr>
        <w:rFonts w:ascii="Arial" w:hAnsi="Arial" w:hint="default"/>
      </w:rPr>
    </w:lvl>
    <w:lvl w:ilvl="7" w:tplc="76A656E0" w:tentative="1">
      <w:start w:val="1"/>
      <w:numFmt w:val="bullet"/>
      <w:lvlText w:val="•"/>
      <w:lvlJc w:val="left"/>
      <w:pPr>
        <w:tabs>
          <w:tab w:val="num" w:pos="5760"/>
        </w:tabs>
        <w:ind w:left="5760" w:hanging="360"/>
      </w:pPr>
      <w:rPr>
        <w:rFonts w:ascii="Arial" w:hAnsi="Arial" w:hint="default"/>
      </w:rPr>
    </w:lvl>
    <w:lvl w:ilvl="8" w:tplc="4A8088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966ACE"/>
    <w:multiLevelType w:val="hybridMultilevel"/>
    <w:tmpl w:val="53766140"/>
    <w:lvl w:ilvl="0" w:tplc="6D2E211C">
      <w:start w:val="1"/>
      <w:numFmt w:val="bullet"/>
      <w:lvlText w:val="•"/>
      <w:lvlJc w:val="left"/>
      <w:pPr>
        <w:tabs>
          <w:tab w:val="num" w:pos="720"/>
        </w:tabs>
        <w:ind w:left="720" w:hanging="360"/>
      </w:pPr>
      <w:rPr>
        <w:rFonts w:ascii="Arial" w:hAnsi="Arial" w:hint="default"/>
      </w:rPr>
    </w:lvl>
    <w:lvl w:ilvl="1" w:tplc="AD424516" w:tentative="1">
      <w:start w:val="1"/>
      <w:numFmt w:val="bullet"/>
      <w:lvlText w:val="•"/>
      <w:lvlJc w:val="left"/>
      <w:pPr>
        <w:tabs>
          <w:tab w:val="num" w:pos="1440"/>
        </w:tabs>
        <w:ind w:left="1440" w:hanging="360"/>
      </w:pPr>
      <w:rPr>
        <w:rFonts w:ascii="Arial" w:hAnsi="Arial" w:hint="default"/>
      </w:rPr>
    </w:lvl>
    <w:lvl w:ilvl="2" w:tplc="D22A1208" w:tentative="1">
      <w:start w:val="1"/>
      <w:numFmt w:val="bullet"/>
      <w:lvlText w:val="•"/>
      <w:lvlJc w:val="left"/>
      <w:pPr>
        <w:tabs>
          <w:tab w:val="num" w:pos="2160"/>
        </w:tabs>
        <w:ind w:left="2160" w:hanging="360"/>
      </w:pPr>
      <w:rPr>
        <w:rFonts w:ascii="Arial" w:hAnsi="Arial" w:hint="default"/>
      </w:rPr>
    </w:lvl>
    <w:lvl w:ilvl="3" w:tplc="016CD084" w:tentative="1">
      <w:start w:val="1"/>
      <w:numFmt w:val="bullet"/>
      <w:lvlText w:val="•"/>
      <w:lvlJc w:val="left"/>
      <w:pPr>
        <w:tabs>
          <w:tab w:val="num" w:pos="2880"/>
        </w:tabs>
        <w:ind w:left="2880" w:hanging="360"/>
      </w:pPr>
      <w:rPr>
        <w:rFonts w:ascii="Arial" w:hAnsi="Arial" w:hint="default"/>
      </w:rPr>
    </w:lvl>
    <w:lvl w:ilvl="4" w:tplc="110A2E48" w:tentative="1">
      <w:start w:val="1"/>
      <w:numFmt w:val="bullet"/>
      <w:lvlText w:val="•"/>
      <w:lvlJc w:val="left"/>
      <w:pPr>
        <w:tabs>
          <w:tab w:val="num" w:pos="3600"/>
        </w:tabs>
        <w:ind w:left="3600" w:hanging="360"/>
      </w:pPr>
      <w:rPr>
        <w:rFonts w:ascii="Arial" w:hAnsi="Arial" w:hint="default"/>
      </w:rPr>
    </w:lvl>
    <w:lvl w:ilvl="5" w:tplc="E01E5BB0" w:tentative="1">
      <w:start w:val="1"/>
      <w:numFmt w:val="bullet"/>
      <w:lvlText w:val="•"/>
      <w:lvlJc w:val="left"/>
      <w:pPr>
        <w:tabs>
          <w:tab w:val="num" w:pos="4320"/>
        </w:tabs>
        <w:ind w:left="4320" w:hanging="360"/>
      </w:pPr>
      <w:rPr>
        <w:rFonts w:ascii="Arial" w:hAnsi="Arial" w:hint="default"/>
      </w:rPr>
    </w:lvl>
    <w:lvl w:ilvl="6" w:tplc="E94A7052" w:tentative="1">
      <w:start w:val="1"/>
      <w:numFmt w:val="bullet"/>
      <w:lvlText w:val="•"/>
      <w:lvlJc w:val="left"/>
      <w:pPr>
        <w:tabs>
          <w:tab w:val="num" w:pos="5040"/>
        </w:tabs>
        <w:ind w:left="5040" w:hanging="360"/>
      </w:pPr>
      <w:rPr>
        <w:rFonts w:ascii="Arial" w:hAnsi="Arial" w:hint="default"/>
      </w:rPr>
    </w:lvl>
    <w:lvl w:ilvl="7" w:tplc="7ABE4CA2" w:tentative="1">
      <w:start w:val="1"/>
      <w:numFmt w:val="bullet"/>
      <w:lvlText w:val="•"/>
      <w:lvlJc w:val="left"/>
      <w:pPr>
        <w:tabs>
          <w:tab w:val="num" w:pos="5760"/>
        </w:tabs>
        <w:ind w:left="5760" w:hanging="360"/>
      </w:pPr>
      <w:rPr>
        <w:rFonts w:ascii="Arial" w:hAnsi="Arial" w:hint="default"/>
      </w:rPr>
    </w:lvl>
    <w:lvl w:ilvl="8" w:tplc="716A4C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CC1E4A"/>
    <w:multiLevelType w:val="hybridMultilevel"/>
    <w:tmpl w:val="7EF03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1D536F"/>
    <w:multiLevelType w:val="hybridMultilevel"/>
    <w:tmpl w:val="12F23188"/>
    <w:lvl w:ilvl="0" w:tplc="B5EEEED8">
      <w:start w:val="1"/>
      <w:numFmt w:val="bullet"/>
      <w:lvlText w:val="•"/>
      <w:lvlJc w:val="left"/>
      <w:pPr>
        <w:tabs>
          <w:tab w:val="num" w:pos="720"/>
        </w:tabs>
        <w:ind w:left="720" w:hanging="360"/>
      </w:pPr>
      <w:rPr>
        <w:rFonts w:ascii="Arial" w:hAnsi="Arial" w:hint="default"/>
      </w:rPr>
    </w:lvl>
    <w:lvl w:ilvl="1" w:tplc="8190F54E" w:tentative="1">
      <w:start w:val="1"/>
      <w:numFmt w:val="bullet"/>
      <w:lvlText w:val="•"/>
      <w:lvlJc w:val="left"/>
      <w:pPr>
        <w:tabs>
          <w:tab w:val="num" w:pos="1440"/>
        </w:tabs>
        <w:ind w:left="1440" w:hanging="360"/>
      </w:pPr>
      <w:rPr>
        <w:rFonts w:ascii="Arial" w:hAnsi="Arial" w:hint="default"/>
      </w:rPr>
    </w:lvl>
    <w:lvl w:ilvl="2" w:tplc="325443B4" w:tentative="1">
      <w:start w:val="1"/>
      <w:numFmt w:val="bullet"/>
      <w:lvlText w:val="•"/>
      <w:lvlJc w:val="left"/>
      <w:pPr>
        <w:tabs>
          <w:tab w:val="num" w:pos="2160"/>
        </w:tabs>
        <w:ind w:left="2160" w:hanging="360"/>
      </w:pPr>
      <w:rPr>
        <w:rFonts w:ascii="Arial" w:hAnsi="Arial" w:hint="default"/>
      </w:rPr>
    </w:lvl>
    <w:lvl w:ilvl="3" w:tplc="A24E3A84" w:tentative="1">
      <w:start w:val="1"/>
      <w:numFmt w:val="bullet"/>
      <w:lvlText w:val="•"/>
      <w:lvlJc w:val="left"/>
      <w:pPr>
        <w:tabs>
          <w:tab w:val="num" w:pos="2880"/>
        </w:tabs>
        <w:ind w:left="2880" w:hanging="360"/>
      </w:pPr>
      <w:rPr>
        <w:rFonts w:ascii="Arial" w:hAnsi="Arial" w:hint="default"/>
      </w:rPr>
    </w:lvl>
    <w:lvl w:ilvl="4" w:tplc="58CC25C0" w:tentative="1">
      <w:start w:val="1"/>
      <w:numFmt w:val="bullet"/>
      <w:lvlText w:val="•"/>
      <w:lvlJc w:val="left"/>
      <w:pPr>
        <w:tabs>
          <w:tab w:val="num" w:pos="3600"/>
        </w:tabs>
        <w:ind w:left="3600" w:hanging="360"/>
      </w:pPr>
      <w:rPr>
        <w:rFonts w:ascii="Arial" w:hAnsi="Arial" w:hint="default"/>
      </w:rPr>
    </w:lvl>
    <w:lvl w:ilvl="5" w:tplc="B6965078" w:tentative="1">
      <w:start w:val="1"/>
      <w:numFmt w:val="bullet"/>
      <w:lvlText w:val="•"/>
      <w:lvlJc w:val="left"/>
      <w:pPr>
        <w:tabs>
          <w:tab w:val="num" w:pos="4320"/>
        </w:tabs>
        <w:ind w:left="4320" w:hanging="360"/>
      </w:pPr>
      <w:rPr>
        <w:rFonts w:ascii="Arial" w:hAnsi="Arial" w:hint="default"/>
      </w:rPr>
    </w:lvl>
    <w:lvl w:ilvl="6" w:tplc="849E43C2" w:tentative="1">
      <w:start w:val="1"/>
      <w:numFmt w:val="bullet"/>
      <w:lvlText w:val="•"/>
      <w:lvlJc w:val="left"/>
      <w:pPr>
        <w:tabs>
          <w:tab w:val="num" w:pos="5040"/>
        </w:tabs>
        <w:ind w:left="5040" w:hanging="360"/>
      </w:pPr>
      <w:rPr>
        <w:rFonts w:ascii="Arial" w:hAnsi="Arial" w:hint="default"/>
      </w:rPr>
    </w:lvl>
    <w:lvl w:ilvl="7" w:tplc="F9D62D42" w:tentative="1">
      <w:start w:val="1"/>
      <w:numFmt w:val="bullet"/>
      <w:lvlText w:val="•"/>
      <w:lvlJc w:val="left"/>
      <w:pPr>
        <w:tabs>
          <w:tab w:val="num" w:pos="5760"/>
        </w:tabs>
        <w:ind w:left="5760" w:hanging="360"/>
      </w:pPr>
      <w:rPr>
        <w:rFonts w:ascii="Arial" w:hAnsi="Arial" w:hint="default"/>
      </w:rPr>
    </w:lvl>
    <w:lvl w:ilvl="8" w:tplc="88F256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E111C3"/>
    <w:multiLevelType w:val="hybridMultilevel"/>
    <w:tmpl w:val="2852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B196E"/>
    <w:multiLevelType w:val="hybridMultilevel"/>
    <w:tmpl w:val="6D024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F6511"/>
    <w:multiLevelType w:val="multilevel"/>
    <w:tmpl w:val="2A6012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923EA9"/>
    <w:multiLevelType w:val="hybridMultilevel"/>
    <w:tmpl w:val="1A327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52AC5"/>
    <w:multiLevelType w:val="hybridMultilevel"/>
    <w:tmpl w:val="F6B4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10E66"/>
    <w:multiLevelType w:val="hybridMultilevel"/>
    <w:tmpl w:val="1E58608A"/>
    <w:lvl w:ilvl="0" w:tplc="0F88582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15:restartNumberingAfterBreak="0">
    <w:nsid w:val="51F60FC2"/>
    <w:multiLevelType w:val="multilevel"/>
    <w:tmpl w:val="915A8E1A"/>
    <w:lvl w:ilvl="0">
      <w:start w:val="1"/>
      <w:numFmt w:val="decimal"/>
      <w:suff w:val="nothing"/>
      <w:lvlText w:val="Section %1"/>
      <w:lvlJc w:val="left"/>
      <w:pPr>
        <w:ind w:left="1080" w:firstLine="0"/>
      </w:pPr>
      <w:rPr>
        <w:rFonts w:ascii="Calibri" w:hAnsi="Calibri" w:hint="default"/>
        <w:b/>
        <w:i w:val="0"/>
        <w:color w:val="1795D2"/>
        <w:sz w:val="36"/>
        <w:u w:val="none"/>
      </w:rPr>
    </w:lvl>
    <w:lvl w:ilvl="1">
      <w:start w:val="1"/>
      <w:numFmt w:val="decimal"/>
      <w:suff w:val="space"/>
      <w:lvlText w:val="%1.%2"/>
      <w:lvlJc w:val="left"/>
      <w:pPr>
        <w:ind w:left="0" w:firstLine="0"/>
      </w:pPr>
      <w:rPr>
        <w:rFonts w:ascii="Calibri" w:hAnsi="Calibri" w:hint="default"/>
        <w:b/>
        <w:i w:val="0"/>
        <w:color w:val="auto"/>
        <w:sz w:val="24"/>
        <w:u w:val="none"/>
      </w:rPr>
    </w:lvl>
    <w:lvl w:ilvl="2">
      <w:start w:val="1"/>
      <w:numFmt w:val="decimal"/>
      <w:suff w:val="space"/>
      <w:lvlText w:val="%1.%2.%3"/>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15:restartNumberingAfterBreak="0">
    <w:nsid w:val="532B67EC"/>
    <w:multiLevelType w:val="hybridMultilevel"/>
    <w:tmpl w:val="2D8EEC30"/>
    <w:lvl w:ilvl="0" w:tplc="6F3481C2">
      <w:start w:val="1"/>
      <w:numFmt w:val="bullet"/>
      <w:lvlText w:val="•"/>
      <w:lvlJc w:val="left"/>
      <w:pPr>
        <w:tabs>
          <w:tab w:val="num" w:pos="720"/>
        </w:tabs>
        <w:ind w:left="720" w:hanging="360"/>
      </w:pPr>
      <w:rPr>
        <w:rFonts w:ascii="Arial" w:hAnsi="Arial" w:hint="default"/>
      </w:rPr>
    </w:lvl>
    <w:lvl w:ilvl="1" w:tplc="7794F622" w:tentative="1">
      <w:start w:val="1"/>
      <w:numFmt w:val="bullet"/>
      <w:lvlText w:val="•"/>
      <w:lvlJc w:val="left"/>
      <w:pPr>
        <w:tabs>
          <w:tab w:val="num" w:pos="1440"/>
        </w:tabs>
        <w:ind w:left="1440" w:hanging="360"/>
      </w:pPr>
      <w:rPr>
        <w:rFonts w:ascii="Arial" w:hAnsi="Arial" w:hint="default"/>
      </w:rPr>
    </w:lvl>
    <w:lvl w:ilvl="2" w:tplc="1DD4B968" w:tentative="1">
      <w:start w:val="1"/>
      <w:numFmt w:val="bullet"/>
      <w:lvlText w:val="•"/>
      <w:lvlJc w:val="left"/>
      <w:pPr>
        <w:tabs>
          <w:tab w:val="num" w:pos="2160"/>
        </w:tabs>
        <w:ind w:left="2160" w:hanging="360"/>
      </w:pPr>
      <w:rPr>
        <w:rFonts w:ascii="Arial" w:hAnsi="Arial" w:hint="default"/>
      </w:rPr>
    </w:lvl>
    <w:lvl w:ilvl="3" w:tplc="6BF28DF8" w:tentative="1">
      <w:start w:val="1"/>
      <w:numFmt w:val="bullet"/>
      <w:lvlText w:val="•"/>
      <w:lvlJc w:val="left"/>
      <w:pPr>
        <w:tabs>
          <w:tab w:val="num" w:pos="2880"/>
        </w:tabs>
        <w:ind w:left="2880" w:hanging="360"/>
      </w:pPr>
      <w:rPr>
        <w:rFonts w:ascii="Arial" w:hAnsi="Arial" w:hint="default"/>
      </w:rPr>
    </w:lvl>
    <w:lvl w:ilvl="4" w:tplc="0CCAFB3E" w:tentative="1">
      <w:start w:val="1"/>
      <w:numFmt w:val="bullet"/>
      <w:lvlText w:val="•"/>
      <w:lvlJc w:val="left"/>
      <w:pPr>
        <w:tabs>
          <w:tab w:val="num" w:pos="3600"/>
        </w:tabs>
        <w:ind w:left="3600" w:hanging="360"/>
      </w:pPr>
      <w:rPr>
        <w:rFonts w:ascii="Arial" w:hAnsi="Arial" w:hint="default"/>
      </w:rPr>
    </w:lvl>
    <w:lvl w:ilvl="5" w:tplc="3E104A6C" w:tentative="1">
      <w:start w:val="1"/>
      <w:numFmt w:val="bullet"/>
      <w:lvlText w:val="•"/>
      <w:lvlJc w:val="left"/>
      <w:pPr>
        <w:tabs>
          <w:tab w:val="num" w:pos="4320"/>
        </w:tabs>
        <w:ind w:left="4320" w:hanging="360"/>
      </w:pPr>
      <w:rPr>
        <w:rFonts w:ascii="Arial" w:hAnsi="Arial" w:hint="default"/>
      </w:rPr>
    </w:lvl>
    <w:lvl w:ilvl="6" w:tplc="928EDEC2" w:tentative="1">
      <w:start w:val="1"/>
      <w:numFmt w:val="bullet"/>
      <w:lvlText w:val="•"/>
      <w:lvlJc w:val="left"/>
      <w:pPr>
        <w:tabs>
          <w:tab w:val="num" w:pos="5040"/>
        </w:tabs>
        <w:ind w:left="5040" w:hanging="360"/>
      </w:pPr>
      <w:rPr>
        <w:rFonts w:ascii="Arial" w:hAnsi="Arial" w:hint="default"/>
      </w:rPr>
    </w:lvl>
    <w:lvl w:ilvl="7" w:tplc="3354A7E2" w:tentative="1">
      <w:start w:val="1"/>
      <w:numFmt w:val="bullet"/>
      <w:lvlText w:val="•"/>
      <w:lvlJc w:val="left"/>
      <w:pPr>
        <w:tabs>
          <w:tab w:val="num" w:pos="5760"/>
        </w:tabs>
        <w:ind w:left="5760" w:hanging="360"/>
      </w:pPr>
      <w:rPr>
        <w:rFonts w:ascii="Arial" w:hAnsi="Arial" w:hint="default"/>
      </w:rPr>
    </w:lvl>
    <w:lvl w:ilvl="8" w:tplc="FF226B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437E9E"/>
    <w:multiLevelType w:val="hybridMultilevel"/>
    <w:tmpl w:val="6F52F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994A2B"/>
    <w:multiLevelType w:val="hybridMultilevel"/>
    <w:tmpl w:val="1AFEC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6E2B25"/>
    <w:multiLevelType w:val="hybridMultilevel"/>
    <w:tmpl w:val="C86A32BC"/>
    <w:lvl w:ilvl="0" w:tplc="04090001">
      <w:start w:val="1"/>
      <w:numFmt w:val="bullet"/>
      <w:lvlText w:val=""/>
      <w:lvlJc w:val="left"/>
      <w:pPr>
        <w:tabs>
          <w:tab w:val="num" w:pos="720"/>
        </w:tabs>
        <w:ind w:left="720" w:hanging="360"/>
      </w:pPr>
      <w:rPr>
        <w:rFonts w:ascii="Symbol" w:hAnsi="Symbol" w:hint="default"/>
      </w:rPr>
    </w:lvl>
    <w:lvl w:ilvl="1" w:tplc="03E0DFAE" w:tentative="1">
      <w:start w:val="1"/>
      <w:numFmt w:val="bullet"/>
      <w:lvlText w:val="•"/>
      <w:lvlJc w:val="left"/>
      <w:pPr>
        <w:tabs>
          <w:tab w:val="num" w:pos="1440"/>
        </w:tabs>
        <w:ind w:left="1440" w:hanging="360"/>
      </w:pPr>
      <w:rPr>
        <w:rFonts w:ascii="Arial" w:hAnsi="Arial" w:hint="default"/>
      </w:rPr>
    </w:lvl>
    <w:lvl w:ilvl="2" w:tplc="A7981246" w:tentative="1">
      <w:start w:val="1"/>
      <w:numFmt w:val="bullet"/>
      <w:lvlText w:val="•"/>
      <w:lvlJc w:val="left"/>
      <w:pPr>
        <w:tabs>
          <w:tab w:val="num" w:pos="2160"/>
        </w:tabs>
        <w:ind w:left="2160" w:hanging="360"/>
      </w:pPr>
      <w:rPr>
        <w:rFonts w:ascii="Arial" w:hAnsi="Arial" w:hint="default"/>
      </w:rPr>
    </w:lvl>
    <w:lvl w:ilvl="3" w:tplc="66F40CF0" w:tentative="1">
      <w:start w:val="1"/>
      <w:numFmt w:val="bullet"/>
      <w:lvlText w:val="•"/>
      <w:lvlJc w:val="left"/>
      <w:pPr>
        <w:tabs>
          <w:tab w:val="num" w:pos="2880"/>
        </w:tabs>
        <w:ind w:left="2880" w:hanging="360"/>
      </w:pPr>
      <w:rPr>
        <w:rFonts w:ascii="Arial" w:hAnsi="Arial" w:hint="default"/>
      </w:rPr>
    </w:lvl>
    <w:lvl w:ilvl="4" w:tplc="C28E43A8" w:tentative="1">
      <w:start w:val="1"/>
      <w:numFmt w:val="bullet"/>
      <w:lvlText w:val="•"/>
      <w:lvlJc w:val="left"/>
      <w:pPr>
        <w:tabs>
          <w:tab w:val="num" w:pos="3600"/>
        </w:tabs>
        <w:ind w:left="3600" w:hanging="360"/>
      </w:pPr>
      <w:rPr>
        <w:rFonts w:ascii="Arial" w:hAnsi="Arial" w:hint="default"/>
      </w:rPr>
    </w:lvl>
    <w:lvl w:ilvl="5" w:tplc="F260E456" w:tentative="1">
      <w:start w:val="1"/>
      <w:numFmt w:val="bullet"/>
      <w:lvlText w:val="•"/>
      <w:lvlJc w:val="left"/>
      <w:pPr>
        <w:tabs>
          <w:tab w:val="num" w:pos="4320"/>
        </w:tabs>
        <w:ind w:left="4320" w:hanging="360"/>
      </w:pPr>
      <w:rPr>
        <w:rFonts w:ascii="Arial" w:hAnsi="Arial" w:hint="default"/>
      </w:rPr>
    </w:lvl>
    <w:lvl w:ilvl="6" w:tplc="424CC19E" w:tentative="1">
      <w:start w:val="1"/>
      <w:numFmt w:val="bullet"/>
      <w:lvlText w:val="•"/>
      <w:lvlJc w:val="left"/>
      <w:pPr>
        <w:tabs>
          <w:tab w:val="num" w:pos="5040"/>
        </w:tabs>
        <w:ind w:left="5040" w:hanging="360"/>
      </w:pPr>
      <w:rPr>
        <w:rFonts w:ascii="Arial" w:hAnsi="Arial" w:hint="default"/>
      </w:rPr>
    </w:lvl>
    <w:lvl w:ilvl="7" w:tplc="4246CEE0" w:tentative="1">
      <w:start w:val="1"/>
      <w:numFmt w:val="bullet"/>
      <w:lvlText w:val="•"/>
      <w:lvlJc w:val="left"/>
      <w:pPr>
        <w:tabs>
          <w:tab w:val="num" w:pos="5760"/>
        </w:tabs>
        <w:ind w:left="5760" w:hanging="360"/>
      </w:pPr>
      <w:rPr>
        <w:rFonts w:ascii="Arial" w:hAnsi="Arial" w:hint="default"/>
      </w:rPr>
    </w:lvl>
    <w:lvl w:ilvl="8" w:tplc="16EEF8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2316A5"/>
    <w:multiLevelType w:val="hybridMultilevel"/>
    <w:tmpl w:val="40EAD32E"/>
    <w:lvl w:ilvl="0" w:tplc="DDCEE2B2">
      <w:start w:val="3"/>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0" w15:restartNumberingAfterBreak="0">
    <w:nsid w:val="6395201D"/>
    <w:multiLevelType w:val="hybridMultilevel"/>
    <w:tmpl w:val="EC204566"/>
    <w:lvl w:ilvl="0" w:tplc="04090001">
      <w:start w:val="1"/>
      <w:numFmt w:val="bullet"/>
      <w:pStyle w:val="ISOBullets2"/>
      <w:lvlText w:val="o"/>
      <w:lvlJc w:val="left"/>
      <w:pPr>
        <w:tabs>
          <w:tab w:val="num" w:pos="360"/>
        </w:tabs>
        <w:ind w:left="360" w:hanging="360"/>
      </w:pPr>
      <w:rPr>
        <w:rFonts w:ascii="Courier New" w:hAnsi="Courier New" w:hint="default"/>
        <w:sz w:val="16"/>
      </w:rPr>
    </w:lvl>
    <w:lvl w:ilvl="1" w:tplc="04090003">
      <w:start w:val="1"/>
      <w:numFmt w:val="bullet"/>
      <w:lvlText w:val="o"/>
      <w:lvlJc w:val="left"/>
      <w:pPr>
        <w:tabs>
          <w:tab w:val="num" w:pos="1080"/>
        </w:tabs>
        <w:ind w:left="1080" w:hanging="360"/>
      </w:pPr>
      <w:rPr>
        <w:rFonts w:ascii="Times New Roman Bold" w:hAnsi="Times New Roman Bold" w:hint="default"/>
        <w:b/>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90F72"/>
    <w:multiLevelType w:val="hybridMultilevel"/>
    <w:tmpl w:val="299E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C4F6F"/>
    <w:multiLevelType w:val="hybridMultilevel"/>
    <w:tmpl w:val="1F4E7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B9502F"/>
    <w:multiLevelType w:val="hybridMultilevel"/>
    <w:tmpl w:val="B21EB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D80C57"/>
    <w:multiLevelType w:val="hybridMultilevel"/>
    <w:tmpl w:val="FA0C2C5C"/>
    <w:lvl w:ilvl="0" w:tplc="1FA8CC9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BE46D8"/>
    <w:multiLevelType w:val="hybridMultilevel"/>
    <w:tmpl w:val="39D2A346"/>
    <w:lvl w:ilvl="0" w:tplc="4C189744">
      <w:start w:val="1"/>
      <w:numFmt w:val="bullet"/>
      <w:lvlText w:val="•"/>
      <w:lvlJc w:val="left"/>
      <w:pPr>
        <w:tabs>
          <w:tab w:val="num" w:pos="720"/>
        </w:tabs>
        <w:ind w:left="720" w:hanging="360"/>
      </w:pPr>
      <w:rPr>
        <w:rFonts w:ascii="Arial" w:hAnsi="Arial" w:hint="default"/>
      </w:rPr>
    </w:lvl>
    <w:lvl w:ilvl="1" w:tplc="98C2C15A" w:tentative="1">
      <w:start w:val="1"/>
      <w:numFmt w:val="bullet"/>
      <w:lvlText w:val="•"/>
      <w:lvlJc w:val="left"/>
      <w:pPr>
        <w:tabs>
          <w:tab w:val="num" w:pos="1440"/>
        </w:tabs>
        <w:ind w:left="1440" w:hanging="360"/>
      </w:pPr>
      <w:rPr>
        <w:rFonts w:ascii="Arial" w:hAnsi="Arial" w:hint="default"/>
      </w:rPr>
    </w:lvl>
    <w:lvl w:ilvl="2" w:tplc="35AA01AC" w:tentative="1">
      <w:start w:val="1"/>
      <w:numFmt w:val="bullet"/>
      <w:lvlText w:val="•"/>
      <w:lvlJc w:val="left"/>
      <w:pPr>
        <w:tabs>
          <w:tab w:val="num" w:pos="2160"/>
        </w:tabs>
        <w:ind w:left="2160" w:hanging="360"/>
      </w:pPr>
      <w:rPr>
        <w:rFonts w:ascii="Arial" w:hAnsi="Arial" w:hint="default"/>
      </w:rPr>
    </w:lvl>
    <w:lvl w:ilvl="3" w:tplc="6B5C17C2" w:tentative="1">
      <w:start w:val="1"/>
      <w:numFmt w:val="bullet"/>
      <w:lvlText w:val="•"/>
      <w:lvlJc w:val="left"/>
      <w:pPr>
        <w:tabs>
          <w:tab w:val="num" w:pos="2880"/>
        </w:tabs>
        <w:ind w:left="2880" w:hanging="360"/>
      </w:pPr>
      <w:rPr>
        <w:rFonts w:ascii="Arial" w:hAnsi="Arial" w:hint="default"/>
      </w:rPr>
    </w:lvl>
    <w:lvl w:ilvl="4" w:tplc="D8329C0E" w:tentative="1">
      <w:start w:val="1"/>
      <w:numFmt w:val="bullet"/>
      <w:lvlText w:val="•"/>
      <w:lvlJc w:val="left"/>
      <w:pPr>
        <w:tabs>
          <w:tab w:val="num" w:pos="3600"/>
        </w:tabs>
        <w:ind w:left="3600" w:hanging="360"/>
      </w:pPr>
      <w:rPr>
        <w:rFonts w:ascii="Arial" w:hAnsi="Arial" w:hint="default"/>
      </w:rPr>
    </w:lvl>
    <w:lvl w:ilvl="5" w:tplc="52FE665E" w:tentative="1">
      <w:start w:val="1"/>
      <w:numFmt w:val="bullet"/>
      <w:lvlText w:val="•"/>
      <w:lvlJc w:val="left"/>
      <w:pPr>
        <w:tabs>
          <w:tab w:val="num" w:pos="4320"/>
        </w:tabs>
        <w:ind w:left="4320" w:hanging="360"/>
      </w:pPr>
      <w:rPr>
        <w:rFonts w:ascii="Arial" w:hAnsi="Arial" w:hint="default"/>
      </w:rPr>
    </w:lvl>
    <w:lvl w:ilvl="6" w:tplc="7E142D56" w:tentative="1">
      <w:start w:val="1"/>
      <w:numFmt w:val="bullet"/>
      <w:lvlText w:val="•"/>
      <w:lvlJc w:val="left"/>
      <w:pPr>
        <w:tabs>
          <w:tab w:val="num" w:pos="5040"/>
        </w:tabs>
        <w:ind w:left="5040" w:hanging="360"/>
      </w:pPr>
      <w:rPr>
        <w:rFonts w:ascii="Arial" w:hAnsi="Arial" w:hint="default"/>
      </w:rPr>
    </w:lvl>
    <w:lvl w:ilvl="7" w:tplc="C4C07646" w:tentative="1">
      <w:start w:val="1"/>
      <w:numFmt w:val="bullet"/>
      <w:lvlText w:val="•"/>
      <w:lvlJc w:val="left"/>
      <w:pPr>
        <w:tabs>
          <w:tab w:val="num" w:pos="5760"/>
        </w:tabs>
        <w:ind w:left="5760" w:hanging="360"/>
      </w:pPr>
      <w:rPr>
        <w:rFonts w:ascii="Arial" w:hAnsi="Arial" w:hint="default"/>
      </w:rPr>
    </w:lvl>
    <w:lvl w:ilvl="8" w:tplc="DCB6C2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E3290F"/>
    <w:multiLevelType w:val="hybridMultilevel"/>
    <w:tmpl w:val="DBBC7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20"/>
  </w:num>
  <w:num w:numId="4">
    <w:abstractNumId w:val="12"/>
  </w:num>
  <w:num w:numId="5">
    <w:abstractNumId w:val="7"/>
  </w:num>
  <w:num w:numId="6">
    <w:abstractNumId w:val="15"/>
  </w:num>
  <w:num w:numId="7">
    <w:abstractNumId w:val="5"/>
  </w:num>
  <w:num w:numId="8">
    <w:abstractNumId w:val="4"/>
  </w:num>
  <w:num w:numId="9">
    <w:abstractNumId w:val="2"/>
  </w:num>
  <w:num w:numId="10">
    <w:abstractNumId w:val="25"/>
  </w:num>
  <w:num w:numId="11">
    <w:abstractNumId w:val="19"/>
  </w:num>
  <w:num w:numId="12">
    <w:abstractNumId w:val="24"/>
  </w:num>
  <w:num w:numId="13">
    <w:abstractNumId w:val="6"/>
  </w:num>
  <w:num w:numId="14">
    <w:abstractNumId w:val="3"/>
  </w:num>
  <w:num w:numId="15">
    <w:abstractNumId w:val="16"/>
  </w:num>
  <w:num w:numId="16">
    <w:abstractNumId w:val="23"/>
  </w:num>
  <w:num w:numId="17">
    <w:abstractNumId w:val="17"/>
  </w:num>
  <w:num w:numId="18">
    <w:abstractNumId w:val="22"/>
  </w:num>
  <w:num w:numId="19">
    <w:abstractNumId w:val="1"/>
  </w:num>
  <w:num w:numId="20">
    <w:abstractNumId w:val="9"/>
  </w:num>
  <w:num w:numId="21">
    <w:abstractNumId w:val="2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11"/>
  </w:num>
  <w:num w:numId="26">
    <w:abstractNumId w:val="13"/>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7A"/>
    <w:rsid w:val="00000FF1"/>
    <w:rsid w:val="00002361"/>
    <w:rsid w:val="000050DB"/>
    <w:rsid w:val="000078E8"/>
    <w:rsid w:val="000114BF"/>
    <w:rsid w:val="0001446F"/>
    <w:rsid w:val="00015351"/>
    <w:rsid w:val="00015A93"/>
    <w:rsid w:val="0001628C"/>
    <w:rsid w:val="0002026F"/>
    <w:rsid w:val="00024107"/>
    <w:rsid w:val="00024B93"/>
    <w:rsid w:val="00025098"/>
    <w:rsid w:val="00025120"/>
    <w:rsid w:val="00027943"/>
    <w:rsid w:val="00027A2B"/>
    <w:rsid w:val="00027BBD"/>
    <w:rsid w:val="00030C7B"/>
    <w:rsid w:val="000377CC"/>
    <w:rsid w:val="00037AD6"/>
    <w:rsid w:val="0004173F"/>
    <w:rsid w:val="000422A4"/>
    <w:rsid w:val="00045E73"/>
    <w:rsid w:val="000470EE"/>
    <w:rsid w:val="00047113"/>
    <w:rsid w:val="000508CC"/>
    <w:rsid w:val="00052BDA"/>
    <w:rsid w:val="000542DF"/>
    <w:rsid w:val="00054D50"/>
    <w:rsid w:val="000559F1"/>
    <w:rsid w:val="00055A1A"/>
    <w:rsid w:val="00055A46"/>
    <w:rsid w:val="00061195"/>
    <w:rsid w:val="00061489"/>
    <w:rsid w:val="00065884"/>
    <w:rsid w:val="00066338"/>
    <w:rsid w:val="000705B2"/>
    <w:rsid w:val="00072B71"/>
    <w:rsid w:val="0007687E"/>
    <w:rsid w:val="00077B17"/>
    <w:rsid w:val="00077C06"/>
    <w:rsid w:val="00080655"/>
    <w:rsid w:val="00080D67"/>
    <w:rsid w:val="0008640D"/>
    <w:rsid w:val="000876E9"/>
    <w:rsid w:val="00090D00"/>
    <w:rsid w:val="00090D47"/>
    <w:rsid w:val="000948C9"/>
    <w:rsid w:val="00095F22"/>
    <w:rsid w:val="0009630D"/>
    <w:rsid w:val="00097713"/>
    <w:rsid w:val="00097D75"/>
    <w:rsid w:val="00097EFD"/>
    <w:rsid w:val="000A1399"/>
    <w:rsid w:val="000A2E2B"/>
    <w:rsid w:val="000A30CE"/>
    <w:rsid w:val="000A4793"/>
    <w:rsid w:val="000B000C"/>
    <w:rsid w:val="000B0750"/>
    <w:rsid w:val="000B41F6"/>
    <w:rsid w:val="000B4D37"/>
    <w:rsid w:val="000B64D3"/>
    <w:rsid w:val="000B6C8E"/>
    <w:rsid w:val="000B7248"/>
    <w:rsid w:val="000C2F80"/>
    <w:rsid w:val="000C3B9D"/>
    <w:rsid w:val="000C790C"/>
    <w:rsid w:val="000C7C8A"/>
    <w:rsid w:val="000D16D6"/>
    <w:rsid w:val="000D316D"/>
    <w:rsid w:val="000D4215"/>
    <w:rsid w:val="000D6AC6"/>
    <w:rsid w:val="000D7E88"/>
    <w:rsid w:val="000E0592"/>
    <w:rsid w:val="000E1608"/>
    <w:rsid w:val="000E59ED"/>
    <w:rsid w:val="000E6E1E"/>
    <w:rsid w:val="000E7F20"/>
    <w:rsid w:val="000F0C87"/>
    <w:rsid w:val="000F2321"/>
    <w:rsid w:val="000F6BC3"/>
    <w:rsid w:val="00104CBA"/>
    <w:rsid w:val="001056B0"/>
    <w:rsid w:val="00105A20"/>
    <w:rsid w:val="00106CDE"/>
    <w:rsid w:val="0010705C"/>
    <w:rsid w:val="001070DD"/>
    <w:rsid w:val="001104BE"/>
    <w:rsid w:val="00110A37"/>
    <w:rsid w:val="001119F5"/>
    <w:rsid w:val="0011259E"/>
    <w:rsid w:val="001154A1"/>
    <w:rsid w:val="00116B43"/>
    <w:rsid w:val="0011776B"/>
    <w:rsid w:val="0012171A"/>
    <w:rsid w:val="00121D2A"/>
    <w:rsid w:val="001224D6"/>
    <w:rsid w:val="001229D2"/>
    <w:rsid w:val="00124E02"/>
    <w:rsid w:val="001262C3"/>
    <w:rsid w:val="00126B06"/>
    <w:rsid w:val="00127495"/>
    <w:rsid w:val="001274E2"/>
    <w:rsid w:val="00130C69"/>
    <w:rsid w:val="00131830"/>
    <w:rsid w:val="00131A2D"/>
    <w:rsid w:val="001320ED"/>
    <w:rsid w:val="00132A3D"/>
    <w:rsid w:val="0013358D"/>
    <w:rsid w:val="00134643"/>
    <w:rsid w:val="00134E01"/>
    <w:rsid w:val="00135355"/>
    <w:rsid w:val="001357D0"/>
    <w:rsid w:val="001400DB"/>
    <w:rsid w:val="00141D4E"/>
    <w:rsid w:val="00142CC6"/>
    <w:rsid w:val="00142E7E"/>
    <w:rsid w:val="00143407"/>
    <w:rsid w:val="0014559B"/>
    <w:rsid w:val="00153508"/>
    <w:rsid w:val="00154701"/>
    <w:rsid w:val="001554A1"/>
    <w:rsid w:val="00156255"/>
    <w:rsid w:val="001600B7"/>
    <w:rsid w:val="00160BE1"/>
    <w:rsid w:val="00161464"/>
    <w:rsid w:val="00161AF7"/>
    <w:rsid w:val="001665B3"/>
    <w:rsid w:val="00166C30"/>
    <w:rsid w:val="00166E12"/>
    <w:rsid w:val="0017020F"/>
    <w:rsid w:val="00173636"/>
    <w:rsid w:val="00175063"/>
    <w:rsid w:val="00176DC4"/>
    <w:rsid w:val="00181530"/>
    <w:rsid w:val="00181901"/>
    <w:rsid w:val="001825DB"/>
    <w:rsid w:val="00183025"/>
    <w:rsid w:val="00183566"/>
    <w:rsid w:val="00184148"/>
    <w:rsid w:val="00184473"/>
    <w:rsid w:val="00184E00"/>
    <w:rsid w:val="00185318"/>
    <w:rsid w:val="0018565B"/>
    <w:rsid w:val="00186151"/>
    <w:rsid w:val="00186195"/>
    <w:rsid w:val="00190933"/>
    <w:rsid w:val="001921FC"/>
    <w:rsid w:val="0019389F"/>
    <w:rsid w:val="0019500A"/>
    <w:rsid w:val="001A0BFD"/>
    <w:rsid w:val="001A13F5"/>
    <w:rsid w:val="001A3D3C"/>
    <w:rsid w:val="001A4245"/>
    <w:rsid w:val="001A50F1"/>
    <w:rsid w:val="001A6099"/>
    <w:rsid w:val="001A6292"/>
    <w:rsid w:val="001B03A5"/>
    <w:rsid w:val="001B0A8A"/>
    <w:rsid w:val="001B0B4C"/>
    <w:rsid w:val="001B2C2F"/>
    <w:rsid w:val="001B33E7"/>
    <w:rsid w:val="001B38FF"/>
    <w:rsid w:val="001B5A5A"/>
    <w:rsid w:val="001B60D2"/>
    <w:rsid w:val="001C037E"/>
    <w:rsid w:val="001C21CF"/>
    <w:rsid w:val="001C3C69"/>
    <w:rsid w:val="001C46FF"/>
    <w:rsid w:val="001C495C"/>
    <w:rsid w:val="001C4E07"/>
    <w:rsid w:val="001C53A2"/>
    <w:rsid w:val="001C62AC"/>
    <w:rsid w:val="001C6708"/>
    <w:rsid w:val="001C6BD5"/>
    <w:rsid w:val="001C77DE"/>
    <w:rsid w:val="001D1F41"/>
    <w:rsid w:val="001D56F3"/>
    <w:rsid w:val="001E127F"/>
    <w:rsid w:val="001E144B"/>
    <w:rsid w:val="001E4F42"/>
    <w:rsid w:val="001E794B"/>
    <w:rsid w:val="001F1DA5"/>
    <w:rsid w:val="001F3268"/>
    <w:rsid w:val="001F6280"/>
    <w:rsid w:val="001F7379"/>
    <w:rsid w:val="00200D26"/>
    <w:rsid w:val="002034BA"/>
    <w:rsid w:val="00205668"/>
    <w:rsid w:val="00205D05"/>
    <w:rsid w:val="0020676F"/>
    <w:rsid w:val="0020690D"/>
    <w:rsid w:val="00207BAF"/>
    <w:rsid w:val="002106ED"/>
    <w:rsid w:val="00211147"/>
    <w:rsid w:val="00211AF2"/>
    <w:rsid w:val="00212428"/>
    <w:rsid w:val="0021505C"/>
    <w:rsid w:val="00215FD1"/>
    <w:rsid w:val="002166E5"/>
    <w:rsid w:val="00216A78"/>
    <w:rsid w:val="00216D21"/>
    <w:rsid w:val="00216DAE"/>
    <w:rsid w:val="002171C3"/>
    <w:rsid w:val="0021759E"/>
    <w:rsid w:val="0021772D"/>
    <w:rsid w:val="002179CD"/>
    <w:rsid w:val="00217AA1"/>
    <w:rsid w:val="0022044E"/>
    <w:rsid w:val="00220877"/>
    <w:rsid w:val="002208A1"/>
    <w:rsid w:val="00221176"/>
    <w:rsid w:val="0022163C"/>
    <w:rsid w:val="00222F08"/>
    <w:rsid w:val="0022326E"/>
    <w:rsid w:val="0022512D"/>
    <w:rsid w:val="00225BE5"/>
    <w:rsid w:val="002260B5"/>
    <w:rsid w:val="002264B0"/>
    <w:rsid w:val="002268F4"/>
    <w:rsid w:val="00227CEB"/>
    <w:rsid w:val="0023076C"/>
    <w:rsid w:val="00233493"/>
    <w:rsid w:val="0023695F"/>
    <w:rsid w:val="00241354"/>
    <w:rsid w:val="00242A29"/>
    <w:rsid w:val="00244552"/>
    <w:rsid w:val="002453BF"/>
    <w:rsid w:val="00251E87"/>
    <w:rsid w:val="002536CA"/>
    <w:rsid w:val="00253704"/>
    <w:rsid w:val="002540BB"/>
    <w:rsid w:val="0025452D"/>
    <w:rsid w:val="002549D2"/>
    <w:rsid w:val="00257E27"/>
    <w:rsid w:val="0026009B"/>
    <w:rsid w:val="00260B6B"/>
    <w:rsid w:val="00261524"/>
    <w:rsid w:val="002617DB"/>
    <w:rsid w:val="00264CD4"/>
    <w:rsid w:val="00267ADE"/>
    <w:rsid w:val="00271034"/>
    <w:rsid w:val="00273200"/>
    <w:rsid w:val="0027343D"/>
    <w:rsid w:val="002737EE"/>
    <w:rsid w:val="002804B8"/>
    <w:rsid w:val="0028363D"/>
    <w:rsid w:val="002855E5"/>
    <w:rsid w:val="002858DB"/>
    <w:rsid w:val="00286202"/>
    <w:rsid w:val="00287576"/>
    <w:rsid w:val="00290F09"/>
    <w:rsid w:val="0029184B"/>
    <w:rsid w:val="00294611"/>
    <w:rsid w:val="002A081E"/>
    <w:rsid w:val="002A0D34"/>
    <w:rsid w:val="002A11C0"/>
    <w:rsid w:val="002A36D0"/>
    <w:rsid w:val="002A679E"/>
    <w:rsid w:val="002A6D8C"/>
    <w:rsid w:val="002A7215"/>
    <w:rsid w:val="002A7576"/>
    <w:rsid w:val="002A7B83"/>
    <w:rsid w:val="002A7EE0"/>
    <w:rsid w:val="002B0073"/>
    <w:rsid w:val="002B1359"/>
    <w:rsid w:val="002B1F52"/>
    <w:rsid w:val="002B25D2"/>
    <w:rsid w:val="002B33A0"/>
    <w:rsid w:val="002B4687"/>
    <w:rsid w:val="002B5865"/>
    <w:rsid w:val="002B6D01"/>
    <w:rsid w:val="002B7AB7"/>
    <w:rsid w:val="002C19A5"/>
    <w:rsid w:val="002C231B"/>
    <w:rsid w:val="002C2E63"/>
    <w:rsid w:val="002C5B4F"/>
    <w:rsid w:val="002D020B"/>
    <w:rsid w:val="002D2327"/>
    <w:rsid w:val="002D3777"/>
    <w:rsid w:val="002D39E7"/>
    <w:rsid w:val="002D6161"/>
    <w:rsid w:val="002D621B"/>
    <w:rsid w:val="002D6565"/>
    <w:rsid w:val="002D7E1B"/>
    <w:rsid w:val="002E093A"/>
    <w:rsid w:val="002E19B4"/>
    <w:rsid w:val="002E2BAA"/>
    <w:rsid w:val="002E364A"/>
    <w:rsid w:val="002E51D8"/>
    <w:rsid w:val="002F0154"/>
    <w:rsid w:val="002F1373"/>
    <w:rsid w:val="002F3938"/>
    <w:rsid w:val="002F4047"/>
    <w:rsid w:val="002F6BD2"/>
    <w:rsid w:val="002F6F27"/>
    <w:rsid w:val="00303563"/>
    <w:rsid w:val="00304FA1"/>
    <w:rsid w:val="003055AD"/>
    <w:rsid w:val="003060F2"/>
    <w:rsid w:val="00307F37"/>
    <w:rsid w:val="00310057"/>
    <w:rsid w:val="003113F1"/>
    <w:rsid w:val="00312A4D"/>
    <w:rsid w:val="00313313"/>
    <w:rsid w:val="00314618"/>
    <w:rsid w:val="00322BF3"/>
    <w:rsid w:val="00323658"/>
    <w:rsid w:val="00323D90"/>
    <w:rsid w:val="0032551A"/>
    <w:rsid w:val="00326931"/>
    <w:rsid w:val="00332097"/>
    <w:rsid w:val="00333825"/>
    <w:rsid w:val="003342BA"/>
    <w:rsid w:val="00337B7F"/>
    <w:rsid w:val="003413A7"/>
    <w:rsid w:val="0034369E"/>
    <w:rsid w:val="003444EA"/>
    <w:rsid w:val="00344FCC"/>
    <w:rsid w:val="00345578"/>
    <w:rsid w:val="00345DA9"/>
    <w:rsid w:val="0034608B"/>
    <w:rsid w:val="003466C3"/>
    <w:rsid w:val="003468AE"/>
    <w:rsid w:val="00347317"/>
    <w:rsid w:val="00350075"/>
    <w:rsid w:val="003504E3"/>
    <w:rsid w:val="00351B0F"/>
    <w:rsid w:val="0035223A"/>
    <w:rsid w:val="0035226C"/>
    <w:rsid w:val="00353380"/>
    <w:rsid w:val="00353CEF"/>
    <w:rsid w:val="00353F32"/>
    <w:rsid w:val="003540CF"/>
    <w:rsid w:val="00355448"/>
    <w:rsid w:val="00355937"/>
    <w:rsid w:val="00356372"/>
    <w:rsid w:val="0035697C"/>
    <w:rsid w:val="0036048D"/>
    <w:rsid w:val="0036381B"/>
    <w:rsid w:val="00365E2F"/>
    <w:rsid w:val="0036720A"/>
    <w:rsid w:val="00367898"/>
    <w:rsid w:val="00371267"/>
    <w:rsid w:val="003734B8"/>
    <w:rsid w:val="0037475B"/>
    <w:rsid w:val="00380215"/>
    <w:rsid w:val="0038321F"/>
    <w:rsid w:val="00384179"/>
    <w:rsid w:val="00385AE3"/>
    <w:rsid w:val="00386616"/>
    <w:rsid w:val="00386E5F"/>
    <w:rsid w:val="00387AC3"/>
    <w:rsid w:val="003907F0"/>
    <w:rsid w:val="00393A29"/>
    <w:rsid w:val="00393E98"/>
    <w:rsid w:val="00395C03"/>
    <w:rsid w:val="003962D6"/>
    <w:rsid w:val="003968CC"/>
    <w:rsid w:val="003A0AF8"/>
    <w:rsid w:val="003A19D7"/>
    <w:rsid w:val="003A228A"/>
    <w:rsid w:val="003A3200"/>
    <w:rsid w:val="003A4FA7"/>
    <w:rsid w:val="003A5CD3"/>
    <w:rsid w:val="003A6C58"/>
    <w:rsid w:val="003A72E2"/>
    <w:rsid w:val="003A745A"/>
    <w:rsid w:val="003A7A7D"/>
    <w:rsid w:val="003B1054"/>
    <w:rsid w:val="003B1B29"/>
    <w:rsid w:val="003B30AC"/>
    <w:rsid w:val="003B33E4"/>
    <w:rsid w:val="003B39DF"/>
    <w:rsid w:val="003B452B"/>
    <w:rsid w:val="003B550D"/>
    <w:rsid w:val="003B6410"/>
    <w:rsid w:val="003B7053"/>
    <w:rsid w:val="003C10D9"/>
    <w:rsid w:val="003C3691"/>
    <w:rsid w:val="003C4E2B"/>
    <w:rsid w:val="003C77BE"/>
    <w:rsid w:val="003C7F4E"/>
    <w:rsid w:val="003D2CCE"/>
    <w:rsid w:val="003D48D0"/>
    <w:rsid w:val="003D498B"/>
    <w:rsid w:val="003D6BF0"/>
    <w:rsid w:val="003D6C2D"/>
    <w:rsid w:val="003E00A2"/>
    <w:rsid w:val="003E0A76"/>
    <w:rsid w:val="003E0CC6"/>
    <w:rsid w:val="003E128E"/>
    <w:rsid w:val="003E2ABD"/>
    <w:rsid w:val="003E3972"/>
    <w:rsid w:val="003E4B82"/>
    <w:rsid w:val="003E53C9"/>
    <w:rsid w:val="003E5D61"/>
    <w:rsid w:val="003F026B"/>
    <w:rsid w:val="003F1165"/>
    <w:rsid w:val="003F35B6"/>
    <w:rsid w:val="004025C1"/>
    <w:rsid w:val="00402665"/>
    <w:rsid w:val="004029E4"/>
    <w:rsid w:val="00403158"/>
    <w:rsid w:val="004034FE"/>
    <w:rsid w:val="0040386E"/>
    <w:rsid w:val="00403A43"/>
    <w:rsid w:val="004109BB"/>
    <w:rsid w:val="00412965"/>
    <w:rsid w:val="00413FB3"/>
    <w:rsid w:val="00417E53"/>
    <w:rsid w:val="00421275"/>
    <w:rsid w:val="00421C2A"/>
    <w:rsid w:val="0042415D"/>
    <w:rsid w:val="00426E19"/>
    <w:rsid w:val="00427B0D"/>
    <w:rsid w:val="00427F8E"/>
    <w:rsid w:val="0043123A"/>
    <w:rsid w:val="0043139D"/>
    <w:rsid w:val="00431516"/>
    <w:rsid w:val="00433295"/>
    <w:rsid w:val="00434852"/>
    <w:rsid w:val="00435162"/>
    <w:rsid w:val="00435EC8"/>
    <w:rsid w:val="00436A71"/>
    <w:rsid w:val="00436B73"/>
    <w:rsid w:val="004378A0"/>
    <w:rsid w:val="00440664"/>
    <w:rsid w:val="00440E64"/>
    <w:rsid w:val="00442F4B"/>
    <w:rsid w:val="0044311D"/>
    <w:rsid w:val="00443A03"/>
    <w:rsid w:val="00444E94"/>
    <w:rsid w:val="00445A58"/>
    <w:rsid w:val="00446708"/>
    <w:rsid w:val="00450BB3"/>
    <w:rsid w:val="004545C2"/>
    <w:rsid w:val="00456AA8"/>
    <w:rsid w:val="00457251"/>
    <w:rsid w:val="00457C59"/>
    <w:rsid w:val="0046379A"/>
    <w:rsid w:val="00463C98"/>
    <w:rsid w:val="00464088"/>
    <w:rsid w:val="00464ED7"/>
    <w:rsid w:val="00464F62"/>
    <w:rsid w:val="00465586"/>
    <w:rsid w:val="00465758"/>
    <w:rsid w:val="00465783"/>
    <w:rsid w:val="0046657C"/>
    <w:rsid w:val="0046679D"/>
    <w:rsid w:val="004669F4"/>
    <w:rsid w:val="00467718"/>
    <w:rsid w:val="00470E54"/>
    <w:rsid w:val="0047121D"/>
    <w:rsid w:val="00471C06"/>
    <w:rsid w:val="00474E45"/>
    <w:rsid w:val="004752A5"/>
    <w:rsid w:val="004762E9"/>
    <w:rsid w:val="00476AA7"/>
    <w:rsid w:val="00476F82"/>
    <w:rsid w:val="00477D17"/>
    <w:rsid w:val="0048144E"/>
    <w:rsid w:val="004839A4"/>
    <w:rsid w:val="004846A9"/>
    <w:rsid w:val="004847D7"/>
    <w:rsid w:val="00485F64"/>
    <w:rsid w:val="00486146"/>
    <w:rsid w:val="00486996"/>
    <w:rsid w:val="00493C55"/>
    <w:rsid w:val="00494E03"/>
    <w:rsid w:val="00497456"/>
    <w:rsid w:val="004A640D"/>
    <w:rsid w:val="004A69EE"/>
    <w:rsid w:val="004A767F"/>
    <w:rsid w:val="004B031D"/>
    <w:rsid w:val="004B07E0"/>
    <w:rsid w:val="004B0AFE"/>
    <w:rsid w:val="004B17B5"/>
    <w:rsid w:val="004B4833"/>
    <w:rsid w:val="004B5008"/>
    <w:rsid w:val="004B5A88"/>
    <w:rsid w:val="004B5B68"/>
    <w:rsid w:val="004B6AC4"/>
    <w:rsid w:val="004B7587"/>
    <w:rsid w:val="004C155B"/>
    <w:rsid w:val="004C1A4F"/>
    <w:rsid w:val="004C32CD"/>
    <w:rsid w:val="004C41CC"/>
    <w:rsid w:val="004C587F"/>
    <w:rsid w:val="004D056B"/>
    <w:rsid w:val="004D0B11"/>
    <w:rsid w:val="004D222D"/>
    <w:rsid w:val="004D6BFB"/>
    <w:rsid w:val="004D7AF9"/>
    <w:rsid w:val="004E038F"/>
    <w:rsid w:val="004E0500"/>
    <w:rsid w:val="004E14D0"/>
    <w:rsid w:val="004E23EF"/>
    <w:rsid w:val="004E3125"/>
    <w:rsid w:val="004E4339"/>
    <w:rsid w:val="004E6942"/>
    <w:rsid w:val="004E6E66"/>
    <w:rsid w:val="004E73E0"/>
    <w:rsid w:val="004F0292"/>
    <w:rsid w:val="004F2868"/>
    <w:rsid w:val="004F2B9E"/>
    <w:rsid w:val="004F2E9C"/>
    <w:rsid w:val="004F4025"/>
    <w:rsid w:val="004F4BEE"/>
    <w:rsid w:val="00500269"/>
    <w:rsid w:val="00500342"/>
    <w:rsid w:val="00501033"/>
    <w:rsid w:val="0050136C"/>
    <w:rsid w:val="0050341C"/>
    <w:rsid w:val="00505095"/>
    <w:rsid w:val="00505E76"/>
    <w:rsid w:val="00506FC2"/>
    <w:rsid w:val="00510201"/>
    <w:rsid w:val="00510CD0"/>
    <w:rsid w:val="00512228"/>
    <w:rsid w:val="0051410A"/>
    <w:rsid w:val="00514281"/>
    <w:rsid w:val="00517045"/>
    <w:rsid w:val="00523C7A"/>
    <w:rsid w:val="00524E74"/>
    <w:rsid w:val="005250E0"/>
    <w:rsid w:val="00525572"/>
    <w:rsid w:val="0052679B"/>
    <w:rsid w:val="005270B1"/>
    <w:rsid w:val="00527665"/>
    <w:rsid w:val="00527A74"/>
    <w:rsid w:val="00530363"/>
    <w:rsid w:val="00531EE6"/>
    <w:rsid w:val="005330E0"/>
    <w:rsid w:val="00533224"/>
    <w:rsid w:val="005337E6"/>
    <w:rsid w:val="00533ED9"/>
    <w:rsid w:val="00535B84"/>
    <w:rsid w:val="00536A99"/>
    <w:rsid w:val="00537B96"/>
    <w:rsid w:val="00537CC3"/>
    <w:rsid w:val="00541EC4"/>
    <w:rsid w:val="00543D34"/>
    <w:rsid w:val="00546036"/>
    <w:rsid w:val="00547B2E"/>
    <w:rsid w:val="00550254"/>
    <w:rsid w:val="0055187F"/>
    <w:rsid w:val="005521E2"/>
    <w:rsid w:val="0055268B"/>
    <w:rsid w:val="005528DC"/>
    <w:rsid w:val="005544CC"/>
    <w:rsid w:val="00555131"/>
    <w:rsid w:val="00557D3C"/>
    <w:rsid w:val="00557EA2"/>
    <w:rsid w:val="00562A36"/>
    <w:rsid w:val="00563FC5"/>
    <w:rsid w:val="00564244"/>
    <w:rsid w:val="0056517C"/>
    <w:rsid w:val="00565C54"/>
    <w:rsid w:val="00570D34"/>
    <w:rsid w:val="005729BF"/>
    <w:rsid w:val="00572C27"/>
    <w:rsid w:val="005746B5"/>
    <w:rsid w:val="00574800"/>
    <w:rsid w:val="005763B4"/>
    <w:rsid w:val="00576C0A"/>
    <w:rsid w:val="00577B53"/>
    <w:rsid w:val="0058109B"/>
    <w:rsid w:val="00583C65"/>
    <w:rsid w:val="0058609B"/>
    <w:rsid w:val="0058799A"/>
    <w:rsid w:val="00590739"/>
    <w:rsid w:val="00590DB9"/>
    <w:rsid w:val="00592149"/>
    <w:rsid w:val="00592430"/>
    <w:rsid w:val="00592F5C"/>
    <w:rsid w:val="00593016"/>
    <w:rsid w:val="0059352A"/>
    <w:rsid w:val="00594C79"/>
    <w:rsid w:val="005A0AFB"/>
    <w:rsid w:val="005A22DA"/>
    <w:rsid w:val="005A39B6"/>
    <w:rsid w:val="005A45E7"/>
    <w:rsid w:val="005A4FC5"/>
    <w:rsid w:val="005A5319"/>
    <w:rsid w:val="005A5E09"/>
    <w:rsid w:val="005A7570"/>
    <w:rsid w:val="005B1CB2"/>
    <w:rsid w:val="005B2887"/>
    <w:rsid w:val="005B2F22"/>
    <w:rsid w:val="005B65FD"/>
    <w:rsid w:val="005B791F"/>
    <w:rsid w:val="005C1812"/>
    <w:rsid w:val="005C1C50"/>
    <w:rsid w:val="005C1C58"/>
    <w:rsid w:val="005C3A20"/>
    <w:rsid w:val="005C3C44"/>
    <w:rsid w:val="005C46F6"/>
    <w:rsid w:val="005C5A73"/>
    <w:rsid w:val="005C6A2E"/>
    <w:rsid w:val="005D0A54"/>
    <w:rsid w:val="005D3F50"/>
    <w:rsid w:val="005D3F7C"/>
    <w:rsid w:val="005E0FF9"/>
    <w:rsid w:val="005E3A67"/>
    <w:rsid w:val="005E43A5"/>
    <w:rsid w:val="005E4A4B"/>
    <w:rsid w:val="005E59CA"/>
    <w:rsid w:val="005E6F20"/>
    <w:rsid w:val="005F15F1"/>
    <w:rsid w:val="005F35A5"/>
    <w:rsid w:val="005F5591"/>
    <w:rsid w:val="005F58F7"/>
    <w:rsid w:val="005F6292"/>
    <w:rsid w:val="005F638D"/>
    <w:rsid w:val="005F6A06"/>
    <w:rsid w:val="006004C0"/>
    <w:rsid w:val="006036F2"/>
    <w:rsid w:val="006050A5"/>
    <w:rsid w:val="0060637C"/>
    <w:rsid w:val="00607684"/>
    <w:rsid w:val="00607BD6"/>
    <w:rsid w:val="00610B1C"/>
    <w:rsid w:val="00611620"/>
    <w:rsid w:val="00611715"/>
    <w:rsid w:val="00614AD7"/>
    <w:rsid w:val="00617BAE"/>
    <w:rsid w:val="00620F83"/>
    <w:rsid w:val="00620FD0"/>
    <w:rsid w:val="00621101"/>
    <w:rsid w:val="0062158E"/>
    <w:rsid w:val="00626797"/>
    <w:rsid w:val="00626B53"/>
    <w:rsid w:val="006276FA"/>
    <w:rsid w:val="006300C0"/>
    <w:rsid w:val="0063431C"/>
    <w:rsid w:val="00634BB8"/>
    <w:rsid w:val="00642B6B"/>
    <w:rsid w:val="0064399F"/>
    <w:rsid w:val="00646868"/>
    <w:rsid w:val="00653F4A"/>
    <w:rsid w:val="006542DD"/>
    <w:rsid w:val="006564F7"/>
    <w:rsid w:val="00656A89"/>
    <w:rsid w:val="00657595"/>
    <w:rsid w:val="00657BCD"/>
    <w:rsid w:val="00657E59"/>
    <w:rsid w:val="00661B91"/>
    <w:rsid w:val="006639FF"/>
    <w:rsid w:val="00665970"/>
    <w:rsid w:val="00665BD3"/>
    <w:rsid w:val="006665F9"/>
    <w:rsid w:val="00666E54"/>
    <w:rsid w:val="00670FC1"/>
    <w:rsid w:val="00671547"/>
    <w:rsid w:val="006717BF"/>
    <w:rsid w:val="006734F0"/>
    <w:rsid w:val="00673C28"/>
    <w:rsid w:val="006751D9"/>
    <w:rsid w:val="006758F1"/>
    <w:rsid w:val="00675FE5"/>
    <w:rsid w:val="006775EE"/>
    <w:rsid w:val="00677C28"/>
    <w:rsid w:val="00681DBF"/>
    <w:rsid w:val="00682847"/>
    <w:rsid w:val="00682CA7"/>
    <w:rsid w:val="00683A41"/>
    <w:rsid w:val="0068470D"/>
    <w:rsid w:val="006852E2"/>
    <w:rsid w:val="00687ABD"/>
    <w:rsid w:val="00690230"/>
    <w:rsid w:val="00690304"/>
    <w:rsid w:val="00690BAC"/>
    <w:rsid w:val="00693793"/>
    <w:rsid w:val="006938BC"/>
    <w:rsid w:val="006943A8"/>
    <w:rsid w:val="00694770"/>
    <w:rsid w:val="006975F1"/>
    <w:rsid w:val="006A386C"/>
    <w:rsid w:val="006A57FC"/>
    <w:rsid w:val="006A7365"/>
    <w:rsid w:val="006B052A"/>
    <w:rsid w:val="006B16D9"/>
    <w:rsid w:val="006B433B"/>
    <w:rsid w:val="006B5BFA"/>
    <w:rsid w:val="006B6351"/>
    <w:rsid w:val="006C0F08"/>
    <w:rsid w:val="006C187B"/>
    <w:rsid w:val="006C1F43"/>
    <w:rsid w:val="006C347D"/>
    <w:rsid w:val="006C414F"/>
    <w:rsid w:val="006C60E6"/>
    <w:rsid w:val="006C676A"/>
    <w:rsid w:val="006D0784"/>
    <w:rsid w:val="006D0F2D"/>
    <w:rsid w:val="006D1198"/>
    <w:rsid w:val="006D134E"/>
    <w:rsid w:val="006D25F6"/>
    <w:rsid w:val="006D25F7"/>
    <w:rsid w:val="006D41CA"/>
    <w:rsid w:val="006D43F5"/>
    <w:rsid w:val="006D5078"/>
    <w:rsid w:val="006D5281"/>
    <w:rsid w:val="006D6C35"/>
    <w:rsid w:val="006D770B"/>
    <w:rsid w:val="006E17F0"/>
    <w:rsid w:val="006E23CB"/>
    <w:rsid w:val="006E242D"/>
    <w:rsid w:val="006E7108"/>
    <w:rsid w:val="006F1E08"/>
    <w:rsid w:val="006F26D9"/>
    <w:rsid w:val="006F27F9"/>
    <w:rsid w:val="006F67B0"/>
    <w:rsid w:val="006F6F28"/>
    <w:rsid w:val="006F7843"/>
    <w:rsid w:val="006F7B99"/>
    <w:rsid w:val="0070319E"/>
    <w:rsid w:val="007044F9"/>
    <w:rsid w:val="00704C6E"/>
    <w:rsid w:val="00706708"/>
    <w:rsid w:val="00707CDB"/>
    <w:rsid w:val="00710591"/>
    <w:rsid w:val="00712BB5"/>
    <w:rsid w:val="00712C95"/>
    <w:rsid w:val="00713398"/>
    <w:rsid w:val="00713747"/>
    <w:rsid w:val="00714A6D"/>
    <w:rsid w:val="00716376"/>
    <w:rsid w:val="00716539"/>
    <w:rsid w:val="00716B31"/>
    <w:rsid w:val="00716CA6"/>
    <w:rsid w:val="00716EA4"/>
    <w:rsid w:val="00717CF6"/>
    <w:rsid w:val="00721FAC"/>
    <w:rsid w:val="00722AA3"/>
    <w:rsid w:val="00722F22"/>
    <w:rsid w:val="00723ED1"/>
    <w:rsid w:val="00725446"/>
    <w:rsid w:val="007259EF"/>
    <w:rsid w:val="00725A65"/>
    <w:rsid w:val="00734F73"/>
    <w:rsid w:val="00735302"/>
    <w:rsid w:val="00735A8C"/>
    <w:rsid w:val="00735A97"/>
    <w:rsid w:val="00736633"/>
    <w:rsid w:val="00740D1F"/>
    <w:rsid w:val="0074222F"/>
    <w:rsid w:val="00744331"/>
    <w:rsid w:val="00744C20"/>
    <w:rsid w:val="00745510"/>
    <w:rsid w:val="00747FE2"/>
    <w:rsid w:val="0075411A"/>
    <w:rsid w:val="00760305"/>
    <w:rsid w:val="007623AF"/>
    <w:rsid w:val="007627D1"/>
    <w:rsid w:val="007634D6"/>
    <w:rsid w:val="007651CA"/>
    <w:rsid w:val="00765C98"/>
    <w:rsid w:val="00766D86"/>
    <w:rsid w:val="0077111B"/>
    <w:rsid w:val="00771BF0"/>
    <w:rsid w:val="00772398"/>
    <w:rsid w:val="007744A4"/>
    <w:rsid w:val="00775889"/>
    <w:rsid w:val="007762F3"/>
    <w:rsid w:val="0077684E"/>
    <w:rsid w:val="007775AB"/>
    <w:rsid w:val="00777DB5"/>
    <w:rsid w:val="00780DD7"/>
    <w:rsid w:val="00783201"/>
    <w:rsid w:val="00783545"/>
    <w:rsid w:val="0078494E"/>
    <w:rsid w:val="007857E1"/>
    <w:rsid w:val="00790F51"/>
    <w:rsid w:val="00793317"/>
    <w:rsid w:val="00794D61"/>
    <w:rsid w:val="00797103"/>
    <w:rsid w:val="0079761A"/>
    <w:rsid w:val="007A1675"/>
    <w:rsid w:val="007A1C37"/>
    <w:rsid w:val="007A3DC6"/>
    <w:rsid w:val="007A4422"/>
    <w:rsid w:val="007A482A"/>
    <w:rsid w:val="007A4AF9"/>
    <w:rsid w:val="007B054D"/>
    <w:rsid w:val="007B0EDB"/>
    <w:rsid w:val="007B23BC"/>
    <w:rsid w:val="007B39CB"/>
    <w:rsid w:val="007B39EE"/>
    <w:rsid w:val="007B6B94"/>
    <w:rsid w:val="007B7139"/>
    <w:rsid w:val="007B7B10"/>
    <w:rsid w:val="007C018F"/>
    <w:rsid w:val="007C02F6"/>
    <w:rsid w:val="007C18AF"/>
    <w:rsid w:val="007C2975"/>
    <w:rsid w:val="007C3E73"/>
    <w:rsid w:val="007C5D2C"/>
    <w:rsid w:val="007D1F3F"/>
    <w:rsid w:val="007D291D"/>
    <w:rsid w:val="007D3F19"/>
    <w:rsid w:val="007D628C"/>
    <w:rsid w:val="007D6F06"/>
    <w:rsid w:val="007D742D"/>
    <w:rsid w:val="007E01DC"/>
    <w:rsid w:val="007E0CA4"/>
    <w:rsid w:val="007E1C1F"/>
    <w:rsid w:val="007E756B"/>
    <w:rsid w:val="007E7813"/>
    <w:rsid w:val="007E7FE4"/>
    <w:rsid w:val="007F05C3"/>
    <w:rsid w:val="007F1621"/>
    <w:rsid w:val="007F2C65"/>
    <w:rsid w:val="007F4D74"/>
    <w:rsid w:val="007F6739"/>
    <w:rsid w:val="007F68A8"/>
    <w:rsid w:val="00802052"/>
    <w:rsid w:val="008024EC"/>
    <w:rsid w:val="00802DBC"/>
    <w:rsid w:val="00807135"/>
    <w:rsid w:val="008111EC"/>
    <w:rsid w:val="0081247C"/>
    <w:rsid w:val="008125E9"/>
    <w:rsid w:val="00812954"/>
    <w:rsid w:val="00813A75"/>
    <w:rsid w:val="0081410F"/>
    <w:rsid w:val="00816CB8"/>
    <w:rsid w:val="008172CE"/>
    <w:rsid w:val="00817F25"/>
    <w:rsid w:val="00821097"/>
    <w:rsid w:val="0082374E"/>
    <w:rsid w:val="00824717"/>
    <w:rsid w:val="00826FC4"/>
    <w:rsid w:val="008300A2"/>
    <w:rsid w:val="0083165A"/>
    <w:rsid w:val="008316D6"/>
    <w:rsid w:val="00834B82"/>
    <w:rsid w:val="008367F3"/>
    <w:rsid w:val="00837465"/>
    <w:rsid w:val="00837F28"/>
    <w:rsid w:val="00843B97"/>
    <w:rsid w:val="0084500F"/>
    <w:rsid w:val="00845C91"/>
    <w:rsid w:val="008477F4"/>
    <w:rsid w:val="00847D3C"/>
    <w:rsid w:val="00847F1F"/>
    <w:rsid w:val="00853EB3"/>
    <w:rsid w:val="00855671"/>
    <w:rsid w:val="00855DE7"/>
    <w:rsid w:val="008571CE"/>
    <w:rsid w:val="00860856"/>
    <w:rsid w:val="008608C8"/>
    <w:rsid w:val="00862D15"/>
    <w:rsid w:val="00865C42"/>
    <w:rsid w:val="00865E6E"/>
    <w:rsid w:val="00870DDA"/>
    <w:rsid w:val="00872371"/>
    <w:rsid w:val="00872712"/>
    <w:rsid w:val="00880A4C"/>
    <w:rsid w:val="00884755"/>
    <w:rsid w:val="0089271D"/>
    <w:rsid w:val="00892E10"/>
    <w:rsid w:val="00893155"/>
    <w:rsid w:val="00895CA2"/>
    <w:rsid w:val="0089667A"/>
    <w:rsid w:val="008A62A3"/>
    <w:rsid w:val="008A6320"/>
    <w:rsid w:val="008A67CF"/>
    <w:rsid w:val="008B26E1"/>
    <w:rsid w:val="008B3A8F"/>
    <w:rsid w:val="008B48D5"/>
    <w:rsid w:val="008B5500"/>
    <w:rsid w:val="008C0231"/>
    <w:rsid w:val="008C05B3"/>
    <w:rsid w:val="008C25B7"/>
    <w:rsid w:val="008C4017"/>
    <w:rsid w:val="008C5BFA"/>
    <w:rsid w:val="008C6E4F"/>
    <w:rsid w:val="008D053E"/>
    <w:rsid w:val="008D0926"/>
    <w:rsid w:val="008D18AA"/>
    <w:rsid w:val="008D27C7"/>
    <w:rsid w:val="008D4D3B"/>
    <w:rsid w:val="008E1DCB"/>
    <w:rsid w:val="008E1E1A"/>
    <w:rsid w:val="008E3692"/>
    <w:rsid w:val="008E3916"/>
    <w:rsid w:val="008E3BAC"/>
    <w:rsid w:val="008E3E9E"/>
    <w:rsid w:val="008E42AD"/>
    <w:rsid w:val="008E54B0"/>
    <w:rsid w:val="008E6ED3"/>
    <w:rsid w:val="008F3D22"/>
    <w:rsid w:val="008F7CB0"/>
    <w:rsid w:val="00900EF2"/>
    <w:rsid w:val="00902674"/>
    <w:rsid w:val="0090390E"/>
    <w:rsid w:val="00903B5C"/>
    <w:rsid w:val="009050FC"/>
    <w:rsid w:val="0090516F"/>
    <w:rsid w:val="009054C1"/>
    <w:rsid w:val="0090564F"/>
    <w:rsid w:val="00910A63"/>
    <w:rsid w:val="00910A90"/>
    <w:rsid w:val="00910E6C"/>
    <w:rsid w:val="00911023"/>
    <w:rsid w:val="0091229F"/>
    <w:rsid w:val="00912AF1"/>
    <w:rsid w:val="00912E6F"/>
    <w:rsid w:val="00913904"/>
    <w:rsid w:val="00913B68"/>
    <w:rsid w:val="00915209"/>
    <w:rsid w:val="00924300"/>
    <w:rsid w:val="00924625"/>
    <w:rsid w:val="009270B8"/>
    <w:rsid w:val="009309A9"/>
    <w:rsid w:val="00931622"/>
    <w:rsid w:val="00932922"/>
    <w:rsid w:val="00933649"/>
    <w:rsid w:val="009370A7"/>
    <w:rsid w:val="00940013"/>
    <w:rsid w:val="00940108"/>
    <w:rsid w:val="0094103D"/>
    <w:rsid w:val="009429F4"/>
    <w:rsid w:val="0094338F"/>
    <w:rsid w:val="00944B4A"/>
    <w:rsid w:val="009451FD"/>
    <w:rsid w:val="00946245"/>
    <w:rsid w:val="00946CB9"/>
    <w:rsid w:val="0094738A"/>
    <w:rsid w:val="00947B31"/>
    <w:rsid w:val="00951A7A"/>
    <w:rsid w:val="00951FFA"/>
    <w:rsid w:val="009521C3"/>
    <w:rsid w:val="00952B1C"/>
    <w:rsid w:val="00953724"/>
    <w:rsid w:val="009542B4"/>
    <w:rsid w:val="00954BC5"/>
    <w:rsid w:val="009551BA"/>
    <w:rsid w:val="00957065"/>
    <w:rsid w:val="00961478"/>
    <w:rsid w:val="009640C5"/>
    <w:rsid w:val="009643D6"/>
    <w:rsid w:val="00964473"/>
    <w:rsid w:val="00966239"/>
    <w:rsid w:val="0096636B"/>
    <w:rsid w:val="009663C1"/>
    <w:rsid w:val="00966BF2"/>
    <w:rsid w:val="0097122E"/>
    <w:rsid w:val="009716EF"/>
    <w:rsid w:val="00971B03"/>
    <w:rsid w:val="00972E3F"/>
    <w:rsid w:val="00974EAA"/>
    <w:rsid w:val="0097683B"/>
    <w:rsid w:val="00981BA7"/>
    <w:rsid w:val="00981BCE"/>
    <w:rsid w:val="00984218"/>
    <w:rsid w:val="00984F50"/>
    <w:rsid w:val="00985E56"/>
    <w:rsid w:val="00987748"/>
    <w:rsid w:val="00993449"/>
    <w:rsid w:val="009935DA"/>
    <w:rsid w:val="00995CF4"/>
    <w:rsid w:val="009970F3"/>
    <w:rsid w:val="009A036C"/>
    <w:rsid w:val="009A046F"/>
    <w:rsid w:val="009A1801"/>
    <w:rsid w:val="009A1A08"/>
    <w:rsid w:val="009B1444"/>
    <w:rsid w:val="009B2729"/>
    <w:rsid w:val="009B2FB1"/>
    <w:rsid w:val="009B378C"/>
    <w:rsid w:val="009B3D63"/>
    <w:rsid w:val="009C32E4"/>
    <w:rsid w:val="009C3931"/>
    <w:rsid w:val="009C749A"/>
    <w:rsid w:val="009D0D60"/>
    <w:rsid w:val="009D31A4"/>
    <w:rsid w:val="009D3777"/>
    <w:rsid w:val="009D3FC9"/>
    <w:rsid w:val="009D76CE"/>
    <w:rsid w:val="009E03E7"/>
    <w:rsid w:val="009E1DC1"/>
    <w:rsid w:val="009E4813"/>
    <w:rsid w:val="009E58D4"/>
    <w:rsid w:val="009E5EC4"/>
    <w:rsid w:val="009F3DF8"/>
    <w:rsid w:val="009F514A"/>
    <w:rsid w:val="009F63AF"/>
    <w:rsid w:val="009F779F"/>
    <w:rsid w:val="009F790F"/>
    <w:rsid w:val="00A0090D"/>
    <w:rsid w:val="00A01C84"/>
    <w:rsid w:val="00A027C6"/>
    <w:rsid w:val="00A03267"/>
    <w:rsid w:val="00A039C8"/>
    <w:rsid w:val="00A04A61"/>
    <w:rsid w:val="00A051C2"/>
    <w:rsid w:val="00A078E5"/>
    <w:rsid w:val="00A079C2"/>
    <w:rsid w:val="00A1084C"/>
    <w:rsid w:val="00A10CC9"/>
    <w:rsid w:val="00A111F1"/>
    <w:rsid w:val="00A12F63"/>
    <w:rsid w:val="00A17969"/>
    <w:rsid w:val="00A22DDC"/>
    <w:rsid w:val="00A3122C"/>
    <w:rsid w:val="00A32F24"/>
    <w:rsid w:val="00A3436D"/>
    <w:rsid w:val="00A34742"/>
    <w:rsid w:val="00A4234E"/>
    <w:rsid w:val="00A42796"/>
    <w:rsid w:val="00A43480"/>
    <w:rsid w:val="00A43860"/>
    <w:rsid w:val="00A44642"/>
    <w:rsid w:val="00A44FFB"/>
    <w:rsid w:val="00A45A50"/>
    <w:rsid w:val="00A46E87"/>
    <w:rsid w:val="00A50FF3"/>
    <w:rsid w:val="00A556A8"/>
    <w:rsid w:val="00A55D46"/>
    <w:rsid w:val="00A56EEE"/>
    <w:rsid w:val="00A57300"/>
    <w:rsid w:val="00A613D7"/>
    <w:rsid w:val="00A62EB9"/>
    <w:rsid w:val="00A64265"/>
    <w:rsid w:val="00A66942"/>
    <w:rsid w:val="00A66B1C"/>
    <w:rsid w:val="00A67CBD"/>
    <w:rsid w:val="00A71F94"/>
    <w:rsid w:val="00A730A1"/>
    <w:rsid w:val="00A74047"/>
    <w:rsid w:val="00A74EF1"/>
    <w:rsid w:val="00A7538E"/>
    <w:rsid w:val="00A75556"/>
    <w:rsid w:val="00A77BA4"/>
    <w:rsid w:val="00A77BEF"/>
    <w:rsid w:val="00A8253E"/>
    <w:rsid w:val="00A85C94"/>
    <w:rsid w:val="00A90402"/>
    <w:rsid w:val="00A92E46"/>
    <w:rsid w:val="00A941B7"/>
    <w:rsid w:val="00A960CC"/>
    <w:rsid w:val="00AA1E2A"/>
    <w:rsid w:val="00AA22D3"/>
    <w:rsid w:val="00AA61E0"/>
    <w:rsid w:val="00AA64CC"/>
    <w:rsid w:val="00AA6A86"/>
    <w:rsid w:val="00AA74AF"/>
    <w:rsid w:val="00AB1098"/>
    <w:rsid w:val="00AB269A"/>
    <w:rsid w:val="00AB6816"/>
    <w:rsid w:val="00AB7825"/>
    <w:rsid w:val="00AC02BB"/>
    <w:rsid w:val="00AC27A4"/>
    <w:rsid w:val="00AC2DD7"/>
    <w:rsid w:val="00AC2F7C"/>
    <w:rsid w:val="00AC426B"/>
    <w:rsid w:val="00AC49DB"/>
    <w:rsid w:val="00AC5A79"/>
    <w:rsid w:val="00AC740A"/>
    <w:rsid w:val="00AD0D09"/>
    <w:rsid w:val="00AD2B99"/>
    <w:rsid w:val="00AD3139"/>
    <w:rsid w:val="00AE10F2"/>
    <w:rsid w:val="00AE5CF7"/>
    <w:rsid w:val="00AE6583"/>
    <w:rsid w:val="00AF124F"/>
    <w:rsid w:val="00AF1345"/>
    <w:rsid w:val="00AF2DD1"/>
    <w:rsid w:val="00AF43A3"/>
    <w:rsid w:val="00AF5898"/>
    <w:rsid w:val="00AF5BAF"/>
    <w:rsid w:val="00AF754D"/>
    <w:rsid w:val="00AF7B74"/>
    <w:rsid w:val="00B00817"/>
    <w:rsid w:val="00B0140F"/>
    <w:rsid w:val="00B016A8"/>
    <w:rsid w:val="00B028C0"/>
    <w:rsid w:val="00B0370C"/>
    <w:rsid w:val="00B042C7"/>
    <w:rsid w:val="00B04CB2"/>
    <w:rsid w:val="00B0712F"/>
    <w:rsid w:val="00B0788D"/>
    <w:rsid w:val="00B1073E"/>
    <w:rsid w:val="00B116A1"/>
    <w:rsid w:val="00B12584"/>
    <w:rsid w:val="00B12FCD"/>
    <w:rsid w:val="00B14EB0"/>
    <w:rsid w:val="00B15460"/>
    <w:rsid w:val="00B2120E"/>
    <w:rsid w:val="00B22D90"/>
    <w:rsid w:val="00B23650"/>
    <w:rsid w:val="00B2401A"/>
    <w:rsid w:val="00B25864"/>
    <w:rsid w:val="00B25C45"/>
    <w:rsid w:val="00B26F1E"/>
    <w:rsid w:val="00B27AE6"/>
    <w:rsid w:val="00B27D9C"/>
    <w:rsid w:val="00B30DF5"/>
    <w:rsid w:val="00B3105A"/>
    <w:rsid w:val="00B34A82"/>
    <w:rsid w:val="00B370AE"/>
    <w:rsid w:val="00B37A84"/>
    <w:rsid w:val="00B425AF"/>
    <w:rsid w:val="00B429AC"/>
    <w:rsid w:val="00B4363D"/>
    <w:rsid w:val="00B43F0E"/>
    <w:rsid w:val="00B6138B"/>
    <w:rsid w:val="00B61A6A"/>
    <w:rsid w:val="00B630EF"/>
    <w:rsid w:val="00B63387"/>
    <w:rsid w:val="00B641C8"/>
    <w:rsid w:val="00B64E65"/>
    <w:rsid w:val="00B6591D"/>
    <w:rsid w:val="00B6645A"/>
    <w:rsid w:val="00B672B8"/>
    <w:rsid w:val="00B70917"/>
    <w:rsid w:val="00B710EC"/>
    <w:rsid w:val="00B72F40"/>
    <w:rsid w:val="00B76B8C"/>
    <w:rsid w:val="00B80247"/>
    <w:rsid w:val="00B809F6"/>
    <w:rsid w:val="00B80ADF"/>
    <w:rsid w:val="00B8211E"/>
    <w:rsid w:val="00B82747"/>
    <w:rsid w:val="00B85378"/>
    <w:rsid w:val="00B85B31"/>
    <w:rsid w:val="00B87C1F"/>
    <w:rsid w:val="00B93220"/>
    <w:rsid w:val="00B93589"/>
    <w:rsid w:val="00B94BAE"/>
    <w:rsid w:val="00BA05A1"/>
    <w:rsid w:val="00BA0660"/>
    <w:rsid w:val="00BA142E"/>
    <w:rsid w:val="00BA2E05"/>
    <w:rsid w:val="00BA2EB3"/>
    <w:rsid w:val="00BA33C1"/>
    <w:rsid w:val="00BA4DDA"/>
    <w:rsid w:val="00BA7077"/>
    <w:rsid w:val="00BB05D3"/>
    <w:rsid w:val="00BB1882"/>
    <w:rsid w:val="00BB23A8"/>
    <w:rsid w:val="00BB2FEA"/>
    <w:rsid w:val="00BB3750"/>
    <w:rsid w:val="00BB543F"/>
    <w:rsid w:val="00BB5A15"/>
    <w:rsid w:val="00BB7121"/>
    <w:rsid w:val="00BC4AC1"/>
    <w:rsid w:val="00BC4B12"/>
    <w:rsid w:val="00BC5805"/>
    <w:rsid w:val="00BC6C52"/>
    <w:rsid w:val="00BD1745"/>
    <w:rsid w:val="00BD36A5"/>
    <w:rsid w:val="00BD4370"/>
    <w:rsid w:val="00BD49EF"/>
    <w:rsid w:val="00BD53F7"/>
    <w:rsid w:val="00BE02D3"/>
    <w:rsid w:val="00BE3197"/>
    <w:rsid w:val="00BE46AC"/>
    <w:rsid w:val="00BE4A8F"/>
    <w:rsid w:val="00BE4E25"/>
    <w:rsid w:val="00BE5D85"/>
    <w:rsid w:val="00BE6501"/>
    <w:rsid w:val="00BE6D96"/>
    <w:rsid w:val="00BE6F04"/>
    <w:rsid w:val="00BE7768"/>
    <w:rsid w:val="00BE7CD5"/>
    <w:rsid w:val="00BF0EAF"/>
    <w:rsid w:val="00BF0F31"/>
    <w:rsid w:val="00BF28F2"/>
    <w:rsid w:val="00BF32F8"/>
    <w:rsid w:val="00BF3FAD"/>
    <w:rsid w:val="00BF50DE"/>
    <w:rsid w:val="00BF5698"/>
    <w:rsid w:val="00BF6107"/>
    <w:rsid w:val="00BF6E02"/>
    <w:rsid w:val="00C001B4"/>
    <w:rsid w:val="00C017F7"/>
    <w:rsid w:val="00C01B5B"/>
    <w:rsid w:val="00C046D7"/>
    <w:rsid w:val="00C04F46"/>
    <w:rsid w:val="00C052B7"/>
    <w:rsid w:val="00C05793"/>
    <w:rsid w:val="00C0636C"/>
    <w:rsid w:val="00C07C65"/>
    <w:rsid w:val="00C103BA"/>
    <w:rsid w:val="00C10F4E"/>
    <w:rsid w:val="00C14398"/>
    <w:rsid w:val="00C2107B"/>
    <w:rsid w:val="00C2284C"/>
    <w:rsid w:val="00C22B1F"/>
    <w:rsid w:val="00C23023"/>
    <w:rsid w:val="00C2544B"/>
    <w:rsid w:val="00C34344"/>
    <w:rsid w:val="00C37E52"/>
    <w:rsid w:val="00C42940"/>
    <w:rsid w:val="00C44D12"/>
    <w:rsid w:val="00C44FBE"/>
    <w:rsid w:val="00C451F6"/>
    <w:rsid w:val="00C46F31"/>
    <w:rsid w:val="00C474B0"/>
    <w:rsid w:val="00C51DAF"/>
    <w:rsid w:val="00C5248C"/>
    <w:rsid w:val="00C53382"/>
    <w:rsid w:val="00C54261"/>
    <w:rsid w:val="00C5468B"/>
    <w:rsid w:val="00C6068F"/>
    <w:rsid w:val="00C65AF6"/>
    <w:rsid w:val="00C66D5D"/>
    <w:rsid w:val="00C734F0"/>
    <w:rsid w:val="00C77D1A"/>
    <w:rsid w:val="00C77F18"/>
    <w:rsid w:val="00C80E98"/>
    <w:rsid w:val="00C825F7"/>
    <w:rsid w:val="00C8297B"/>
    <w:rsid w:val="00C83581"/>
    <w:rsid w:val="00C84368"/>
    <w:rsid w:val="00C84410"/>
    <w:rsid w:val="00C863D3"/>
    <w:rsid w:val="00C87B72"/>
    <w:rsid w:val="00C945F2"/>
    <w:rsid w:val="00C94782"/>
    <w:rsid w:val="00C957A0"/>
    <w:rsid w:val="00CA40BF"/>
    <w:rsid w:val="00CA4665"/>
    <w:rsid w:val="00CA5AB9"/>
    <w:rsid w:val="00CB0B4C"/>
    <w:rsid w:val="00CB1E78"/>
    <w:rsid w:val="00CB1FCF"/>
    <w:rsid w:val="00CB612F"/>
    <w:rsid w:val="00CB7136"/>
    <w:rsid w:val="00CB7306"/>
    <w:rsid w:val="00CB7510"/>
    <w:rsid w:val="00CC0244"/>
    <w:rsid w:val="00CC12B8"/>
    <w:rsid w:val="00CC1714"/>
    <w:rsid w:val="00CC40D2"/>
    <w:rsid w:val="00CC53E7"/>
    <w:rsid w:val="00CD043A"/>
    <w:rsid w:val="00CD3A9B"/>
    <w:rsid w:val="00CD7CC4"/>
    <w:rsid w:val="00CE4264"/>
    <w:rsid w:val="00CE5152"/>
    <w:rsid w:val="00CE75CD"/>
    <w:rsid w:val="00CF04A9"/>
    <w:rsid w:val="00CF0DC9"/>
    <w:rsid w:val="00CF5248"/>
    <w:rsid w:val="00CF6BC9"/>
    <w:rsid w:val="00CF72F2"/>
    <w:rsid w:val="00CF75E3"/>
    <w:rsid w:val="00D02C81"/>
    <w:rsid w:val="00D04654"/>
    <w:rsid w:val="00D04670"/>
    <w:rsid w:val="00D04B99"/>
    <w:rsid w:val="00D04D37"/>
    <w:rsid w:val="00D05166"/>
    <w:rsid w:val="00D05B67"/>
    <w:rsid w:val="00D065D2"/>
    <w:rsid w:val="00D0739C"/>
    <w:rsid w:val="00D101D7"/>
    <w:rsid w:val="00D1256C"/>
    <w:rsid w:val="00D1321F"/>
    <w:rsid w:val="00D136B5"/>
    <w:rsid w:val="00D14FE9"/>
    <w:rsid w:val="00D156CA"/>
    <w:rsid w:val="00D15BD3"/>
    <w:rsid w:val="00D16F77"/>
    <w:rsid w:val="00D1743C"/>
    <w:rsid w:val="00D1787E"/>
    <w:rsid w:val="00D17E2D"/>
    <w:rsid w:val="00D20FD1"/>
    <w:rsid w:val="00D22C70"/>
    <w:rsid w:val="00D238A6"/>
    <w:rsid w:val="00D24074"/>
    <w:rsid w:val="00D242A1"/>
    <w:rsid w:val="00D24498"/>
    <w:rsid w:val="00D2542B"/>
    <w:rsid w:val="00D258E8"/>
    <w:rsid w:val="00D274CE"/>
    <w:rsid w:val="00D27B24"/>
    <w:rsid w:val="00D33B9A"/>
    <w:rsid w:val="00D355FE"/>
    <w:rsid w:val="00D356CA"/>
    <w:rsid w:val="00D37553"/>
    <w:rsid w:val="00D4061A"/>
    <w:rsid w:val="00D41520"/>
    <w:rsid w:val="00D421C1"/>
    <w:rsid w:val="00D4327A"/>
    <w:rsid w:val="00D448BC"/>
    <w:rsid w:val="00D44BAF"/>
    <w:rsid w:val="00D4541C"/>
    <w:rsid w:val="00D4617F"/>
    <w:rsid w:val="00D46F78"/>
    <w:rsid w:val="00D51B57"/>
    <w:rsid w:val="00D54D2C"/>
    <w:rsid w:val="00D573D8"/>
    <w:rsid w:val="00D61790"/>
    <w:rsid w:val="00D635C1"/>
    <w:rsid w:val="00D66B2B"/>
    <w:rsid w:val="00D676BA"/>
    <w:rsid w:val="00D70166"/>
    <w:rsid w:val="00D7488D"/>
    <w:rsid w:val="00D74930"/>
    <w:rsid w:val="00D802AF"/>
    <w:rsid w:val="00D80F1D"/>
    <w:rsid w:val="00D853AA"/>
    <w:rsid w:val="00D867F3"/>
    <w:rsid w:val="00D90F71"/>
    <w:rsid w:val="00D92D43"/>
    <w:rsid w:val="00D93C5E"/>
    <w:rsid w:val="00D94D9F"/>
    <w:rsid w:val="00D967F6"/>
    <w:rsid w:val="00D96CE9"/>
    <w:rsid w:val="00D978FF"/>
    <w:rsid w:val="00DA0BB7"/>
    <w:rsid w:val="00DA0CA9"/>
    <w:rsid w:val="00DA0D83"/>
    <w:rsid w:val="00DA4161"/>
    <w:rsid w:val="00DA5B57"/>
    <w:rsid w:val="00DB1DF3"/>
    <w:rsid w:val="00DB28B8"/>
    <w:rsid w:val="00DB296C"/>
    <w:rsid w:val="00DB4FE4"/>
    <w:rsid w:val="00DB5856"/>
    <w:rsid w:val="00DB5ED7"/>
    <w:rsid w:val="00DC2E0E"/>
    <w:rsid w:val="00DC37C4"/>
    <w:rsid w:val="00DC487D"/>
    <w:rsid w:val="00DC4BAF"/>
    <w:rsid w:val="00DC57C0"/>
    <w:rsid w:val="00DC7378"/>
    <w:rsid w:val="00DC7618"/>
    <w:rsid w:val="00DC7BAF"/>
    <w:rsid w:val="00DD187E"/>
    <w:rsid w:val="00DD1D57"/>
    <w:rsid w:val="00DD3F09"/>
    <w:rsid w:val="00DD56BF"/>
    <w:rsid w:val="00DD7DFD"/>
    <w:rsid w:val="00DE080C"/>
    <w:rsid w:val="00DE1678"/>
    <w:rsid w:val="00DE1841"/>
    <w:rsid w:val="00DE2967"/>
    <w:rsid w:val="00DE317F"/>
    <w:rsid w:val="00DE6CA0"/>
    <w:rsid w:val="00DE7544"/>
    <w:rsid w:val="00DF021B"/>
    <w:rsid w:val="00DF03F0"/>
    <w:rsid w:val="00DF4104"/>
    <w:rsid w:val="00DF448B"/>
    <w:rsid w:val="00DF74B3"/>
    <w:rsid w:val="00DF775D"/>
    <w:rsid w:val="00DF7E7D"/>
    <w:rsid w:val="00E009F0"/>
    <w:rsid w:val="00E058A6"/>
    <w:rsid w:val="00E07852"/>
    <w:rsid w:val="00E131F0"/>
    <w:rsid w:val="00E13AC9"/>
    <w:rsid w:val="00E146F1"/>
    <w:rsid w:val="00E14AFB"/>
    <w:rsid w:val="00E15336"/>
    <w:rsid w:val="00E16FAD"/>
    <w:rsid w:val="00E2044B"/>
    <w:rsid w:val="00E2050D"/>
    <w:rsid w:val="00E237A8"/>
    <w:rsid w:val="00E23DE4"/>
    <w:rsid w:val="00E278A3"/>
    <w:rsid w:val="00E33832"/>
    <w:rsid w:val="00E34301"/>
    <w:rsid w:val="00E36F47"/>
    <w:rsid w:val="00E41B84"/>
    <w:rsid w:val="00E43A3E"/>
    <w:rsid w:val="00E44EEC"/>
    <w:rsid w:val="00E44F72"/>
    <w:rsid w:val="00E45A2A"/>
    <w:rsid w:val="00E45A44"/>
    <w:rsid w:val="00E46B06"/>
    <w:rsid w:val="00E46D97"/>
    <w:rsid w:val="00E46E9E"/>
    <w:rsid w:val="00E47439"/>
    <w:rsid w:val="00E510F9"/>
    <w:rsid w:val="00E51452"/>
    <w:rsid w:val="00E54091"/>
    <w:rsid w:val="00E54DDC"/>
    <w:rsid w:val="00E6250A"/>
    <w:rsid w:val="00E6514E"/>
    <w:rsid w:val="00E65D5C"/>
    <w:rsid w:val="00E6750C"/>
    <w:rsid w:val="00E70444"/>
    <w:rsid w:val="00E7051F"/>
    <w:rsid w:val="00E70A72"/>
    <w:rsid w:val="00E725A6"/>
    <w:rsid w:val="00E74295"/>
    <w:rsid w:val="00E74B45"/>
    <w:rsid w:val="00E7552D"/>
    <w:rsid w:val="00E75C30"/>
    <w:rsid w:val="00E77B41"/>
    <w:rsid w:val="00E77DD9"/>
    <w:rsid w:val="00E800EA"/>
    <w:rsid w:val="00E8092B"/>
    <w:rsid w:val="00E8240C"/>
    <w:rsid w:val="00E827EF"/>
    <w:rsid w:val="00E82E1E"/>
    <w:rsid w:val="00E92D77"/>
    <w:rsid w:val="00E971FD"/>
    <w:rsid w:val="00E97AF4"/>
    <w:rsid w:val="00EA1601"/>
    <w:rsid w:val="00EA20A5"/>
    <w:rsid w:val="00EA2197"/>
    <w:rsid w:val="00EA22F2"/>
    <w:rsid w:val="00EA232B"/>
    <w:rsid w:val="00EA30A0"/>
    <w:rsid w:val="00EA5041"/>
    <w:rsid w:val="00EA5FEB"/>
    <w:rsid w:val="00EA70CF"/>
    <w:rsid w:val="00EA7377"/>
    <w:rsid w:val="00EA773B"/>
    <w:rsid w:val="00EB21E5"/>
    <w:rsid w:val="00EB31B0"/>
    <w:rsid w:val="00EB4C7E"/>
    <w:rsid w:val="00EC07AD"/>
    <w:rsid w:val="00EC2CEC"/>
    <w:rsid w:val="00EC5A50"/>
    <w:rsid w:val="00EC7C5B"/>
    <w:rsid w:val="00ED152C"/>
    <w:rsid w:val="00ED1ADE"/>
    <w:rsid w:val="00ED1B0B"/>
    <w:rsid w:val="00ED3AF6"/>
    <w:rsid w:val="00ED7E05"/>
    <w:rsid w:val="00EE0C5D"/>
    <w:rsid w:val="00EE1A6E"/>
    <w:rsid w:val="00EE20E8"/>
    <w:rsid w:val="00EE3039"/>
    <w:rsid w:val="00EE38B5"/>
    <w:rsid w:val="00EE3F12"/>
    <w:rsid w:val="00EE5261"/>
    <w:rsid w:val="00EE5EBE"/>
    <w:rsid w:val="00EF0A99"/>
    <w:rsid w:val="00EF14E6"/>
    <w:rsid w:val="00EF1C1E"/>
    <w:rsid w:val="00EF4BDE"/>
    <w:rsid w:val="00EF56DB"/>
    <w:rsid w:val="00EF5F69"/>
    <w:rsid w:val="00EF73FF"/>
    <w:rsid w:val="00F00E76"/>
    <w:rsid w:val="00F02149"/>
    <w:rsid w:val="00F026D0"/>
    <w:rsid w:val="00F048A7"/>
    <w:rsid w:val="00F04949"/>
    <w:rsid w:val="00F06232"/>
    <w:rsid w:val="00F072E2"/>
    <w:rsid w:val="00F07AA7"/>
    <w:rsid w:val="00F103F9"/>
    <w:rsid w:val="00F10666"/>
    <w:rsid w:val="00F12220"/>
    <w:rsid w:val="00F13B14"/>
    <w:rsid w:val="00F14018"/>
    <w:rsid w:val="00F14856"/>
    <w:rsid w:val="00F1651F"/>
    <w:rsid w:val="00F237B0"/>
    <w:rsid w:val="00F2528C"/>
    <w:rsid w:val="00F25B49"/>
    <w:rsid w:val="00F31794"/>
    <w:rsid w:val="00F31F6A"/>
    <w:rsid w:val="00F33118"/>
    <w:rsid w:val="00F33520"/>
    <w:rsid w:val="00F3375B"/>
    <w:rsid w:val="00F35CF9"/>
    <w:rsid w:val="00F407B5"/>
    <w:rsid w:val="00F40A8F"/>
    <w:rsid w:val="00F42858"/>
    <w:rsid w:val="00F43A43"/>
    <w:rsid w:val="00F44397"/>
    <w:rsid w:val="00F46C20"/>
    <w:rsid w:val="00F507A6"/>
    <w:rsid w:val="00F532B2"/>
    <w:rsid w:val="00F56A14"/>
    <w:rsid w:val="00F609EB"/>
    <w:rsid w:val="00F60BBD"/>
    <w:rsid w:val="00F61B55"/>
    <w:rsid w:val="00F637C1"/>
    <w:rsid w:val="00F659D5"/>
    <w:rsid w:val="00F7004A"/>
    <w:rsid w:val="00F71DE3"/>
    <w:rsid w:val="00F721EF"/>
    <w:rsid w:val="00F7355B"/>
    <w:rsid w:val="00F74B6E"/>
    <w:rsid w:val="00F74CD0"/>
    <w:rsid w:val="00F77B9E"/>
    <w:rsid w:val="00F80D37"/>
    <w:rsid w:val="00F812DE"/>
    <w:rsid w:val="00F825AC"/>
    <w:rsid w:val="00F828DC"/>
    <w:rsid w:val="00F830BE"/>
    <w:rsid w:val="00F84200"/>
    <w:rsid w:val="00F84A87"/>
    <w:rsid w:val="00F85BAC"/>
    <w:rsid w:val="00F85E4D"/>
    <w:rsid w:val="00F866BC"/>
    <w:rsid w:val="00F91253"/>
    <w:rsid w:val="00F91730"/>
    <w:rsid w:val="00F94C9D"/>
    <w:rsid w:val="00F960C5"/>
    <w:rsid w:val="00FA024B"/>
    <w:rsid w:val="00FA07BF"/>
    <w:rsid w:val="00FA34B7"/>
    <w:rsid w:val="00FA5E56"/>
    <w:rsid w:val="00FA70CD"/>
    <w:rsid w:val="00FB02B4"/>
    <w:rsid w:val="00FB185F"/>
    <w:rsid w:val="00FB24B1"/>
    <w:rsid w:val="00FB4A88"/>
    <w:rsid w:val="00FB4DC3"/>
    <w:rsid w:val="00FB65C6"/>
    <w:rsid w:val="00FB6F73"/>
    <w:rsid w:val="00FB7A7A"/>
    <w:rsid w:val="00FC422A"/>
    <w:rsid w:val="00FC429E"/>
    <w:rsid w:val="00FC5B8A"/>
    <w:rsid w:val="00FC79EB"/>
    <w:rsid w:val="00FC7C8B"/>
    <w:rsid w:val="00FD0124"/>
    <w:rsid w:val="00FD08B5"/>
    <w:rsid w:val="00FD3BF0"/>
    <w:rsid w:val="00FD5669"/>
    <w:rsid w:val="00FD619F"/>
    <w:rsid w:val="00FE0FF3"/>
    <w:rsid w:val="00FE44DC"/>
    <w:rsid w:val="00FE4F0E"/>
    <w:rsid w:val="00FE51A4"/>
    <w:rsid w:val="00FE7243"/>
    <w:rsid w:val="00FF240E"/>
    <w:rsid w:val="00FF3CA9"/>
    <w:rsid w:val="00FF44F2"/>
    <w:rsid w:val="00FF552B"/>
    <w:rsid w:val="00FF6928"/>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3B"/>
    <w:pPr>
      <w:spacing w:after="240" w:line="260" w:lineRule="atLeast"/>
    </w:pPr>
    <w:rPr>
      <w:rFonts w:ascii="Cambria" w:hAnsi="Cambria"/>
    </w:rPr>
  </w:style>
  <w:style w:type="paragraph" w:styleId="Heading1">
    <w:name w:val="heading 1"/>
    <w:basedOn w:val="Normal"/>
    <w:next w:val="Normal"/>
    <w:link w:val="Heading1Char"/>
    <w:autoRedefine/>
    <w:qFormat/>
    <w:rsid w:val="00E44F72"/>
    <w:pPr>
      <w:keepNext/>
      <w:keepLines/>
      <w:pageBreakBefore/>
      <w:outlineLvl w:val="0"/>
    </w:pPr>
    <w:rPr>
      <w:rFonts w:ascii="Calibri" w:eastAsiaTheme="majorEastAsia" w:hAnsi="Calibri" w:cstheme="majorBidi"/>
      <w:b/>
      <w:bCs/>
      <w:color w:val="1795D2"/>
      <w:sz w:val="36"/>
      <w:szCs w:val="28"/>
    </w:rPr>
  </w:style>
  <w:style w:type="paragraph" w:styleId="Heading2">
    <w:name w:val="heading 2"/>
    <w:basedOn w:val="Normal"/>
    <w:next w:val="Normal"/>
    <w:link w:val="Heading2Char"/>
    <w:autoRedefine/>
    <w:qFormat/>
    <w:rsid w:val="00160BE1"/>
    <w:pPr>
      <w:keepNext/>
      <w:keepLines/>
      <w:pBdr>
        <w:bottom w:val="single" w:sz="2" w:space="1" w:color="auto"/>
      </w:pBdr>
      <w:spacing w:after="120"/>
      <w:outlineLvl w:val="1"/>
    </w:pPr>
    <w:rPr>
      <w:rFonts w:ascii="Calibri" w:eastAsia="Times New Roman" w:hAnsi="Calibri" w:cs="Times New Roman"/>
      <w:b/>
      <w:bCs/>
      <w:iCs/>
      <w:color w:val="000000"/>
      <w:sz w:val="24"/>
    </w:rPr>
  </w:style>
  <w:style w:type="paragraph" w:styleId="Heading3">
    <w:name w:val="heading 3"/>
    <w:basedOn w:val="Normal"/>
    <w:next w:val="Normal"/>
    <w:link w:val="Heading3Char1"/>
    <w:unhideWhenUsed/>
    <w:qFormat/>
    <w:rsid w:val="00160BE1"/>
    <w:pPr>
      <w:keepNext/>
      <w:keepLines/>
      <w:spacing w:after="120"/>
      <w:outlineLvl w:val="2"/>
    </w:pPr>
    <w:rPr>
      <w:rFonts w:ascii="Calibri" w:eastAsiaTheme="majorEastAsia" w:hAnsi="Calibri" w:cstheme="majorBidi"/>
      <w:b/>
      <w:bCs/>
      <w:sz w:val="20"/>
      <w:szCs w:val="20"/>
    </w:rPr>
  </w:style>
  <w:style w:type="paragraph" w:styleId="Heading4">
    <w:name w:val="heading 4"/>
    <w:basedOn w:val="Normal"/>
    <w:next w:val="Normal"/>
    <w:link w:val="Heading4Char"/>
    <w:unhideWhenUsed/>
    <w:qFormat/>
    <w:rsid w:val="00160BE1"/>
    <w:pPr>
      <w:keepNext/>
      <w:keepLines/>
      <w:spacing w:after="120"/>
      <w:outlineLvl w:val="3"/>
    </w:pPr>
    <w:rPr>
      <w:rFonts w:ascii="Calibri" w:eastAsiaTheme="majorEastAsia" w:hAnsi="Calibri" w:cstheme="majorBidi"/>
      <w:bCs/>
      <w:i/>
      <w:iCs/>
      <w:sz w:val="20"/>
      <w:szCs w:val="20"/>
    </w:rPr>
  </w:style>
  <w:style w:type="paragraph" w:styleId="Heading5">
    <w:name w:val="heading 5"/>
    <w:basedOn w:val="Normal"/>
    <w:next w:val="Normal"/>
    <w:link w:val="Heading5Char"/>
    <w:uiPriority w:val="9"/>
    <w:unhideWhenUsed/>
    <w:qFormat/>
    <w:rsid w:val="009716EF"/>
    <w:pPr>
      <w:keepNext/>
      <w:keepLines/>
      <w:spacing w:before="200" w:after="0"/>
      <w:outlineLvl w:val="4"/>
    </w:pPr>
    <w:rPr>
      <w:rFonts w:asciiTheme="majorHAnsi" w:eastAsiaTheme="majorEastAsia" w:hAnsiTheme="majorHAnsi" w:cstheme="majorBidi"/>
      <w:color w:val="0B496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25"/>
    <w:pPr>
      <w:ind w:left="720"/>
      <w:contextualSpacing/>
    </w:pPr>
  </w:style>
  <w:style w:type="paragraph" w:styleId="BalloonText">
    <w:name w:val="Balloon Text"/>
    <w:basedOn w:val="Normal"/>
    <w:link w:val="BalloonTextChar"/>
    <w:uiPriority w:val="99"/>
    <w:semiHidden/>
    <w:unhideWhenUsed/>
    <w:rsid w:val="003A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A7"/>
    <w:rPr>
      <w:rFonts w:ascii="Tahoma" w:hAnsi="Tahoma" w:cs="Tahoma"/>
      <w:sz w:val="16"/>
      <w:szCs w:val="16"/>
    </w:rPr>
  </w:style>
  <w:style w:type="table" w:styleId="LightGrid-Accent3">
    <w:name w:val="Light Grid Accent 3"/>
    <w:basedOn w:val="TableNormal"/>
    <w:uiPriority w:val="62"/>
    <w:rsid w:val="003C4E2B"/>
    <w:pPr>
      <w:spacing w:after="0" w:line="240" w:lineRule="auto"/>
    </w:pPr>
    <w:tblPr>
      <w:tblStyleRowBandSize w:val="1"/>
      <w:tblStyleColBandSize w:val="1"/>
      <w:tblBorders>
        <w:top w:val="single" w:sz="8" w:space="0" w:color="77BD2A" w:themeColor="accent3"/>
        <w:left w:val="single" w:sz="8" w:space="0" w:color="77BD2A" w:themeColor="accent3"/>
        <w:bottom w:val="single" w:sz="8" w:space="0" w:color="77BD2A" w:themeColor="accent3"/>
        <w:right w:val="single" w:sz="8" w:space="0" w:color="77BD2A" w:themeColor="accent3"/>
        <w:insideH w:val="single" w:sz="8" w:space="0" w:color="77BD2A" w:themeColor="accent3"/>
        <w:insideV w:val="single" w:sz="8" w:space="0" w:color="77BD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BD2A" w:themeColor="accent3"/>
          <w:left w:val="single" w:sz="8" w:space="0" w:color="77BD2A" w:themeColor="accent3"/>
          <w:bottom w:val="single" w:sz="18" w:space="0" w:color="77BD2A" w:themeColor="accent3"/>
          <w:right w:val="single" w:sz="8" w:space="0" w:color="77BD2A" w:themeColor="accent3"/>
          <w:insideH w:val="nil"/>
          <w:insideV w:val="single" w:sz="8" w:space="0" w:color="77BD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BD2A" w:themeColor="accent3"/>
          <w:left w:val="single" w:sz="8" w:space="0" w:color="77BD2A" w:themeColor="accent3"/>
          <w:bottom w:val="single" w:sz="8" w:space="0" w:color="77BD2A" w:themeColor="accent3"/>
          <w:right w:val="single" w:sz="8" w:space="0" w:color="77BD2A" w:themeColor="accent3"/>
          <w:insideH w:val="nil"/>
          <w:insideV w:val="single" w:sz="8" w:space="0" w:color="77BD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BD2A" w:themeColor="accent3"/>
          <w:left w:val="single" w:sz="8" w:space="0" w:color="77BD2A" w:themeColor="accent3"/>
          <w:bottom w:val="single" w:sz="8" w:space="0" w:color="77BD2A" w:themeColor="accent3"/>
          <w:right w:val="single" w:sz="8" w:space="0" w:color="77BD2A" w:themeColor="accent3"/>
        </w:tcBorders>
      </w:tcPr>
    </w:tblStylePr>
    <w:tblStylePr w:type="band1Vert">
      <w:tblPr/>
      <w:tcPr>
        <w:tcBorders>
          <w:top w:val="single" w:sz="8" w:space="0" w:color="77BD2A" w:themeColor="accent3"/>
          <w:left w:val="single" w:sz="8" w:space="0" w:color="77BD2A" w:themeColor="accent3"/>
          <w:bottom w:val="single" w:sz="8" w:space="0" w:color="77BD2A" w:themeColor="accent3"/>
          <w:right w:val="single" w:sz="8" w:space="0" w:color="77BD2A" w:themeColor="accent3"/>
        </w:tcBorders>
        <w:shd w:val="clear" w:color="auto" w:fill="DDF2C6" w:themeFill="accent3" w:themeFillTint="3F"/>
      </w:tcPr>
    </w:tblStylePr>
    <w:tblStylePr w:type="band1Horz">
      <w:tblPr/>
      <w:tcPr>
        <w:tcBorders>
          <w:top w:val="single" w:sz="8" w:space="0" w:color="77BD2A" w:themeColor="accent3"/>
          <w:left w:val="single" w:sz="8" w:space="0" w:color="77BD2A" w:themeColor="accent3"/>
          <w:bottom w:val="single" w:sz="8" w:space="0" w:color="77BD2A" w:themeColor="accent3"/>
          <w:right w:val="single" w:sz="8" w:space="0" w:color="77BD2A" w:themeColor="accent3"/>
          <w:insideV w:val="single" w:sz="8" w:space="0" w:color="77BD2A" w:themeColor="accent3"/>
        </w:tcBorders>
        <w:shd w:val="clear" w:color="auto" w:fill="DDF2C6" w:themeFill="accent3" w:themeFillTint="3F"/>
      </w:tcPr>
    </w:tblStylePr>
    <w:tblStylePr w:type="band2Horz">
      <w:tblPr/>
      <w:tcPr>
        <w:tcBorders>
          <w:top w:val="single" w:sz="8" w:space="0" w:color="77BD2A" w:themeColor="accent3"/>
          <w:left w:val="single" w:sz="8" w:space="0" w:color="77BD2A" w:themeColor="accent3"/>
          <w:bottom w:val="single" w:sz="8" w:space="0" w:color="77BD2A" w:themeColor="accent3"/>
          <w:right w:val="single" w:sz="8" w:space="0" w:color="77BD2A" w:themeColor="accent3"/>
          <w:insideV w:val="single" w:sz="8" w:space="0" w:color="77BD2A" w:themeColor="accent3"/>
        </w:tcBorders>
      </w:tcPr>
    </w:tblStylePr>
  </w:style>
  <w:style w:type="character" w:customStyle="1" w:styleId="Heading1Char">
    <w:name w:val="Heading 1 Char"/>
    <w:basedOn w:val="DefaultParagraphFont"/>
    <w:link w:val="Heading1"/>
    <w:rsid w:val="00E44F72"/>
    <w:rPr>
      <w:rFonts w:ascii="Calibri" w:eastAsiaTheme="majorEastAsia" w:hAnsi="Calibri" w:cstheme="majorBidi"/>
      <w:b/>
      <w:bCs/>
      <w:color w:val="1795D2"/>
      <w:sz w:val="36"/>
      <w:szCs w:val="28"/>
    </w:rPr>
  </w:style>
  <w:style w:type="character" w:customStyle="1" w:styleId="Heading2Char">
    <w:name w:val="Heading 2 Char"/>
    <w:basedOn w:val="DefaultParagraphFont"/>
    <w:link w:val="Heading2"/>
    <w:rsid w:val="00160BE1"/>
    <w:rPr>
      <w:rFonts w:ascii="Calibri" w:eastAsia="Times New Roman" w:hAnsi="Calibri" w:cs="Times New Roman"/>
      <w:b/>
      <w:bCs/>
      <w:iCs/>
      <w:color w:val="000000"/>
      <w:sz w:val="24"/>
    </w:rPr>
  </w:style>
  <w:style w:type="character" w:customStyle="1" w:styleId="Heading3Char">
    <w:name w:val="Heading 3 Char"/>
    <w:basedOn w:val="DefaultParagraphFont"/>
    <w:uiPriority w:val="9"/>
    <w:semiHidden/>
    <w:rsid w:val="00C65AF6"/>
    <w:rPr>
      <w:rFonts w:asciiTheme="majorHAnsi" w:eastAsiaTheme="majorEastAsia" w:hAnsiTheme="majorHAnsi" w:cstheme="majorBidi"/>
      <w:b/>
      <w:bCs/>
      <w:color w:val="1795D2" w:themeColor="accent1"/>
    </w:rPr>
  </w:style>
  <w:style w:type="character" w:customStyle="1" w:styleId="Heading4Char">
    <w:name w:val="Heading 4 Char"/>
    <w:basedOn w:val="DefaultParagraphFont"/>
    <w:link w:val="Heading4"/>
    <w:rsid w:val="00160BE1"/>
    <w:rPr>
      <w:rFonts w:ascii="Calibri" w:eastAsiaTheme="majorEastAsia" w:hAnsi="Calibri" w:cstheme="majorBidi"/>
      <w:bCs/>
      <w:i/>
      <w:iCs/>
      <w:sz w:val="20"/>
      <w:szCs w:val="20"/>
    </w:rPr>
  </w:style>
  <w:style w:type="character" w:styleId="Hyperlink">
    <w:name w:val="Hyperlink"/>
    <w:basedOn w:val="DefaultParagraphFont"/>
    <w:uiPriority w:val="99"/>
    <w:unhideWhenUsed/>
    <w:qFormat/>
    <w:rsid w:val="001E794B"/>
    <w:rPr>
      <w:color w:val="1795D2"/>
      <w:u w:val="single"/>
    </w:rPr>
  </w:style>
  <w:style w:type="paragraph" w:styleId="FootnoteText">
    <w:name w:val="footnote text"/>
    <w:aliases w:val="ft,Footnote Text Char1,Footnote Text Char Char,fn Char Char,Footnote Text Char1 Char1 Char,Footnote Text Char Char Char1 Char,Footnote Text Char1 Char Char Char,Footnote Text Char Char Char Char Char,Footnote Text Char Char1,fn,ft Char1,f"/>
    <w:basedOn w:val="Normal"/>
    <w:link w:val="FootnoteTextChar"/>
    <w:autoRedefine/>
    <w:uiPriority w:val="99"/>
    <w:qFormat/>
    <w:rsid w:val="00F40A8F"/>
    <w:pPr>
      <w:keepNext/>
      <w:keepLines/>
      <w:tabs>
        <w:tab w:val="left" w:pos="7830"/>
      </w:tabs>
      <w:spacing w:after="80" w:line="240" w:lineRule="auto"/>
    </w:pPr>
    <w:rPr>
      <w:rFonts w:asciiTheme="majorHAnsi" w:eastAsia="Times New Roman" w:hAnsiTheme="majorHAnsi" w:cs="Times New Roman"/>
      <w:color w:val="62777F" w:themeColor="text1"/>
      <w:sz w:val="18"/>
      <w:szCs w:val="18"/>
    </w:rPr>
  </w:style>
  <w:style w:type="character" w:customStyle="1" w:styleId="FootnoteTextChar">
    <w:name w:val="Footnote Text Char"/>
    <w:aliases w:val="ft Char,Footnote Text Char1 Char,Footnote Text Char Char Char,fn Char Char Char,Footnote Text Char1 Char1 Char Char,Footnote Text Char Char Char1 Char Char,Footnote Text Char1 Char Char Char Char,Footnote Text Char Char1 Char,fn Char"/>
    <w:basedOn w:val="DefaultParagraphFont"/>
    <w:link w:val="FootnoteText"/>
    <w:uiPriority w:val="99"/>
    <w:qFormat/>
    <w:rsid w:val="00F40A8F"/>
    <w:rPr>
      <w:rFonts w:asciiTheme="majorHAnsi" w:eastAsia="Times New Roman" w:hAnsiTheme="majorHAnsi" w:cs="Times New Roman"/>
      <w:color w:val="62777F" w:themeColor="text1"/>
      <w:sz w:val="18"/>
      <w:szCs w:val="18"/>
    </w:rPr>
  </w:style>
  <w:style w:type="character" w:styleId="FootnoteReference">
    <w:name w:val="footnote reference"/>
    <w:aliases w:val="o,Style 17,fr,Style 13,Style 12,Style 15,Style 9,o1,fr1,o2,fr2,o3,fr3,Style 18,(NECG) Footnote Reference,Style 20,Style 7,Style 8,Style 19,Style 32,o + Times New Roman,Style 16"/>
    <w:basedOn w:val="DefaultParagraphFont"/>
    <w:uiPriority w:val="99"/>
    <w:qFormat/>
    <w:rsid w:val="00A051C2"/>
    <w:rPr>
      <w:rFonts w:ascii="Cambria" w:hAnsi="Cambria" w:cs="Times New Roman"/>
      <w:b w:val="0"/>
      <w:i w:val="0"/>
      <w:caps w:val="0"/>
      <w:smallCaps w:val="0"/>
      <w:strike w:val="0"/>
      <w:dstrike w:val="0"/>
      <w:vanish w:val="0"/>
      <w:sz w:val="20"/>
      <w:vertAlign w:val="superscript"/>
    </w:rPr>
  </w:style>
  <w:style w:type="paragraph" w:customStyle="1" w:styleId="FoonoteText">
    <w:name w:val="Foonote Text"/>
    <w:basedOn w:val="FootnoteText"/>
    <w:link w:val="FoonoteTextChar"/>
    <w:autoRedefine/>
    <w:qFormat/>
    <w:rsid w:val="00160BE1"/>
    <w:pPr>
      <w:adjustRightInd w:val="0"/>
      <w:textAlignment w:val="baseline"/>
    </w:pPr>
    <w:rPr>
      <w:color w:val="000000"/>
    </w:rPr>
  </w:style>
  <w:style w:type="character" w:customStyle="1" w:styleId="FoonoteTextChar">
    <w:name w:val="Foonote Text Char"/>
    <w:basedOn w:val="FootnoteTextChar"/>
    <w:link w:val="FoonoteText"/>
    <w:locked/>
    <w:rsid w:val="00160BE1"/>
    <w:rPr>
      <w:rFonts w:asciiTheme="majorHAnsi" w:eastAsia="Times New Roman" w:hAnsiTheme="majorHAnsi" w:cs="Times New Roman"/>
      <w:color w:val="000000"/>
      <w:sz w:val="18"/>
      <w:szCs w:val="18"/>
    </w:rPr>
  </w:style>
  <w:style w:type="paragraph" w:customStyle="1" w:styleId="Bullet-Solid">
    <w:name w:val="Bullet-Solid"/>
    <w:basedOn w:val="Normal"/>
    <w:link w:val="Bullet-SolidChar"/>
    <w:qFormat/>
    <w:rsid w:val="00C65AF6"/>
    <w:pPr>
      <w:numPr>
        <w:numId w:val="2"/>
      </w:numPr>
      <w:spacing w:after="120"/>
    </w:pPr>
    <w:rPr>
      <w:rFonts w:cs="Times New Roman"/>
      <w:color w:val="000000"/>
      <w:sz w:val="20"/>
      <w:szCs w:val="20"/>
    </w:rPr>
  </w:style>
  <w:style w:type="character" w:customStyle="1" w:styleId="Bullet-SolidChar">
    <w:name w:val="Bullet-Solid Char"/>
    <w:basedOn w:val="DefaultParagraphFont"/>
    <w:link w:val="Bullet-Solid"/>
    <w:rsid w:val="00C65AF6"/>
    <w:rPr>
      <w:rFonts w:ascii="Cambria" w:hAnsi="Cambria" w:cs="Times New Roman"/>
      <w:color w:val="000000"/>
      <w:sz w:val="20"/>
      <w:szCs w:val="20"/>
    </w:rPr>
  </w:style>
  <w:style w:type="character" w:customStyle="1" w:styleId="Heading3Char1">
    <w:name w:val="Heading 3 Char1"/>
    <w:basedOn w:val="DefaultParagraphFont"/>
    <w:link w:val="Heading3"/>
    <w:rsid w:val="00160BE1"/>
    <w:rPr>
      <w:rFonts w:ascii="Calibri" w:eastAsiaTheme="majorEastAsia" w:hAnsi="Calibri" w:cstheme="majorBidi"/>
      <w:b/>
      <w:bCs/>
      <w:sz w:val="20"/>
      <w:szCs w:val="20"/>
    </w:rPr>
  </w:style>
  <w:style w:type="paragraph" w:styleId="Header">
    <w:name w:val="header"/>
    <w:basedOn w:val="Normal"/>
    <w:link w:val="HeaderChar"/>
    <w:uiPriority w:val="99"/>
    <w:unhideWhenUsed/>
    <w:rsid w:val="003B3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0AC"/>
  </w:style>
  <w:style w:type="paragraph" w:styleId="Footer">
    <w:name w:val="footer"/>
    <w:basedOn w:val="Normal"/>
    <w:link w:val="FooterChar"/>
    <w:uiPriority w:val="99"/>
    <w:unhideWhenUsed/>
    <w:rsid w:val="003B3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0AC"/>
  </w:style>
  <w:style w:type="paragraph" w:styleId="Caption">
    <w:name w:val="caption"/>
    <w:basedOn w:val="Normal"/>
    <w:next w:val="Normal"/>
    <w:link w:val="CaptionChar"/>
    <w:unhideWhenUsed/>
    <w:qFormat/>
    <w:rsid w:val="002A0D34"/>
    <w:pPr>
      <w:spacing w:before="120" w:line="240" w:lineRule="auto"/>
      <w:jc w:val="center"/>
    </w:pPr>
    <w:rPr>
      <w:rFonts w:ascii="Calibri" w:hAnsi="Calibri" w:cs="Times New Roman"/>
      <w:b/>
      <w:bCs/>
      <w:sz w:val="20"/>
      <w:szCs w:val="18"/>
    </w:rPr>
  </w:style>
  <w:style w:type="paragraph" w:customStyle="1" w:styleId="ISOBullets2">
    <w:name w:val="ISO Bullets 2"/>
    <w:basedOn w:val="Normal"/>
    <w:rsid w:val="00E6250A"/>
    <w:pPr>
      <w:numPr>
        <w:numId w:val="3"/>
      </w:numPr>
      <w:spacing w:line="240" w:lineRule="auto"/>
    </w:pPr>
    <w:rPr>
      <w:rFonts w:eastAsia="Times New Roman" w:cs="Times New Roman"/>
      <w:sz w:val="20"/>
      <w:szCs w:val="20"/>
    </w:rPr>
  </w:style>
  <w:style w:type="character" w:customStyle="1" w:styleId="CaptionChar">
    <w:name w:val="Caption Char"/>
    <w:basedOn w:val="DefaultParagraphFont"/>
    <w:link w:val="Caption"/>
    <w:locked/>
    <w:rsid w:val="002A0D34"/>
    <w:rPr>
      <w:rFonts w:ascii="Calibri" w:hAnsi="Calibri" w:cs="Times New Roman"/>
      <w:b/>
      <w:bCs/>
      <w:sz w:val="20"/>
      <w:szCs w:val="18"/>
    </w:rPr>
  </w:style>
  <w:style w:type="table" w:customStyle="1" w:styleId="20122tableformat1">
    <w:name w:val="2012 2 table format1"/>
    <w:basedOn w:val="TableNormal"/>
    <w:uiPriority w:val="63"/>
    <w:rsid w:val="00E6250A"/>
    <w:pPr>
      <w:spacing w:after="0" w:line="240" w:lineRule="auto"/>
    </w:pPr>
    <w:rPr>
      <w:rFonts w:ascii="Calibri" w:hAnsi="Calibri" w:cs="Times New Roman"/>
      <w:color w:val="62777F" w:themeColor="text1"/>
      <w:sz w:val="18"/>
      <w:szCs w:val="20"/>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sz w:val="20"/>
      </w:rPr>
    </w:tblStylePr>
  </w:style>
  <w:style w:type="paragraph" w:customStyle="1" w:styleId="Default">
    <w:name w:val="Default"/>
    <w:rsid w:val="00C046D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5411A"/>
    <w:pPr>
      <w:spacing w:after="0" w:line="240" w:lineRule="auto"/>
    </w:pPr>
  </w:style>
  <w:style w:type="paragraph" w:styleId="BodyText">
    <w:name w:val="Body Text"/>
    <w:aliases w:val="b"/>
    <w:basedOn w:val="Normal"/>
    <w:link w:val="BodyTextChar"/>
    <w:semiHidden/>
    <w:rsid w:val="00DC2E0E"/>
    <w:pPr>
      <w:spacing w:after="0" w:line="240" w:lineRule="auto"/>
    </w:pPr>
    <w:rPr>
      <w:rFonts w:ascii="Times New Roman" w:eastAsia="Times New Roman" w:hAnsi="Times New Roman" w:cs="Times New Roman"/>
      <w:szCs w:val="20"/>
    </w:rPr>
  </w:style>
  <w:style w:type="character" w:customStyle="1" w:styleId="BodyTextChar">
    <w:name w:val="Body Text Char"/>
    <w:aliases w:val="b Char"/>
    <w:basedOn w:val="DefaultParagraphFont"/>
    <w:link w:val="BodyText"/>
    <w:semiHidden/>
    <w:rsid w:val="00DC2E0E"/>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8477F4"/>
    <w:pPr>
      <w:pageBreakBefore w:val="0"/>
      <w:spacing w:before="480" w:after="0" w:line="276" w:lineRule="auto"/>
      <w:outlineLvl w:val="9"/>
    </w:pPr>
    <w:rPr>
      <w:rFonts w:asciiTheme="majorHAnsi" w:hAnsiTheme="majorHAnsi"/>
      <w:color w:val="116E9D" w:themeColor="accent1" w:themeShade="BF"/>
      <w:sz w:val="28"/>
    </w:rPr>
  </w:style>
  <w:style w:type="paragraph" w:styleId="TOC1">
    <w:name w:val="toc 1"/>
    <w:basedOn w:val="Normal"/>
    <w:next w:val="Normal"/>
    <w:autoRedefine/>
    <w:uiPriority w:val="39"/>
    <w:unhideWhenUsed/>
    <w:qFormat/>
    <w:rsid w:val="00160BE1"/>
    <w:pPr>
      <w:tabs>
        <w:tab w:val="right" w:leader="dot" w:pos="9350"/>
      </w:tabs>
      <w:spacing w:after="120" w:line="240" w:lineRule="auto"/>
    </w:pPr>
    <w:rPr>
      <w:rFonts w:asciiTheme="minorHAnsi" w:hAnsiTheme="minorHAnsi" w:cs="Times New Roman"/>
      <w:b/>
      <w:bCs/>
      <w:noProof/>
      <w:color w:val="000000"/>
      <w:sz w:val="20"/>
      <w:szCs w:val="36"/>
    </w:rPr>
  </w:style>
  <w:style w:type="paragraph" w:styleId="TOC2">
    <w:name w:val="toc 2"/>
    <w:basedOn w:val="Normal"/>
    <w:next w:val="Normal"/>
    <w:autoRedefine/>
    <w:uiPriority w:val="39"/>
    <w:unhideWhenUsed/>
    <w:qFormat/>
    <w:rsid w:val="00D7488D"/>
    <w:pPr>
      <w:tabs>
        <w:tab w:val="right" w:leader="dot" w:pos="9350"/>
      </w:tabs>
      <w:spacing w:after="120" w:line="240" w:lineRule="auto"/>
      <w:ind w:left="216"/>
    </w:pPr>
    <w:rPr>
      <w:rFonts w:asciiTheme="minorHAnsi" w:hAnsiTheme="minorHAnsi"/>
      <w:noProof/>
      <w:sz w:val="20"/>
      <w:szCs w:val="20"/>
    </w:rPr>
  </w:style>
  <w:style w:type="paragraph" w:styleId="TOC3">
    <w:name w:val="toc 3"/>
    <w:basedOn w:val="Normal"/>
    <w:next w:val="Normal"/>
    <w:autoRedefine/>
    <w:uiPriority w:val="39"/>
    <w:unhideWhenUsed/>
    <w:qFormat/>
    <w:rsid w:val="00C44D12"/>
    <w:pPr>
      <w:tabs>
        <w:tab w:val="right" w:leader="dot" w:pos="9350"/>
      </w:tabs>
      <w:spacing w:after="120" w:line="240" w:lineRule="auto"/>
      <w:ind w:left="446"/>
    </w:pPr>
    <w:rPr>
      <w:rFonts w:asciiTheme="minorHAnsi" w:hAnsiTheme="minorHAnsi"/>
      <w:iCs/>
      <w:noProof/>
      <w:sz w:val="20"/>
      <w:szCs w:val="20"/>
    </w:rPr>
  </w:style>
  <w:style w:type="paragraph" w:styleId="TOC4">
    <w:name w:val="toc 4"/>
    <w:basedOn w:val="Normal"/>
    <w:next w:val="Normal"/>
    <w:autoRedefine/>
    <w:uiPriority w:val="39"/>
    <w:unhideWhenUsed/>
    <w:rsid w:val="000D16D6"/>
    <w:pPr>
      <w:spacing w:after="0"/>
      <w:ind w:left="660"/>
    </w:pPr>
    <w:rPr>
      <w:sz w:val="18"/>
      <w:szCs w:val="18"/>
    </w:rPr>
  </w:style>
  <w:style w:type="paragraph" w:styleId="TOC5">
    <w:name w:val="toc 5"/>
    <w:basedOn w:val="Normal"/>
    <w:next w:val="Normal"/>
    <w:autoRedefine/>
    <w:uiPriority w:val="39"/>
    <w:unhideWhenUsed/>
    <w:rsid w:val="000D16D6"/>
    <w:pPr>
      <w:spacing w:after="0"/>
      <w:ind w:left="880"/>
    </w:pPr>
    <w:rPr>
      <w:sz w:val="18"/>
      <w:szCs w:val="18"/>
    </w:rPr>
  </w:style>
  <w:style w:type="paragraph" w:styleId="TOC6">
    <w:name w:val="toc 6"/>
    <w:basedOn w:val="Normal"/>
    <w:next w:val="Normal"/>
    <w:autoRedefine/>
    <w:uiPriority w:val="39"/>
    <w:unhideWhenUsed/>
    <w:rsid w:val="000D16D6"/>
    <w:pPr>
      <w:spacing w:after="0"/>
      <w:ind w:left="1100"/>
    </w:pPr>
    <w:rPr>
      <w:sz w:val="18"/>
      <w:szCs w:val="18"/>
    </w:rPr>
  </w:style>
  <w:style w:type="paragraph" w:styleId="TOC7">
    <w:name w:val="toc 7"/>
    <w:basedOn w:val="Normal"/>
    <w:next w:val="Normal"/>
    <w:autoRedefine/>
    <w:uiPriority w:val="39"/>
    <w:unhideWhenUsed/>
    <w:rsid w:val="000D16D6"/>
    <w:pPr>
      <w:spacing w:after="0"/>
      <w:ind w:left="1320"/>
    </w:pPr>
    <w:rPr>
      <w:sz w:val="18"/>
      <w:szCs w:val="18"/>
    </w:rPr>
  </w:style>
  <w:style w:type="paragraph" w:styleId="TOC8">
    <w:name w:val="toc 8"/>
    <w:basedOn w:val="Normal"/>
    <w:next w:val="Normal"/>
    <w:autoRedefine/>
    <w:uiPriority w:val="39"/>
    <w:unhideWhenUsed/>
    <w:rsid w:val="000D16D6"/>
    <w:pPr>
      <w:spacing w:after="0"/>
      <w:ind w:left="1540"/>
    </w:pPr>
    <w:rPr>
      <w:sz w:val="18"/>
      <w:szCs w:val="18"/>
    </w:rPr>
  </w:style>
  <w:style w:type="paragraph" w:styleId="TOC9">
    <w:name w:val="toc 9"/>
    <w:basedOn w:val="Normal"/>
    <w:next w:val="Normal"/>
    <w:autoRedefine/>
    <w:uiPriority w:val="39"/>
    <w:unhideWhenUsed/>
    <w:rsid w:val="000D16D6"/>
    <w:pPr>
      <w:spacing w:after="0"/>
      <w:ind w:left="1760"/>
    </w:pPr>
    <w:rPr>
      <w:sz w:val="18"/>
      <w:szCs w:val="18"/>
    </w:rPr>
  </w:style>
  <w:style w:type="character" w:styleId="CommentReference">
    <w:name w:val="annotation reference"/>
    <w:basedOn w:val="DefaultParagraphFont"/>
    <w:uiPriority w:val="99"/>
    <w:unhideWhenUsed/>
    <w:rsid w:val="00BA142E"/>
    <w:rPr>
      <w:sz w:val="16"/>
      <w:szCs w:val="16"/>
    </w:rPr>
  </w:style>
  <w:style w:type="paragraph" w:styleId="CommentText">
    <w:name w:val="annotation text"/>
    <w:basedOn w:val="Normal"/>
    <w:link w:val="CommentTextChar"/>
    <w:uiPriority w:val="99"/>
    <w:semiHidden/>
    <w:unhideWhenUsed/>
    <w:rsid w:val="00BA142E"/>
    <w:pPr>
      <w:spacing w:line="240" w:lineRule="auto"/>
    </w:pPr>
    <w:rPr>
      <w:sz w:val="20"/>
      <w:szCs w:val="20"/>
    </w:rPr>
  </w:style>
  <w:style w:type="character" w:customStyle="1" w:styleId="CommentTextChar">
    <w:name w:val="Comment Text Char"/>
    <w:basedOn w:val="DefaultParagraphFont"/>
    <w:link w:val="CommentText"/>
    <w:uiPriority w:val="99"/>
    <w:semiHidden/>
    <w:rsid w:val="00BA142E"/>
    <w:rPr>
      <w:sz w:val="20"/>
      <w:szCs w:val="20"/>
    </w:rPr>
  </w:style>
  <w:style w:type="paragraph" w:styleId="CommentSubject">
    <w:name w:val="annotation subject"/>
    <w:basedOn w:val="CommentText"/>
    <w:next w:val="CommentText"/>
    <w:link w:val="CommentSubjectChar"/>
    <w:uiPriority w:val="99"/>
    <w:semiHidden/>
    <w:unhideWhenUsed/>
    <w:rsid w:val="00BA142E"/>
    <w:rPr>
      <w:b/>
      <w:bCs/>
    </w:rPr>
  </w:style>
  <w:style w:type="character" w:customStyle="1" w:styleId="CommentSubjectChar">
    <w:name w:val="Comment Subject Char"/>
    <w:basedOn w:val="CommentTextChar"/>
    <w:link w:val="CommentSubject"/>
    <w:uiPriority w:val="99"/>
    <w:semiHidden/>
    <w:rsid w:val="00BA142E"/>
    <w:rPr>
      <w:b/>
      <w:bCs/>
      <w:sz w:val="20"/>
      <w:szCs w:val="20"/>
    </w:rPr>
  </w:style>
  <w:style w:type="paragraph" w:styleId="Revision">
    <w:name w:val="Revision"/>
    <w:hidden/>
    <w:uiPriority w:val="99"/>
    <w:semiHidden/>
    <w:rsid w:val="0001446F"/>
    <w:pPr>
      <w:spacing w:after="0" w:line="240" w:lineRule="auto"/>
    </w:pPr>
  </w:style>
  <w:style w:type="paragraph" w:styleId="DocumentMap">
    <w:name w:val="Document Map"/>
    <w:basedOn w:val="Normal"/>
    <w:link w:val="DocumentMapChar"/>
    <w:uiPriority w:val="99"/>
    <w:semiHidden/>
    <w:unhideWhenUsed/>
    <w:rsid w:val="003C36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3691"/>
    <w:rPr>
      <w:rFonts w:ascii="Tahoma" w:hAnsi="Tahoma" w:cs="Tahoma"/>
      <w:sz w:val="16"/>
      <w:szCs w:val="16"/>
    </w:rPr>
  </w:style>
  <w:style w:type="character" w:styleId="FollowedHyperlink">
    <w:name w:val="FollowedHyperlink"/>
    <w:basedOn w:val="DefaultParagraphFont"/>
    <w:uiPriority w:val="99"/>
    <w:semiHidden/>
    <w:unhideWhenUsed/>
    <w:rsid w:val="007B6B94"/>
    <w:rPr>
      <w:color w:val="8555A1" w:themeColor="followedHyperlink"/>
      <w:u w:val="single"/>
    </w:rPr>
  </w:style>
  <w:style w:type="table" w:styleId="MediumShading1-Accent3">
    <w:name w:val="Medium Shading 1 Accent 3"/>
    <w:basedOn w:val="TableNormal"/>
    <w:uiPriority w:val="63"/>
    <w:rsid w:val="008C5BFA"/>
    <w:pPr>
      <w:spacing w:after="0" w:line="240" w:lineRule="auto"/>
    </w:pPr>
    <w:tblPr>
      <w:tblStyleRowBandSize w:val="1"/>
      <w:tblStyleColBandSize w:val="1"/>
      <w:tblBorders>
        <w:top w:val="single" w:sz="8"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single" w:sz="8" w:space="0" w:color="99D954" w:themeColor="accent3" w:themeTint="BF"/>
      </w:tblBorders>
    </w:tblPr>
    <w:tblStylePr w:type="firstRow">
      <w:pPr>
        <w:spacing w:before="0" w:after="0" w:line="240" w:lineRule="auto"/>
      </w:pPr>
      <w:rPr>
        <w:b/>
        <w:bCs/>
        <w:color w:val="FFFFFF" w:themeColor="background1"/>
      </w:rPr>
      <w:tblPr/>
      <w:tcPr>
        <w:tcBorders>
          <w:top w:val="single" w:sz="8"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nil"/>
          <w:insideV w:val="nil"/>
        </w:tcBorders>
        <w:shd w:val="clear" w:color="auto" w:fill="77BD2A" w:themeFill="accent3"/>
      </w:tcPr>
    </w:tblStylePr>
    <w:tblStylePr w:type="lastRow">
      <w:pPr>
        <w:spacing w:before="0" w:after="0" w:line="240" w:lineRule="auto"/>
      </w:pPr>
      <w:rPr>
        <w:b/>
        <w:bCs/>
      </w:rPr>
      <w:tblPr/>
      <w:tcPr>
        <w:tcBorders>
          <w:top w:val="double" w:sz="6"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F2C6" w:themeFill="accent3" w:themeFillTint="3F"/>
      </w:tcPr>
    </w:tblStylePr>
    <w:tblStylePr w:type="band1Horz">
      <w:tblPr/>
      <w:tcPr>
        <w:tcBorders>
          <w:insideH w:val="nil"/>
          <w:insideV w:val="nil"/>
        </w:tcBorders>
        <w:shd w:val="clear" w:color="auto" w:fill="DDF2C6"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2334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A92E46"/>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080D67"/>
    <w:pPr>
      <w:spacing w:after="0"/>
    </w:pPr>
    <w:rPr>
      <w:rFonts w:ascii="Calibri" w:hAnsi="Calibri"/>
      <w:sz w:val="20"/>
    </w:rPr>
  </w:style>
  <w:style w:type="table" w:customStyle="1" w:styleId="MediumShading2-Accent31">
    <w:name w:val="Medium Shading 2 - Accent 31"/>
    <w:basedOn w:val="TableNormal"/>
    <w:next w:val="MediumShading2-Accent3"/>
    <w:uiPriority w:val="64"/>
    <w:rsid w:val="008D18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0F6B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0F6BC3"/>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tblBorders>
    </w:tblPr>
    <w:tblStylePr w:type="firstRow">
      <w:pPr>
        <w:spacing w:before="0" w:after="0" w:line="240" w:lineRule="auto"/>
      </w:pPr>
      <w:rPr>
        <w:b/>
        <w:bCs/>
        <w:color w:val="FFFFFF" w:themeColor="background1"/>
      </w:rPr>
      <w:tblPr/>
      <w:tcPr>
        <w:shd w:val="clear" w:color="auto" w:fill="1795D2" w:themeFill="accent1"/>
      </w:tcPr>
    </w:tblStylePr>
    <w:tblStylePr w:type="lastRow">
      <w:pPr>
        <w:spacing w:before="0" w:after="0" w:line="240" w:lineRule="auto"/>
      </w:pPr>
      <w:rPr>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tcBorders>
      </w:tcPr>
    </w:tblStylePr>
    <w:tblStylePr w:type="firstCol">
      <w:rPr>
        <w:b/>
        <w:bCs/>
      </w:rPr>
    </w:tblStylePr>
    <w:tblStylePr w:type="lastCol">
      <w:rPr>
        <w:b/>
        <w:bCs/>
      </w:r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style>
  <w:style w:type="table" w:customStyle="1" w:styleId="MediumShading1-Accent11">
    <w:name w:val="Medium Shading 1 - Accent 11"/>
    <w:basedOn w:val="TableNormal"/>
    <w:uiPriority w:val="63"/>
    <w:rsid w:val="000F6BC3"/>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paragraph" w:customStyle="1" w:styleId="body">
    <w:name w:val="body"/>
    <w:basedOn w:val="Normal"/>
    <w:uiPriority w:val="99"/>
    <w:rsid w:val="00AE6583"/>
    <w:pPr>
      <w:widowControl w:val="0"/>
      <w:suppressAutoHyphens/>
      <w:autoSpaceDE w:val="0"/>
      <w:autoSpaceDN w:val="0"/>
      <w:adjustRightInd w:val="0"/>
      <w:spacing w:before="260" w:after="0"/>
      <w:textAlignment w:val="center"/>
    </w:pPr>
    <w:rPr>
      <w:rFonts w:ascii="Whitney-Book" w:eastAsiaTheme="minorEastAsia" w:hAnsi="Whitney-Book" w:cs="Whitney-Book"/>
      <w:color w:val="000000"/>
      <w:sz w:val="18"/>
      <w:szCs w:val="18"/>
    </w:rPr>
  </w:style>
  <w:style w:type="character" w:customStyle="1" w:styleId="Heading5Char">
    <w:name w:val="Heading 5 Char"/>
    <w:basedOn w:val="DefaultParagraphFont"/>
    <w:link w:val="Heading5"/>
    <w:uiPriority w:val="9"/>
    <w:rsid w:val="009716EF"/>
    <w:rPr>
      <w:rFonts w:asciiTheme="majorHAnsi" w:eastAsiaTheme="majorEastAsia" w:hAnsiTheme="majorHAnsi" w:cstheme="majorBidi"/>
      <w:color w:val="0B4968" w:themeColor="accent1" w:themeShade="7F"/>
    </w:rPr>
  </w:style>
  <w:style w:type="table" w:customStyle="1" w:styleId="WMPPTable">
    <w:name w:val="WMPP Table"/>
    <w:basedOn w:val="TableList6"/>
    <w:uiPriority w:val="99"/>
    <w:qFormat/>
    <w:rsid w:val="00523C7A"/>
    <w:pPr>
      <w:autoSpaceDE w:val="0"/>
      <w:autoSpaceDN w:val="0"/>
      <w:adjustRightInd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shd w:val="pct50" w:color="000000" w:fill="FFFFFF"/>
    </w:tcPr>
    <w:tblStylePr w:type="firstRow">
      <w:pPr>
        <w:jc w:val="center"/>
      </w:pPr>
      <w:rPr>
        <w:b/>
        <w:bCs/>
      </w:rPr>
      <w:tblPr/>
      <w:tcPr>
        <w:tcBorders>
          <w:bottom w:val="single" w:sz="12" w:space="0" w:color="000000"/>
          <w:tl2br w:val="none" w:sz="0" w:space="0" w:color="auto"/>
          <w:tr2bl w:val="none" w:sz="0" w:space="0" w:color="auto"/>
        </w:tcBorders>
        <w:shd w:val="clear" w:color="auto" w:fill="808080"/>
      </w:tcPr>
    </w:tblStylePr>
    <w:tblStylePr w:type="firstCol">
      <w:pPr>
        <w:jc w:val="left"/>
      </w:pPr>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vAlign w:val="center"/>
      </w:tcPr>
    </w:tblStylePr>
    <w:tblStylePr w:type="band1Horz">
      <w:tblPr/>
      <w:tcPr>
        <w:tcBorders>
          <w:tl2br w:val="none" w:sz="0" w:space="0" w:color="auto"/>
          <w:tr2bl w:val="none" w:sz="0" w:space="0" w:color="auto"/>
        </w:tcBorders>
        <w:shd w:val="clear" w:color="auto" w:fill="D9D9D9"/>
      </w:tcPr>
    </w:tblStylePr>
    <w:tblStylePr w:type="band2Horz">
      <w:tblPr/>
      <w:tcPr>
        <w:shd w:val="clear" w:color="auto" w:fill="FFFFFF"/>
      </w:tcPr>
    </w:tblStylePr>
  </w:style>
  <w:style w:type="table" w:styleId="TableList6">
    <w:name w:val="Table List 6"/>
    <w:basedOn w:val="TableNormal"/>
    <w:uiPriority w:val="99"/>
    <w:semiHidden/>
    <w:unhideWhenUsed/>
    <w:rsid w:val="00523C7A"/>
    <w:pPr>
      <w:spacing w:after="24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ISOTableText-Centered">
    <w:name w:val="ISO Table Text - Centered"/>
    <w:basedOn w:val="Normal"/>
    <w:rsid w:val="009F779F"/>
    <w:pPr>
      <w:autoSpaceDE w:val="0"/>
      <w:autoSpaceDN w:val="0"/>
      <w:adjustRightInd w:val="0"/>
      <w:spacing w:before="60" w:after="60" w:line="240" w:lineRule="auto"/>
      <w:jc w:val="center"/>
    </w:pPr>
    <w:rPr>
      <w:rFonts w:ascii="Arial" w:eastAsia="Times New Roman" w:hAnsi="Arial" w:cs="Times New Roman"/>
      <w:bCs/>
      <w:color w:val="000000"/>
      <w:sz w:val="18"/>
      <w:szCs w:val="20"/>
    </w:rPr>
  </w:style>
  <w:style w:type="paragraph" w:customStyle="1" w:styleId="ISOTableText-Right">
    <w:name w:val="ISO Table Text - Right"/>
    <w:basedOn w:val="Normal"/>
    <w:qFormat/>
    <w:rsid w:val="00A74EF1"/>
    <w:pPr>
      <w:autoSpaceDE w:val="0"/>
      <w:autoSpaceDN w:val="0"/>
      <w:adjustRightInd w:val="0"/>
      <w:spacing w:before="60" w:after="60" w:line="240" w:lineRule="auto"/>
    </w:pPr>
    <w:rPr>
      <w:rFonts w:ascii="Arial" w:eastAsia="Times New Roman" w:hAnsi="Arial" w:cs="Arial"/>
      <w:bCs/>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857">
      <w:bodyDiv w:val="1"/>
      <w:marLeft w:val="0"/>
      <w:marRight w:val="0"/>
      <w:marTop w:val="0"/>
      <w:marBottom w:val="0"/>
      <w:divBdr>
        <w:top w:val="none" w:sz="0" w:space="0" w:color="auto"/>
        <w:left w:val="none" w:sz="0" w:space="0" w:color="auto"/>
        <w:bottom w:val="none" w:sz="0" w:space="0" w:color="auto"/>
        <w:right w:val="none" w:sz="0" w:space="0" w:color="auto"/>
      </w:divBdr>
    </w:div>
    <w:div w:id="21513617">
      <w:bodyDiv w:val="1"/>
      <w:marLeft w:val="0"/>
      <w:marRight w:val="0"/>
      <w:marTop w:val="0"/>
      <w:marBottom w:val="0"/>
      <w:divBdr>
        <w:top w:val="none" w:sz="0" w:space="0" w:color="auto"/>
        <w:left w:val="none" w:sz="0" w:space="0" w:color="auto"/>
        <w:bottom w:val="none" w:sz="0" w:space="0" w:color="auto"/>
        <w:right w:val="none" w:sz="0" w:space="0" w:color="auto"/>
      </w:divBdr>
    </w:div>
    <w:div w:id="42294172">
      <w:bodyDiv w:val="1"/>
      <w:marLeft w:val="0"/>
      <w:marRight w:val="0"/>
      <w:marTop w:val="0"/>
      <w:marBottom w:val="0"/>
      <w:divBdr>
        <w:top w:val="none" w:sz="0" w:space="0" w:color="auto"/>
        <w:left w:val="none" w:sz="0" w:space="0" w:color="auto"/>
        <w:bottom w:val="none" w:sz="0" w:space="0" w:color="auto"/>
        <w:right w:val="none" w:sz="0" w:space="0" w:color="auto"/>
      </w:divBdr>
    </w:div>
    <w:div w:id="88816501">
      <w:bodyDiv w:val="1"/>
      <w:marLeft w:val="0"/>
      <w:marRight w:val="0"/>
      <w:marTop w:val="0"/>
      <w:marBottom w:val="0"/>
      <w:divBdr>
        <w:top w:val="none" w:sz="0" w:space="0" w:color="auto"/>
        <w:left w:val="none" w:sz="0" w:space="0" w:color="auto"/>
        <w:bottom w:val="none" w:sz="0" w:space="0" w:color="auto"/>
        <w:right w:val="none" w:sz="0" w:space="0" w:color="auto"/>
      </w:divBdr>
    </w:div>
    <w:div w:id="101538837">
      <w:bodyDiv w:val="1"/>
      <w:marLeft w:val="0"/>
      <w:marRight w:val="0"/>
      <w:marTop w:val="0"/>
      <w:marBottom w:val="0"/>
      <w:divBdr>
        <w:top w:val="none" w:sz="0" w:space="0" w:color="auto"/>
        <w:left w:val="none" w:sz="0" w:space="0" w:color="auto"/>
        <w:bottom w:val="none" w:sz="0" w:space="0" w:color="auto"/>
        <w:right w:val="none" w:sz="0" w:space="0" w:color="auto"/>
      </w:divBdr>
    </w:div>
    <w:div w:id="102917607">
      <w:bodyDiv w:val="1"/>
      <w:marLeft w:val="0"/>
      <w:marRight w:val="0"/>
      <w:marTop w:val="0"/>
      <w:marBottom w:val="0"/>
      <w:divBdr>
        <w:top w:val="none" w:sz="0" w:space="0" w:color="auto"/>
        <w:left w:val="none" w:sz="0" w:space="0" w:color="auto"/>
        <w:bottom w:val="none" w:sz="0" w:space="0" w:color="auto"/>
        <w:right w:val="none" w:sz="0" w:space="0" w:color="auto"/>
      </w:divBdr>
    </w:div>
    <w:div w:id="153684481">
      <w:bodyDiv w:val="1"/>
      <w:marLeft w:val="0"/>
      <w:marRight w:val="0"/>
      <w:marTop w:val="0"/>
      <w:marBottom w:val="0"/>
      <w:divBdr>
        <w:top w:val="none" w:sz="0" w:space="0" w:color="auto"/>
        <w:left w:val="none" w:sz="0" w:space="0" w:color="auto"/>
        <w:bottom w:val="none" w:sz="0" w:space="0" w:color="auto"/>
        <w:right w:val="none" w:sz="0" w:space="0" w:color="auto"/>
      </w:divBdr>
    </w:div>
    <w:div w:id="168182988">
      <w:bodyDiv w:val="1"/>
      <w:marLeft w:val="0"/>
      <w:marRight w:val="0"/>
      <w:marTop w:val="0"/>
      <w:marBottom w:val="0"/>
      <w:divBdr>
        <w:top w:val="none" w:sz="0" w:space="0" w:color="auto"/>
        <w:left w:val="none" w:sz="0" w:space="0" w:color="auto"/>
        <w:bottom w:val="none" w:sz="0" w:space="0" w:color="auto"/>
        <w:right w:val="none" w:sz="0" w:space="0" w:color="auto"/>
      </w:divBdr>
    </w:div>
    <w:div w:id="178814901">
      <w:bodyDiv w:val="1"/>
      <w:marLeft w:val="0"/>
      <w:marRight w:val="0"/>
      <w:marTop w:val="0"/>
      <w:marBottom w:val="0"/>
      <w:divBdr>
        <w:top w:val="none" w:sz="0" w:space="0" w:color="auto"/>
        <w:left w:val="none" w:sz="0" w:space="0" w:color="auto"/>
        <w:bottom w:val="none" w:sz="0" w:space="0" w:color="auto"/>
        <w:right w:val="none" w:sz="0" w:space="0" w:color="auto"/>
      </w:divBdr>
      <w:divsChild>
        <w:div w:id="216167920">
          <w:marLeft w:val="547"/>
          <w:marRight w:val="0"/>
          <w:marTop w:val="240"/>
          <w:marBottom w:val="0"/>
          <w:divBdr>
            <w:top w:val="none" w:sz="0" w:space="0" w:color="auto"/>
            <w:left w:val="none" w:sz="0" w:space="0" w:color="auto"/>
            <w:bottom w:val="none" w:sz="0" w:space="0" w:color="auto"/>
            <w:right w:val="none" w:sz="0" w:space="0" w:color="auto"/>
          </w:divBdr>
        </w:div>
        <w:div w:id="338897794">
          <w:marLeft w:val="547"/>
          <w:marRight w:val="0"/>
          <w:marTop w:val="240"/>
          <w:marBottom w:val="0"/>
          <w:divBdr>
            <w:top w:val="none" w:sz="0" w:space="0" w:color="auto"/>
            <w:left w:val="none" w:sz="0" w:space="0" w:color="auto"/>
            <w:bottom w:val="none" w:sz="0" w:space="0" w:color="auto"/>
            <w:right w:val="none" w:sz="0" w:space="0" w:color="auto"/>
          </w:divBdr>
        </w:div>
        <w:div w:id="634216141">
          <w:marLeft w:val="547"/>
          <w:marRight w:val="0"/>
          <w:marTop w:val="240"/>
          <w:marBottom w:val="0"/>
          <w:divBdr>
            <w:top w:val="none" w:sz="0" w:space="0" w:color="auto"/>
            <w:left w:val="none" w:sz="0" w:space="0" w:color="auto"/>
            <w:bottom w:val="none" w:sz="0" w:space="0" w:color="auto"/>
            <w:right w:val="none" w:sz="0" w:space="0" w:color="auto"/>
          </w:divBdr>
        </w:div>
        <w:div w:id="826868550">
          <w:marLeft w:val="547"/>
          <w:marRight w:val="0"/>
          <w:marTop w:val="240"/>
          <w:marBottom w:val="0"/>
          <w:divBdr>
            <w:top w:val="none" w:sz="0" w:space="0" w:color="auto"/>
            <w:left w:val="none" w:sz="0" w:space="0" w:color="auto"/>
            <w:bottom w:val="none" w:sz="0" w:space="0" w:color="auto"/>
            <w:right w:val="none" w:sz="0" w:space="0" w:color="auto"/>
          </w:divBdr>
        </w:div>
        <w:div w:id="898052750">
          <w:marLeft w:val="547"/>
          <w:marRight w:val="0"/>
          <w:marTop w:val="240"/>
          <w:marBottom w:val="0"/>
          <w:divBdr>
            <w:top w:val="none" w:sz="0" w:space="0" w:color="auto"/>
            <w:left w:val="none" w:sz="0" w:space="0" w:color="auto"/>
            <w:bottom w:val="none" w:sz="0" w:space="0" w:color="auto"/>
            <w:right w:val="none" w:sz="0" w:space="0" w:color="auto"/>
          </w:divBdr>
        </w:div>
        <w:div w:id="1310328930">
          <w:marLeft w:val="547"/>
          <w:marRight w:val="0"/>
          <w:marTop w:val="240"/>
          <w:marBottom w:val="0"/>
          <w:divBdr>
            <w:top w:val="none" w:sz="0" w:space="0" w:color="auto"/>
            <w:left w:val="none" w:sz="0" w:space="0" w:color="auto"/>
            <w:bottom w:val="none" w:sz="0" w:space="0" w:color="auto"/>
            <w:right w:val="none" w:sz="0" w:space="0" w:color="auto"/>
          </w:divBdr>
        </w:div>
        <w:div w:id="2006007297">
          <w:marLeft w:val="547"/>
          <w:marRight w:val="0"/>
          <w:marTop w:val="240"/>
          <w:marBottom w:val="0"/>
          <w:divBdr>
            <w:top w:val="none" w:sz="0" w:space="0" w:color="auto"/>
            <w:left w:val="none" w:sz="0" w:space="0" w:color="auto"/>
            <w:bottom w:val="none" w:sz="0" w:space="0" w:color="auto"/>
            <w:right w:val="none" w:sz="0" w:space="0" w:color="auto"/>
          </w:divBdr>
        </w:div>
      </w:divsChild>
    </w:div>
    <w:div w:id="201093936">
      <w:bodyDiv w:val="1"/>
      <w:marLeft w:val="0"/>
      <w:marRight w:val="0"/>
      <w:marTop w:val="0"/>
      <w:marBottom w:val="0"/>
      <w:divBdr>
        <w:top w:val="none" w:sz="0" w:space="0" w:color="auto"/>
        <w:left w:val="none" w:sz="0" w:space="0" w:color="auto"/>
        <w:bottom w:val="none" w:sz="0" w:space="0" w:color="auto"/>
        <w:right w:val="none" w:sz="0" w:space="0" w:color="auto"/>
      </w:divBdr>
    </w:div>
    <w:div w:id="202522539">
      <w:bodyDiv w:val="1"/>
      <w:marLeft w:val="0"/>
      <w:marRight w:val="0"/>
      <w:marTop w:val="0"/>
      <w:marBottom w:val="0"/>
      <w:divBdr>
        <w:top w:val="none" w:sz="0" w:space="0" w:color="auto"/>
        <w:left w:val="none" w:sz="0" w:space="0" w:color="auto"/>
        <w:bottom w:val="none" w:sz="0" w:space="0" w:color="auto"/>
        <w:right w:val="none" w:sz="0" w:space="0" w:color="auto"/>
      </w:divBdr>
    </w:div>
    <w:div w:id="203179909">
      <w:bodyDiv w:val="1"/>
      <w:marLeft w:val="0"/>
      <w:marRight w:val="0"/>
      <w:marTop w:val="0"/>
      <w:marBottom w:val="0"/>
      <w:divBdr>
        <w:top w:val="none" w:sz="0" w:space="0" w:color="auto"/>
        <w:left w:val="none" w:sz="0" w:space="0" w:color="auto"/>
        <w:bottom w:val="none" w:sz="0" w:space="0" w:color="auto"/>
        <w:right w:val="none" w:sz="0" w:space="0" w:color="auto"/>
      </w:divBdr>
    </w:div>
    <w:div w:id="254674034">
      <w:bodyDiv w:val="1"/>
      <w:marLeft w:val="0"/>
      <w:marRight w:val="0"/>
      <w:marTop w:val="0"/>
      <w:marBottom w:val="0"/>
      <w:divBdr>
        <w:top w:val="none" w:sz="0" w:space="0" w:color="auto"/>
        <w:left w:val="none" w:sz="0" w:space="0" w:color="auto"/>
        <w:bottom w:val="none" w:sz="0" w:space="0" w:color="auto"/>
        <w:right w:val="none" w:sz="0" w:space="0" w:color="auto"/>
      </w:divBdr>
    </w:div>
    <w:div w:id="297612629">
      <w:bodyDiv w:val="1"/>
      <w:marLeft w:val="0"/>
      <w:marRight w:val="0"/>
      <w:marTop w:val="0"/>
      <w:marBottom w:val="0"/>
      <w:divBdr>
        <w:top w:val="none" w:sz="0" w:space="0" w:color="auto"/>
        <w:left w:val="none" w:sz="0" w:space="0" w:color="auto"/>
        <w:bottom w:val="none" w:sz="0" w:space="0" w:color="auto"/>
        <w:right w:val="none" w:sz="0" w:space="0" w:color="auto"/>
      </w:divBdr>
    </w:div>
    <w:div w:id="329060416">
      <w:bodyDiv w:val="1"/>
      <w:marLeft w:val="0"/>
      <w:marRight w:val="0"/>
      <w:marTop w:val="0"/>
      <w:marBottom w:val="0"/>
      <w:divBdr>
        <w:top w:val="none" w:sz="0" w:space="0" w:color="auto"/>
        <w:left w:val="none" w:sz="0" w:space="0" w:color="auto"/>
        <w:bottom w:val="none" w:sz="0" w:space="0" w:color="auto"/>
        <w:right w:val="none" w:sz="0" w:space="0" w:color="auto"/>
      </w:divBdr>
      <w:divsChild>
        <w:div w:id="1742756727">
          <w:marLeft w:val="547"/>
          <w:marRight w:val="0"/>
          <w:marTop w:val="240"/>
          <w:marBottom w:val="0"/>
          <w:divBdr>
            <w:top w:val="none" w:sz="0" w:space="0" w:color="auto"/>
            <w:left w:val="none" w:sz="0" w:space="0" w:color="auto"/>
            <w:bottom w:val="none" w:sz="0" w:space="0" w:color="auto"/>
            <w:right w:val="none" w:sz="0" w:space="0" w:color="auto"/>
          </w:divBdr>
        </w:div>
      </w:divsChild>
    </w:div>
    <w:div w:id="390541621">
      <w:bodyDiv w:val="1"/>
      <w:marLeft w:val="0"/>
      <w:marRight w:val="0"/>
      <w:marTop w:val="0"/>
      <w:marBottom w:val="0"/>
      <w:divBdr>
        <w:top w:val="none" w:sz="0" w:space="0" w:color="auto"/>
        <w:left w:val="none" w:sz="0" w:space="0" w:color="auto"/>
        <w:bottom w:val="none" w:sz="0" w:space="0" w:color="auto"/>
        <w:right w:val="none" w:sz="0" w:space="0" w:color="auto"/>
      </w:divBdr>
      <w:divsChild>
        <w:div w:id="63576141">
          <w:marLeft w:val="547"/>
          <w:marRight w:val="0"/>
          <w:marTop w:val="240"/>
          <w:marBottom w:val="0"/>
          <w:divBdr>
            <w:top w:val="none" w:sz="0" w:space="0" w:color="auto"/>
            <w:left w:val="none" w:sz="0" w:space="0" w:color="auto"/>
            <w:bottom w:val="none" w:sz="0" w:space="0" w:color="auto"/>
            <w:right w:val="none" w:sz="0" w:space="0" w:color="auto"/>
          </w:divBdr>
        </w:div>
        <w:div w:id="368997321">
          <w:marLeft w:val="547"/>
          <w:marRight w:val="0"/>
          <w:marTop w:val="240"/>
          <w:marBottom w:val="0"/>
          <w:divBdr>
            <w:top w:val="none" w:sz="0" w:space="0" w:color="auto"/>
            <w:left w:val="none" w:sz="0" w:space="0" w:color="auto"/>
            <w:bottom w:val="none" w:sz="0" w:space="0" w:color="auto"/>
            <w:right w:val="none" w:sz="0" w:space="0" w:color="auto"/>
          </w:divBdr>
        </w:div>
        <w:div w:id="911502331">
          <w:marLeft w:val="547"/>
          <w:marRight w:val="0"/>
          <w:marTop w:val="240"/>
          <w:marBottom w:val="0"/>
          <w:divBdr>
            <w:top w:val="none" w:sz="0" w:space="0" w:color="auto"/>
            <w:left w:val="none" w:sz="0" w:space="0" w:color="auto"/>
            <w:bottom w:val="none" w:sz="0" w:space="0" w:color="auto"/>
            <w:right w:val="none" w:sz="0" w:space="0" w:color="auto"/>
          </w:divBdr>
        </w:div>
        <w:div w:id="914784097">
          <w:marLeft w:val="547"/>
          <w:marRight w:val="0"/>
          <w:marTop w:val="240"/>
          <w:marBottom w:val="0"/>
          <w:divBdr>
            <w:top w:val="none" w:sz="0" w:space="0" w:color="auto"/>
            <w:left w:val="none" w:sz="0" w:space="0" w:color="auto"/>
            <w:bottom w:val="none" w:sz="0" w:space="0" w:color="auto"/>
            <w:right w:val="none" w:sz="0" w:space="0" w:color="auto"/>
          </w:divBdr>
        </w:div>
        <w:div w:id="1405643471">
          <w:marLeft w:val="547"/>
          <w:marRight w:val="0"/>
          <w:marTop w:val="240"/>
          <w:marBottom w:val="0"/>
          <w:divBdr>
            <w:top w:val="none" w:sz="0" w:space="0" w:color="auto"/>
            <w:left w:val="none" w:sz="0" w:space="0" w:color="auto"/>
            <w:bottom w:val="none" w:sz="0" w:space="0" w:color="auto"/>
            <w:right w:val="none" w:sz="0" w:space="0" w:color="auto"/>
          </w:divBdr>
        </w:div>
        <w:div w:id="1575045547">
          <w:marLeft w:val="547"/>
          <w:marRight w:val="0"/>
          <w:marTop w:val="240"/>
          <w:marBottom w:val="0"/>
          <w:divBdr>
            <w:top w:val="none" w:sz="0" w:space="0" w:color="auto"/>
            <w:left w:val="none" w:sz="0" w:space="0" w:color="auto"/>
            <w:bottom w:val="none" w:sz="0" w:space="0" w:color="auto"/>
            <w:right w:val="none" w:sz="0" w:space="0" w:color="auto"/>
          </w:divBdr>
        </w:div>
      </w:divsChild>
    </w:div>
    <w:div w:id="403602199">
      <w:bodyDiv w:val="1"/>
      <w:marLeft w:val="0"/>
      <w:marRight w:val="0"/>
      <w:marTop w:val="0"/>
      <w:marBottom w:val="0"/>
      <w:divBdr>
        <w:top w:val="none" w:sz="0" w:space="0" w:color="auto"/>
        <w:left w:val="none" w:sz="0" w:space="0" w:color="auto"/>
        <w:bottom w:val="none" w:sz="0" w:space="0" w:color="auto"/>
        <w:right w:val="none" w:sz="0" w:space="0" w:color="auto"/>
      </w:divBdr>
    </w:div>
    <w:div w:id="440882118">
      <w:bodyDiv w:val="1"/>
      <w:marLeft w:val="0"/>
      <w:marRight w:val="0"/>
      <w:marTop w:val="0"/>
      <w:marBottom w:val="0"/>
      <w:divBdr>
        <w:top w:val="none" w:sz="0" w:space="0" w:color="auto"/>
        <w:left w:val="none" w:sz="0" w:space="0" w:color="auto"/>
        <w:bottom w:val="none" w:sz="0" w:space="0" w:color="auto"/>
        <w:right w:val="none" w:sz="0" w:space="0" w:color="auto"/>
      </w:divBdr>
    </w:div>
    <w:div w:id="456682181">
      <w:bodyDiv w:val="1"/>
      <w:marLeft w:val="0"/>
      <w:marRight w:val="0"/>
      <w:marTop w:val="0"/>
      <w:marBottom w:val="0"/>
      <w:divBdr>
        <w:top w:val="none" w:sz="0" w:space="0" w:color="auto"/>
        <w:left w:val="none" w:sz="0" w:space="0" w:color="auto"/>
        <w:bottom w:val="none" w:sz="0" w:space="0" w:color="auto"/>
        <w:right w:val="none" w:sz="0" w:space="0" w:color="auto"/>
      </w:divBdr>
    </w:div>
    <w:div w:id="460654359">
      <w:bodyDiv w:val="1"/>
      <w:marLeft w:val="0"/>
      <w:marRight w:val="0"/>
      <w:marTop w:val="0"/>
      <w:marBottom w:val="0"/>
      <w:divBdr>
        <w:top w:val="none" w:sz="0" w:space="0" w:color="auto"/>
        <w:left w:val="none" w:sz="0" w:space="0" w:color="auto"/>
        <w:bottom w:val="none" w:sz="0" w:space="0" w:color="auto"/>
        <w:right w:val="none" w:sz="0" w:space="0" w:color="auto"/>
      </w:divBdr>
      <w:divsChild>
        <w:div w:id="709720947">
          <w:marLeft w:val="547"/>
          <w:marRight w:val="0"/>
          <w:marTop w:val="240"/>
          <w:marBottom w:val="0"/>
          <w:divBdr>
            <w:top w:val="none" w:sz="0" w:space="0" w:color="auto"/>
            <w:left w:val="none" w:sz="0" w:space="0" w:color="auto"/>
            <w:bottom w:val="none" w:sz="0" w:space="0" w:color="auto"/>
            <w:right w:val="none" w:sz="0" w:space="0" w:color="auto"/>
          </w:divBdr>
        </w:div>
        <w:div w:id="742992845">
          <w:marLeft w:val="547"/>
          <w:marRight w:val="0"/>
          <w:marTop w:val="240"/>
          <w:marBottom w:val="0"/>
          <w:divBdr>
            <w:top w:val="none" w:sz="0" w:space="0" w:color="auto"/>
            <w:left w:val="none" w:sz="0" w:space="0" w:color="auto"/>
            <w:bottom w:val="none" w:sz="0" w:space="0" w:color="auto"/>
            <w:right w:val="none" w:sz="0" w:space="0" w:color="auto"/>
          </w:divBdr>
        </w:div>
        <w:div w:id="1632979664">
          <w:marLeft w:val="547"/>
          <w:marRight w:val="0"/>
          <w:marTop w:val="240"/>
          <w:marBottom w:val="0"/>
          <w:divBdr>
            <w:top w:val="none" w:sz="0" w:space="0" w:color="auto"/>
            <w:left w:val="none" w:sz="0" w:space="0" w:color="auto"/>
            <w:bottom w:val="none" w:sz="0" w:space="0" w:color="auto"/>
            <w:right w:val="none" w:sz="0" w:space="0" w:color="auto"/>
          </w:divBdr>
        </w:div>
        <w:div w:id="1856385554">
          <w:marLeft w:val="547"/>
          <w:marRight w:val="0"/>
          <w:marTop w:val="240"/>
          <w:marBottom w:val="0"/>
          <w:divBdr>
            <w:top w:val="none" w:sz="0" w:space="0" w:color="auto"/>
            <w:left w:val="none" w:sz="0" w:space="0" w:color="auto"/>
            <w:bottom w:val="none" w:sz="0" w:space="0" w:color="auto"/>
            <w:right w:val="none" w:sz="0" w:space="0" w:color="auto"/>
          </w:divBdr>
        </w:div>
        <w:div w:id="1899436355">
          <w:marLeft w:val="547"/>
          <w:marRight w:val="0"/>
          <w:marTop w:val="240"/>
          <w:marBottom w:val="0"/>
          <w:divBdr>
            <w:top w:val="none" w:sz="0" w:space="0" w:color="auto"/>
            <w:left w:val="none" w:sz="0" w:space="0" w:color="auto"/>
            <w:bottom w:val="none" w:sz="0" w:space="0" w:color="auto"/>
            <w:right w:val="none" w:sz="0" w:space="0" w:color="auto"/>
          </w:divBdr>
        </w:div>
      </w:divsChild>
    </w:div>
    <w:div w:id="516042330">
      <w:bodyDiv w:val="1"/>
      <w:marLeft w:val="0"/>
      <w:marRight w:val="0"/>
      <w:marTop w:val="0"/>
      <w:marBottom w:val="0"/>
      <w:divBdr>
        <w:top w:val="none" w:sz="0" w:space="0" w:color="auto"/>
        <w:left w:val="none" w:sz="0" w:space="0" w:color="auto"/>
        <w:bottom w:val="none" w:sz="0" w:space="0" w:color="auto"/>
        <w:right w:val="none" w:sz="0" w:space="0" w:color="auto"/>
      </w:divBdr>
      <w:divsChild>
        <w:div w:id="387538839">
          <w:marLeft w:val="1166"/>
          <w:marRight w:val="0"/>
          <w:marTop w:val="0"/>
          <w:marBottom w:val="0"/>
          <w:divBdr>
            <w:top w:val="none" w:sz="0" w:space="0" w:color="auto"/>
            <w:left w:val="none" w:sz="0" w:space="0" w:color="auto"/>
            <w:bottom w:val="none" w:sz="0" w:space="0" w:color="auto"/>
            <w:right w:val="none" w:sz="0" w:space="0" w:color="auto"/>
          </w:divBdr>
        </w:div>
        <w:div w:id="885338038">
          <w:marLeft w:val="547"/>
          <w:marRight w:val="0"/>
          <w:marTop w:val="240"/>
          <w:marBottom w:val="0"/>
          <w:divBdr>
            <w:top w:val="none" w:sz="0" w:space="0" w:color="auto"/>
            <w:left w:val="none" w:sz="0" w:space="0" w:color="auto"/>
            <w:bottom w:val="none" w:sz="0" w:space="0" w:color="auto"/>
            <w:right w:val="none" w:sz="0" w:space="0" w:color="auto"/>
          </w:divBdr>
        </w:div>
        <w:div w:id="1009483704">
          <w:marLeft w:val="547"/>
          <w:marRight w:val="0"/>
          <w:marTop w:val="240"/>
          <w:marBottom w:val="0"/>
          <w:divBdr>
            <w:top w:val="none" w:sz="0" w:space="0" w:color="auto"/>
            <w:left w:val="none" w:sz="0" w:space="0" w:color="auto"/>
            <w:bottom w:val="none" w:sz="0" w:space="0" w:color="auto"/>
            <w:right w:val="none" w:sz="0" w:space="0" w:color="auto"/>
          </w:divBdr>
        </w:div>
        <w:div w:id="1375695864">
          <w:marLeft w:val="547"/>
          <w:marRight w:val="0"/>
          <w:marTop w:val="240"/>
          <w:marBottom w:val="0"/>
          <w:divBdr>
            <w:top w:val="none" w:sz="0" w:space="0" w:color="auto"/>
            <w:left w:val="none" w:sz="0" w:space="0" w:color="auto"/>
            <w:bottom w:val="none" w:sz="0" w:space="0" w:color="auto"/>
            <w:right w:val="none" w:sz="0" w:space="0" w:color="auto"/>
          </w:divBdr>
        </w:div>
        <w:div w:id="2124030855">
          <w:marLeft w:val="547"/>
          <w:marRight w:val="0"/>
          <w:marTop w:val="240"/>
          <w:marBottom w:val="0"/>
          <w:divBdr>
            <w:top w:val="none" w:sz="0" w:space="0" w:color="auto"/>
            <w:left w:val="none" w:sz="0" w:space="0" w:color="auto"/>
            <w:bottom w:val="none" w:sz="0" w:space="0" w:color="auto"/>
            <w:right w:val="none" w:sz="0" w:space="0" w:color="auto"/>
          </w:divBdr>
        </w:div>
      </w:divsChild>
    </w:div>
    <w:div w:id="631400760">
      <w:bodyDiv w:val="1"/>
      <w:marLeft w:val="0"/>
      <w:marRight w:val="0"/>
      <w:marTop w:val="0"/>
      <w:marBottom w:val="0"/>
      <w:divBdr>
        <w:top w:val="none" w:sz="0" w:space="0" w:color="auto"/>
        <w:left w:val="none" w:sz="0" w:space="0" w:color="auto"/>
        <w:bottom w:val="none" w:sz="0" w:space="0" w:color="auto"/>
        <w:right w:val="none" w:sz="0" w:space="0" w:color="auto"/>
      </w:divBdr>
    </w:div>
    <w:div w:id="650134845">
      <w:bodyDiv w:val="1"/>
      <w:marLeft w:val="0"/>
      <w:marRight w:val="0"/>
      <w:marTop w:val="0"/>
      <w:marBottom w:val="0"/>
      <w:divBdr>
        <w:top w:val="none" w:sz="0" w:space="0" w:color="auto"/>
        <w:left w:val="none" w:sz="0" w:space="0" w:color="auto"/>
        <w:bottom w:val="none" w:sz="0" w:space="0" w:color="auto"/>
        <w:right w:val="none" w:sz="0" w:space="0" w:color="auto"/>
      </w:divBdr>
      <w:divsChild>
        <w:div w:id="391739341">
          <w:marLeft w:val="547"/>
          <w:marRight w:val="0"/>
          <w:marTop w:val="240"/>
          <w:marBottom w:val="0"/>
          <w:divBdr>
            <w:top w:val="none" w:sz="0" w:space="0" w:color="auto"/>
            <w:left w:val="none" w:sz="0" w:space="0" w:color="auto"/>
            <w:bottom w:val="none" w:sz="0" w:space="0" w:color="auto"/>
            <w:right w:val="none" w:sz="0" w:space="0" w:color="auto"/>
          </w:divBdr>
        </w:div>
        <w:div w:id="450444243">
          <w:marLeft w:val="547"/>
          <w:marRight w:val="0"/>
          <w:marTop w:val="240"/>
          <w:marBottom w:val="0"/>
          <w:divBdr>
            <w:top w:val="none" w:sz="0" w:space="0" w:color="auto"/>
            <w:left w:val="none" w:sz="0" w:space="0" w:color="auto"/>
            <w:bottom w:val="none" w:sz="0" w:space="0" w:color="auto"/>
            <w:right w:val="none" w:sz="0" w:space="0" w:color="auto"/>
          </w:divBdr>
        </w:div>
        <w:div w:id="797574167">
          <w:marLeft w:val="547"/>
          <w:marRight w:val="0"/>
          <w:marTop w:val="240"/>
          <w:marBottom w:val="0"/>
          <w:divBdr>
            <w:top w:val="none" w:sz="0" w:space="0" w:color="auto"/>
            <w:left w:val="none" w:sz="0" w:space="0" w:color="auto"/>
            <w:bottom w:val="none" w:sz="0" w:space="0" w:color="auto"/>
            <w:right w:val="none" w:sz="0" w:space="0" w:color="auto"/>
          </w:divBdr>
        </w:div>
        <w:div w:id="1218933702">
          <w:marLeft w:val="547"/>
          <w:marRight w:val="0"/>
          <w:marTop w:val="240"/>
          <w:marBottom w:val="0"/>
          <w:divBdr>
            <w:top w:val="none" w:sz="0" w:space="0" w:color="auto"/>
            <w:left w:val="none" w:sz="0" w:space="0" w:color="auto"/>
            <w:bottom w:val="none" w:sz="0" w:space="0" w:color="auto"/>
            <w:right w:val="none" w:sz="0" w:space="0" w:color="auto"/>
          </w:divBdr>
        </w:div>
        <w:div w:id="2051681235">
          <w:marLeft w:val="547"/>
          <w:marRight w:val="0"/>
          <w:marTop w:val="240"/>
          <w:marBottom w:val="0"/>
          <w:divBdr>
            <w:top w:val="none" w:sz="0" w:space="0" w:color="auto"/>
            <w:left w:val="none" w:sz="0" w:space="0" w:color="auto"/>
            <w:bottom w:val="none" w:sz="0" w:space="0" w:color="auto"/>
            <w:right w:val="none" w:sz="0" w:space="0" w:color="auto"/>
          </w:divBdr>
        </w:div>
      </w:divsChild>
    </w:div>
    <w:div w:id="660428658">
      <w:bodyDiv w:val="1"/>
      <w:marLeft w:val="0"/>
      <w:marRight w:val="0"/>
      <w:marTop w:val="0"/>
      <w:marBottom w:val="0"/>
      <w:divBdr>
        <w:top w:val="none" w:sz="0" w:space="0" w:color="auto"/>
        <w:left w:val="none" w:sz="0" w:space="0" w:color="auto"/>
        <w:bottom w:val="none" w:sz="0" w:space="0" w:color="auto"/>
        <w:right w:val="none" w:sz="0" w:space="0" w:color="auto"/>
      </w:divBdr>
      <w:divsChild>
        <w:div w:id="426577497">
          <w:marLeft w:val="547"/>
          <w:marRight w:val="0"/>
          <w:marTop w:val="240"/>
          <w:marBottom w:val="0"/>
          <w:divBdr>
            <w:top w:val="none" w:sz="0" w:space="0" w:color="auto"/>
            <w:left w:val="none" w:sz="0" w:space="0" w:color="auto"/>
            <w:bottom w:val="none" w:sz="0" w:space="0" w:color="auto"/>
            <w:right w:val="none" w:sz="0" w:space="0" w:color="auto"/>
          </w:divBdr>
        </w:div>
        <w:div w:id="965699221">
          <w:marLeft w:val="547"/>
          <w:marRight w:val="0"/>
          <w:marTop w:val="240"/>
          <w:marBottom w:val="0"/>
          <w:divBdr>
            <w:top w:val="none" w:sz="0" w:space="0" w:color="auto"/>
            <w:left w:val="none" w:sz="0" w:space="0" w:color="auto"/>
            <w:bottom w:val="none" w:sz="0" w:space="0" w:color="auto"/>
            <w:right w:val="none" w:sz="0" w:space="0" w:color="auto"/>
          </w:divBdr>
        </w:div>
        <w:div w:id="1512377663">
          <w:marLeft w:val="547"/>
          <w:marRight w:val="0"/>
          <w:marTop w:val="240"/>
          <w:marBottom w:val="0"/>
          <w:divBdr>
            <w:top w:val="none" w:sz="0" w:space="0" w:color="auto"/>
            <w:left w:val="none" w:sz="0" w:space="0" w:color="auto"/>
            <w:bottom w:val="none" w:sz="0" w:space="0" w:color="auto"/>
            <w:right w:val="none" w:sz="0" w:space="0" w:color="auto"/>
          </w:divBdr>
        </w:div>
        <w:div w:id="1900826951">
          <w:marLeft w:val="547"/>
          <w:marRight w:val="0"/>
          <w:marTop w:val="240"/>
          <w:marBottom w:val="0"/>
          <w:divBdr>
            <w:top w:val="none" w:sz="0" w:space="0" w:color="auto"/>
            <w:left w:val="none" w:sz="0" w:space="0" w:color="auto"/>
            <w:bottom w:val="none" w:sz="0" w:space="0" w:color="auto"/>
            <w:right w:val="none" w:sz="0" w:space="0" w:color="auto"/>
          </w:divBdr>
        </w:div>
      </w:divsChild>
    </w:div>
    <w:div w:id="666829364">
      <w:bodyDiv w:val="1"/>
      <w:marLeft w:val="0"/>
      <w:marRight w:val="0"/>
      <w:marTop w:val="0"/>
      <w:marBottom w:val="0"/>
      <w:divBdr>
        <w:top w:val="none" w:sz="0" w:space="0" w:color="auto"/>
        <w:left w:val="none" w:sz="0" w:space="0" w:color="auto"/>
        <w:bottom w:val="none" w:sz="0" w:space="0" w:color="auto"/>
        <w:right w:val="none" w:sz="0" w:space="0" w:color="auto"/>
      </w:divBdr>
    </w:div>
    <w:div w:id="770707534">
      <w:bodyDiv w:val="1"/>
      <w:marLeft w:val="0"/>
      <w:marRight w:val="0"/>
      <w:marTop w:val="0"/>
      <w:marBottom w:val="0"/>
      <w:divBdr>
        <w:top w:val="none" w:sz="0" w:space="0" w:color="auto"/>
        <w:left w:val="none" w:sz="0" w:space="0" w:color="auto"/>
        <w:bottom w:val="none" w:sz="0" w:space="0" w:color="auto"/>
        <w:right w:val="none" w:sz="0" w:space="0" w:color="auto"/>
      </w:divBdr>
    </w:div>
    <w:div w:id="877396207">
      <w:bodyDiv w:val="1"/>
      <w:marLeft w:val="0"/>
      <w:marRight w:val="0"/>
      <w:marTop w:val="0"/>
      <w:marBottom w:val="0"/>
      <w:divBdr>
        <w:top w:val="none" w:sz="0" w:space="0" w:color="auto"/>
        <w:left w:val="none" w:sz="0" w:space="0" w:color="auto"/>
        <w:bottom w:val="none" w:sz="0" w:space="0" w:color="auto"/>
        <w:right w:val="none" w:sz="0" w:space="0" w:color="auto"/>
      </w:divBdr>
    </w:div>
    <w:div w:id="985938434">
      <w:bodyDiv w:val="1"/>
      <w:marLeft w:val="0"/>
      <w:marRight w:val="0"/>
      <w:marTop w:val="0"/>
      <w:marBottom w:val="0"/>
      <w:divBdr>
        <w:top w:val="none" w:sz="0" w:space="0" w:color="auto"/>
        <w:left w:val="none" w:sz="0" w:space="0" w:color="auto"/>
        <w:bottom w:val="none" w:sz="0" w:space="0" w:color="auto"/>
        <w:right w:val="none" w:sz="0" w:space="0" w:color="auto"/>
      </w:divBdr>
    </w:div>
    <w:div w:id="1004868208">
      <w:bodyDiv w:val="1"/>
      <w:marLeft w:val="0"/>
      <w:marRight w:val="0"/>
      <w:marTop w:val="0"/>
      <w:marBottom w:val="0"/>
      <w:divBdr>
        <w:top w:val="none" w:sz="0" w:space="0" w:color="auto"/>
        <w:left w:val="none" w:sz="0" w:space="0" w:color="auto"/>
        <w:bottom w:val="none" w:sz="0" w:space="0" w:color="auto"/>
        <w:right w:val="none" w:sz="0" w:space="0" w:color="auto"/>
      </w:divBdr>
    </w:div>
    <w:div w:id="1005087569">
      <w:bodyDiv w:val="1"/>
      <w:marLeft w:val="0"/>
      <w:marRight w:val="0"/>
      <w:marTop w:val="0"/>
      <w:marBottom w:val="0"/>
      <w:divBdr>
        <w:top w:val="none" w:sz="0" w:space="0" w:color="auto"/>
        <w:left w:val="none" w:sz="0" w:space="0" w:color="auto"/>
        <w:bottom w:val="none" w:sz="0" w:space="0" w:color="auto"/>
        <w:right w:val="none" w:sz="0" w:space="0" w:color="auto"/>
      </w:divBdr>
      <w:divsChild>
        <w:div w:id="1068844547">
          <w:marLeft w:val="806"/>
          <w:marRight w:val="0"/>
          <w:marTop w:val="0"/>
          <w:marBottom w:val="0"/>
          <w:divBdr>
            <w:top w:val="none" w:sz="0" w:space="0" w:color="auto"/>
            <w:left w:val="none" w:sz="0" w:space="0" w:color="auto"/>
            <w:bottom w:val="none" w:sz="0" w:space="0" w:color="auto"/>
            <w:right w:val="none" w:sz="0" w:space="0" w:color="auto"/>
          </w:divBdr>
        </w:div>
        <w:div w:id="2031485106">
          <w:marLeft w:val="806"/>
          <w:marRight w:val="0"/>
          <w:marTop w:val="0"/>
          <w:marBottom w:val="0"/>
          <w:divBdr>
            <w:top w:val="none" w:sz="0" w:space="0" w:color="auto"/>
            <w:left w:val="none" w:sz="0" w:space="0" w:color="auto"/>
            <w:bottom w:val="none" w:sz="0" w:space="0" w:color="auto"/>
            <w:right w:val="none" w:sz="0" w:space="0" w:color="auto"/>
          </w:divBdr>
        </w:div>
      </w:divsChild>
    </w:div>
    <w:div w:id="1012143797">
      <w:bodyDiv w:val="1"/>
      <w:marLeft w:val="0"/>
      <w:marRight w:val="0"/>
      <w:marTop w:val="0"/>
      <w:marBottom w:val="0"/>
      <w:divBdr>
        <w:top w:val="none" w:sz="0" w:space="0" w:color="auto"/>
        <w:left w:val="none" w:sz="0" w:space="0" w:color="auto"/>
        <w:bottom w:val="none" w:sz="0" w:space="0" w:color="auto"/>
        <w:right w:val="none" w:sz="0" w:space="0" w:color="auto"/>
      </w:divBdr>
    </w:div>
    <w:div w:id="1110970635">
      <w:bodyDiv w:val="1"/>
      <w:marLeft w:val="0"/>
      <w:marRight w:val="0"/>
      <w:marTop w:val="0"/>
      <w:marBottom w:val="0"/>
      <w:divBdr>
        <w:top w:val="none" w:sz="0" w:space="0" w:color="auto"/>
        <w:left w:val="none" w:sz="0" w:space="0" w:color="auto"/>
        <w:bottom w:val="none" w:sz="0" w:space="0" w:color="auto"/>
        <w:right w:val="none" w:sz="0" w:space="0" w:color="auto"/>
      </w:divBdr>
      <w:divsChild>
        <w:div w:id="257955859">
          <w:marLeft w:val="0"/>
          <w:marRight w:val="0"/>
          <w:marTop w:val="0"/>
          <w:marBottom w:val="0"/>
          <w:divBdr>
            <w:top w:val="none" w:sz="0" w:space="0" w:color="auto"/>
            <w:left w:val="none" w:sz="0" w:space="0" w:color="auto"/>
            <w:bottom w:val="none" w:sz="0" w:space="0" w:color="auto"/>
            <w:right w:val="none" w:sz="0" w:space="0" w:color="auto"/>
          </w:divBdr>
        </w:div>
        <w:div w:id="441388595">
          <w:marLeft w:val="0"/>
          <w:marRight w:val="0"/>
          <w:marTop w:val="0"/>
          <w:marBottom w:val="0"/>
          <w:divBdr>
            <w:top w:val="none" w:sz="0" w:space="0" w:color="auto"/>
            <w:left w:val="none" w:sz="0" w:space="0" w:color="auto"/>
            <w:bottom w:val="none" w:sz="0" w:space="0" w:color="auto"/>
            <w:right w:val="none" w:sz="0" w:space="0" w:color="auto"/>
          </w:divBdr>
        </w:div>
        <w:div w:id="511260746">
          <w:marLeft w:val="0"/>
          <w:marRight w:val="0"/>
          <w:marTop w:val="0"/>
          <w:marBottom w:val="0"/>
          <w:divBdr>
            <w:top w:val="none" w:sz="0" w:space="0" w:color="auto"/>
            <w:left w:val="none" w:sz="0" w:space="0" w:color="auto"/>
            <w:bottom w:val="none" w:sz="0" w:space="0" w:color="auto"/>
            <w:right w:val="none" w:sz="0" w:space="0" w:color="auto"/>
          </w:divBdr>
        </w:div>
        <w:div w:id="895164449">
          <w:marLeft w:val="0"/>
          <w:marRight w:val="0"/>
          <w:marTop w:val="0"/>
          <w:marBottom w:val="0"/>
          <w:divBdr>
            <w:top w:val="none" w:sz="0" w:space="0" w:color="auto"/>
            <w:left w:val="none" w:sz="0" w:space="0" w:color="auto"/>
            <w:bottom w:val="none" w:sz="0" w:space="0" w:color="auto"/>
            <w:right w:val="none" w:sz="0" w:space="0" w:color="auto"/>
          </w:divBdr>
        </w:div>
        <w:div w:id="1290238676">
          <w:marLeft w:val="0"/>
          <w:marRight w:val="0"/>
          <w:marTop w:val="0"/>
          <w:marBottom w:val="0"/>
          <w:divBdr>
            <w:top w:val="none" w:sz="0" w:space="0" w:color="auto"/>
            <w:left w:val="none" w:sz="0" w:space="0" w:color="auto"/>
            <w:bottom w:val="none" w:sz="0" w:space="0" w:color="auto"/>
            <w:right w:val="none" w:sz="0" w:space="0" w:color="auto"/>
          </w:divBdr>
        </w:div>
        <w:div w:id="1383823237">
          <w:marLeft w:val="0"/>
          <w:marRight w:val="0"/>
          <w:marTop w:val="0"/>
          <w:marBottom w:val="0"/>
          <w:divBdr>
            <w:top w:val="none" w:sz="0" w:space="0" w:color="auto"/>
            <w:left w:val="none" w:sz="0" w:space="0" w:color="auto"/>
            <w:bottom w:val="none" w:sz="0" w:space="0" w:color="auto"/>
            <w:right w:val="none" w:sz="0" w:space="0" w:color="auto"/>
          </w:divBdr>
        </w:div>
        <w:div w:id="1731225805">
          <w:marLeft w:val="0"/>
          <w:marRight w:val="0"/>
          <w:marTop w:val="0"/>
          <w:marBottom w:val="0"/>
          <w:divBdr>
            <w:top w:val="none" w:sz="0" w:space="0" w:color="auto"/>
            <w:left w:val="none" w:sz="0" w:space="0" w:color="auto"/>
            <w:bottom w:val="none" w:sz="0" w:space="0" w:color="auto"/>
            <w:right w:val="none" w:sz="0" w:space="0" w:color="auto"/>
          </w:divBdr>
        </w:div>
        <w:div w:id="1796825491">
          <w:marLeft w:val="0"/>
          <w:marRight w:val="0"/>
          <w:marTop w:val="0"/>
          <w:marBottom w:val="0"/>
          <w:divBdr>
            <w:top w:val="none" w:sz="0" w:space="0" w:color="auto"/>
            <w:left w:val="none" w:sz="0" w:space="0" w:color="auto"/>
            <w:bottom w:val="none" w:sz="0" w:space="0" w:color="auto"/>
            <w:right w:val="none" w:sz="0" w:space="0" w:color="auto"/>
          </w:divBdr>
        </w:div>
      </w:divsChild>
    </w:div>
    <w:div w:id="1137144016">
      <w:bodyDiv w:val="1"/>
      <w:marLeft w:val="0"/>
      <w:marRight w:val="0"/>
      <w:marTop w:val="0"/>
      <w:marBottom w:val="0"/>
      <w:divBdr>
        <w:top w:val="none" w:sz="0" w:space="0" w:color="auto"/>
        <w:left w:val="none" w:sz="0" w:space="0" w:color="auto"/>
        <w:bottom w:val="none" w:sz="0" w:space="0" w:color="auto"/>
        <w:right w:val="none" w:sz="0" w:space="0" w:color="auto"/>
      </w:divBdr>
    </w:div>
    <w:div w:id="1150639316">
      <w:bodyDiv w:val="1"/>
      <w:marLeft w:val="0"/>
      <w:marRight w:val="0"/>
      <w:marTop w:val="0"/>
      <w:marBottom w:val="0"/>
      <w:divBdr>
        <w:top w:val="none" w:sz="0" w:space="0" w:color="auto"/>
        <w:left w:val="none" w:sz="0" w:space="0" w:color="auto"/>
        <w:bottom w:val="none" w:sz="0" w:space="0" w:color="auto"/>
        <w:right w:val="none" w:sz="0" w:space="0" w:color="auto"/>
      </w:divBdr>
    </w:div>
    <w:div w:id="1237787305">
      <w:bodyDiv w:val="1"/>
      <w:marLeft w:val="0"/>
      <w:marRight w:val="0"/>
      <w:marTop w:val="0"/>
      <w:marBottom w:val="0"/>
      <w:divBdr>
        <w:top w:val="none" w:sz="0" w:space="0" w:color="auto"/>
        <w:left w:val="none" w:sz="0" w:space="0" w:color="auto"/>
        <w:bottom w:val="none" w:sz="0" w:space="0" w:color="auto"/>
        <w:right w:val="none" w:sz="0" w:space="0" w:color="auto"/>
      </w:divBdr>
    </w:div>
    <w:div w:id="1251234928">
      <w:bodyDiv w:val="1"/>
      <w:marLeft w:val="0"/>
      <w:marRight w:val="0"/>
      <w:marTop w:val="0"/>
      <w:marBottom w:val="0"/>
      <w:divBdr>
        <w:top w:val="none" w:sz="0" w:space="0" w:color="auto"/>
        <w:left w:val="none" w:sz="0" w:space="0" w:color="auto"/>
        <w:bottom w:val="none" w:sz="0" w:space="0" w:color="auto"/>
        <w:right w:val="none" w:sz="0" w:space="0" w:color="auto"/>
      </w:divBdr>
      <w:divsChild>
        <w:div w:id="267927699">
          <w:marLeft w:val="547"/>
          <w:marRight w:val="0"/>
          <w:marTop w:val="240"/>
          <w:marBottom w:val="0"/>
          <w:divBdr>
            <w:top w:val="none" w:sz="0" w:space="0" w:color="auto"/>
            <w:left w:val="none" w:sz="0" w:space="0" w:color="auto"/>
            <w:bottom w:val="none" w:sz="0" w:space="0" w:color="auto"/>
            <w:right w:val="none" w:sz="0" w:space="0" w:color="auto"/>
          </w:divBdr>
        </w:div>
        <w:div w:id="556164185">
          <w:marLeft w:val="547"/>
          <w:marRight w:val="0"/>
          <w:marTop w:val="240"/>
          <w:marBottom w:val="0"/>
          <w:divBdr>
            <w:top w:val="none" w:sz="0" w:space="0" w:color="auto"/>
            <w:left w:val="none" w:sz="0" w:space="0" w:color="auto"/>
            <w:bottom w:val="none" w:sz="0" w:space="0" w:color="auto"/>
            <w:right w:val="none" w:sz="0" w:space="0" w:color="auto"/>
          </w:divBdr>
        </w:div>
        <w:div w:id="1301305401">
          <w:marLeft w:val="547"/>
          <w:marRight w:val="0"/>
          <w:marTop w:val="240"/>
          <w:marBottom w:val="0"/>
          <w:divBdr>
            <w:top w:val="none" w:sz="0" w:space="0" w:color="auto"/>
            <w:left w:val="none" w:sz="0" w:space="0" w:color="auto"/>
            <w:bottom w:val="none" w:sz="0" w:space="0" w:color="auto"/>
            <w:right w:val="none" w:sz="0" w:space="0" w:color="auto"/>
          </w:divBdr>
        </w:div>
        <w:div w:id="1490320148">
          <w:marLeft w:val="547"/>
          <w:marRight w:val="0"/>
          <w:marTop w:val="240"/>
          <w:marBottom w:val="0"/>
          <w:divBdr>
            <w:top w:val="none" w:sz="0" w:space="0" w:color="auto"/>
            <w:left w:val="none" w:sz="0" w:space="0" w:color="auto"/>
            <w:bottom w:val="none" w:sz="0" w:space="0" w:color="auto"/>
            <w:right w:val="none" w:sz="0" w:space="0" w:color="auto"/>
          </w:divBdr>
        </w:div>
        <w:div w:id="1794516686">
          <w:marLeft w:val="547"/>
          <w:marRight w:val="0"/>
          <w:marTop w:val="240"/>
          <w:marBottom w:val="0"/>
          <w:divBdr>
            <w:top w:val="none" w:sz="0" w:space="0" w:color="auto"/>
            <w:left w:val="none" w:sz="0" w:space="0" w:color="auto"/>
            <w:bottom w:val="none" w:sz="0" w:space="0" w:color="auto"/>
            <w:right w:val="none" w:sz="0" w:space="0" w:color="auto"/>
          </w:divBdr>
        </w:div>
      </w:divsChild>
    </w:div>
    <w:div w:id="1273975420">
      <w:bodyDiv w:val="1"/>
      <w:marLeft w:val="0"/>
      <w:marRight w:val="0"/>
      <w:marTop w:val="0"/>
      <w:marBottom w:val="0"/>
      <w:divBdr>
        <w:top w:val="none" w:sz="0" w:space="0" w:color="auto"/>
        <w:left w:val="none" w:sz="0" w:space="0" w:color="auto"/>
        <w:bottom w:val="none" w:sz="0" w:space="0" w:color="auto"/>
        <w:right w:val="none" w:sz="0" w:space="0" w:color="auto"/>
      </w:divBdr>
    </w:div>
    <w:div w:id="1282299666">
      <w:bodyDiv w:val="1"/>
      <w:marLeft w:val="0"/>
      <w:marRight w:val="0"/>
      <w:marTop w:val="0"/>
      <w:marBottom w:val="0"/>
      <w:divBdr>
        <w:top w:val="none" w:sz="0" w:space="0" w:color="auto"/>
        <w:left w:val="none" w:sz="0" w:space="0" w:color="auto"/>
        <w:bottom w:val="none" w:sz="0" w:space="0" w:color="auto"/>
        <w:right w:val="none" w:sz="0" w:space="0" w:color="auto"/>
      </w:divBdr>
    </w:div>
    <w:div w:id="1330602307">
      <w:bodyDiv w:val="1"/>
      <w:marLeft w:val="0"/>
      <w:marRight w:val="0"/>
      <w:marTop w:val="0"/>
      <w:marBottom w:val="0"/>
      <w:divBdr>
        <w:top w:val="none" w:sz="0" w:space="0" w:color="auto"/>
        <w:left w:val="none" w:sz="0" w:space="0" w:color="auto"/>
        <w:bottom w:val="none" w:sz="0" w:space="0" w:color="auto"/>
        <w:right w:val="none" w:sz="0" w:space="0" w:color="auto"/>
      </w:divBdr>
      <w:divsChild>
        <w:div w:id="544758726">
          <w:marLeft w:val="547"/>
          <w:marRight w:val="0"/>
          <w:marTop w:val="240"/>
          <w:marBottom w:val="0"/>
          <w:divBdr>
            <w:top w:val="none" w:sz="0" w:space="0" w:color="auto"/>
            <w:left w:val="none" w:sz="0" w:space="0" w:color="auto"/>
            <w:bottom w:val="none" w:sz="0" w:space="0" w:color="auto"/>
            <w:right w:val="none" w:sz="0" w:space="0" w:color="auto"/>
          </w:divBdr>
        </w:div>
        <w:div w:id="599217804">
          <w:marLeft w:val="547"/>
          <w:marRight w:val="0"/>
          <w:marTop w:val="240"/>
          <w:marBottom w:val="0"/>
          <w:divBdr>
            <w:top w:val="none" w:sz="0" w:space="0" w:color="auto"/>
            <w:left w:val="none" w:sz="0" w:space="0" w:color="auto"/>
            <w:bottom w:val="none" w:sz="0" w:space="0" w:color="auto"/>
            <w:right w:val="none" w:sz="0" w:space="0" w:color="auto"/>
          </w:divBdr>
        </w:div>
        <w:div w:id="1363046288">
          <w:marLeft w:val="547"/>
          <w:marRight w:val="0"/>
          <w:marTop w:val="240"/>
          <w:marBottom w:val="0"/>
          <w:divBdr>
            <w:top w:val="none" w:sz="0" w:space="0" w:color="auto"/>
            <w:left w:val="none" w:sz="0" w:space="0" w:color="auto"/>
            <w:bottom w:val="none" w:sz="0" w:space="0" w:color="auto"/>
            <w:right w:val="none" w:sz="0" w:space="0" w:color="auto"/>
          </w:divBdr>
        </w:div>
        <w:div w:id="1558709853">
          <w:marLeft w:val="547"/>
          <w:marRight w:val="0"/>
          <w:marTop w:val="240"/>
          <w:marBottom w:val="0"/>
          <w:divBdr>
            <w:top w:val="none" w:sz="0" w:space="0" w:color="auto"/>
            <w:left w:val="none" w:sz="0" w:space="0" w:color="auto"/>
            <w:bottom w:val="none" w:sz="0" w:space="0" w:color="auto"/>
            <w:right w:val="none" w:sz="0" w:space="0" w:color="auto"/>
          </w:divBdr>
        </w:div>
        <w:div w:id="2080591019">
          <w:marLeft w:val="547"/>
          <w:marRight w:val="0"/>
          <w:marTop w:val="240"/>
          <w:marBottom w:val="0"/>
          <w:divBdr>
            <w:top w:val="none" w:sz="0" w:space="0" w:color="auto"/>
            <w:left w:val="none" w:sz="0" w:space="0" w:color="auto"/>
            <w:bottom w:val="none" w:sz="0" w:space="0" w:color="auto"/>
            <w:right w:val="none" w:sz="0" w:space="0" w:color="auto"/>
          </w:divBdr>
        </w:div>
      </w:divsChild>
    </w:div>
    <w:div w:id="1368410174">
      <w:bodyDiv w:val="1"/>
      <w:marLeft w:val="0"/>
      <w:marRight w:val="0"/>
      <w:marTop w:val="0"/>
      <w:marBottom w:val="0"/>
      <w:divBdr>
        <w:top w:val="none" w:sz="0" w:space="0" w:color="auto"/>
        <w:left w:val="none" w:sz="0" w:space="0" w:color="auto"/>
        <w:bottom w:val="none" w:sz="0" w:space="0" w:color="auto"/>
        <w:right w:val="none" w:sz="0" w:space="0" w:color="auto"/>
      </w:divBdr>
    </w:div>
    <w:div w:id="1381780603">
      <w:bodyDiv w:val="1"/>
      <w:marLeft w:val="0"/>
      <w:marRight w:val="0"/>
      <w:marTop w:val="0"/>
      <w:marBottom w:val="0"/>
      <w:divBdr>
        <w:top w:val="none" w:sz="0" w:space="0" w:color="auto"/>
        <w:left w:val="none" w:sz="0" w:space="0" w:color="auto"/>
        <w:bottom w:val="none" w:sz="0" w:space="0" w:color="auto"/>
        <w:right w:val="none" w:sz="0" w:space="0" w:color="auto"/>
      </w:divBdr>
    </w:div>
    <w:div w:id="1419014183">
      <w:bodyDiv w:val="1"/>
      <w:marLeft w:val="0"/>
      <w:marRight w:val="0"/>
      <w:marTop w:val="0"/>
      <w:marBottom w:val="0"/>
      <w:divBdr>
        <w:top w:val="none" w:sz="0" w:space="0" w:color="auto"/>
        <w:left w:val="none" w:sz="0" w:space="0" w:color="auto"/>
        <w:bottom w:val="none" w:sz="0" w:space="0" w:color="auto"/>
        <w:right w:val="none" w:sz="0" w:space="0" w:color="auto"/>
      </w:divBdr>
    </w:div>
    <w:div w:id="1466199645">
      <w:bodyDiv w:val="1"/>
      <w:marLeft w:val="0"/>
      <w:marRight w:val="0"/>
      <w:marTop w:val="0"/>
      <w:marBottom w:val="0"/>
      <w:divBdr>
        <w:top w:val="none" w:sz="0" w:space="0" w:color="auto"/>
        <w:left w:val="none" w:sz="0" w:space="0" w:color="auto"/>
        <w:bottom w:val="none" w:sz="0" w:space="0" w:color="auto"/>
        <w:right w:val="none" w:sz="0" w:space="0" w:color="auto"/>
      </w:divBdr>
    </w:div>
    <w:div w:id="1501653139">
      <w:bodyDiv w:val="1"/>
      <w:marLeft w:val="0"/>
      <w:marRight w:val="0"/>
      <w:marTop w:val="0"/>
      <w:marBottom w:val="0"/>
      <w:divBdr>
        <w:top w:val="none" w:sz="0" w:space="0" w:color="auto"/>
        <w:left w:val="none" w:sz="0" w:space="0" w:color="auto"/>
        <w:bottom w:val="none" w:sz="0" w:space="0" w:color="auto"/>
        <w:right w:val="none" w:sz="0" w:space="0" w:color="auto"/>
      </w:divBdr>
      <w:divsChild>
        <w:div w:id="38600759">
          <w:marLeft w:val="547"/>
          <w:marRight w:val="0"/>
          <w:marTop w:val="240"/>
          <w:marBottom w:val="0"/>
          <w:divBdr>
            <w:top w:val="none" w:sz="0" w:space="0" w:color="auto"/>
            <w:left w:val="none" w:sz="0" w:space="0" w:color="auto"/>
            <w:bottom w:val="none" w:sz="0" w:space="0" w:color="auto"/>
            <w:right w:val="none" w:sz="0" w:space="0" w:color="auto"/>
          </w:divBdr>
        </w:div>
        <w:div w:id="1069376908">
          <w:marLeft w:val="547"/>
          <w:marRight w:val="0"/>
          <w:marTop w:val="240"/>
          <w:marBottom w:val="0"/>
          <w:divBdr>
            <w:top w:val="none" w:sz="0" w:space="0" w:color="auto"/>
            <w:left w:val="none" w:sz="0" w:space="0" w:color="auto"/>
            <w:bottom w:val="none" w:sz="0" w:space="0" w:color="auto"/>
            <w:right w:val="none" w:sz="0" w:space="0" w:color="auto"/>
          </w:divBdr>
        </w:div>
        <w:div w:id="1166286838">
          <w:marLeft w:val="547"/>
          <w:marRight w:val="0"/>
          <w:marTop w:val="240"/>
          <w:marBottom w:val="0"/>
          <w:divBdr>
            <w:top w:val="none" w:sz="0" w:space="0" w:color="auto"/>
            <w:left w:val="none" w:sz="0" w:space="0" w:color="auto"/>
            <w:bottom w:val="none" w:sz="0" w:space="0" w:color="auto"/>
            <w:right w:val="none" w:sz="0" w:space="0" w:color="auto"/>
          </w:divBdr>
        </w:div>
        <w:div w:id="1245996825">
          <w:marLeft w:val="547"/>
          <w:marRight w:val="0"/>
          <w:marTop w:val="240"/>
          <w:marBottom w:val="0"/>
          <w:divBdr>
            <w:top w:val="none" w:sz="0" w:space="0" w:color="auto"/>
            <w:left w:val="none" w:sz="0" w:space="0" w:color="auto"/>
            <w:bottom w:val="none" w:sz="0" w:space="0" w:color="auto"/>
            <w:right w:val="none" w:sz="0" w:space="0" w:color="auto"/>
          </w:divBdr>
        </w:div>
        <w:div w:id="1253709177">
          <w:marLeft w:val="547"/>
          <w:marRight w:val="0"/>
          <w:marTop w:val="240"/>
          <w:marBottom w:val="0"/>
          <w:divBdr>
            <w:top w:val="none" w:sz="0" w:space="0" w:color="auto"/>
            <w:left w:val="none" w:sz="0" w:space="0" w:color="auto"/>
            <w:bottom w:val="none" w:sz="0" w:space="0" w:color="auto"/>
            <w:right w:val="none" w:sz="0" w:space="0" w:color="auto"/>
          </w:divBdr>
        </w:div>
        <w:div w:id="1511750975">
          <w:marLeft w:val="547"/>
          <w:marRight w:val="0"/>
          <w:marTop w:val="240"/>
          <w:marBottom w:val="0"/>
          <w:divBdr>
            <w:top w:val="none" w:sz="0" w:space="0" w:color="auto"/>
            <w:left w:val="none" w:sz="0" w:space="0" w:color="auto"/>
            <w:bottom w:val="none" w:sz="0" w:space="0" w:color="auto"/>
            <w:right w:val="none" w:sz="0" w:space="0" w:color="auto"/>
          </w:divBdr>
        </w:div>
      </w:divsChild>
    </w:div>
    <w:div w:id="1538542916">
      <w:bodyDiv w:val="1"/>
      <w:marLeft w:val="0"/>
      <w:marRight w:val="0"/>
      <w:marTop w:val="0"/>
      <w:marBottom w:val="0"/>
      <w:divBdr>
        <w:top w:val="none" w:sz="0" w:space="0" w:color="auto"/>
        <w:left w:val="none" w:sz="0" w:space="0" w:color="auto"/>
        <w:bottom w:val="none" w:sz="0" w:space="0" w:color="auto"/>
        <w:right w:val="none" w:sz="0" w:space="0" w:color="auto"/>
      </w:divBdr>
    </w:div>
    <w:div w:id="1565991626">
      <w:bodyDiv w:val="1"/>
      <w:marLeft w:val="0"/>
      <w:marRight w:val="0"/>
      <w:marTop w:val="0"/>
      <w:marBottom w:val="0"/>
      <w:divBdr>
        <w:top w:val="none" w:sz="0" w:space="0" w:color="auto"/>
        <w:left w:val="none" w:sz="0" w:space="0" w:color="auto"/>
        <w:bottom w:val="none" w:sz="0" w:space="0" w:color="auto"/>
        <w:right w:val="none" w:sz="0" w:space="0" w:color="auto"/>
      </w:divBdr>
    </w:div>
    <w:div w:id="1573276765">
      <w:bodyDiv w:val="1"/>
      <w:marLeft w:val="0"/>
      <w:marRight w:val="0"/>
      <w:marTop w:val="0"/>
      <w:marBottom w:val="0"/>
      <w:divBdr>
        <w:top w:val="none" w:sz="0" w:space="0" w:color="auto"/>
        <w:left w:val="none" w:sz="0" w:space="0" w:color="auto"/>
        <w:bottom w:val="none" w:sz="0" w:space="0" w:color="auto"/>
        <w:right w:val="none" w:sz="0" w:space="0" w:color="auto"/>
      </w:divBdr>
    </w:div>
    <w:div w:id="1595435595">
      <w:bodyDiv w:val="1"/>
      <w:marLeft w:val="0"/>
      <w:marRight w:val="0"/>
      <w:marTop w:val="0"/>
      <w:marBottom w:val="0"/>
      <w:divBdr>
        <w:top w:val="none" w:sz="0" w:space="0" w:color="auto"/>
        <w:left w:val="none" w:sz="0" w:space="0" w:color="auto"/>
        <w:bottom w:val="none" w:sz="0" w:space="0" w:color="auto"/>
        <w:right w:val="none" w:sz="0" w:space="0" w:color="auto"/>
      </w:divBdr>
    </w:div>
    <w:div w:id="1611469151">
      <w:bodyDiv w:val="1"/>
      <w:marLeft w:val="0"/>
      <w:marRight w:val="0"/>
      <w:marTop w:val="0"/>
      <w:marBottom w:val="0"/>
      <w:divBdr>
        <w:top w:val="none" w:sz="0" w:space="0" w:color="auto"/>
        <w:left w:val="none" w:sz="0" w:space="0" w:color="auto"/>
        <w:bottom w:val="none" w:sz="0" w:space="0" w:color="auto"/>
        <w:right w:val="none" w:sz="0" w:space="0" w:color="auto"/>
      </w:divBdr>
      <w:divsChild>
        <w:div w:id="38360099">
          <w:marLeft w:val="1166"/>
          <w:marRight w:val="0"/>
          <w:marTop w:val="0"/>
          <w:marBottom w:val="0"/>
          <w:divBdr>
            <w:top w:val="none" w:sz="0" w:space="0" w:color="auto"/>
            <w:left w:val="none" w:sz="0" w:space="0" w:color="auto"/>
            <w:bottom w:val="none" w:sz="0" w:space="0" w:color="auto"/>
            <w:right w:val="none" w:sz="0" w:space="0" w:color="auto"/>
          </w:divBdr>
        </w:div>
        <w:div w:id="1151290679">
          <w:marLeft w:val="547"/>
          <w:marRight w:val="0"/>
          <w:marTop w:val="240"/>
          <w:marBottom w:val="0"/>
          <w:divBdr>
            <w:top w:val="none" w:sz="0" w:space="0" w:color="auto"/>
            <w:left w:val="none" w:sz="0" w:space="0" w:color="auto"/>
            <w:bottom w:val="none" w:sz="0" w:space="0" w:color="auto"/>
            <w:right w:val="none" w:sz="0" w:space="0" w:color="auto"/>
          </w:divBdr>
        </w:div>
        <w:div w:id="1770467013">
          <w:marLeft w:val="547"/>
          <w:marRight w:val="0"/>
          <w:marTop w:val="240"/>
          <w:marBottom w:val="0"/>
          <w:divBdr>
            <w:top w:val="none" w:sz="0" w:space="0" w:color="auto"/>
            <w:left w:val="none" w:sz="0" w:space="0" w:color="auto"/>
            <w:bottom w:val="none" w:sz="0" w:space="0" w:color="auto"/>
            <w:right w:val="none" w:sz="0" w:space="0" w:color="auto"/>
          </w:divBdr>
        </w:div>
        <w:div w:id="1893496090">
          <w:marLeft w:val="547"/>
          <w:marRight w:val="0"/>
          <w:marTop w:val="240"/>
          <w:marBottom w:val="0"/>
          <w:divBdr>
            <w:top w:val="none" w:sz="0" w:space="0" w:color="auto"/>
            <w:left w:val="none" w:sz="0" w:space="0" w:color="auto"/>
            <w:bottom w:val="none" w:sz="0" w:space="0" w:color="auto"/>
            <w:right w:val="none" w:sz="0" w:space="0" w:color="auto"/>
          </w:divBdr>
        </w:div>
      </w:divsChild>
    </w:div>
    <w:div w:id="1621842333">
      <w:bodyDiv w:val="1"/>
      <w:marLeft w:val="0"/>
      <w:marRight w:val="0"/>
      <w:marTop w:val="0"/>
      <w:marBottom w:val="0"/>
      <w:divBdr>
        <w:top w:val="none" w:sz="0" w:space="0" w:color="auto"/>
        <w:left w:val="none" w:sz="0" w:space="0" w:color="auto"/>
        <w:bottom w:val="none" w:sz="0" w:space="0" w:color="auto"/>
        <w:right w:val="none" w:sz="0" w:space="0" w:color="auto"/>
      </w:divBdr>
    </w:div>
    <w:div w:id="1651208344">
      <w:bodyDiv w:val="1"/>
      <w:marLeft w:val="0"/>
      <w:marRight w:val="0"/>
      <w:marTop w:val="0"/>
      <w:marBottom w:val="0"/>
      <w:divBdr>
        <w:top w:val="none" w:sz="0" w:space="0" w:color="auto"/>
        <w:left w:val="none" w:sz="0" w:space="0" w:color="auto"/>
        <w:bottom w:val="none" w:sz="0" w:space="0" w:color="auto"/>
        <w:right w:val="none" w:sz="0" w:space="0" w:color="auto"/>
      </w:divBdr>
      <w:divsChild>
        <w:div w:id="147598379">
          <w:marLeft w:val="547"/>
          <w:marRight w:val="0"/>
          <w:marTop w:val="240"/>
          <w:marBottom w:val="0"/>
          <w:divBdr>
            <w:top w:val="none" w:sz="0" w:space="0" w:color="auto"/>
            <w:left w:val="none" w:sz="0" w:space="0" w:color="auto"/>
            <w:bottom w:val="none" w:sz="0" w:space="0" w:color="auto"/>
            <w:right w:val="none" w:sz="0" w:space="0" w:color="auto"/>
          </w:divBdr>
        </w:div>
        <w:div w:id="489104515">
          <w:marLeft w:val="547"/>
          <w:marRight w:val="0"/>
          <w:marTop w:val="240"/>
          <w:marBottom w:val="0"/>
          <w:divBdr>
            <w:top w:val="none" w:sz="0" w:space="0" w:color="auto"/>
            <w:left w:val="none" w:sz="0" w:space="0" w:color="auto"/>
            <w:bottom w:val="none" w:sz="0" w:space="0" w:color="auto"/>
            <w:right w:val="none" w:sz="0" w:space="0" w:color="auto"/>
          </w:divBdr>
        </w:div>
        <w:div w:id="1032457536">
          <w:marLeft w:val="547"/>
          <w:marRight w:val="0"/>
          <w:marTop w:val="240"/>
          <w:marBottom w:val="0"/>
          <w:divBdr>
            <w:top w:val="none" w:sz="0" w:space="0" w:color="auto"/>
            <w:left w:val="none" w:sz="0" w:space="0" w:color="auto"/>
            <w:bottom w:val="none" w:sz="0" w:space="0" w:color="auto"/>
            <w:right w:val="none" w:sz="0" w:space="0" w:color="auto"/>
          </w:divBdr>
        </w:div>
        <w:div w:id="1486245159">
          <w:marLeft w:val="547"/>
          <w:marRight w:val="0"/>
          <w:marTop w:val="240"/>
          <w:marBottom w:val="0"/>
          <w:divBdr>
            <w:top w:val="none" w:sz="0" w:space="0" w:color="auto"/>
            <w:left w:val="none" w:sz="0" w:space="0" w:color="auto"/>
            <w:bottom w:val="none" w:sz="0" w:space="0" w:color="auto"/>
            <w:right w:val="none" w:sz="0" w:space="0" w:color="auto"/>
          </w:divBdr>
        </w:div>
        <w:div w:id="2061317725">
          <w:marLeft w:val="547"/>
          <w:marRight w:val="0"/>
          <w:marTop w:val="240"/>
          <w:marBottom w:val="0"/>
          <w:divBdr>
            <w:top w:val="none" w:sz="0" w:space="0" w:color="auto"/>
            <w:left w:val="none" w:sz="0" w:space="0" w:color="auto"/>
            <w:bottom w:val="none" w:sz="0" w:space="0" w:color="auto"/>
            <w:right w:val="none" w:sz="0" w:space="0" w:color="auto"/>
          </w:divBdr>
        </w:div>
      </w:divsChild>
    </w:div>
    <w:div w:id="1695958546">
      <w:bodyDiv w:val="1"/>
      <w:marLeft w:val="0"/>
      <w:marRight w:val="0"/>
      <w:marTop w:val="0"/>
      <w:marBottom w:val="0"/>
      <w:divBdr>
        <w:top w:val="none" w:sz="0" w:space="0" w:color="auto"/>
        <w:left w:val="none" w:sz="0" w:space="0" w:color="auto"/>
        <w:bottom w:val="none" w:sz="0" w:space="0" w:color="auto"/>
        <w:right w:val="none" w:sz="0" w:space="0" w:color="auto"/>
      </w:divBdr>
    </w:div>
    <w:div w:id="1696617790">
      <w:bodyDiv w:val="1"/>
      <w:marLeft w:val="0"/>
      <w:marRight w:val="0"/>
      <w:marTop w:val="0"/>
      <w:marBottom w:val="0"/>
      <w:divBdr>
        <w:top w:val="none" w:sz="0" w:space="0" w:color="auto"/>
        <w:left w:val="none" w:sz="0" w:space="0" w:color="auto"/>
        <w:bottom w:val="none" w:sz="0" w:space="0" w:color="auto"/>
        <w:right w:val="none" w:sz="0" w:space="0" w:color="auto"/>
      </w:divBdr>
    </w:div>
    <w:div w:id="1699504512">
      <w:bodyDiv w:val="1"/>
      <w:marLeft w:val="0"/>
      <w:marRight w:val="0"/>
      <w:marTop w:val="0"/>
      <w:marBottom w:val="0"/>
      <w:divBdr>
        <w:top w:val="none" w:sz="0" w:space="0" w:color="auto"/>
        <w:left w:val="none" w:sz="0" w:space="0" w:color="auto"/>
        <w:bottom w:val="none" w:sz="0" w:space="0" w:color="auto"/>
        <w:right w:val="none" w:sz="0" w:space="0" w:color="auto"/>
      </w:divBdr>
    </w:div>
    <w:div w:id="1710645538">
      <w:bodyDiv w:val="1"/>
      <w:marLeft w:val="0"/>
      <w:marRight w:val="0"/>
      <w:marTop w:val="0"/>
      <w:marBottom w:val="0"/>
      <w:divBdr>
        <w:top w:val="none" w:sz="0" w:space="0" w:color="auto"/>
        <w:left w:val="none" w:sz="0" w:space="0" w:color="auto"/>
        <w:bottom w:val="none" w:sz="0" w:space="0" w:color="auto"/>
        <w:right w:val="none" w:sz="0" w:space="0" w:color="auto"/>
      </w:divBdr>
    </w:div>
    <w:div w:id="1769622164">
      <w:bodyDiv w:val="1"/>
      <w:marLeft w:val="0"/>
      <w:marRight w:val="0"/>
      <w:marTop w:val="0"/>
      <w:marBottom w:val="0"/>
      <w:divBdr>
        <w:top w:val="none" w:sz="0" w:space="0" w:color="auto"/>
        <w:left w:val="none" w:sz="0" w:space="0" w:color="auto"/>
        <w:bottom w:val="none" w:sz="0" w:space="0" w:color="auto"/>
        <w:right w:val="none" w:sz="0" w:space="0" w:color="auto"/>
      </w:divBdr>
      <w:divsChild>
        <w:div w:id="3872880">
          <w:marLeft w:val="547"/>
          <w:marRight w:val="0"/>
          <w:marTop w:val="240"/>
          <w:marBottom w:val="0"/>
          <w:divBdr>
            <w:top w:val="none" w:sz="0" w:space="0" w:color="auto"/>
            <w:left w:val="none" w:sz="0" w:space="0" w:color="auto"/>
            <w:bottom w:val="none" w:sz="0" w:space="0" w:color="auto"/>
            <w:right w:val="none" w:sz="0" w:space="0" w:color="auto"/>
          </w:divBdr>
        </w:div>
        <w:div w:id="246161411">
          <w:marLeft w:val="547"/>
          <w:marRight w:val="0"/>
          <w:marTop w:val="240"/>
          <w:marBottom w:val="0"/>
          <w:divBdr>
            <w:top w:val="none" w:sz="0" w:space="0" w:color="auto"/>
            <w:left w:val="none" w:sz="0" w:space="0" w:color="auto"/>
            <w:bottom w:val="none" w:sz="0" w:space="0" w:color="auto"/>
            <w:right w:val="none" w:sz="0" w:space="0" w:color="auto"/>
          </w:divBdr>
        </w:div>
        <w:div w:id="807741038">
          <w:marLeft w:val="547"/>
          <w:marRight w:val="0"/>
          <w:marTop w:val="240"/>
          <w:marBottom w:val="0"/>
          <w:divBdr>
            <w:top w:val="none" w:sz="0" w:space="0" w:color="auto"/>
            <w:left w:val="none" w:sz="0" w:space="0" w:color="auto"/>
            <w:bottom w:val="none" w:sz="0" w:space="0" w:color="auto"/>
            <w:right w:val="none" w:sz="0" w:space="0" w:color="auto"/>
          </w:divBdr>
        </w:div>
        <w:div w:id="1429735428">
          <w:marLeft w:val="547"/>
          <w:marRight w:val="0"/>
          <w:marTop w:val="240"/>
          <w:marBottom w:val="0"/>
          <w:divBdr>
            <w:top w:val="none" w:sz="0" w:space="0" w:color="auto"/>
            <w:left w:val="none" w:sz="0" w:space="0" w:color="auto"/>
            <w:bottom w:val="none" w:sz="0" w:space="0" w:color="auto"/>
            <w:right w:val="none" w:sz="0" w:space="0" w:color="auto"/>
          </w:divBdr>
        </w:div>
      </w:divsChild>
    </w:div>
    <w:div w:id="1779063624">
      <w:bodyDiv w:val="1"/>
      <w:marLeft w:val="0"/>
      <w:marRight w:val="0"/>
      <w:marTop w:val="0"/>
      <w:marBottom w:val="0"/>
      <w:divBdr>
        <w:top w:val="none" w:sz="0" w:space="0" w:color="auto"/>
        <w:left w:val="none" w:sz="0" w:space="0" w:color="auto"/>
        <w:bottom w:val="none" w:sz="0" w:space="0" w:color="auto"/>
        <w:right w:val="none" w:sz="0" w:space="0" w:color="auto"/>
      </w:divBdr>
      <w:divsChild>
        <w:div w:id="462889395">
          <w:marLeft w:val="547"/>
          <w:marRight w:val="0"/>
          <w:marTop w:val="240"/>
          <w:marBottom w:val="0"/>
          <w:divBdr>
            <w:top w:val="none" w:sz="0" w:space="0" w:color="auto"/>
            <w:left w:val="none" w:sz="0" w:space="0" w:color="auto"/>
            <w:bottom w:val="none" w:sz="0" w:space="0" w:color="auto"/>
            <w:right w:val="none" w:sz="0" w:space="0" w:color="auto"/>
          </w:divBdr>
        </w:div>
        <w:div w:id="644503988">
          <w:marLeft w:val="547"/>
          <w:marRight w:val="0"/>
          <w:marTop w:val="240"/>
          <w:marBottom w:val="0"/>
          <w:divBdr>
            <w:top w:val="none" w:sz="0" w:space="0" w:color="auto"/>
            <w:left w:val="none" w:sz="0" w:space="0" w:color="auto"/>
            <w:bottom w:val="none" w:sz="0" w:space="0" w:color="auto"/>
            <w:right w:val="none" w:sz="0" w:space="0" w:color="auto"/>
          </w:divBdr>
        </w:div>
        <w:div w:id="1551382506">
          <w:marLeft w:val="547"/>
          <w:marRight w:val="0"/>
          <w:marTop w:val="240"/>
          <w:marBottom w:val="0"/>
          <w:divBdr>
            <w:top w:val="none" w:sz="0" w:space="0" w:color="auto"/>
            <w:left w:val="none" w:sz="0" w:space="0" w:color="auto"/>
            <w:bottom w:val="none" w:sz="0" w:space="0" w:color="auto"/>
            <w:right w:val="none" w:sz="0" w:space="0" w:color="auto"/>
          </w:divBdr>
        </w:div>
        <w:div w:id="1859460717">
          <w:marLeft w:val="547"/>
          <w:marRight w:val="0"/>
          <w:marTop w:val="240"/>
          <w:marBottom w:val="0"/>
          <w:divBdr>
            <w:top w:val="none" w:sz="0" w:space="0" w:color="auto"/>
            <w:left w:val="none" w:sz="0" w:space="0" w:color="auto"/>
            <w:bottom w:val="none" w:sz="0" w:space="0" w:color="auto"/>
            <w:right w:val="none" w:sz="0" w:space="0" w:color="auto"/>
          </w:divBdr>
        </w:div>
        <w:div w:id="1992370346">
          <w:marLeft w:val="547"/>
          <w:marRight w:val="0"/>
          <w:marTop w:val="240"/>
          <w:marBottom w:val="0"/>
          <w:divBdr>
            <w:top w:val="none" w:sz="0" w:space="0" w:color="auto"/>
            <w:left w:val="none" w:sz="0" w:space="0" w:color="auto"/>
            <w:bottom w:val="none" w:sz="0" w:space="0" w:color="auto"/>
            <w:right w:val="none" w:sz="0" w:space="0" w:color="auto"/>
          </w:divBdr>
        </w:div>
      </w:divsChild>
    </w:div>
    <w:div w:id="1791626323">
      <w:bodyDiv w:val="1"/>
      <w:marLeft w:val="0"/>
      <w:marRight w:val="0"/>
      <w:marTop w:val="0"/>
      <w:marBottom w:val="0"/>
      <w:divBdr>
        <w:top w:val="none" w:sz="0" w:space="0" w:color="auto"/>
        <w:left w:val="none" w:sz="0" w:space="0" w:color="auto"/>
        <w:bottom w:val="none" w:sz="0" w:space="0" w:color="auto"/>
        <w:right w:val="none" w:sz="0" w:space="0" w:color="auto"/>
      </w:divBdr>
      <w:divsChild>
        <w:div w:id="919143654">
          <w:marLeft w:val="806"/>
          <w:marRight w:val="0"/>
          <w:marTop w:val="0"/>
          <w:marBottom w:val="0"/>
          <w:divBdr>
            <w:top w:val="none" w:sz="0" w:space="0" w:color="auto"/>
            <w:left w:val="none" w:sz="0" w:space="0" w:color="auto"/>
            <w:bottom w:val="none" w:sz="0" w:space="0" w:color="auto"/>
            <w:right w:val="none" w:sz="0" w:space="0" w:color="auto"/>
          </w:divBdr>
        </w:div>
        <w:div w:id="1880391543">
          <w:marLeft w:val="806"/>
          <w:marRight w:val="0"/>
          <w:marTop w:val="0"/>
          <w:marBottom w:val="0"/>
          <w:divBdr>
            <w:top w:val="none" w:sz="0" w:space="0" w:color="auto"/>
            <w:left w:val="none" w:sz="0" w:space="0" w:color="auto"/>
            <w:bottom w:val="none" w:sz="0" w:space="0" w:color="auto"/>
            <w:right w:val="none" w:sz="0" w:space="0" w:color="auto"/>
          </w:divBdr>
        </w:div>
      </w:divsChild>
    </w:div>
    <w:div w:id="1795564933">
      <w:bodyDiv w:val="1"/>
      <w:marLeft w:val="0"/>
      <w:marRight w:val="0"/>
      <w:marTop w:val="0"/>
      <w:marBottom w:val="0"/>
      <w:divBdr>
        <w:top w:val="none" w:sz="0" w:space="0" w:color="auto"/>
        <w:left w:val="none" w:sz="0" w:space="0" w:color="auto"/>
        <w:bottom w:val="none" w:sz="0" w:space="0" w:color="auto"/>
        <w:right w:val="none" w:sz="0" w:space="0" w:color="auto"/>
      </w:divBdr>
      <w:divsChild>
        <w:div w:id="282661218">
          <w:marLeft w:val="547"/>
          <w:marRight w:val="0"/>
          <w:marTop w:val="240"/>
          <w:marBottom w:val="0"/>
          <w:divBdr>
            <w:top w:val="none" w:sz="0" w:space="0" w:color="auto"/>
            <w:left w:val="none" w:sz="0" w:space="0" w:color="auto"/>
            <w:bottom w:val="none" w:sz="0" w:space="0" w:color="auto"/>
            <w:right w:val="none" w:sz="0" w:space="0" w:color="auto"/>
          </w:divBdr>
        </w:div>
        <w:div w:id="1210799750">
          <w:marLeft w:val="547"/>
          <w:marRight w:val="0"/>
          <w:marTop w:val="240"/>
          <w:marBottom w:val="0"/>
          <w:divBdr>
            <w:top w:val="none" w:sz="0" w:space="0" w:color="auto"/>
            <w:left w:val="none" w:sz="0" w:space="0" w:color="auto"/>
            <w:bottom w:val="none" w:sz="0" w:space="0" w:color="auto"/>
            <w:right w:val="none" w:sz="0" w:space="0" w:color="auto"/>
          </w:divBdr>
        </w:div>
        <w:div w:id="1689596778">
          <w:marLeft w:val="547"/>
          <w:marRight w:val="0"/>
          <w:marTop w:val="240"/>
          <w:marBottom w:val="0"/>
          <w:divBdr>
            <w:top w:val="none" w:sz="0" w:space="0" w:color="auto"/>
            <w:left w:val="none" w:sz="0" w:space="0" w:color="auto"/>
            <w:bottom w:val="none" w:sz="0" w:space="0" w:color="auto"/>
            <w:right w:val="none" w:sz="0" w:space="0" w:color="auto"/>
          </w:divBdr>
        </w:div>
        <w:div w:id="1850872790">
          <w:marLeft w:val="547"/>
          <w:marRight w:val="0"/>
          <w:marTop w:val="240"/>
          <w:marBottom w:val="0"/>
          <w:divBdr>
            <w:top w:val="none" w:sz="0" w:space="0" w:color="auto"/>
            <w:left w:val="none" w:sz="0" w:space="0" w:color="auto"/>
            <w:bottom w:val="none" w:sz="0" w:space="0" w:color="auto"/>
            <w:right w:val="none" w:sz="0" w:space="0" w:color="auto"/>
          </w:divBdr>
        </w:div>
        <w:div w:id="2090731256">
          <w:marLeft w:val="547"/>
          <w:marRight w:val="0"/>
          <w:marTop w:val="240"/>
          <w:marBottom w:val="0"/>
          <w:divBdr>
            <w:top w:val="none" w:sz="0" w:space="0" w:color="auto"/>
            <w:left w:val="none" w:sz="0" w:space="0" w:color="auto"/>
            <w:bottom w:val="none" w:sz="0" w:space="0" w:color="auto"/>
            <w:right w:val="none" w:sz="0" w:space="0" w:color="auto"/>
          </w:divBdr>
        </w:div>
      </w:divsChild>
    </w:div>
    <w:div w:id="1820728949">
      <w:bodyDiv w:val="1"/>
      <w:marLeft w:val="0"/>
      <w:marRight w:val="0"/>
      <w:marTop w:val="0"/>
      <w:marBottom w:val="0"/>
      <w:divBdr>
        <w:top w:val="none" w:sz="0" w:space="0" w:color="auto"/>
        <w:left w:val="none" w:sz="0" w:space="0" w:color="auto"/>
        <w:bottom w:val="none" w:sz="0" w:space="0" w:color="auto"/>
        <w:right w:val="none" w:sz="0" w:space="0" w:color="auto"/>
      </w:divBdr>
    </w:div>
    <w:div w:id="1841042625">
      <w:bodyDiv w:val="1"/>
      <w:marLeft w:val="0"/>
      <w:marRight w:val="0"/>
      <w:marTop w:val="0"/>
      <w:marBottom w:val="0"/>
      <w:divBdr>
        <w:top w:val="none" w:sz="0" w:space="0" w:color="auto"/>
        <w:left w:val="none" w:sz="0" w:space="0" w:color="auto"/>
        <w:bottom w:val="none" w:sz="0" w:space="0" w:color="auto"/>
        <w:right w:val="none" w:sz="0" w:space="0" w:color="auto"/>
      </w:divBdr>
    </w:div>
    <w:div w:id="1970238280">
      <w:bodyDiv w:val="1"/>
      <w:marLeft w:val="0"/>
      <w:marRight w:val="0"/>
      <w:marTop w:val="0"/>
      <w:marBottom w:val="0"/>
      <w:divBdr>
        <w:top w:val="none" w:sz="0" w:space="0" w:color="auto"/>
        <w:left w:val="none" w:sz="0" w:space="0" w:color="auto"/>
        <w:bottom w:val="none" w:sz="0" w:space="0" w:color="auto"/>
        <w:right w:val="none" w:sz="0" w:space="0" w:color="auto"/>
      </w:divBdr>
    </w:div>
    <w:div w:id="2007201760">
      <w:bodyDiv w:val="1"/>
      <w:marLeft w:val="0"/>
      <w:marRight w:val="0"/>
      <w:marTop w:val="0"/>
      <w:marBottom w:val="0"/>
      <w:divBdr>
        <w:top w:val="none" w:sz="0" w:space="0" w:color="auto"/>
        <w:left w:val="none" w:sz="0" w:space="0" w:color="auto"/>
        <w:bottom w:val="none" w:sz="0" w:space="0" w:color="auto"/>
        <w:right w:val="none" w:sz="0" w:space="0" w:color="auto"/>
      </w:divBdr>
    </w:div>
    <w:div w:id="2032994395">
      <w:bodyDiv w:val="1"/>
      <w:marLeft w:val="0"/>
      <w:marRight w:val="0"/>
      <w:marTop w:val="0"/>
      <w:marBottom w:val="0"/>
      <w:divBdr>
        <w:top w:val="none" w:sz="0" w:space="0" w:color="auto"/>
        <w:left w:val="none" w:sz="0" w:space="0" w:color="auto"/>
        <w:bottom w:val="none" w:sz="0" w:space="0" w:color="auto"/>
        <w:right w:val="none" w:sz="0" w:space="0" w:color="auto"/>
      </w:divBdr>
    </w:div>
    <w:div w:id="2045404836">
      <w:bodyDiv w:val="1"/>
      <w:marLeft w:val="0"/>
      <w:marRight w:val="0"/>
      <w:marTop w:val="0"/>
      <w:marBottom w:val="0"/>
      <w:divBdr>
        <w:top w:val="none" w:sz="0" w:space="0" w:color="auto"/>
        <w:left w:val="none" w:sz="0" w:space="0" w:color="auto"/>
        <w:bottom w:val="none" w:sz="0" w:space="0" w:color="auto"/>
        <w:right w:val="none" w:sz="0" w:space="0" w:color="auto"/>
      </w:divBdr>
    </w:div>
    <w:div w:id="2120442497">
      <w:bodyDiv w:val="1"/>
      <w:marLeft w:val="0"/>
      <w:marRight w:val="0"/>
      <w:marTop w:val="0"/>
      <w:marBottom w:val="0"/>
      <w:divBdr>
        <w:top w:val="none" w:sz="0" w:space="0" w:color="auto"/>
        <w:left w:val="none" w:sz="0" w:space="0" w:color="auto"/>
        <w:bottom w:val="none" w:sz="0" w:space="0" w:color="auto"/>
        <w:right w:val="none" w:sz="0" w:space="0" w:color="auto"/>
      </w:divBdr>
      <w:divsChild>
        <w:div w:id="1675255958">
          <w:marLeft w:val="547"/>
          <w:marRight w:val="0"/>
          <w:marTop w:val="240"/>
          <w:marBottom w:val="0"/>
          <w:divBdr>
            <w:top w:val="none" w:sz="0" w:space="0" w:color="auto"/>
            <w:left w:val="none" w:sz="0" w:space="0" w:color="auto"/>
            <w:bottom w:val="none" w:sz="0" w:space="0" w:color="auto"/>
            <w:right w:val="none" w:sz="0" w:space="0" w:color="auto"/>
          </w:divBdr>
        </w:div>
        <w:div w:id="2006321666">
          <w:marLeft w:val="547"/>
          <w:marRight w:val="0"/>
          <w:marTop w:val="240"/>
          <w:marBottom w:val="0"/>
          <w:divBdr>
            <w:top w:val="none" w:sz="0" w:space="0" w:color="auto"/>
            <w:left w:val="none" w:sz="0" w:space="0" w:color="auto"/>
            <w:bottom w:val="none" w:sz="0" w:space="0" w:color="auto"/>
            <w:right w:val="none" w:sz="0" w:space="0" w:color="auto"/>
          </w:divBdr>
        </w:div>
        <w:div w:id="2065635189">
          <w:marLeft w:val="547"/>
          <w:marRight w:val="0"/>
          <w:marTop w:val="240"/>
          <w:marBottom w:val="0"/>
          <w:divBdr>
            <w:top w:val="none" w:sz="0" w:space="0" w:color="auto"/>
            <w:left w:val="none" w:sz="0" w:space="0" w:color="auto"/>
            <w:bottom w:val="none" w:sz="0" w:space="0" w:color="auto"/>
            <w:right w:val="none" w:sz="0" w:space="0" w:color="auto"/>
          </w:divBdr>
        </w:div>
        <w:div w:id="2113359170">
          <w:marLeft w:val="547"/>
          <w:marRight w:val="0"/>
          <w:marTop w:val="240"/>
          <w:marBottom w:val="0"/>
          <w:divBdr>
            <w:top w:val="none" w:sz="0" w:space="0" w:color="auto"/>
            <w:left w:val="none" w:sz="0" w:space="0" w:color="auto"/>
            <w:bottom w:val="none" w:sz="0" w:space="0" w:color="auto"/>
            <w:right w:val="none" w:sz="0" w:space="0" w:color="auto"/>
          </w:divBdr>
        </w:div>
        <w:div w:id="2121411457">
          <w:marLeft w:val="547"/>
          <w:marRight w:val="0"/>
          <w:marTop w:val="240"/>
          <w:marBottom w:val="0"/>
          <w:divBdr>
            <w:top w:val="none" w:sz="0" w:space="0" w:color="auto"/>
            <w:left w:val="none" w:sz="0" w:space="0" w:color="auto"/>
            <w:bottom w:val="none" w:sz="0" w:space="0" w:color="auto"/>
            <w:right w:val="none" w:sz="0" w:space="0" w:color="auto"/>
          </w:divBdr>
        </w:div>
      </w:divsChild>
    </w:div>
    <w:div w:id="2134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so-ne.com/participate/filings-ord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so-ne.com/committees/key-projects/price-responsive-demand"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iso-ne.com/committees/key-projects/price-responsive-dem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iso-ne.com"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www.iso-ne.com/committees/key-projects/price-responsive-demand" TargetMode="External"/></Relationships>
</file>

<file path=word/theme/theme1.xml><?xml version="1.0" encoding="utf-8"?>
<a:theme xmlns:a="http://schemas.openxmlformats.org/drawingml/2006/main" name="ISONE2015">
  <a:themeElements>
    <a:clrScheme name="ISO-NE">
      <a:dk1>
        <a:srgbClr val="62777F"/>
      </a:dk1>
      <a:lt1>
        <a:srgbClr val="FFFFFF"/>
      </a:lt1>
      <a:dk2>
        <a:srgbClr val="1E6A9A"/>
      </a:dk2>
      <a:lt2>
        <a:srgbClr val="6DCFF6"/>
      </a:lt2>
      <a:accent1>
        <a:srgbClr val="1795D2"/>
      </a:accent1>
      <a:accent2>
        <a:srgbClr val="8555A1"/>
      </a:accent2>
      <a:accent3>
        <a:srgbClr val="77BD2A"/>
      </a:accent3>
      <a:accent4>
        <a:srgbClr val="FBB92F"/>
      </a:accent4>
      <a:accent5>
        <a:srgbClr val="F68920"/>
      </a:accent5>
      <a:accent6>
        <a:srgbClr val="EC1F25"/>
      </a:accent6>
      <a:hlink>
        <a:srgbClr val="1795D2"/>
      </a:hlink>
      <a:folHlink>
        <a:srgbClr val="8555A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CDE26-927D-4E8B-9A20-76113F05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2018-06-15T21:02:00Z</dcterms:created>
  <dcterms:modified xsi:type="dcterms:W3CDTF">2018-06-15T21:02:00Z</dcterms:modified>
</cp:coreProperties>
</file>